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56AAE" w14:textId="453A1433" w:rsidR="004F4163" w:rsidRPr="005D52B4" w:rsidRDefault="00566022" w:rsidP="005D52B4">
      <w:pPr>
        <w:pStyle w:val="Title"/>
      </w:pPr>
      <w:bookmarkStart w:id="0" w:name="_Hlk110932297"/>
      <w:r>
        <w:t xml:space="preserve">Fourth and </w:t>
      </w:r>
      <w:r w:rsidR="007411CB">
        <w:t>final</w:t>
      </w:r>
      <w:r w:rsidR="00E622D7">
        <w:t xml:space="preserve"> </w:t>
      </w:r>
      <w:r w:rsidR="004F4163" w:rsidRPr="00567F93">
        <w:t xml:space="preserve">report on the operation and effectiveness of COVIDSafe and the National </w:t>
      </w:r>
      <w:proofErr w:type="spellStart"/>
      <w:r w:rsidR="004F4163" w:rsidRPr="00567F93">
        <w:t>COVIDSafe</w:t>
      </w:r>
      <w:proofErr w:type="spellEnd"/>
      <w:r w:rsidR="004F4163" w:rsidRPr="00567F93">
        <w:t xml:space="preserve"> </w:t>
      </w:r>
      <w:r w:rsidR="006422AC">
        <w:t>D</w:t>
      </w:r>
      <w:r w:rsidR="004F4163" w:rsidRPr="00567F93">
        <w:t>ata Store</w:t>
      </w:r>
    </w:p>
    <w:bookmarkEnd w:id="0"/>
    <w:p w14:paraId="5A72318F" w14:textId="5B3363B7" w:rsidR="00520303" w:rsidRDefault="00566022" w:rsidP="005D52B4">
      <w:pPr>
        <w:pStyle w:val="Subtitle"/>
      </w:pPr>
      <w:r>
        <w:t>16 May 2022 to 16 August 2022</w:t>
      </w:r>
    </w:p>
    <w:p w14:paraId="5D85549F" w14:textId="13A159A0" w:rsidR="00AD10F2" w:rsidRPr="00AD10F2" w:rsidRDefault="00AD10F2" w:rsidP="005D52B4">
      <w:pPr>
        <w:pStyle w:val="Subtitle"/>
      </w:pPr>
      <w:r w:rsidRPr="00B05C22">
        <w:t xml:space="preserve">17 August to </w:t>
      </w:r>
      <w:r w:rsidR="00B05C22" w:rsidRPr="00B05C22">
        <w:t>16 February</w:t>
      </w:r>
      <w:r w:rsidR="00B05C22">
        <w:t xml:space="preserve"> 2023</w:t>
      </w:r>
    </w:p>
    <w:p w14:paraId="4488389D" w14:textId="601478EA" w:rsidR="00520303" w:rsidRPr="003A4302" w:rsidRDefault="00960E95" w:rsidP="005D52B4">
      <w:pPr>
        <w:pStyle w:val="Subtitle"/>
      </w:pPr>
      <w:r>
        <w:t>15 March</w:t>
      </w:r>
      <w:r w:rsidR="00566022">
        <w:t xml:space="preserve"> 202</w:t>
      </w:r>
      <w:r w:rsidR="00B05C22">
        <w:t>3</w:t>
      </w:r>
    </w:p>
    <w:p w14:paraId="393DA81D" w14:textId="14F33FF0" w:rsidR="004F4163" w:rsidRDefault="004F4163" w:rsidP="005D52B4">
      <w:r w:rsidRPr="004F4163">
        <w:br w:type="page"/>
      </w:r>
    </w:p>
    <w:p w14:paraId="102B651B" w14:textId="3A5A01A5" w:rsidR="007402EF" w:rsidRPr="00DC5875" w:rsidRDefault="007402EF" w:rsidP="005D52B4">
      <w:pPr>
        <w:rPr>
          <w:lang w:eastAsia="en-AU"/>
        </w:rPr>
      </w:pPr>
      <w:r w:rsidRPr="00DC5875">
        <w:rPr>
          <w:lang w:eastAsia="en-AU"/>
        </w:rPr>
        <w:lastRenderedPageBreak/>
        <w:t xml:space="preserve">Title: </w:t>
      </w:r>
      <w:r w:rsidR="00960E95" w:rsidRPr="00960E95">
        <w:rPr>
          <w:lang w:eastAsia="en-AU"/>
        </w:rPr>
        <w:t>Fourth and final report on the operation and effectiveness of COVIDSafe and the National COVIDSafe Data Store</w:t>
      </w:r>
    </w:p>
    <w:p w14:paraId="6BD26A4A" w14:textId="1EADE3E8" w:rsidR="007402EF" w:rsidRPr="00DC5875" w:rsidRDefault="007402EF" w:rsidP="005D52B4">
      <w:pPr>
        <w:rPr>
          <w:lang w:eastAsia="en-AU"/>
        </w:rPr>
      </w:pPr>
      <w:r w:rsidRPr="00DC5875">
        <w:rPr>
          <w:lang w:eastAsia="en-AU"/>
        </w:rPr>
        <w:t xml:space="preserve">ISBN: </w:t>
      </w:r>
      <w:r w:rsidR="00960E95" w:rsidRPr="00960E95">
        <w:rPr>
          <w:lang w:eastAsia="en-AU"/>
        </w:rPr>
        <w:t>978-1-76007-028-1</w:t>
      </w:r>
    </w:p>
    <w:p w14:paraId="02447C8B" w14:textId="476BA25C" w:rsidR="007402EF" w:rsidRPr="00DC5875" w:rsidRDefault="007402EF" w:rsidP="005D52B4">
      <w:pPr>
        <w:rPr>
          <w:lang w:eastAsia="en-AU"/>
        </w:rPr>
      </w:pPr>
      <w:r w:rsidRPr="00DC5875">
        <w:rPr>
          <w:lang w:eastAsia="en-AU"/>
        </w:rPr>
        <w:t xml:space="preserve">Online ISBN: </w:t>
      </w:r>
      <w:r w:rsidR="00960E95" w:rsidRPr="00960E95">
        <w:rPr>
          <w:lang w:eastAsia="en-AU"/>
        </w:rPr>
        <w:t>978-1-76007-029-8</w:t>
      </w:r>
    </w:p>
    <w:p w14:paraId="2238F690" w14:textId="1960B7DA" w:rsidR="007402EF" w:rsidRPr="005D52B4" w:rsidRDefault="007402EF" w:rsidP="005D52B4">
      <w:pPr>
        <w:rPr>
          <w:rStyle w:val="Strong"/>
        </w:rPr>
      </w:pPr>
      <w:r w:rsidRPr="005D52B4">
        <w:rPr>
          <w:rStyle w:val="Strong"/>
        </w:rPr>
        <w:t>Copyright</w:t>
      </w:r>
    </w:p>
    <w:p w14:paraId="7E57B4C5" w14:textId="11D30993" w:rsidR="007402EF" w:rsidRPr="00DC5875" w:rsidRDefault="007402EF" w:rsidP="005D52B4">
      <w:r w:rsidRPr="00DC5875">
        <w:t>© 20</w:t>
      </w:r>
      <w:r>
        <w:t>22</w:t>
      </w:r>
      <w:r w:rsidRPr="00DC5875">
        <w:t xml:space="preserve"> Commonwealth of Australia as represented by the Department of Health </w:t>
      </w:r>
      <w:r>
        <w:t>and Aged Care.</w:t>
      </w:r>
    </w:p>
    <w:p w14:paraId="05BEEE32" w14:textId="77777777" w:rsidR="007402EF" w:rsidRPr="00DC5875" w:rsidRDefault="007402EF" w:rsidP="005D52B4">
      <w:pPr>
        <w:rPr>
          <w:lang w:eastAsia="en-AU"/>
        </w:rPr>
      </w:pPr>
      <w:r w:rsidRPr="00DC5875">
        <w:rPr>
          <w:lang w:eastAsia="en-AU"/>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08C494C3" w14:textId="77777777" w:rsidR="007402EF" w:rsidRPr="005D52B4" w:rsidRDefault="007402EF" w:rsidP="005D52B4">
      <w:pPr>
        <w:pStyle w:val="ListNumber2"/>
      </w:pPr>
      <w:r w:rsidRPr="005D52B4">
        <w:t>do not use the copy or reproduction for any commercial purpose; and</w:t>
      </w:r>
    </w:p>
    <w:p w14:paraId="788BB0D6" w14:textId="77777777" w:rsidR="007402EF" w:rsidRPr="005D52B4" w:rsidRDefault="007402EF" w:rsidP="005D52B4">
      <w:pPr>
        <w:pStyle w:val="ListNumber2"/>
      </w:pPr>
      <w:r w:rsidRPr="005D52B4">
        <w:t>retain this copyright notice and all disclaimer notices as part of that copy or reproduction.</w:t>
      </w:r>
    </w:p>
    <w:p w14:paraId="220C0432" w14:textId="77777777" w:rsidR="007402EF" w:rsidRPr="00DC5875" w:rsidRDefault="007402EF" w:rsidP="005D52B4">
      <w:pPr>
        <w:rPr>
          <w:lang w:eastAsia="en-AU"/>
        </w:rPr>
      </w:pPr>
      <w:r w:rsidRPr="00DC5875">
        <w:rPr>
          <w:lang w:eastAsia="en-AU"/>
        </w:rPr>
        <w:t xml:space="preserve">Apart from rights as permitted by the </w:t>
      </w:r>
      <w:r w:rsidRPr="006521CA">
        <w:rPr>
          <w:rStyle w:val="Emphasis"/>
        </w:rPr>
        <w:t xml:space="preserve">Copyright Act 1968 </w:t>
      </w:r>
      <w:r w:rsidRPr="00DC5875">
        <w:rPr>
          <w:iCs/>
          <w:lang w:eastAsia="en-AU"/>
        </w:rPr>
        <w:t>(</w:t>
      </w:r>
      <w:proofErr w:type="spellStart"/>
      <w:r w:rsidRPr="00DC5875">
        <w:rPr>
          <w:iCs/>
          <w:lang w:eastAsia="en-AU"/>
        </w:rPr>
        <w:t>Cth</w:t>
      </w:r>
      <w:proofErr w:type="spellEnd"/>
      <w:r w:rsidRPr="00DC5875">
        <w:rPr>
          <w:iCs/>
          <w:lang w:eastAsia="en-AU"/>
        </w:rPr>
        <w:t>)</w:t>
      </w:r>
      <w:r w:rsidRPr="00DC5875">
        <w:rPr>
          <w:i/>
          <w:iCs/>
          <w:lang w:eastAsia="en-AU"/>
        </w:rPr>
        <w:t xml:space="preserve"> </w:t>
      </w:r>
      <w:r w:rsidRPr="00DC5875">
        <w:rPr>
          <w:lang w:eastAsia="en-AU"/>
        </w:rPr>
        <w:t>or allowed by this copyright notice</w:t>
      </w:r>
      <w:r w:rsidRPr="00DC5875">
        <w:rPr>
          <w:i/>
          <w:iCs/>
          <w:lang w:eastAsia="en-AU"/>
        </w:rPr>
        <w:t xml:space="preserve">, </w:t>
      </w:r>
      <w:r w:rsidRPr="00DC5875">
        <w:rPr>
          <w:lang w:eastAsia="en-AU"/>
        </w:rPr>
        <w:t>all other rights are reserved, including (but not limited to) all commercial rights.</w:t>
      </w:r>
    </w:p>
    <w:p w14:paraId="4209AEC8" w14:textId="1EE4E0F9" w:rsidR="007402EF" w:rsidRPr="00DC5875" w:rsidRDefault="007402EF" w:rsidP="005D52B4">
      <w:r w:rsidRPr="00DC5875">
        <w:rPr>
          <w:lang w:eastAsia="en-AU"/>
        </w:rPr>
        <w:t>Requests and inquiries concerning reproduction and other rights to use are to be sent to the Communication</w:t>
      </w:r>
      <w:r>
        <w:rPr>
          <w:lang w:eastAsia="en-AU"/>
        </w:rPr>
        <w:t xml:space="preserve"> and Change</w:t>
      </w:r>
      <w:r w:rsidRPr="00DC5875">
        <w:rPr>
          <w:lang w:eastAsia="en-AU"/>
        </w:rPr>
        <w:t xml:space="preserve"> Branch, Department of Health</w:t>
      </w:r>
      <w:r>
        <w:rPr>
          <w:lang w:eastAsia="en-AU"/>
        </w:rPr>
        <w:t xml:space="preserve"> and Aged Care</w:t>
      </w:r>
      <w:r w:rsidRPr="00DC5875">
        <w:rPr>
          <w:lang w:eastAsia="en-AU"/>
        </w:rPr>
        <w:t xml:space="preserve">, GPO Box 9848, Canberra ACT </w:t>
      </w:r>
      <w:r w:rsidR="005D52B4" w:rsidRPr="00DC5875">
        <w:rPr>
          <w:lang w:eastAsia="en-AU"/>
        </w:rPr>
        <w:t>2601, via</w:t>
      </w:r>
      <w:r w:rsidRPr="00DC5875">
        <w:rPr>
          <w:lang w:eastAsia="en-AU"/>
        </w:rPr>
        <w:t xml:space="preserve"> e-mail to </w:t>
      </w:r>
      <w:r>
        <w:rPr>
          <w:lang w:eastAsia="en-AU"/>
        </w:rPr>
        <w:t>copyright</w:t>
      </w:r>
      <w:r w:rsidRPr="00DC5875">
        <w:rPr>
          <w:lang w:eastAsia="en-AU"/>
        </w:rPr>
        <w:t>@health.gov.au.</w:t>
      </w:r>
      <w:r w:rsidRPr="00DC5875">
        <w:t xml:space="preserve"> </w:t>
      </w:r>
    </w:p>
    <w:p w14:paraId="52E89E12" w14:textId="089A123E" w:rsidR="007402EF" w:rsidRDefault="007402EF" w:rsidP="005D52B4">
      <w:r>
        <w:br w:type="page"/>
      </w:r>
    </w:p>
    <w:p w14:paraId="0D6721BA" w14:textId="5338D919" w:rsidR="004F4163" w:rsidRPr="003A4302" w:rsidRDefault="004F4163" w:rsidP="003A4302">
      <w:pPr>
        <w:pStyle w:val="Heading1"/>
      </w:pPr>
      <w:bookmarkStart w:id="1" w:name="_Toc87258870"/>
      <w:r w:rsidRPr="003A4302">
        <w:lastRenderedPageBreak/>
        <w:t>Minister’s Foreword</w:t>
      </w:r>
      <w:bookmarkEnd w:id="1"/>
    </w:p>
    <w:p w14:paraId="12D4F112" w14:textId="47A31E3D" w:rsidR="0061701E" w:rsidRPr="003A4302" w:rsidRDefault="004F4163" w:rsidP="005D52B4">
      <w:r w:rsidRPr="004F4163">
        <w:rPr>
          <w:lang w:eastAsia="en-AU"/>
        </w:rPr>
        <w:t>I present this</w:t>
      </w:r>
      <w:r w:rsidR="00DB6834" w:rsidRPr="00DE14E3">
        <w:rPr>
          <w:lang w:eastAsia="en-AU"/>
        </w:rPr>
        <w:t xml:space="preserve"> </w:t>
      </w:r>
      <w:r w:rsidRPr="00DE14E3">
        <w:rPr>
          <w:lang w:eastAsia="en-AU"/>
        </w:rPr>
        <w:t xml:space="preserve">report on the operation and effectiveness of </w:t>
      </w:r>
      <w:proofErr w:type="spellStart"/>
      <w:r w:rsidRPr="00DE14E3">
        <w:rPr>
          <w:lang w:eastAsia="en-AU"/>
        </w:rPr>
        <w:t>COVIDSafe</w:t>
      </w:r>
      <w:proofErr w:type="spellEnd"/>
      <w:r w:rsidRPr="00DE14E3">
        <w:rPr>
          <w:lang w:eastAsia="en-AU"/>
        </w:rPr>
        <w:t xml:space="preserve"> and the National </w:t>
      </w:r>
      <w:proofErr w:type="spellStart"/>
      <w:r w:rsidRPr="00DE14E3">
        <w:rPr>
          <w:lang w:eastAsia="en-AU"/>
        </w:rPr>
        <w:t>COVIDSafe</w:t>
      </w:r>
      <w:proofErr w:type="spellEnd"/>
      <w:r w:rsidRPr="00DE14E3">
        <w:rPr>
          <w:lang w:eastAsia="en-AU"/>
        </w:rPr>
        <w:t xml:space="preserve"> Data Store (NCDS), to both Houses of Parliament as required under section 94ZA of the </w:t>
      </w:r>
      <w:r w:rsidRPr="006521CA">
        <w:rPr>
          <w:rStyle w:val="Emphasis"/>
        </w:rPr>
        <w:t>Privacy Act 1988</w:t>
      </w:r>
      <w:r w:rsidR="00EF37EF">
        <w:rPr>
          <w:rStyle w:val="Emphasis"/>
          <w:i w:val="0"/>
          <w:iCs w:val="0"/>
        </w:rPr>
        <w:t xml:space="preserve"> (the Act)</w:t>
      </w:r>
      <w:r w:rsidRPr="006D2E2F">
        <w:rPr>
          <w:i/>
          <w:iCs/>
          <w:lang w:eastAsia="en-AU"/>
        </w:rPr>
        <w:t xml:space="preserve">. </w:t>
      </w:r>
      <w:r w:rsidRPr="00DE14E3">
        <w:rPr>
          <w:lang w:eastAsia="en-AU"/>
        </w:rPr>
        <w:t xml:space="preserve">This report covers </w:t>
      </w:r>
      <w:r w:rsidR="00B05C22">
        <w:rPr>
          <w:lang w:eastAsia="en-AU"/>
        </w:rPr>
        <w:t>two reporting</w:t>
      </w:r>
      <w:r w:rsidR="00566022">
        <w:rPr>
          <w:lang w:eastAsia="en-AU"/>
        </w:rPr>
        <w:t xml:space="preserve"> </w:t>
      </w:r>
      <w:r w:rsidRPr="00DE14E3">
        <w:rPr>
          <w:lang w:eastAsia="en-AU"/>
        </w:rPr>
        <w:t>period</w:t>
      </w:r>
      <w:r w:rsidR="00B05C22">
        <w:rPr>
          <w:lang w:eastAsia="en-AU"/>
        </w:rPr>
        <w:t xml:space="preserve">s, the fourth period, </w:t>
      </w:r>
      <w:r w:rsidR="00566022">
        <w:rPr>
          <w:lang w:eastAsia="en-AU"/>
        </w:rPr>
        <w:t xml:space="preserve">from 16 May 2022 to </w:t>
      </w:r>
      <w:r w:rsidR="0061701E" w:rsidRPr="00DE14E3">
        <w:rPr>
          <w:rFonts w:eastAsia="Calibri" w:cs="Times New Roman"/>
        </w:rPr>
        <w:t xml:space="preserve">16 </w:t>
      </w:r>
      <w:r w:rsidR="00566022">
        <w:rPr>
          <w:rFonts w:eastAsia="Calibri" w:cs="Times New Roman"/>
        </w:rPr>
        <w:t>August</w:t>
      </w:r>
      <w:r w:rsidR="0061701E" w:rsidRPr="00DE14E3">
        <w:rPr>
          <w:rFonts w:eastAsia="Calibri" w:cs="Times New Roman"/>
        </w:rPr>
        <w:t xml:space="preserve"> 2022</w:t>
      </w:r>
      <w:r w:rsidR="000C3DD3">
        <w:rPr>
          <w:rFonts w:eastAsia="Calibri" w:cs="Times New Roman"/>
        </w:rPr>
        <w:t xml:space="preserve"> </w:t>
      </w:r>
      <w:r w:rsidR="00EF37EF">
        <w:rPr>
          <w:rFonts w:eastAsia="Calibri" w:cs="Times New Roman"/>
        </w:rPr>
        <w:t xml:space="preserve">during which time the COVIDSafe app was operational, </w:t>
      </w:r>
      <w:r w:rsidR="000C3DD3">
        <w:rPr>
          <w:rFonts w:eastAsia="Calibri" w:cs="Times New Roman"/>
        </w:rPr>
        <w:t xml:space="preserve">and </w:t>
      </w:r>
      <w:r w:rsidR="007411CB">
        <w:rPr>
          <w:rFonts w:eastAsia="Calibri" w:cs="Times New Roman"/>
        </w:rPr>
        <w:t xml:space="preserve">from 17 August </w:t>
      </w:r>
      <w:r w:rsidR="007411CB" w:rsidRPr="00C81F40">
        <w:rPr>
          <w:rFonts w:eastAsia="Calibri" w:cs="Times New Roman"/>
        </w:rPr>
        <w:t xml:space="preserve">2022 to </w:t>
      </w:r>
      <w:r w:rsidR="007411CB" w:rsidRPr="008D7075">
        <w:rPr>
          <w:rFonts w:eastAsia="Calibri" w:cs="Times New Roman"/>
        </w:rPr>
        <w:t>16 February 2023</w:t>
      </w:r>
      <w:r w:rsidR="00EF37EF" w:rsidRPr="008D7075">
        <w:rPr>
          <w:rFonts w:eastAsia="Calibri" w:cs="Times New Roman"/>
        </w:rPr>
        <w:t xml:space="preserve"> during which period the COVIDSafe app and N</w:t>
      </w:r>
      <w:r w:rsidR="00C81F40">
        <w:rPr>
          <w:rFonts w:eastAsia="Calibri" w:cs="Times New Roman"/>
        </w:rPr>
        <w:t>C</w:t>
      </w:r>
      <w:r w:rsidR="00EF37EF" w:rsidRPr="008D7075">
        <w:rPr>
          <w:rFonts w:eastAsia="Calibri" w:cs="Times New Roman"/>
        </w:rPr>
        <w:t>DS were decommissioned</w:t>
      </w:r>
      <w:r w:rsidR="00233F3A" w:rsidRPr="008D7075">
        <w:t>.</w:t>
      </w:r>
    </w:p>
    <w:p w14:paraId="37B46F73" w14:textId="33375CF0" w:rsidR="007A2748" w:rsidRDefault="00390A42" w:rsidP="005D52B4">
      <w:pPr>
        <w:rPr>
          <w:lang w:eastAsia="en-AU"/>
        </w:rPr>
      </w:pPr>
      <w:r w:rsidRPr="00DE14E3">
        <w:rPr>
          <w:lang w:eastAsia="en-AU"/>
        </w:rPr>
        <w:t xml:space="preserve">From </w:t>
      </w:r>
      <w:r w:rsidR="00FE6CE7">
        <w:t xml:space="preserve">26 April 2020 </w:t>
      </w:r>
      <w:r w:rsidR="00566022">
        <w:rPr>
          <w:lang w:eastAsia="en-AU"/>
        </w:rPr>
        <w:t>to 16 August 2022</w:t>
      </w:r>
      <w:r w:rsidR="007A2748">
        <w:rPr>
          <w:lang w:eastAsia="en-AU"/>
        </w:rPr>
        <w:t xml:space="preserve">, </w:t>
      </w:r>
      <w:r w:rsidRPr="00DE14E3">
        <w:rPr>
          <w:lang w:eastAsia="en-AU"/>
        </w:rPr>
        <w:t xml:space="preserve">over 7.9 million people registered to use the COVIDSafe app. </w:t>
      </w:r>
      <w:r w:rsidR="00EF37EF">
        <w:rPr>
          <w:lang w:eastAsia="en-AU"/>
        </w:rPr>
        <w:t>During the fourth period when the COVIDSafe ap</w:t>
      </w:r>
      <w:r w:rsidR="00C81F40">
        <w:rPr>
          <w:lang w:eastAsia="en-AU"/>
        </w:rPr>
        <w:t>p</w:t>
      </w:r>
      <w:r w:rsidR="00EF37EF">
        <w:rPr>
          <w:lang w:eastAsia="en-AU"/>
        </w:rPr>
        <w:t xml:space="preserve"> was operational</w:t>
      </w:r>
      <w:r w:rsidRPr="00DE14E3">
        <w:rPr>
          <w:lang w:eastAsia="en-AU"/>
        </w:rPr>
        <w:t xml:space="preserve">, </w:t>
      </w:r>
      <w:bookmarkStart w:id="2" w:name="_Hlk127515203"/>
      <w:r w:rsidR="009E1E15">
        <w:rPr>
          <w:lang w:eastAsia="en-AU"/>
        </w:rPr>
        <w:t xml:space="preserve">16,867 </w:t>
      </w:r>
      <w:bookmarkEnd w:id="2"/>
      <w:r w:rsidRPr="00DE14E3">
        <w:rPr>
          <w:lang w:eastAsia="en-AU"/>
        </w:rPr>
        <w:t>people registered for the COVIDSafe app (</w:t>
      </w:r>
      <w:proofErr w:type="gramStart"/>
      <w:r w:rsidRPr="00DE14E3">
        <w:rPr>
          <w:lang w:eastAsia="en-AU"/>
        </w:rPr>
        <w:t>at</w:t>
      </w:r>
      <w:proofErr w:type="gramEnd"/>
      <w:r w:rsidRPr="00DE14E3">
        <w:rPr>
          <w:lang w:eastAsia="en-AU"/>
        </w:rPr>
        <w:t xml:space="preserve"> </w:t>
      </w:r>
      <w:r w:rsidR="006D7F31">
        <w:rPr>
          <w:lang w:eastAsia="en-AU"/>
        </w:rPr>
        <w:t>16</w:t>
      </w:r>
      <w:r w:rsidR="00566022">
        <w:rPr>
          <w:lang w:eastAsia="en-AU"/>
        </w:rPr>
        <w:t xml:space="preserve"> August</w:t>
      </w:r>
      <w:r w:rsidRPr="00DE14E3">
        <w:rPr>
          <w:lang w:eastAsia="en-AU"/>
        </w:rPr>
        <w:t xml:space="preserve"> 2022).</w:t>
      </w:r>
    </w:p>
    <w:p w14:paraId="286C6AD1" w14:textId="5D91BDF2" w:rsidR="007A2748" w:rsidRPr="007A2748" w:rsidRDefault="007A2748" w:rsidP="005D52B4">
      <w:pPr>
        <w:rPr>
          <w:vertAlign w:val="subscript"/>
          <w:lang w:eastAsia="en-AU"/>
        </w:rPr>
      </w:pPr>
      <w:r>
        <w:rPr>
          <w:lang w:eastAsia="en-AU"/>
        </w:rPr>
        <w:t xml:space="preserve">During the </w:t>
      </w:r>
      <w:r w:rsidR="00EF37EF">
        <w:rPr>
          <w:lang w:eastAsia="en-AU"/>
        </w:rPr>
        <w:t xml:space="preserve">fourth operating </w:t>
      </w:r>
      <w:r>
        <w:rPr>
          <w:lang w:eastAsia="en-AU"/>
        </w:rPr>
        <w:t xml:space="preserve">reporting period, COVIDSafe was not used by </w:t>
      </w:r>
      <w:r w:rsidR="009E1E15" w:rsidRPr="009E1E15">
        <w:rPr>
          <w:lang w:eastAsia="en-AU"/>
        </w:rPr>
        <w:t xml:space="preserve">State and Territory Public Health Officials (PHO) </w:t>
      </w:r>
      <w:r>
        <w:rPr>
          <w:lang w:eastAsia="en-AU"/>
        </w:rPr>
        <w:t>to assist in contact tracing for COVID-19.</w:t>
      </w:r>
    </w:p>
    <w:p w14:paraId="5EBF2C04" w14:textId="279AE2FB" w:rsidR="000C3DD3" w:rsidRDefault="000C3DD3" w:rsidP="005D52B4">
      <w:pPr>
        <w:rPr>
          <w:lang w:eastAsia="en-AU"/>
        </w:rPr>
      </w:pPr>
      <w:r>
        <w:rPr>
          <w:lang w:eastAsia="en-AU"/>
        </w:rPr>
        <w:t xml:space="preserve">On 16 August 2022, the </w:t>
      </w:r>
      <w:r w:rsidRPr="000C3DD3">
        <w:rPr>
          <w:lang w:eastAsia="en-AU"/>
        </w:rPr>
        <w:t>Privacy (Public Health Contact Information) (End of the COVIDSafe data period) Determination</w:t>
      </w:r>
      <w:r>
        <w:rPr>
          <w:lang w:eastAsia="en-AU"/>
        </w:rPr>
        <w:t xml:space="preserve"> came into force, ending the COVIDSafe data period. </w:t>
      </w:r>
    </w:p>
    <w:p w14:paraId="1CB355CF" w14:textId="1FCEABB2" w:rsidR="00D83FAD" w:rsidRDefault="006D2E2F" w:rsidP="005D52B4">
      <w:pPr>
        <w:rPr>
          <w:lang w:eastAsia="en-AU"/>
        </w:rPr>
      </w:pPr>
      <w:r>
        <w:rPr>
          <w:lang w:eastAsia="en-AU"/>
        </w:rPr>
        <w:t xml:space="preserve">My </w:t>
      </w:r>
      <w:r w:rsidR="005D52B4">
        <w:rPr>
          <w:lang w:eastAsia="en-AU"/>
        </w:rPr>
        <w:t>department</w:t>
      </w:r>
      <w:r>
        <w:rPr>
          <w:lang w:eastAsia="en-AU"/>
        </w:rPr>
        <w:t>, as Data Store Administrator, has met all obligations under the Act and all COVID app data has been deleted.</w:t>
      </w:r>
    </w:p>
    <w:p w14:paraId="4942C13B" w14:textId="00497252" w:rsidR="009E2E87" w:rsidRDefault="009567CB" w:rsidP="005D52B4">
      <w:pPr>
        <w:rPr>
          <w:lang w:eastAsia="en-AU"/>
        </w:rPr>
      </w:pPr>
      <w:r>
        <w:rPr>
          <w:lang w:eastAsia="en-AU"/>
        </w:rPr>
        <w:br w:type="page"/>
      </w:r>
    </w:p>
    <w:p w14:paraId="0D91C5F2" w14:textId="77777777" w:rsidR="004F4163" w:rsidRPr="004F4163" w:rsidRDefault="004F4163" w:rsidP="003A4302">
      <w:pPr>
        <w:pStyle w:val="Heading1"/>
        <w:rPr>
          <w:rFonts w:eastAsia="Times New Roman"/>
          <w:lang w:eastAsia="en-AU"/>
        </w:rPr>
      </w:pPr>
      <w:bookmarkStart w:id="3" w:name="_Toc87258871"/>
      <w:r w:rsidRPr="004F4163">
        <w:rPr>
          <w:rFonts w:eastAsia="Times New Roman"/>
          <w:lang w:eastAsia="en-AU"/>
        </w:rPr>
        <w:lastRenderedPageBreak/>
        <w:t>Purpose of this Report</w:t>
      </w:r>
      <w:bookmarkEnd w:id="3"/>
    </w:p>
    <w:p w14:paraId="2C7F3A94" w14:textId="25E0B53F" w:rsidR="0061701E" w:rsidRPr="00567F93" w:rsidRDefault="004F4163" w:rsidP="005D52B4">
      <w:r w:rsidRPr="004F4163">
        <w:rPr>
          <w:rFonts w:eastAsia="Times New Roman" w:cs="Calibri"/>
          <w:lang w:eastAsia="en-AU"/>
        </w:rPr>
        <w:t xml:space="preserve">This report discusses the operation and effectiveness of COVIDSafe and </w:t>
      </w:r>
      <w:r w:rsidR="000C3DD3">
        <w:rPr>
          <w:rFonts w:eastAsia="Times New Roman" w:cs="Calibri"/>
          <w:lang w:eastAsia="en-AU"/>
        </w:rPr>
        <w:t>the</w:t>
      </w:r>
      <w:r w:rsidRPr="004F4163">
        <w:rPr>
          <w:rFonts w:eastAsia="Times New Roman" w:cs="Calibri"/>
          <w:lang w:eastAsia="en-AU"/>
        </w:rPr>
        <w:t xml:space="preserve"> NCDS, for the period </w:t>
      </w:r>
      <w:r w:rsidR="0061701E" w:rsidRPr="009567CB">
        <w:t xml:space="preserve">16 May </w:t>
      </w:r>
      <w:r w:rsidR="0061701E" w:rsidRPr="00A14479">
        <w:t>2022</w:t>
      </w:r>
      <w:r w:rsidR="00566022" w:rsidRPr="00A14479">
        <w:t xml:space="preserve"> to </w:t>
      </w:r>
      <w:r w:rsidR="00B314C0" w:rsidRPr="00A14479">
        <w:t>16</w:t>
      </w:r>
      <w:r w:rsidR="00566022" w:rsidRPr="00A14479">
        <w:t xml:space="preserve"> August 2022</w:t>
      </w:r>
      <w:r w:rsidR="000C3DD3">
        <w:t xml:space="preserve"> and</w:t>
      </w:r>
      <w:r w:rsidR="00A14479">
        <w:t xml:space="preserve"> </w:t>
      </w:r>
      <w:r w:rsidR="007411CB">
        <w:t xml:space="preserve">decommission </w:t>
      </w:r>
      <w:r w:rsidR="000C3DD3">
        <w:t xml:space="preserve">phase </w:t>
      </w:r>
      <w:r w:rsidR="00A14479">
        <w:t>of COVIDSafe</w:t>
      </w:r>
      <w:r w:rsidR="007411CB">
        <w:t xml:space="preserve"> from 17 August </w:t>
      </w:r>
      <w:r w:rsidR="00186C77">
        <w:t>2022</w:t>
      </w:r>
      <w:r w:rsidR="005D52B4">
        <w:t xml:space="preserve"> </w:t>
      </w:r>
      <w:r w:rsidR="007411CB">
        <w:t>to 1</w:t>
      </w:r>
      <w:r w:rsidR="00B05C22">
        <w:t>6</w:t>
      </w:r>
      <w:r w:rsidR="007411CB">
        <w:t xml:space="preserve"> February 2023</w:t>
      </w:r>
      <w:r w:rsidR="000C3DD3">
        <w:t>.</w:t>
      </w:r>
    </w:p>
    <w:p w14:paraId="621560E0" w14:textId="53324044" w:rsidR="00C40E7A" w:rsidRPr="00C40E7A" w:rsidRDefault="004F4163" w:rsidP="005D52B4">
      <w:pPr>
        <w:rPr>
          <w:lang w:eastAsia="en-AU"/>
        </w:rPr>
      </w:pPr>
      <w:r w:rsidRPr="004F4163">
        <w:rPr>
          <w:lang w:eastAsia="en-AU"/>
        </w:rPr>
        <w:t>The report is delivered to Parliament by the Minister for Health</w:t>
      </w:r>
      <w:r w:rsidR="00C81F40">
        <w:rPr>
          <w:lang w:eastAsia="en-AU"/>
        </w:rPr>
        <w:t xml:space="preserve"> and Aged Care</w:t>
      </w:r>
      <w:r w:rsidRPr="004F4163">
        <w:rPr>
          <w:lang w:eastAsia="en-AU"/>
        </w:rPr>
        <w:t xml:space="preserve"> in accordance with section 94ZA of the Act.</w:t>
      </w:r>
      <w:bookmarkStart w:id="4" w:name="_Toc87258872"/>
    </w:p>
    <w:p w14:paraId="603385F6" w14:textId="5F2BCF20" w:rsidR="00B314C0" w:rsidRPr="00C40E7A" w:rsidRDefault="004F4163" w:rsidP="00B314C0">
      <w:pPr>
        <w:pStyle w:val="Heading1"/>
        <w:rPr>
          <w:rFonts w:eastAsia="Times New Roman"/>
          <w:lang w:eastAsia="en-AU"/>
        </w:rPr>
      </w:pPr>
      <w:r w:rsidRPr="004F4163">
        <w:rPr>
          <w:rFonts w:eastAsia="Times New Roman"/>
          <w:lang w:eastAsia="en-AU"/>
        </w:rPr>
        <w:t>Operation of the COVIDSafe app and the National COVIDSafe Data Store</w:t>
      </w:r>
      <w:bookmarkStart w:id="5" w:name="_Toc87258875"/>
      <w:bookmarkEnd w:id="4"/>
    </w:p>
    <w:p w14:paraId="33A71685" w14:textId="6A226BBB" w:rsidR="00B314C0" w:rsidRPr="005D52B4" w:rsidRDefault="007A2748" w:rsidP="005D52B4">
      <w:r w:rsidRPr="005D52B4">
        <w:t xml:space="preserve">During the </w:t>
      </w:r>
      <w:r w:rsidR="00EF37EF" w:rsidRPr="005D52B4">
        <w:t xml:space="preserve">operating </w:t>
      </w:r>
      <w:r w:rsidRPr="005D52B4">
        <w:t xml:space="preserve">reporting period, </w:t>
      </w:r>
      <w:r w:rsidR="007E77F3" w:rsidRPr="005D52B4">
        <w:t xml:space="preserve">State and Territory </w:t>
      </w:r>
      <w:proofErr w:type="gramStart"/>
      <w:r w:rsidR="009E1E15" w:rsidRPr="005D52B4">
        <w:t>PHO’s</w:t>
      </w:r>
      <w:proofErr w:type="gramEnd"/>
      <w:r w:rsidR="009E1E15" w:rsidRPr="005D52B4">
        <w:t xml:space="preserve"> </w:t>
      </w:r>
      <w:r w:rsidRPr="005D52B4">
        <w:t xml:space="preserve">were no longer using </w:t>
      </w:r>
      <w:proofErr w:type="spellStart"/>
      <w:r w:rsidRPr="005D52B4">
        <w:t>COVIDSafe</w:t>
      </w:r>
      <w:proofErr w:type="spellEnd"/>
      <w:r w:rsidRPr="005D52B4">
        <w:t xml:space="preserve"> to</w:t>
      </w:r>
      <w:r w:rsidR="00EF37EF" w:rsidRPr="005D52B4">
        <w:t> </w:t>
      </w:r>
      <w:r w:rsidRPr="005D52B4">
        <w:t xml:space="preserve">assist with contact tracing. As </w:t>
      </w:r>
      <w:proofErr w:type="spellStart"/>
      <w:r w:rsidR="00E622D7" w:rsidRPr="005D52B4">
        <w:t>COVIDSafe</w:t>
      </w:r>
      <w:proofErr w:type="spellEnd"/>
      <w:r w:rsidR="00E622D7" w:rsidRPr="005D52B4">
        <w:t xml:space="preserve"> was</w:t>
      </w:r>
      <w:r w:rsidRPr="005D52B4">
        <w:t xml:space="preserve"> no longer required to prevent or control the spread of COVID-19</w:t>
      </w:r>
      <w:r w:rsidR="00186C77" w:rsidRPr="005D52B4">
        <w:t>,</w:t>
      </w:r>
      <w:r w:rsidR="009E1E15" w:rsidRPr="005D52B4">
        <w:t xml:space="preserve"> I,</w:t>
      </w:r>
      <w:r w:rsidRPr="005D52B4">
        <w:t xml:space="preserve"> </w:t>
      </w:r>
      <w:r w:rsidR="00D30FC9" w:rsidRPr="005D52B4">
        <w:t>the H</w:t>
      </w:r>
      <w:r w:rsidRPr="005D52B4">
        <w:t>ealth Ministe</w:t>
      </w:r>
      <w:r w:rsidR="009E1E15" w:rsidRPr="005D52B4">
        <w:t>r</w:t>
      </w:r>
      <w:r w:rsidR="0021253C" w:rsidRPr="005D52B4">
        <w:t>,</w:t>
      </w:r>
      <w:r w:rsidR="009E1E15" w:rsidRPr="005D52B4">
        <w:t xml:space="preserve"> </w:t>
      </w:r>
      <w:proofErr w:type="gramStart"/>
      <w:r w:rsidR="00B314C0" w:rsidRPr="005D52B4">
        <w:t>made a determination</w:t>
      </w:r>
      <w:proofErr w:type="gramEnd"/>
      <w:r w:rsidR="00B314C0" w:rsidRPr="005D52B4">
        <w:t xml:space="preserve"> under section 94Y of the Act to end the </w:t>
      </w:r>
      <w:proofErr w:type="spellStart"/>
      <w:r w:rsidR="00B314C0" w:rsidRPr="005D52B4">
        <w:t>COVIDSafe</w:t>
      </w:r>
      <w:proofErr w:type="spellEnd"/>
      <w:r w:rsidR="00B314C0" w:rsidRPr="005D52B4">
        <w:t xml:space="preserve"> data period</w:t>
      </w:r>
      <w:r w:rsidRPr="005D52B4">
        <w:t>.</w:t>
      </w:r>
    </w:p>
    <w:p w14:paraId="241D209B" w14:textId="5C69067F" w:rsidR="00B314C0" w:rsidRPr="005D52B4" w:rsidRDefault="00B314C0" w:rsidP="005D52B4">
      <w:r w:rsidRPr="005D52B4">
        <w:t xml:space="preserve">The Privacy (Public Health Contact Information) (End of the </w:t>
      </w:r>
      <w:proofErr w:type="spellStart"/>
      <w:r w:rsidRPr="005D52B4">
        <w:t>COVIDSafe</w:t>
      </w:r>
      <w:proofErr w:type="spellEnd"/>
      <w:r w:rsidRPr="005D52B4">
        <w:t xml:space="preserve"> data period) Determination </w:t>
      </w:r>
      <w:r w:rsidR="00BA1F64" w:rsidRPr="005D52B4">
        <w:t>2022 was registered on 9 August 2022 and</w:t>
      </w:r>
      <w:r w:rsidRPr="005D52B4">
        <w:t xml:space="preserve"> came into force on 16 August 2022.</w:t>
      </w:r>
    </w:p>
    <w:p w14:paraId="23915D5C" w14:textId="3010BE8E" w:rsidR="00B314C0" w:rsidRPr="005D52B4" w:rsidRDefault="00B314C0" w:rsidP="005D52B4">
      <w:r w:rsidRPr="005D52B4">
        <w:t xml:space="preserve">Once the </w:t>
      </w:r>
      <w:proofErr w:type="spellStart"/>
      <w:r w:rsidRPr="005D52B4">
        <w:t>COVIDSafe</w:t>
      </w:r>
      <w:proofErr w:type="spellEnd"/>
      <w:r w:rsidRPr="005D52B4">
        <w:t xml:space="preserve"> data period ended, the Department of Health and Aged Care (the </w:t>
      </w:r>
      <w:r w:rsidR="00C173EB" w:rsidRPr="005D52B4">
        <w:t>D</w:t>
      </w:r>
      <w:r w:rsidRPr="005D52B4">
        <w:t>epartment), as the Data Store Administrator, w</w:t>
      </w:r>
      <w:r w:rsidR="00402A71" w:rsidRPr="005D52B4">
        <w:t>as</w:t>
      </w:r>
      <w:r w:rsidRPr="005D52B4">
        <w:t xml:space="preserve"> responsible for ensuring all privacy obligations </w:t>
      </w:r>
      <w:r w:rsidR="00EF37EF" w:rsidRPr="005D52B4">
        <w:t xml:space="preserve">were </w:t>
      </w:r>
      <w:r w:rsidRPr="005D52B4">
        <w:t xml:space="preserve">met under section 94P of the Act. </w:t>
      </w:r>
      <w:r w:rsidR="000C3DD3" w:rsidRPr="005D52B4">
        <w:t>This included:</w:t>
      </w:r>
    </w:p>
    <w:p w14:paraId="7CA88E66" w14:textId="7CB8D483" w:rsidR="000C3DD3" w:rsidRPr="005D52B4" w:rsidRDefault="000C3DD3" w:rsidP="005D52B4">
      <w:pPr>
        <w:pStyle w:val="ListBullet"/>
      </w:pPr>
      <w:r w:rsidRPr="005D52B4">
        <w:t xml:space="preserve">not collecting any further </w:t>
      </w:r>
      <w:proofErr w:type="spellStart"/>
      <w:r w:rsidRPr="005D52B4">
        <w:t>COVIDSafe</w:t>
      </w:r>
      <w:proofErr w:type="spellEnd"/>
      <w:r w:rsidRPr="005D52B4">
        <w:t xml:space="preserve"> app data and making the </w:t>
      </w:r>
      <w:proofErr w:type="spellStart"/>
      <w:r w:rsidRPr="005D52B4">
        <w:t>COVIDSafe</w:t>
      </w:r>
      <w:proofErr w:type="spellEnd"/>
      <w:r w:rsidRPr="005D52B4">
        <w:t xml:space="preserve"> app unavailable to download</w:t>
      </w:r>
    </w:p>
    <w:p w14:paraId="696BE4A6" w14:textId="77777777" w:rsidR="000C3DD3" w:rsidRPr="005D52B4" w:rsidRDefault="000C3DD3" w:rsidP="005D52B4">
      <w:pPr>
        <w:pStyle w:val="ListBullet"/>
      </w:pPr>
      <w:r w:rsidRPr="005D52B4">
        <w:t xml:space="preserve">deleting all </w:t>
      </w:r>
      <w:proofErr w:type="spellStart"/>
      <w:r w:rsidRPr="005D52B4">
        <w:t>COVIDSafe</w:t>
      </w:r>
      <w:proofErr w:type="spellEnd"/>
      <w:r w:rsidRPr="005D52B4">
        <w:t xml:space="preserve"> app data from the NCDS</w:t>
      </w:r>
    </w:p>
    <w:p w14:paraId="6B2FAF69" w14:textId="3DF6DB88" w:rsidR="000C3DD3" w:rsidRPr="005D52B4" w:rsidRDefault="000C3DD3" w:rsidP="005D52B4">
      <w:pPr>
        <w:pStyle w:val="ListBullet"/>
      </w:pPr>
      <w:r w:rsidRPr="005D52B4">
        <w:t xml:space="preserve">informing me, as Health Minister, and the Information Commissioner, that all </w:t>
      </w:r>
      <w:proofErr w:type="spellStart"/>
      <w:r w:rsidRPr="005D52B4">
        <w:t>COVIDSafe</w:t>
      </w:r>
      <w:proofErr w:type="spellEnd"/>
      <w:r w:rsidRPr="005D52B4">
        <w:t xml:space="preserve"> app data has been deleted from the NCDS, and</w:t>
      </w:r>
    </w:p>
    <w:p w14:paraId="1F6939B2" w14:textId="4250D1E3" w:rsidR="000C3DD3" w:rsidRPr="005D52B4" w:rsidRDefault="000C3DD3" w:rsidP="005D52B4">
      <w:pPr>
        <w:pStyle w:val="ListBullet"/>
      </w:pPr>
      <w:r w:rsidRPr="005D52B4">
        <w:t>tak</w:t>
      </w:r>
      <w:r w:rsidR="00EF37EF" w:rsidRPr="005D52B4">
        <w:t>ing</w:t>
      </w:r>
      <w:r w:rsidRPr="005D52B4">
        <w:t xml:space="preserve"> all reasonable steps to inform </w:t>
      </w:r>
      <w:proofErr w:type="spellStart"/>
      <w:r w:rsidRPr="005D52B4">
        <w:t>COVIDSafe</w:t>
      </w:r>
      <w:proofErr w:type="spellEnd"/>
      <w:r w:rsidRPr="005D52B4">
        <w:t xml:space="preserve"> users in relation to communication devices that:</w:t>
      </w:r>
    </w:p>
    <w:p w14:paraId="22D72088" w14:textId="77777777" w:rsidR="000C3DD3" w:rsidRPr="005D52B4" w:rsidRDefault="000C3DD3" w:rsidP="005D52B4">
      <w:pPr>
        <w:pStyle w:val="ListBullet2"/>
      </w:pPr>
      <w:r w:rsidRPr="005D52B4">
        <w:t xml:space="preserve">all </w:t>
      </w:r>
      <w:proofErr w:type="spellStart"/>
      <w:r w:rsidRPr="005D52B4">
        <w:t>COVIDSafe</w:t>
      </w:r>
      <w:proofErr w:type="spellEnd"/>
      <w:r w:rsidRPr="005D52B4">
        <w:t xml:space="preserve"> app data has been deleted from the NCDS</w:t>
      </w:r>
    </w:p>
    <w:p w14:paraId="3207C418" w14:textId="77777777" w:rsidR="000C3DD3" w:rsidRPr="005D52B4" w:rsidRDefault="000C3DD3" w:rsidP="005D52B4">
      <w:pPr>
        <w:pStyle w:val="ListBullet2"/>
      </w:pPr>
      <w:r w:rsidRPr="005D52B4">
        <w:t>app data can no longer be collected, and</w:t>
      </w:r>
    </w:p>
    <w:p w14:paraId="6FB6F60A" w14:textId="6E7752BB" w:rsidR="004C5F5C" w:rsidRPr="005D52B4" w:rsidRDefault="000C3DD3" w:rsidP="005D52B4">
      <w:pPr>
        <w:pStyle w:val="ListBullet2"/>
      </w:pPr>
      <w:r w:rsidRPr="005D52B4">
        <w:t xml:space="preserve">they should delete the </w:t>
      </w:r>
      <w:proofErr w:type="spellStart"/>
      <w:r w:rsidRPr="005D52B4">
        <w:t>COVIDSafe</w:t>
      </w:r>
      <w:proofErr w:type="spellEnd"/>
      <w:r w:rsidRPr="005D52B4">
        <w:t xml:space="preserve"> app from their personal devices.</w:t>
      </w:r>
    </w:p>
    <w:p w14:paraId="7E784BC9" w14:textId="0D2224F4" w:rsidR="007A2748" w:rsidRPr="00BA1F64" w:rsidRDefault="00C40E7A" w:rsidP="00BA1F64">
      <w:pPr>
        <w:pStyle w:val="Heading2"/>
        <w:spacing w:after="0"/>
        <w:rPr>
          <w:lang w:eastAsia="en-AU"/>
        </w:rPr>
      </w:pPr>
      <w:r>
        <w:rPr>
          <w:lang w:eastAsia="en-AU"/>
        </w:rPr>
        <w:t xml:space="preserve">Decommission of </w:t>
      </w:r>
      <w:proofErr w:type="spellStart"/>
      <w:r>
        <w:rPr>
          <w:lang w:eastAsia="en-AU"/>
        </w:rPr>
        <w:t>COVIDSafe</w:t>
      </w:r>
      <w:proofErr w:type="spellEnd"/>
    </w:p>
    <w:p w14:paraId="3E43A43F" w14:textId="11CCB4EA" w:rsidR="00C40E7A" w:rsidRPr="005D52B4" w:rsidRDefault="00C40E7A" w:rsidP="005D52B4">
      <w:r w:rsidRPr="005D52B4">
        <w:t xml:space="preserve">On 16 August, </w:t>
      </w:r>
      <w:proofErr w:type="spellStart"/>
      <w:r w:rsidR="009E2D72" w:rsidRPr="005D52B4">
        <w:t>COVIDSafe</w:t>
      </w:r>
      <w:proofErr w:type="spellEnd"/>
      <w:r w:rsidR="009E2D72" w:rsidRPr="005D52B4">
        <w:t xml:space="preserve"> app </w:t>
      </w:r>
      <w:r w:rsidRPr="005D52B4">
        <w:t>data was</w:t>
      </w:r>
      <w:r w:rsidR="00BA1F64" w:rsidRPr="005D52B4">
        <w:t xml:space="preserve"> no longer</w:t>
      </w:r>
      <w:r w:rsidRPr="005D52B4">
        <w:t xml:space="preserve"> collected and the </w:t>
      </w:r>
      <w:proofErr w:type="spellStart"/>
      <w:r w:rsidRPr="005D52B4">
        <w:t>COVIDSafe</w:t>
      </w:r>
      <w:proofErr w:type="spellEnd"/>
      <w:r w:rsidRPr="005D52B4">
        <w:t xml:space="preserve"> app was removed from Google and Apple </w:t>
      </w:r>
      <w:r w:rsidR="00BA1F64" w:rsidRPr="005D52B4">
        <w:t xml:space="preserve">app </w:t>
      </w:r>
      <w:r w:rsidRPr="005D52B4">
        <w:t xml:space="preserve">stores for download. Information was provided to users via SMS text and push notifications, as well as on Government websites; COVIDSafe.gov.au and </w:t>
      </w:r>
      <w:r w:rsidR="00323684" w:rsidRPr="005D52B4">
        <w:t>h</w:t>
      </w:r>
      <w:r w:rsidRPr="005D52B4">
        <w:t>ealth.gov.au</w:t>
      </w:r>
      <w:r w:rsidR="008C0595" w:rsidRPr="005D52B4">
        <w:t>. This</w:t>
      </w:r>
      <w:r w:rsidRPr="005D52B4">
        <w:t xml:space="preserve"> advise</w:t>
      </w:r>
      <w:r w:rsidR="008C0595" w:rsidRPr="005D52B4">
        <w:t>d</w:t>
      </w:r>
      <w:r w:rsidRPr="005D52B4">
        <w:t xml:space="preserve"> users </w:t>
      </w:r>
      <w:r w:rsidR="009E1E15" w:rsidRPr="005D52B4">
        <w:t>that h</w:t>
      </w:r>
      <w:r w:rsidR="008C0595" w:rsidRPr="005D52B4">
        <w:t xml:space="preserve">ealth officials were no longer using the </w:t>
      </w:r>
      <w:proofErr w:type="spellStart"/>
      <w:r w:rsidR="008C0595" w:rsidRPr="005D52B4">
        <w:t>COVIDSafe</w:t>
      </w:r>
      <w:proofErr w:type="spellEnd"/>
      <w:r w:rsidR="008C0595" w:rsidRPr="005D52B4">
        <w:t xml:space="preserve"> app to</w:t>
      </w:r>
      <w:r w:rsidR="00323684" w:rsidRPr="005D52B4">
        <w:t> </w:t>
      </w:r>
      <w:r w:rsidR="008C0595" w:rsidRPr="005D52B4">
        <w:t xml:space="preserve">assist with contact tracing, users should uninstall </w:t>
      </w:r>
      <w:proofErr w:type="spellStart"/>
      <w:r w:rsidR="008C0595" w:rsidRPr="005D52B4">
        <w:t>COVIDSafe</w:t>
      </w:r>
      <w:proofErr w:type="spellEnd"/>
      <w:r w:rsidR="008C0595" w:rsidRPr="005D52B4">
        <w:t xml:space="preserve"> app from their device and all </w:t>
      </w:r>
      <w:proofErr w:type="spellStart"/>
      <w:r w:rsidR="008C0595" w:rsidRPr="005D52B4">
        <w:t>COVIDSafe</w:t>
      </w:r>
      <w:proofErr w:type="spellEnd"/>
      <w:r w:rsidR="008C0595" w:rsidRPr="005D52B4">
        <w:t xml:space="preserve"> data collected will be deleted.</w:t>
      </w:r>
    </w:p>
    <w:p w14:paraId="5F7C4988" w14:textId="6EDDC773" w:rsidR="002A30F2" w:rsidRDefault="002A30F2" w:rsidP="005D52B4">
      <w:pPr>
        <w:rPr>
          <w:lang w:eastAsia="en-AU"/>
        </w:rPr>
      </w:pPr>
      <w:r>
        <w:rPr>
          <w:lang w:eastAsia="en-AU"/>
        </w:rPr>
        <w:t xml:space="preserve">The </w:t>
      </w:r>
      <w:r w:rsidR="00C173EB">
        <w:rPr>
          <w:lang w:eastAsia="en-AU"/>
        </w:rPr>
        <w:t>D</w:t>
      </w:r>
      <w:r>
        <w:rPr>
          <w:lang w:eastAsia="en-AU"/>
        </w:rPr>
        <w:t>epartment completed the deletion of COVID app data within seven weeks of the COVIDSafe data period ending.</w:t>
      </w:r>
    </w:p>
    <w:p w14:paraId="7196AB93" w14:textId="270EFB90" w:rsidR="008C0595" w:rsidRPr="005D52B4" w:rsidRDefault="008C0595" w:rsidP="005D52B4">
      <w:r w:rsidRPr="005D52B4">
        <w:t xml:space="preserve">Once </w:t>
      </w:r>
      <w:r w:rsidR="00402A71" w:rsidRPr="005D52B4">
        <w:t xml:space="preserve">all </w:t>
      </w:r>
      <w:r w:rsidRPr="005D52B4">
        <w:t xml:space="preserve">COVID app data had been deleted from </w:t>
      </w:r>
      <w:r w:rsidR="00AD10F2" w:rsidRPr="005D52B4">
        <w:t>the NCDS</w:t>
      </w:r>
      <w:r w:rsidRPr="005D52B4">
        <w:t xml:space="preserve">, the </w:t>
      </w:r>
      <w:r w:rsidR="00C173EB" w:rsidRPr="005D52B4">
        <w:t>D</w:t>
      </w:r>
      <w:r w:rsidRPr="005D52B4">
        <w:t>epartment informed users via updates to information on</w:t>
      </w:r>
      <w:r w:rsidR="00402A71" w:rsidRPr="005D52B4">
        <w:t xml:space="preserve"> both</w:t>
      </w:r>
      <w:r w:rsidRPr="005D52B4">
        <w:t xml:space="preserve"> Government websites</w:t>
      </w:r>
      <w:r w:rsidR="00B314C0" w:rsidRPr="005D52B4">
        <w:t xml:space="preserve">. </w:t>
      </w:r>
      <w:r w:rsidR="00AD10F2" w:rsidRPr="005D52B4">
        <w:t xml:space="preserve">The </w:t>
      </w:r>
      <w:r w:rsidR="00C173EB" w:rsidRPr="005D52B4">
        <w:t>D</w:t>
      </w:r>
      <w:r w:rsidR="00AD10F2" w:rsidRPr="005D52B4">
        <w:t>epartment advised</w:t>
      </w:r>
      <w:r w:rsidR="006D2E2F" w:rsidRPr="005D52B4">
        <w:t xml:space="preserve"> </w:t>
      </w:r>
      <w:r w:rsidR="00402A71" w:rsidRPr="005D52B4">
        <w:t>me</w:t>
      </w:r>
      <w:r w:rsidR="00323684" w:rsidRPr="005D52B4">
        <w:t>,</w:t>
      </w:r>
      <w:r w:rsidR="00402A71" w:rsidRPr="005D52B4">
        <w:t xml:space="preserve"> and </w:t>
      </w:r>
      <w:r w:rsidR="00AD10F2" w:rsidRPr="005D52B4">
        <w:t>the Information Commissioner</w:t>
      </w:r>
      <w:r w:rsidR="00323684" w:rsidRPr="005D52B4">
        <w:t xml:space="preserve">, on </w:t>
      </w:r>
      <w:r w:rsidR="00C81F40" w:rsidRPr="005D52B4">
        <w:t>12 October 2022</w:t>
      </w:r>
      <w:r w:rsidR="00303BD4" w:rsidRPr="005D52B4">
        <w:t>,</w:t>
      </w:r>
      <w:r w:rsidR="00AD10F2" w:rsidRPr="005D52B4">
        <w:t xml:space="preserve"> </w:t>
      </w:r>
      <w:r w:rsidR="009E2D72" w:rsidRPr="005D52B4">
        <w:t xml:space="preserve">that </w:t>
      </w:r>
      <w:r w:rsidR="00AD10F2" w:rsidRPr="005D52B4">
        <w:t>all COVID app data had been deleted from the NCDS.</w:t>
      </w:r>
    </w:p>
    <w:p w14:paraId="6BC9266A" w14:textId="04D59BF5" w:rsidR="008C0595" w:rsidRDefault="008C0595" w:rsidP="005D52B4">
      <w:pPr>
        <w:rPr>
          <w:lang w:eastAsia="en-AU"/>
        </w:rPr>
      </w:pPr>
      <w:r w:rsidRPr="00B82A3C">
        <w:rPr>
          <w:lang w:eastAsia="en-AU"/>
        </w:rPr>
        <w:lastRenderedPageBreak/>
        <w:t xml:space="preserve">The decommissioning process was completed using </w:t>
      </w:r>
      <w:r w:rsidR="002A30F2" w:rsidRPr="00B82A3C">
        <w:rPr>
          <w:lang w:eastAsia="en-AU"/>
        </w:rPr>
        <w:t xml:space="preserve">the </w:t>
      </w:r>
      <w:r w:rsidR="00C173EB">
        <w:rPr>
          <w:lang w:eastAsia="en-AU"/>
        </w:rPr>
        <w:t>D</w:t>
      </w:r>
      <w:r w:rsidR="002A30F2" w:rsidRPr="00B82A3C">
        <w:rPr>
          <w:lang w:eastAsia="en-AU"/>
        </w:rPr>
        <w:t>epartment</w:t>
      </w:r>
      <w:r w:rsidR="00186C77">
        <w:rPr>
          <w:lang w:eastAsia="en-AU"/>
        </w:rPr>
        <w:t>’</w:t>
      </w:r>
      <w:r w:rsidR="002A30F2" w:rsidRPr="00B82A3C">
        <w:rPr>
          <w:lang w:eastAsia="en-AU"/>
        </w:rPr>
        <w:t>s</w:t>
      </w:r>
      <w:r w:rsidRPr="00B82A3C">
        <w:rPr>
          <w:lang w:eastAsia="en-AU"/>
        </w:rPr>
        <w:t xml:space="preserve"> IT professionals. </w:t>
      </w:r>
      <w:r w:rsidR="002A30F2" w:rsidRPr="00B82A3C">
        <w:rPr>
          <w:lang w:eastAsia="en-AU"/>
        </w:rPr>
        <w:t xml:space="preserve">Funding to </w:t>
      </w:r>
      <w:r w:rsidR="00186C77">
        <w:rPr>
          <w:lang w:eastAsia="en-AU"/>
        </w:rPr>
        <w:t xml:space="preserve">former IT </w:t>
      </w:r>
      <w:r w:rsidR="002A30F2" w:rsidRPr="00B82A3C">
        <w:rPr>
          <w:lang w:eastAsia="en-AU"/>
        </w:rPr>
        <w:t xml:space="preserve">providers ceased </w:t>
      </w:r>
      <w:r w:rsidR="00B82A3C" w:rsidRPr="00B82A3C">
        <w:rPr>
          <w:lang w:eastAsia="en-AU"/>
        </w:rPr>
        <w:t>at the end of June 2022</w:t>
      </w:r>
      <w:r w:rsidR="00D30FC9" w:rsidRPr="00B82A3C">
        <w:rPr>
          <w:lang w:eastAsia="en-AU"/>
        </w:rPr>
        <w:t xml:space="preserve"> </w:t>
      </w:r>
      <w:r w:rsidR="00AD10F2" w:rsidRPr="00B82A3C">
        <w:rPr>
          <w:lang w:eastAsia="en-AU"/>
        </w:rPr>
        <w:t>and no external contract providers were utilised</w:t>
      </w:r>
      <w:r w:rsidR="00D30FC9" w:rsidRPr="00B82A3C">
        <w:rPr>
          <w:lang w:eastAsia="en-AU"/>
        </w:rPr>
        <w:t xml:space="preserve"> in the decommission phase of the project</w:t>
      </w:r>
      <w:r w:rsidR="00AD10F2" w:rsidRPr="00B82A3C">
        <w:rPr>
          <w:lang w:eastAsia="en-AU"/>
        </w:rPr>
        <w:t>.</w:t>
      </w:r>
    </w:p>
    <w:p w14:paraId="3CECE08D" w14:textId="34DC8C88" w:rsidR="005A0AFF" w:rsidRPr="008C0595" w:rsidRDefault="00E622D7" w:rsidP="005D52B4">
      <w:pPr>
        <w:rPr>
          <w:lang w:eastAsia="en-AU"/>
        </w:rPr>
      </w:pPr>
      <w:bookmarkStart w:id="6" w:name="_Hlk121383464"/>
      <w:r w:rsidRPr="00E622D7">
        <w:rPr>
          <w:lang w:eastAsia="en-AU"/>
        </w:rPr>
        <w:t>As specified by the</w:t>
      </w:r>
      <w:r w:rsidR="005A0AFF" w:rsidRPr="00E622D7">
        <w:rPr>
          <w:lang w:eastAsia="en-AU"/>
        </w:rPr>
        <w:t xml:space="preserve"> Act, the legislation supporting COVIDSafe </w:t>
      </w:r>
      <w:r w:rsidR="009E2D72">
        <w:rPr>
          <w:lang w:eastAsia="en-AU"/>
        </w:rPr>
        <w:t>self-</w:t>
      </w:r>
      <w:r w:rsidR="005A0AFF" w:rsidRPr="00E622D7">
        <w:rPr>
          <w:lang w:eastAsia="en-AU"/>
        </w:rPr>
        <w:t xml:space="preserve">repealed 90 days </w:t>
      </w:r>
      <w:r w:rsidR="00323684">
        <w:rPr>
          <w:lang w:eastAsia="en-AU"/>
        </w:rPr>
        <w:t xml:space="preserve">following declaration </w:t>
      </w:r>
      <w:r w:rsidR="00FF6303">
        <w:rPr>
          <w:lang w:eastAsia="en-AU"/>
        </w:rPr>
        <w:t xml:space="preserve">of </w:t>
      </w:r>
      <w:r w:rsidR="005A0AFF" w:rsidRPr="00E622D7">
        <w:rPr>
          <w:lang w:eastAsia="en-AU"/>
        </w:rPr>
        <w:t xml:space="preserve">the end of the COVIDSafe </w:t>
      </w:r>
      <w:r w:rsidR="00323684">
        <w:rPr>
          <w:lang w:eastAsia="en-AU"/>
        </w:rPr>
        <w:t xml:space="preserve">data </w:t>
      </w:r>
      <w:r w:rsidR="005A0AFF" w:rsidRPr="00E622D7">
        <w:rPr>
          <w:lang w:eastAsia="en-AU"/>
        </w:rPr>
        <w:t xml:space="preserve">period. </w:t>
      </w:r>
      <w:r w:rsidRPr="00E622D7">
        <w:rPr>
          <w:lang w:eastAsia="en-AU"/>
        </w:rPr>
        <w:t>This occurred on 16 November 2022.</w:t>
      </w:r>
      <w:bookmarkEnd w:id="6"/>
    </w:p>
    <w:p w14:paraId="60DE19AA" w14:textId="7CBE83B2" w:rsidR="004F4163" w:rsidRDefault="004F4163" w:rsidP="003A4302">
      <w:pPr>
        <w:pStyle w:val="Heading1"/>
        <w:rPr>
          <w:rFonts w:eastAsia="Times New Roman"/>
          <w:lang w:eastAsia="en-AU"/>
        </w:rPr>
      </w:pPr>
      <w:r w:rsidRPr="004F4163">
        <w:rPr>
          <w:rFonts w:eastAsia="Times New Roman"/>
          <w:lang w:eastAsia="en-AU"/>
        </w:rPr>
        <w:t>Effectiveness of the COVIDSafe app and the National COVIDSafe Data Store</w:t>
      </w:r>
      <w:bookmarkEnd w:id="5"/>
    </w:p>
    <w:p w14:paraId="438B7616" w14:textId="0C08080A" w:rsidR="004F4163" w:rsidRPr="004F4163" w:rsidRDefault="004F4163" w:rsidP="005D52B4">
      <w:pPr>
        <w:rPr>
          <w:lang w:eastAsia="en-AU"/>
        </w:rPr>
      </w:pPr>
      <w:r w:rsidRPr="004F4163">
        <w:rPr>
          <w:lang w:eastAsia="en-AU"/>
        </w:rPr>
        <w:t xml:space="preserve">Since the commencement of COVIDSafe </w:t>
      </w:r>
      <w:r w:rsidR="002A0605" w:rsidRPr="00233F3A">
        <w:rPr>
          <w:rFonts w:eastAsia="Calibri" w:cs="Times New Roman"/>
        </w:rPr>
        <w:t xml:space="preserve">to </w:t>
      </w:r>
      <w:r w:rsidR="00B314C0">
        <w:rPr>
          <w:rFonts w:eastAsia="Calibri" w:cs="Times New Roman"/>
        </w:rPr>
        <w:t>16</w:t>
      </w:r>
      <w:r w:rsidR="00566022">
        <w:rPr>
          <w:rFonts w:eastAsia="Calibri" w:cs="Times New Roman"/>
        </w:rPr>
        <w:t xml:space="preserve"> August</w:t>
      </w:r>
      <w:r w:rsidR="002A0605" w:rsidRPr="00233F3A">
        <w:rPr>
          <w:rFonts w:eastAsia="Calibri" w:cs="Times New Roman"/>
        </w:rPr>
        <w:t xml:space="preserve"> 2022</w:t>
      </w:r>
      <w:r w:rsidRPr="004F4163">
        <w:rPr>
          <w:lang w:eastAsia="en-AU"/>
        </w:rPr>
        <w:t xml:space="preserve">, </w:t>
      </w:r>
      <w:r w:rsidR="00323684">
        <w:rPr>
          <w:lang w:eastAsia="en-AU"/>
        </w:rPr>
        <w:t>there have been</w:t>
      </w:r>
      <w:r w:rsidRPr="004F4163">
        <w:rPr>
          <w:lang w:eastAsia="en-AU"/>
        </w:rPr>
        <w:t>:</w:t>
      </w:r>
    </w:p>
    <w:p w14:paraId="583DEFF9" w14:textId="16509050" w:rsidR="004F4163" w:rsidRPr="005D52B4" w:rsidRDefault="004F4163" w:rsidP="005D52B4">
      <w:pPr>
        <w:pStyle w:val="ListBullet"/>
      </w:pPr>
      <w:r w:rsidRPr="005D52B4">
        <w:t>792 uploads</w:t>
      </w:r>
      <w:r w:rsidR="00323684" w:rsidRPr="005D52B4">
        <w:t xml:space="preserve"> of data from the app</w:t>
      </w:r>
      <w:r w:rsidR="004D131F" w:rsidRPr="005D52B4">
        <w:t>.</w:t>
      </w:r>
    </w:p>
    <w:p w14:paraId="5B2C1652" w14:textId="7D033755" w:rsidR="004F4163" w:rsidRPr="005D52B4" w:rsidRDefault="004F4163" w:rsidP="005D52B4">
      <w:pPr>
        <w:pStyle w:val="ListBullet"/>
      </w:pPr>
      <w:r w:rsidRPr="005D52B4">
        <w:t xml:space="preserve">1.654 million </w:t>
      </w:r>
      <w:r w:rsidR="00FC32C5" w:rsidRPr="005D52B4">
        <w:t xml:space="preserve">digital </w:t>
      </w:r>
      <w:r w:rsidRPr="005D52B4">
        <w:t>handshakes.</w:t>
      </w:r>
    </w:p>
    <w:p w14:paraId="45613316" w14:textId="77777777" w:rsidR="004F4163" w:rsidRPr="005D52B4" w:rsidRDefault="004F4163" w:rsidP="005D52B4">
      <w:pPr>
        <w:pStyle w:val="ListBullet"/>
      </w:pPr>
      <w:r w:rsidRPr="005D52B4">
        <w:t xml:space="preserve">37,677 encounters; and </w:t>
      </w:r>
    </w:p>
    <w:p w14:paraId="6F0FE190" w14:textId="62835888" w:rsidR="004F4163" w:rsidRPr="005D52B4" w:rsidRDefault="004F4163" w:rsidP="005D52B4">
      <w:pPr>
        <w:pStyle w:val="ListBullet"/>
      </w:pPr>
      <w:r w:rsidRPr="005D52B4">
        <w:t>2,829 potential close contacts</w:t>
      </w:r>
      <w:r w:rsidR="00C81F40" w:rsidRPr="005D52B4">
        <w:t xml:space="preserve"> i</w:t>
      </w:r>
      <w:r w:rsidR="007215A8" w:rsidRPr="005D52B4">
        <w:t>dentified from those uploads</w:t>
      </w:r>
      <w:r w:rsidRPr="005D52B4">
        <w:t>.</w:t>
      </w:r>
      <w:bookmarkStart w:id="7" w:name="_Hlk86902398"/>
    </w:p>
    <w:p w14:paraId="4B1B5500" w14:textId="7A61C689" w:rsidR="00B27733" w:rsidRPr="004C5F5C" w:rsidRDefault="000A4C27" w:rsidP="005D52B4">
      <w:pPr>
        <w:rPr>
          <w:lang w:eastAsia="en-AU"/>
        </w:rPr>
      </w:pPr>
      <w:r>
        <w:rPr>
          <w:lang w:eastAsia="en-AU"/>
        </w:rPr>
        <w:t>During the period 16 May 2022</w:t>
      </w:r>
      <w:r w:rsidR="00566022">
        <w:rPr>
          <w:lang w:eastAsia="en-AU"/>
        </w:rPr>
        <w:t xml:space="preserve"> to </w:t>
      </w:r>
      <w:r w:rsidR="00B314C0">
        <w:rPr>
          <w:lang w:eastAsia="en-AU"/>
        </w:rPr>
        <w:t>16</w:t>
      </w:r>
      <w:r w:rsidR="00566022">
        <w:rPr>
          <w:lang w:eastAsia="en-AU"/>
        </w:rPr>
        <w:t xml:space="preserve"> August 2022</w:t>
      </w:r>
      <w:r>
        <w:rPr>
          <w:lang w:eastAsia="en-AU"/>
        </w:rPr>
        <w:t>, n</w:t>
      </w:r>
      <w:r w:rsidRPr="000A4C27">
        <w:rPr>
          <w:lang w:eastAsia="en-AU"/>
        </w:rPr>
        <w:t xml:space="preserve">o </w:t>
      </w:r>
      <w:r w:rsidR="002F7A38">
        <w:rPr>
          <w:lang w:eastAsia="en-AU"/>
        </w:rPr>
        <w:t xml:space="preserve">additional </w:t>
      </w:r>
      <w:r w:rsidRPr="000A4C27">
        <w:rPr>
          <w:lang w:eastAsia="en-AU"/>
        </w:rPr>
        <w:t xml:space="preserve">uploads of data from COVID positive cases </w:t>
      </w:r>
      <w:r w:rsidR="00390A42">
        <w:rPr>
          <w:lang w:eastAsia="en-AU"/>
        </w:rPr>
        <w:t>were</w:t>
      </w:r>
      <w:r w:rsidRPr="000A4C27">
        <w:rPr>
          <w:lang w:eastAsia="en-AU"/>
        </w:rPr>
        <w:t xml:space="preserve"> made to the</w:t>
      </w:r>
      <w:r w:rsidR="00DD6F51">
        <w:rPr>
          <w:lang w:eastAsia="en-AU"/>
        </w:rPr>
        <w:t xml:space="preserve"> NCDS</w:t>
      </w:r>
      <w:r w:rsidRPr="000A4C27">
        <w:rPr>
          <w:lang w:eastAsia="en-AU"/>
        </w:rPr>
        <w:t xml:space="preserve"> </w:t>
      </w:r>
      <w:r w:rsidR="00DF2AD7">
        <w:rPr>
          <w:lang w:eastAsia="en-AU"/>
        </w:rPr>
        <w:t xml:space="preserve">and subsequently no additional </w:t>
      </w:r>
      <w:r w:rsidR="000120EC">
        <w:rPr>
          <w:lang w:eastAsia="en-AU"/>
        </w:rPr>
        <w:t xml:space="preserve">handshakes, </w:t>
      </w:r>
      <w:r w:rsidR="00DF2AD7">
        <w:rPr>
          <w:lang w:eastAsia="en-AU"/>
        </w:rPr>
        <w:t xml:space="preserve">encounters or close contacts </w:t>
      </w:r>
      <w:r w:rsidR="00823D81">
        <w:rPr>
          <w:lang w:eastAsia="en-AU"/>
        </w:rPr>
        <w:t xml:space="preserve">were </w:t>
      </w:r>
      <w:r w:rsidR="00DF2AD7">
        <w:rPr>
          <w:lang w:eastAsia="en-AU"/>
        </w:rPr>
        <w:t>identified.</w:t>
      </w:r>
      <w:bookmarkStart w:id="8" w:name="_Toc87258876"/>
      <w:bookmarkEnd w:id="7"/>
      <w:r w:rsidR="009E1E15">
        <w:rPr>
          <w:lang w:eastAsia="en-AU"/>
        </w:rPr>
        <w:t xml:space="preserve"> </w:t>
      </w:r>
      <w:r w:rsidR="007E77F3">
        <w:rPr>
          <w:lang w:eastAsia="en-AU"/>
        </w:rPr>
        <w:t xml:space="preserve">State and Territory </w:t>
      </w:r>
      <w:proofErr w:type="gramStart"/>
      <w:r w:rsidR="00B27733">
        <w:rPr>
          <w:lang w:eastAsia="en-AU"/>
        </w:rPr>
        <w:t>PH</w:t>
      </w:r>
      <w:r w:rsidR="009E1E15">
        <w:rPr>
          <w:lang w:eastAsia="en-AU"/>
        </w:rPr>
        <w:t>O’s</w:t>
      </w:r>
      <w:proofErr w:type="gramEnd"/>
      <w:r w:rsidR="00B27733">
        <w:rPr>
          <w:lang w:eastAsia="en-AU"/>
        </w:rPr>
        <w:t xml:space="preserve"> did not access the Health Portal during the reporting period.</w:t>
      </w:r>
    </w:p>
    <w:p w14:paraId="6B2FAFC4" w14:textId="49289D64" w:rsidR="004F4163" w:rsidRPr="004F4163" w:rsidRDefault="004F4163" w:rsidP="003A4302">
      <w:pPr>
        <w:pStyle w:val="Heading1"/>
        <w:rPr>
          <w:rFonts w:eastAsia="Times New Roman"/>
          <w:lang w:eastAsia="en-AU"/>
        </w:rPr>
      </w:pPr>
      <w:r w:rsidRPr="004F4163">
        <w:rPr>
          <w:rFonts w:eastAsia="Times New Roman"/>
          <w:lang w:eastAsia="en-AU"/>
        </w:rPr>
        <w:t>Privacy</w:t>
      </w:r>
      <w:bookmarkEnd w:id="8"/>
    </w:p>
    <w:p w14:paraId="674BA7DA" w14:textId="75451D3E" w:rsidR="002F2E49" w:rsidRDefault="009E1E15" w:rsidP="005D52B4">
      <w:pPr>
        <w:rPr>
          <w:lang w:eastAsia="en-AU"/>
        </w:rPr>
      </w:pPr>
      <w:bookmarkStart w:id="9" w:name="_Toc87258877"/>
      <w:r w:rsidRPr="00DE4D83">
        <w:rPr>
          <w:lang w:eastAsia="en-AU"/>
        </w:rPr>
        <w:t>The strong privacy controls for COVIDSafe</w:t>
      </w:r>
      <w:r>
        <w:rPr>
          <w:lang w:eastAsia="en-AU"/>
        </w:rPr>
        <w:t xml:space="preserve"> </w:t>
      </w:r>
      <w:r w:rsidR="007411CB">
        <w:rPr>
          <w:lang w:eastAsia="en-AU"/>
        </w:rPr>
        <w:t>were</w:t>
      </w:r>
      <w:r>
        <w:rPr>
          <w:lang w:eastAsia="en-AU"/>
        </w:rPr>
        <w:t xml:space="preserve"> maintained throughout the program’s lifespan. </w:t>
      </w:r>
      <w:r w:rsidR="002F2E49">
        <w:rPr>
          <w:lang w:eastAsia="en-AU"/>
        </w:rPr>
        <w:t xml:space="preserve">The </w:t>
      </w:r>
      <w:r w:rsidR="00C173EB">
        <w:rPr>
          <w:lang w:eastAsia="en-AU"/>
        </w:rPr>
        <w:t>D</w:t>
      </w:r>
      <w:r w:rsidR="002F2E49">
        <w:rPr>
          <w:lang w:eastAsia="en-AU"/>
        </w:rPr>
        <w:t>epartment’s commitment to privacy of COVIDSafe data has continued through the decommission phase of the program by meeting its</w:t>
      </w:r>
      <w:r w:rsidR="00FC32C5">
        <w:rPr>
          <w:lang w:eastAsia="en-AU"/>
        </w:rPr>
        <w:t>’</w:t>
      </w:r>
      <w:r w:rsidR="002F2E49">
        <w:rPr>
          <w:lang w:eastAsia="en-AU"/>
        </w:rPr>
        <w:t xml:space="preserve"> privacy obligations for COVID app data under the Act.</w:t>
      </w:r>
    </w:p>
    <w:p w14:paraId="1F0B0D1A" w14:textId="0FAFA0DF" w:rsidR="001119F6" w:rsidRDefault="001119F6" w:rsidP="005D52B4">
      <w:pPr>
        <w:rPr>
          <w:lang w:eastAsia="en-AU"/>
        </w:rPr>
      </w:pPr>
      <w:r w:rsidRPr="001119F6">
        <w:rPr>
          <w:lang w:eastAsia="en-AU"/>
        </w:rPr>
        <w:t>The Office of the Australian Information Commissioner (OAIC)</w:t>
      </w:r>
      <w:r>
        <w:rPr>
          <w:lang w:eastAsia="en-AU"/>
        </w:rPr>
        <w:t>, as</w:t>
      </w:r>
      <w:r w:rsidRPr="001119F6">
        <w:rPr>
          <w:lang w:eastAsia="en-AU"/>
        </w:rPr>
        <w:t xml:space="preserve"> the independent national regulator for privacy</w:t>
      </w:r>
      <w:r>
        <w:rPr>
          <w:lang w:eastAsia="en-AU"/>
        </w:rPr>
        <w:t>,</w:t>
      </w:r>
      <w:r w:rsidRPr="001119F6">
        <w:rPr>
          <w:lang w:eastAsia="en-AU"/>
        </w:rPr>
        <w:t xml:space="preserve"> </w:t>
      </w:r>
      <w:r w:rsidR="007411CB">
        <w:rPr>
          <w:lang w:eastAsia="en-AU"/>
        </w:rPr>
        <w:t>undertook</w:t>
      </w:r>
      <w:r w:rsidRPr="001119F6">
        <w:rPr>
          <w:lang w:eastAsia="en-AU"/>
        </w:rPr>
        <w:t xml:space="preserve"> its</w:t>
      </w:r>
      <w:r w:rsidR="00186C77">
        <w:rPr>
          <w:lang w:eastAsia="en-AU"/>
        </w:rPr>
        <w:t>’</w:t>
      </w:r>
      <w:r w:rsidRPr="001119F6">
        <w:rPr>
          <w:lang w:eastAsia="en-AU"/>
        </w:rPr>
        <w:t xml:space="preserve"> fifth and final assessment of COVIDSafe</w:t>
      </w:r>
      <w:r w:rsidR="007E77F3">
        <w:rPr>
          <w:lang w:eastAsia="en-AU"/>
        </w:rPr>
        <w:t>. The assessment reviewed</w:t>
      </w:r>
      <w:r w:rsidRPr="001119F6">
        <w:rPr>
          <w:lang w:eastAsia="en-AU"/>
        </w:rPr>
        <w:t xml:space="preserve"> the compliance of the Data Store Administrator’s deletion and notification requirements under the</w:t>
      </w:r>
      <w:r w:rsidR="00186C77">
        <w:rPr>
          <w:lang w:eastAsia="en-AU"/>
        </w:rPr>
        <w:t xml:space="preserve"> </w:t>
      </w:r>
      <w:r>
        <w:rPr>
          <w:lang w:eastAsia="en-AU"/>
        </w:rPr>
        <w:t>Act</w:t>
      </w:r>
      <w:r w:rsidR="007E77F3">
        <w:rPr>
          <w:lang w:eastAsia="en-AU"/>
        </w:rPr>
        <w:t xml:space="preserve"> relating to the end of COVID app data period</w:t>
      </w:r>
      <w:r>
        <w:rPr>
          <w:lang w:eastAsia="en-AU"/>
        </w:rPr>
        <w:t>.</w:t>
      </w:r>
    </w:p>
    <w:p w14:paraId="5FC9046D" w14:textId="777FC21D" w:rsidR="00AD10F2" w:rsidRDefault="00A14479" w:rsidP="005D52B4">
      <w:pPr>
        <w:rPr>
          <w:lang w:eastAsia="en-AU"/>
        </w:rPr>
      </w:pPr>
      <w:r w:rsidRPr="00AF3221">
        <w:rPr>
          <w:lang w:eastAsia="en-AU"/>
        </w:rPr>
        <w:t>Th</w:t>
      </w:r>
      <w:r w:rsidR="00AF3221">
        <w:rPr>
          <w:lang w:eastAsia="en-AU"/>
        </w:rPr>
        <w:t>e</w:t>
      </w:r>
      <w:r w:rsidRPr="00AF3221">
        <w:rPr>
          <w:lang w:eastAsia="en-AU"/>
        </w:rPr>
        <w:t xml:space="preserve"> report was released on </w:t>
      </w:r>
      <w:r w:rsidR="00E622D7" w:rsidRPr="00AF3221">
        <w:rPr>
          <w:lang w:eastAsia="en-AU"/>
        </w:rPr>
        <w:t>30 November 2022</w:t>
      </w:r>
      <w:r w:rsidRPr="00AF3221">
        <w:rPr>
          <w:lang w:eastAsia="en-AU"/>
        </w:rPr>
        <w:t xml:space="preserve"> and concluded </w:t>
      </w:r>
      <w:r w:rsidR="004C5F5C" w:rsidRPr="00AF3221">
        <w:rPr>
          <w:lang w:eastAsia="en-AU"/>
        </w:rPr>
        <w:t>the</w:t>
      </w:r>
      <w:r w:rsidR="007E77F3" w:rsidRPr="00AF3221">
        <w:rPr>
          <w:lang w:eastAsia="en-AU"/>
        </w:rPr>
        <w:t xml:space="preserve"> Data Store Administrator </w:t>
      </w:r>
      <w:r w:rsidR="004C5F5C" w:rsidRPr="00AF3221">
        <w:rPr>
          <w:lang w:eastAsia="en-AU"/>
        </w:rPr>
        <w:t>had met all privacy obligations under the Act.</w:t>
      </w:r>
      <w:r w:rsidR="00E622D7">
        <w:rPr>
          <w:lang w:eastAsia="en-AU"/>
        </w:rPr>
        <w:t xml:space="preserve"> The OA</w:t>
      </w:r>
      <w:r w:rsidR="00FC32C5">
        <w:rPr>
          <w:lang w:eastAsia="en-AU"/>
        </w:rPr>
        <w:t>I</w:t>
      </w:r>
      <w:r w:rsidR="00E622D7">
        <w:rPr>
          <w:lang w:eastAsia="en-AU"/>
        </w:rPr>
        <w:t xml:space="preserve">C </w:t>
      </w:r>
      <w:r w:rsidR="00E622D7" w:rsidRPr="00E622D7">
        <w:rPr>
          <w:lang w:eastAsia="en-AU"/>
        </w:rPr>
        <w:t xml:space="preserve">made two suggestions which the </w:t>
      </w:r>
      <w:r w:rsidR="00C173EB">
        <w:rPr>
          <w:lang w:eastAsia="en-AU"/>
        </w:rPr>
        <w:t>D</w:t>
      </w:r>
      <w:r w:rsidR="00E622D7" w:rsidRPr="00E622D7">
        <w:rPr>
          <w:lang w:eastAsia="en-AU"/>
        </w:rPr>
        <w:t>epartment agreed and addressed</w:t>
      </w:r>
      <w:r w:rsidR="00AF3221">
        <w:rPr>
          <w:lang w:eastAsia="en-AU"/>
        </w:rPr>
        <w:t xml:space="preserve"> prior to publication of the report.</w:t>
      </w:r>
    </w:p>
    <w:p w14:paraId="6185A8AB" w14:textId="04CA4BC2" w:rsidR="00566022" w:rsidRPr="00566022" w:rsidRDefault="00AD10F2" w:rsidP="005D52B4">
      <w:pPr>
        <w:rPr>
          <w:lang w:eastAsia="en-AU"/>
        </w:rPr>
      </w:pPr>
      <w:r>
        <w:rPr>
          <w:lang w:eastAsia="en-AU"/>
        </w:rPr>
        <w:t>The report is available on the OAIC’s website.</w:t>
      </w:r>
    </w:p>
    <w:p w14:paraId="7DB6F27A" w14:textId="7CE1123D" w:rsidR="004F4163" w:rsidRPr="004F4163" w:rsidRDefault="004F4163" w:rsidP="003A4302">
      <w:pPr>
        <w:pStyle w:val="Heading1"/>
        <w:rPr>
          <w:rFonts w:eastAsia="Times New Roman"/>
          <w:lang w:eastAsia="en-AU"/>
        </w:rPr>
      </w:pPr>
      <w:r w:rsidRPr="004639E8">
        <w:rPr>
          <w:rFonts w:eastAsia="Times New Roman"/>
          <w:lang w:eastAsia="en-AU"/>
        </w:rPr>
        <w:t>Conclusion</w:t>
      </w:r>
      <w:bookmarkEnd w:id="9"/>
    </w:p>
    <w:p w14:paraId="3A164A7A" w14:textId="24F26F91" w:rsidR="00566022" w:rsidRPr="005D52B4" w:rsidRDefault="004C5F5C" w:rsidP="005D52B4">
      <w:bookmarkStart w:id="10" w:name="_Hlk117059686"/>
      <w:bookmarkStart w:id="11" w:name="_Toc87258878"/>
      <w:r w:rsidRPr="005D52B4">
        <w:t xml:space="preserve">During the reporting period, </w:t>
      </w:r>
      <w:r w:rsidR="00B27733" w:rsidRPr="005D52B4">
        <w:t>St</w:t>
      </w:r>
      <w:r w:rsidRPr="005D52B4">
        <w:t xml:space="preserve">ate and </w:t>
      </w:r>
      <w:r w:rsidR="00B27733" w:rsidRPr="005D52B4">
        <w:t>T</w:t>
      </w:r>
      <w:r w:rsidRPr="005D52B4">
        <w:t xml:space="preserve">erritory </w:t>
      </w:r>
      <w:r w:rsidR="00B27733" w:rsidRPr="005D52B4">
        <w:t xml:space="preserve">PHOs </w:t>
      </w:r>
      <w:r w:rsidRPr="005D52B4">
        <w:t xml:space="preserve">were no longer using </w:t>
      </w:r>
      <w:proofErr w:type="spellStart"/>
      <w:r w:rsidRPr="005D52B4">
        <w:t>COVIDSafe</w:t>
      </w:r>
      <w:proofErr w:type="spellEnd"/>
      <w:r w:rsidRPr="005D52B4">
        <w:t xml:space="preserve"> to assist with contact tracing. As </w:t>
      </w:r>
      <w:r w:rsidR="00AF3221" w:rsidRPr="005D52B4">
        <w:t xml:space="preserve">the </w:t>
      </w:r>
      <w:proofErr w:type="spellStart"/>
      <w:r w:rsidR="00AF3221" w:rsidRPr="005D52B4">
        <w:t>COVIDSafe</w:t>
      </w:r>
      <w:proofErr w:type="spellEnd"/>
      <w:r w:rsidR="00AF3221" w:rsidRPr="005D52B4">
        <w:t xml:space="preserve"> app w</w:t>
      </w:r>
      <w:r w:rsidR="007411CB" w:rsidRPr="005D52B4">
        <w:t>a</w:t>
      </w:r>
      <w:r w:rsidR="00AF3221" w:rsidRPr="005D52B4">
        <w:t>s</w:t>
      </w:r>
      <w:r w:rsidRPr="005D52B4">
        <w:t xml:space="preserve"> no longer </w:t>
      </w:r>
      <w:r w:rsidR="007A2748" w:rsidRPr="005D52B4">
        <w:t>required to prevent or control the spread of</w:t>
      </w:r>
      <w:r w:rsidR="00186C77" w:rsidRPr="005D52B4">
        <w:t> </w:t>
      </w:r>
      <w:r w:rsidR="007A2748" w:rsidRPr="005D52B4">
        <w:t xml:space="preserve">COVID-19, I </w:t>
      </w:r>
      <w:proofErr w:type="gramStart"/>
      <w:r w:rsidR="007A2748" w:rsidRPr="005D52B4">
        <w:t xml:space="preserve">made </w:t>
      </w:r>
      <w:r w:rsidR="00186C77" w:rsidRPr="005D52B4">
        <w:t xml:space="preserve">a </w:t>
      </w:r>
      <w:r w:rsidR="007A2748" w:rsidRPr="005D52B4">
        <w:t>determination</w:t>
      </w:r>
      <w:proofErr w:type="gramEnd"/>
      <w:r w:rsidR="007A2748" w:rsidRPr="005D52B4">
        <w:t xml:space="preserve"> to end </w:t>
      </w:r>
      <w:r w:rsidR="00FC32C5" w:rsidRPr="005D52B4">
        <w:t xml:space="preserve">the </w:t>
      </w:r>
      <w:proofErr w:type="spellStart"/>
      <w:r w:rsidR="00DE4D83" w:rsidRPr="005D52B4">
        <w:t>COVIDSafe</w:t>
      </w:r>
      <w:proofErr w:type="spellEnd"/>
      <w:r w:rsidR="00FC32C5" w:rsidRPr="005D52B4">
        <w:t xml:space="preserve"> data period</w:t>
      </w:r>
      <w:r w:rsidR="00DE4D83" w:rsidRPr="005D52B4">
        <w:t>.</w:t>
      </w:r>
      <w:r w:rsidR="005A0AFF" w:rsidRPr="005D52B4">
        <w:t xml:space="preserve"> </w:t>
      </w:r>
    </w:p>
    <w:p w14:paraId="73CFE43D" w14:textId="494FC0DD" w:rsidR="005D52B4" w:rsidRDefault="005A0AFF" w:rsidP="005D52B4">
      <w:r w:rsidRPr="005D52B4">
        <w:t xml:space="preserve">The </w:t>
      </w:r>
      <w:r w:rsidR="00C173EB" w:rsidRPr="005D52B4">
        <w:t>D</w:t>
      </w:r>
      <w:r w:rsidRPr="005D52B4">
        <w:t>epartment</w:t>
      </w:r>
      <w:r w:rsidR="00FE6CE7" w:rsidRPr="005D52B4">
        <w:t xml:space="preserve"> was found to comply with the strict privacy controls and</w:t>
      </w:r>
      <w:r w:rsidRPr="005D52B4">
        <w:t xml:space="preserve"> met its</w:t>
      </w:r>
      <w:r w:rsidR="00FC32C5" w:rsidRPr="005D52B4">
        <w:t>’</w:t>
      </w:r>
      <w:r w:rsidRPr="005D52B4">
        <w:t xml:space="preserve"> obligations under the Act to delete all COVID app data from the </w:t>
      </w:r>
      <w:r w:rsidR="00FC32C5" w:rsidRPr="005D52B4">
        <w:t>NCDS</w:t>
      </w:r>
      <w:r w:rsidRPr="005D52B4">
        <w:t>.</w:t>
      </w:r>
      <w:bookmarkEnd w:id="10"/>
    </w:p>
    <w:p w14:paraId="13A6C5EA" w14:textId="77777777" w:rsidR="005D52B4" w:rsidRDefault="005D52B4">
      <w:pPr>
        <w:spacing w:before="0" w:after="160" w:line="259" w:lineRule="auto"/>
      </w:pPr>
      <w:r>
        <w:br w:type="page"/>
      </w:r>
    </w:p>
    <w:p w14:paraId="7D0354B8" w14:textId="003A2D16" w:rsidR="004F4163" w:rsidRPr="003A4302" w:rsidRDefault="004F4163" w:rsidP="003A4302">
      <w:pPr>
        <w:pStyle w:val="Heading1"/>
      </w:pPr>
      <w:r w:rsidRPr="003A4302">
        <w:lastRenderedPageBreak/>
        <w:t>Attachments</w:t>
      </w:r>
      <w:bookmarkStart w:id="12" w:name="_Toc87258879"/>
      <w:bookmarkEnd w:id="11"/>
      <w:r w:rsidR="003A4302" w:rsidRPr="003A4302">
        <w:t xml:space="preserve"> </w:t>
      </w:r>
      <w:r w:rsidRPr="003A4302">
        <w:t>A</w:t>
      </w:r>
      <w:r w:rsidR="003A4302">
        <w:t xml:space="preserve"> </w:t>
      </w:r>
      <w:r w:rsidR="005D52B4" w:rsidRPr="005D52B4">
        <w:t>–</w:t>
      </w:r>
      <w:r w:rsidRPr="003A4302">
        <w:t xml:space="preserve"> </w:t>
      </w:r>
      <w:proofErr w:type="spellStart"/>
      <w:r w:rsidRPr="003A4302">
        <w:t>COVIDSafe</w:t>
      </w:r>
      <w:proofErr w:type="spellEnd"/>
      <w:r w:rsidRPr="003A4302">
        <w:t xml:space="preserve"> app activity statistics</w:t>
      </w:r>
      <w:bookmarkEnd w:id="12"/>
    </w:p>
    <w:p w14:paraId="5971174C" w14:textId="0D8962D8" w:rsidR="00566022" w:rsidRPr="00566022" w:rsidRDefault="004F4163" w:rsidP="00566022">
      <w:pPr>
        <w:pStyle w:val="Heading2"/>
        <w:rPr>
          <w:rFonts w:eastAsia="Times New Roman"/>
          <w:lang w:eastAsia="en-AU"/>
        </w:rPr>
      </w:pPr>
      <w:r w:rsidRPr="00E1729B">
        <w:rPr>
          <w:rFonts w:eastAsia="Times New Roman"/>
          <w:lang w:eastAsia="en-AU"/>
        </w:rPr>
        <w:t xml:space="preserve">Reporting Period </w:t>
      </w:r>
      <w:r w:rsidR="005D52B4" w:rsidRPr="005D52B4">
        <w:rPr>
          <w:rFonts w:eastAsia="Times New Roman"/>
          <w:lang w:eastAsia="en-AU"/>
        </w:rPr>
        <w:t>–</w:t>
      </w:r>
      <w:r w:rsidRPr="00E1729B">
        <w:rPr>
          <w:rFonts w:eastAsia="Times New Roman"/>
          <w:lang w:eastAsia="en-AU"/>
        </w:rPr>
        <w:t xml:space="preserve"> Cumulative from </w:t>
      </w:r>
      <w:r w:rsidR="00F406E7">
        <w:rPr>
          <w:rFonts w:eastAsia="Times New Roman"/>
          <w:lang w:eastAsia="en-AU"/>
        </w:rPr>
        <w:t xml:space="preserve">16 </w:t>
      </w:r>
      <w:r w:rsidR="00F406E7" w:rsidRPr="004639E8">
        <w:rPr>
          <w:rFonts w:eastAsia="Times New Roman"/>
          <w:lang w:eastAsia="en-AU"/>
        </w:rPr>
        <w:t>May 2022</w:t>
      </w:r>
      <w:r w:rsidR="00566022">
        <w:rPr>
          <w:rFonts w:eastAsia="Times New Roman"/>
          <w:lang w:eastAsia="en-AU"/>
        </w:rPr>
        <w:t xml:space="preserve"> to </w:t>
      </w:r>
      <w:r w:rsidR="00AD10F2">
        <w:rPr>
          <w:rFonts w:eastAsia="Times New Roman"/>
          <w:lang w:eastAsia="en-AU"/>
        </w:rPr>
        <w:t>16</w:t>
      </w:r>
      <w:r w:rsidR="00566022">
        <w:rPr>
          <w:rFonts w:eastAsia="Times New Roman"/>
          <w:lang w:eastAsia="en-AU"/>
        </w:rPr>
        <w:t xml:space="preserve"> August 2022</w:t>
      </w:r>
    </w:p>
    <w:p w14:paraId="66DA4AE8" w14:textId="01F6A8B0" w:rsidR="004F4163" w:rsidRPr="004F4163" w:rsidRDefault="004F4163" w:rsidP="006521CA">
      <w:pPr>
        <w:rPr>
          <w:lang w:eastAsia="en-AU"/>
        </w:rPr>
      </w:pPr>
      <w:r w:rsidRPr="004F4163">
        <w:rPr>
          <w:lang w:eastAsia="en-AU"/>
        </w:rPr>
        <w:t xml:space="preserve">For the purposes of this report encounters are defined as interactions that are within 1.5 metres </w:t>
      </w:r>
      <w:r w:rsidR="00DF7D57">
        <w:rPr>
          <w:lang w:eastAsia="en-AU"/>
        </w:rPr>
        <w:br/>
      </w:r>
      <w:r w:rsidRPr="004F4163">
        <w:rPr>
          <w:lang w:eastAsia="en-AU"/>
        </w:rPr>
        <w:t>for 15 minutes or more. Encounters of 1 minute or more in duration are not included in this report.</w:t>
      </w:r>
    </w:p>
    <w:tbl>
      <w:tblPr>
        <w:tblStyle w:val="GridTable4-Accent1"/>
        <w:tblW w:w="0" w:type="auto"/>
        <w:tblLook w:val="04A0" w:firstRow="1" w:lastRow="0" w:firstColumn="1" w:lastColumn="0" w:noHBand="0" w:noVBand="1"/>
        <w:tblDescription w:val="This table list the COVIDSafe app activities statistics for the reporting period cumulative from 16 November 2021 to 15 May 2022."/>
      </w:tblPr>
      <w:tblGrid>
        <w:gridCol w:w="4106"/>
        <w:gridCol w:w="624"/>
        <w:gridCol w:w="494"/>
        <w:gridCol w:w="564"/>
        <w:gridCol w:w="432"/>
        <w:gridCol w:w="519"/>
        <w:gridCol w:w="531"/>
        <w:gridCol w:w="447"/>
        <w:gridCol w:w="543"/>
        <w:gridCol w:w="756"/>
      </w:tblGrid>
      <w:tr w:rsidR="005D52B4" w:rsidRPr="003A4302" w14:paraId="66CEA9A2" w14:textId="77777777" w:rsidTr="005D52B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319AC01A" w14:textId="77777777" w:rsidR="004F4163" w:rsidRPr="003A4302" w:rsidRDefault="004F4163" w:rsidP="003A4302">
            <w:bookmarkStart w:id="13" w:name="_Hlk85806760"/>
          </w:p>
        </w:tc>
        <w:tc>
          <w:tcPr>
            <w:tcW w:w="0" w:type="auto"/>
          </w:tcPr>
          <w:p w14:paraId="18C869DC" w14:textId="77777777" w:rsidR="004F4163" w:rsidRPr="003A4302" w:rsidRDefault="004F4163" w:rsidP="005D52B4">
            <w:pPr>
              <w:cnfStyle w:val="100000000000" w:firstRow="1" w:lastRow="0" w:firstColumn="0" w:lastColumn="0" w:oddVBand="0" w:evenVBand="0" w:oddHBand="0" w:evenHBand="0" w:firstRowFirstColumn="0" w:firstRowLastColumn="0" w:lastRowFirstColumn="0" w:lastRowLastColumn="0"/>
            </w:pPr>
            <w:r w:rsidRPr="003A4302">
              <w:t>NSW</w:t>
            </w:r>
          </w:p>
        </w:tc>
        <w:tc>
          <w:tcPr>
            <w:tcW w:w="0" w:type="auto"/>
          </w:tcPr>
          <w:p w14:paraId="5B91CA2D" w14:textId="77777777" w:rsidR="004F4163" w:rsidRPr="003A4302" w:rsidRDefault="004F4163" w:rsidP="005D52B4">
            <w:pPr>
              <w:cnfStyle w:val="100000000000" w:firstRow="1" w:lastRow="0" w:firstColumn="0" w:lastColumn="0" w:oddVBand="0" w:evenVBand="0" w:oddHBand="0" w:evenHBand="0" w:firstRowFirstColumn="0" w:firstRowLastColumn="0" w:lastRowFirstColumn="0" w:lastRowLastColumn="0"/>
            </w:pPr>
            <w:r w:rsidRPr="003A4302">
              <w:t>VIC</w:t>
            </w:r>
          </w:p>
        </w:tc>
        <w:tc>
          <w:tcPr>
            <w:tcW w:w="0" w:type="auto"/>
          </w:tcPr>
          <w:p w14:paraId="03061577" w14:textId="77777777" w:rsidR="004F4163" w:rsidRPr="003A4302" w:rsidRDefault="004F4163" w:rsidP="005D52B4">
            <w:pPr>
              <w:cnfStyle w:val="100000000000" w:firstRow="1" w:lastRow="0" w:firstColumn="0" w:lastColumn="0" w:oddVBand="0" w:evenVBand="0" w:oddHBand="0" w:evenHBand="0" w:firstRowFirstColumn="0" w:firstRowLastColumn="0" w:lastRowFirstColumn="0" w:lastRowLastColumn="0"/>
            </w:pPr>
            <w:r w:rsidRPr="003A4302">
              <w:t>QLD</w:t>
            </w:r>
          </w:p>
        </w:tc>
        <w:tc>
          <w:tcPr>
            <w:tcW w:w="0" w:type="auto"/>
          </w:tcPr>
          <w:p w14:paraId="1B72260A" w14:textId="77777777" w:rsidR="004F4163" w:rsidRPr="003A4302" w:rsidRDefault="004F4163" w:rsidP="005D52B4">
            <w:pPr>
              <w:cnfStyle w:val="100000000000" w:firstRow="1" w:lastRow="0" w:firstColumn="0" w:lastColumn="0" w:oddVBand="0" w:evenVBand="0" w:oddHBand="0" w:evenHBand="0" w:firstRowFirstColumn="0" w:firstRowLastColumn="0" w:lastRowFirstColumn="0" w:lastRowLastColumn="0"/>
            </w:pPr>
            <w:r w:rsidRPr="003A4302">
              <w:t>SA</w:t>
            </w:r>
          </w:p>
        </w:tc>
        <w:tc>
          <w:tcPr>
            <w:tcW w:w="0" w:type="auto"/>
          </w:tcPr>
          <w:p w14:paraId="0529FCC5" w14:textId="77777777" w:rsidR="004F4163" w:rsidRPr="003A4302" w:rsidRDefault="004F4163" w:rsidP="005D52B4">
            <w:pPr>
              <w:cnfStyle w:val="100000000000" w:firstRow="1" w:lastRow="0" w:firstColumn="0" w:lastColumn="0" w:oddVBand="0" w:evenVBand="0" w:oddHBand="0" w:evenHBand="0" w:firstRowFirstColumn="0" w:firstRowLastColumn="0" w:lastRowFirstColumn="0" w:lastRowLastColumn="0"/>
            </w:pPr>
            <w:r w:rsidRPr="003A4302">
              <w:t>WA</w:t>
            </w:r>
          </w:p>
        </w:tc>
        <w:tc>
          <w:tcPr>
            <w:tcW w:w="0" w:type="auto"/>
          </w:tcPr>
          <w:p w14:paraId="36D2BF59" w14:textId="77777777" w:rsidR="004F4163" w:rsidRPr="003A4302" w:rsidRDefault="004F4163" w:rsidP="005D52B4">
            <w:pPr>
              <w:cnfStyle w:val="100000000000" w:firstRow="1" w:lastRow="0" w:firstColumn="0" w:lastColumn="0" w:oddVBand="0" w:evenVBand="0" w:oddHBand="0" w:evenHBand="0" w:firstRowFirstColumn="0" w:firstRowLastColumn="0" w:lastRowFirstColumn="0" w:lastRowLastColumn="0"/>
            </w:pPr>
            <w:r w:rsidRPr="003A4302">
              <w:t>TAS</w:t>
            </w:r>
          </w:p>
        </w:tc>
        <w:tc>
          <w:tcPr>
            <w:tcW w:w="0" w:type="auto"/>
          </w:tcPr>
          <w:p w14:paraId="4E03927F" w14:textId="77777777" w:rsidR="004F4163" w:rsidRPr="003A4302" w:rsidRDefault="004F4163" w:rsidP="005D52B4">
            <w:pPr>
              <w:cnfStyle w:val="100000000000" w:firstRow="1" w:lastRow="0" w:firstColumn="0" w:lastColumn="0" w:oddVBand="0" w:evenVBand="0" w:oddHBand="0" w:evenHBand="0" w:firstRowFirstColumn="0" w:firstRowLastColumn="0" w:lastRowFirstColumn="0" w:lastRowLastColumn="0"/>
            </w:pPr>
            <w:r w:rsidRPr="003A4302">
              <w:t>NT</w:t>
            </w:r>
          </w:p>
        </w:tc>
        <w:tc>
          <w:tcPr>
            <w:tcW w:w="0" w:type="auto"/>
          </w:tcPr>
          <w:p w14:paraId="7A17F1D1" w14:textId="77777777" w:rsidR="004F4163" w:rsidRPr="003A4302" w:rsidRDefault="004F4163" w:rsidP="005D52B4">
            <w:pPr>
              <w:cnfStyle w:val="100000000000" w:firstRow="1" w:lastRow="0" w:firstColumn="0" w:lastColumn="0" w:oddVBand="0" w:evenVBand="0" w:oddHBand="0" w:evenHBand="0" w:firstRowFirstColumn="0" w:firstRowLastColumn="0" w:lastRowFirstColumn="0" w:lastRowLastColumn="0"/>
            </w:pPr>
            <w:r w:rsidRPr="003A4302">
              <w:t>ACT</w:t>
            </w:r>
          </w:p>
        </w:tc>
        <w:tc>
          <w:tcPr>
            <w:tcW w:w="0" w:type="auto"/>
          </w:tcPr>
          <w:p w14:paraId="03A4DD69" w14:textId="77777777" w:rsidR="004F4163" w:rsidRPr="003A4302" w:rsidRDefault="004F4163" w:rsidP="005D52B4">
            <w:pPr>
              <w:cnfStyle w:val="100000000000" w:firstRow="1" w:lastRow="0" w:firstColumn="0" w:lastColumn="0" w:oddVBand="0" w:evenVBand="0" w:oddHBand="0" w:evenHBand="0" w:firstRowFirstColumn="0" w:firstRowLastColumn="0" w:lastRowFirstColumn="0" w:lastRowLastColumn="0"/>
            </w:pPr>
            <w:r w:rsidRPr="003A4302">
              <w:t>TOTAL</w:t>
            </w:r>
          </w:p>
        </w:tc>
      </w:tr>
      <w:tr w:rsidR="00CD703E" w:rsidRPr="003A4302" w14:paraId="72F9D7E0" w14:textId="77777777" w:rsidTr="005D52B4">
        <w:tc>
          <w:tcPr>
            <w:cnfStyle w:val="001000000000" w:firstRow="0" w:lastRow="0" w:firstColumn="1" w:lastColumn="0" w:oddVBand="0" w:evenVBand="0" w:oddHBand="0" w:evenHBand="0" w:firstRowFirstColumn="0" w:firstRowLastColumn="0" w:lastRowFirstColumn="0" w:lastRowLastColumn="0"/>
            <w:tcW w:w="0" w:type="auto"/>
          </w:tcPr>
          <w:p w14:paraId="214E974D" w14:textId="77777777" w:rsidR="00CD703E" w:rsidRPr="006521CA" w:rsidRDefault="00CD703E" w:rsidP="006521CA">
            <w:r w:rsidRPr="006521CA">
              <w:t xml:space="preserve">Uploads by </w:t>
            </w:r>
            <w:proofErr w:type="spellStart"/>
            <w:r w:rsidRPr="006521CA">
              <w:t>COVIDSafe</w:t>
            </w:r>
            <w:proofErr w:type="spellEnd"/>
            <w:r w:rsidRPr="006521CA">
              <w:t xml:space="preserve"> users who tested positive to COVID-19</w:t>
            </w:r>
          </w:p>
        </w:tc>
        <w:tc>
          <w:tcPr>
            <w:tcW w:w="0" w:type="auto"/>
          </w:tcPr>
          <w:p w14:paraId="5F0F2A94" w14:textId="10CFD742"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c>
          <w:tcPr>
            <w:tcW w:w="0" w:type="auto"/>
          </w:tcPr>
          <w:p w14:paraId="63E16627" w14:textId="08AF441C"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c>
          <w:tcPr>
            <w:tcW w:w="0" w:type="auto"/>
          </w:tcPr>
          <w:p w14:paraId="5918BFB5" w14:textId="46D49FA4"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c>
          <w:tcPr>
            <w:tcW w:w="0" w:type="auto"/>
          </w:tcPr>
          <w:p w14:paraId="257F5EEB" w14:textId="65FD3CA1"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c>
          <w:tcPr>
            <w:tcW w:w="0" w:type="auto"/>
          </w:tcPr>
          <w:p w14:paraId="226920E2" w14:textId="3F0BD577"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c>
          <w:tcPr>
            <w:tcW w:w="0" w:type="auto"/>
          </w:tcPr>
          <w:p w14:paraId="361F4AD4" w14:textId="4408FC10"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c>
          <w:tcPr>
            <w:tcW w:w="0" w:type="auto"/>
          </w:tcPr>
          <w:p w14:paraId="698680DA" w14:textId="27BAD6BE"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c>
          <w:tcPr>
            <w:tcW w:w="0" w:type="auto"/>
          </w:tcPr>
          <w:p w14:paraId="680A233A" w14:textId="45CD0433"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c>
          <w:tcPr>
            <w:tcW w:w="0" w:type="auto"/>
          </w:tcPr>
          <w:p w14:paraId="67F667D2" w14:textId="6526F5D0"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r>
      <w:tr w:rsidR="00CD703E" w:rsidRPr="003A4302" w14:paraId="37572791" w14:textId="77777777" w:rsidTr="005D52B4">
        <w:tc>
          <w:tcPr>
            <w:cnfStyle w:val="001000000000" w:firstRow="0" w:lastRow="0" w:firstColumn="1" w:lastColumn="0" w:oddVBand="0" w:evenVBand="0" w:oddHBand="0" w:evenHBand="0" w:firstRowFirstColumn="0" w:firstRowLastColumn="0" w:lastRowFirstColumn="0" w:lastRowLastColumn="0"/>
            <w:tcW w:w="0" w:type="auto"/>
          </w:tcPr>
          <w:p w14:paraId="75DB9E7D" w14:textId="77777777" w:rsidR="00CD703E" w:rsidRPr="006521CA" w:rsidRDefault="00CD703E" w:rsidP="006521CA">
            <w:r w:rsidRPr="006521CA">
              <w:t>Handshakes contained in the uploads</w:t>
            </w:r>
          </w:p>
        </w:tc>
        <w:tc>
          <w:tcPr>
            <w:tcW w:w="0" w:type="auto"/>
          </w:tcPr>
          <w:p w14:paraId="055C13D4" w14:textId="57BA3DD0"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c>
          <w:tcPr>
            <w:tcW w:w="0" w:type="auto"/>
          </w:tcPr>
          <w:p w14:paraId="38716D94" w14:textId="5C6FA4F1"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c>
          <w:tcPr>
            <w:tcW w:w="0" w:type="auto"/>
          </w:tcPr>
          <w:p w14:paraId="72859E21" w14:textId="7E1C3C47"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c>
          <w:tcPr>
            <w:tcW w:w="0" w:type="auto"/>
          </w:tcPr>
          <w:p w14:paraId="0B105040" w14:textId="41E6935C"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c>
          <w:tcPr>
            <w:tcW w:w="0" w:type="auto"/>
          </w:tcPr>
          <w:p w14:paraId="0BE36F42" w14:textId="0D378B7C"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c>
          <w:tcPr>
            <w:tcW w:w="0" w:type="auto"/>
          </w:tcPr>
          <w:p w14:paraId="2F2FFFCF" w14:textId="3EF9630B"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c>
          <w:tcPr>
            <w:tcW w:w="0" w:type="auto"/>
          </w:tcPr>
          <w:p w14:paraId="5F7570F4" w14:textId="0FEE33A0"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c>
          <w:tcPr>
            <w:tcW w:w="0" w:type="auto"/>
          </w:tcPr>
          <w:p w14:paraId="377B28CB" w14:textId="4E277576"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c>
          <w:tcPr>
            <w:tcW w:w="0" w:type="auto"/>
          </w:tcPr>
          <w:p w14:paraId="0AD8B9A8" w14:textId="435DB0FF"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r>
      <w:tr w:rsidR="00CD703E" w:rsidRPr="003A4302" w14:paraId="7C5AEF99" w14:textId="77777777" w:rsidTr="005D52B4">
        <w:tc>
          <w:tcPr>
            <w:cnfStyle w:val="001000000000" w:firstRow="0" w:lastRow="0" w:firstColumn="1" w:lastColumn="0" w:oddVBand="0" w:evenVBand="0" w:oddHBand="0" w:evenHBand="0" w:firstRowFirstColumn="0" w:firstRowLastColumn="0" w:lastRowFirstColumn="0" w:lastRowLastColumn="0"/>
            <w:tcW w:w="0" w:type="auto"/>
          </w:tcPr>
          <w:p w14:paraId="2595AEBC" w14:textId="77777777" w:rsidR="00CD703E" w:rsidRPr="006521CA" w:rsidRDefault="00CD703E" w:rsidP="006521CA">
            <w:r w:rsidRPr="006521CA">
              <w:t>Encounters contained in the uploads that are within 1.5 metres for 15 minutes or more</w:t>
            </w:r>
          </w:p>
        </w:tc>
        <w:tc>
          <w:tcPr>
            <w:tcW w:w="0" w:type="auto"/>
          </w:tcPr>
          <w:p w14:paraId="7A5D1997" w14:textId="1EE24016"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c>
          <w:tcPr>
            <w:tcW w:w="0" w:type="auto"/>
          </w:tcPr>
          <w:p w14:paraId="60ABB801" w14:textId="42178B77"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c>
          <w:tcPr>
            <w:tcW w:w="0" w:type="auto"/>
          </w:tcPr>
          <w:p w14:paraId="36BEEBD6" w14:textId="1C4164C2"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c>
          <w:tcPr>
            <w:tcW w:w="0" w:type="auto"/>
          </w:tcPr>
          <w:p w14:paraId="556A32AE" w14:textId="45B00F0E"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c>
          <w:tcPr>
            <w:tcW w:w="0" w:type="auto"/>
          </w:tcPr>
          <w:p w14:paraId="6627110E" w14:textId="26EED3E3"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c>
          <w:tcPr>
            <w:tcW w:w="0" w:type="auto"/>
          </w:tcPr>
          <w:p w14:paraId="03C629BF" w14:textId="005982AE"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c>
          <w:tcPr>
            <w:tcW w:w="0" w:type="auto"/>
          </w:tcPr>
          <w:p w14:paraId="643C27D3" w14:textId="403F4C30"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c>
          <w:tcPr>
            <w:tcW w:w="0" w:type="auto"/>
          </w:tcPr>
          <w:p w14:paraId="72D0C6A1" w14:textId="5AD21CE3"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c>
          <w:tcPr>
            <w:tcW w:w="0" w:type="auto"/>
          </w:tcPr>
          <w:p w14:paraId="4E610DCA" w14:textId="7C5C080A"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r>
      <w:tr w:rsidR="00CD703E" w:rsidRPr="003A4302" w14:paraId="132012F0" w14:textId="77777777" w:rsidTr="005D52B4">
        <w:tc>
          <w:tcPr>
            <w:cnfStyle w:val="001000000000" w:firstRow="0" w:lastRow="0" w:firstColumn="1" w:lastColumn="0" w:oddVBand="0" w:evenVBand="0" w:oddHBand="0" w:evenHBand="0" w:firstRowFirstColumn="0" w:firstRowLastColumn="0" w:lastRowFirstColumn="0" w:lastRowLastColumn="0"/>
            <w:tcW w:w="0" w:type="auto"/>
          </w:tcPr>
          <w:p w14:paraId="47A6AC07" w14:textId="77777777" w:rsidR="00CD703E" w:rsidRPr="006521CA" w:rsidRDefault="00CD703E" w:rsidP="006521CA">
            <w:r w:rsidRPr="006521CA">
              <w:t>Unique potential close contacts generating the uploaded handshakes within 1.5 metres for 15 minutes or more</w:t>
            </w:r>
          </w:p>
        </w:tc>
        <w:tc>
          <w:tcPr>
            <w:tcW w:w="0" w:type="auto"/>
          </w:tcPr>
          <w:p w14:paraId="602274AA" w14:textId="68C15891"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c>
          <w:tcPr>
            <w:tcW w:w="0" w:type="auto"/>
          </w:tcPr>
          <w:p w14:paraId="24E27BB8" w14:textId="1C4E2CE0"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c>
          <w:tcPr>
            <w:tcW w:w="0" w:type="auto"/>
          </w:tcPr>
          <w:p w14:paraId="1FB11325" w14:textId="13C32EC9"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c>
          <w:tcPr>
            <w:tcW w:w="0" w:type="auto"/>
          </w:tcPr>
          <w:p w14:paraId="673828FD" w14:textId="0E3E75BD"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c>
          <w:tcPr>
            <w:tcW w:w="0" w:type="auto"/>
          </w:tcPr>
          <w:p w14:paraId="708954BD" w14:textId="33437C04"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c>
          <w:tcPr>
            <w:tcW w:w="0" w:type="auto"/>
          </w:tcPr>
          <w:p w14:paraId="5F84C6E7" w14:textId="04F6ECFC"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c>
          <w:tcPr>
            <w:tcW w:w="0" w:type="auto"/>
          </w:tcPr>
          <w:p w14:paraId="03CF69A8" w14:textId="575AB6E6"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c>
          <w:tcPr>
            <w:tcW w:w="0" w:type="auto"/>
          </w:tcPr>
          <w:p w14:paraId="47150E6C" w14:textId="49AB1551"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c>
          <w:tcPr>
            <w:tcW w:w="0" w:type="auto"/>
          </w:tcPr>
          <w:p w14:paraId="0DD72E83" w14:textId="71AD6CED" w:rsidR="00CD703E" w:rsidRPr="006521CA" w:rsidRDefault="00CD703E" w:rsidP="006521CA">
            <w:pPr>
              <w:cnfStyle w:val="000000000000" w:firstRow="0" w:lastRow="0" w:firstColumn="0" w:lastColumn="0" w:oddVBand="0" w:evenVBand="0" w:oddHBand="0" w:evenHBand="0" w:firstRowFirstColumn="0" w:firstRowLastColumn="0" w:lastRowFirstColumn="0" w:lastRowLastColumn="0"/>
            </w:pPr>
            <w:r w:rsidRPr="006521CA">
              <w:t>0</w:t>
            </w:r>
          </w:p>
        </w:tc>
      </w:tr>
      <w:tr w:rsidR="00D83FAD" w:rsidRPr="003A4302" w14:paraId="5C898452" w14:textId="77777777" w:rsidTr="005D52B4">
        <w:tc>
          <w:tcPr>
            <w:cnfStyle w:val="001000000000" w:firstRow="0" w:lastRow="0" w:firstColumn="1" w:lastColumn="0" w:oddVBand="0" w:evenVBand="0" w:oddHBand="0" w:evenHBand="0" w:firstRowFirstColumn="0" w:firstRowLastColumn="0" w:lastRowFirstColumn="0" w:lastRowLastColumn="0"/>
            <w:tcW w:w="0" w:type="auto"/>
            <w:gridSpan w:val="10"/>
          </w:tcPr>
          <w:p w14:paraId="03C2A03A" w14:textId="44DC0D4C" w:rsidR="00D83FAD" w:rsidRPr="003A4302" w:rsidRDefault="00D83FAD" w:rsidP="006521CA">
            <w:pPr>
              <w:pStyle w:val="NoSpacing"/>
            </w:pPr>
            <w:r w:rsidRPr="006521CA">
              <w:rPr>
                <w:rStyle w:val="Strong"/>
              </w:rPr>
              <w:t>Note</w:t>
            </w:r>
            <w:r w:rsidRPr="003A4302">
              <w:t>: np - not published as these relate to a very small number of uploads.</w:t>
            </w:r>
          </w:p>
        </w:tc>
      </w:tr>
    </w:tbl>
    <w:bookmarkEnd w:id="13"/>
    <w:p w14:paraId="5A49BD1F" w14:textId="19FB522D" w:rsidR="004F4163" w:rsidRPr="004F4163" w:rsidRDefault="004F4163" w:rsidP="003A4302">
      <w:pPr>
        <w:pStyle w:val="Heading2"/>
        <w:rPr>
          <w:rFonts w:eastAsia="Times New Roman"/>
          <w:lang w:eastAsia="en-AU"/>
        </w:rPr>
      </w:pPr>
      <w:r w:rsidRPr="00E1729B">
        <w:rPr>
          <w:rFonts w:eastAsia="Times New Roman"/>
          <w:lang w:eastAsia="en-AU"/>
        </w:rPr>
        <w:t xml:space="preserve">Reporting Period </w:t>
      </w:r>
      <w:r w:rsidR="005D52B4" w:rsidRPr="005D52B4">
        <w:rPr>
          <w:rFonts w:eastAsia="Times New Roman"/>
          <w:lang w:eastAsia="en-AU"/>
        </w:rPr>
        <w:t>–</w:t>
      </w:r>
      <w:r w:rsidRPr="00E1729B">
        <w:rPr>
          <w:rFonts w:eastAsia="Times New Roman"/>
          <w:lang w:eastAsia="en-AU"/>
        </w:rPr>
        <w:t xml:space="preserve"> Cumulative from</w:t>
      </w:r>
      <w:r w:rsidR="00F406E7">
        <w:rPr>
          <w:rFonts w:eastAsia="Times New Roman"/>
          <w:lang w:eastAsia="en-AU"/>
        </w:rPr>
        <w:t xml:space="preserve"> </w:t>
      </w:r>
      <w:r w:rsidR="00554CBE">
        <w:rPr>
          <w:rFonts w:eastAsia="Times New Roman"/>
          <w:lang w:eastAsia="en-AU"/>
        </w:rPr>
        <w:t>2</w:t>
      </w:r>
      <w:r w:rsidR="005110FA">
        <w:rPr>
          <w:rFonts w:eastAsia="Times New Roman"/>
          <w:lang w:eastAsia="en-AU"/>
        </w:rPr>
        <w:t>6</w:t>
      </w:r>
      <w:r w:rsidR="00554CBE">
        <w:rPr>
          <w:rFonts w:eastAsia="Times New Roman"/>
          <w:lang w:eastAsia="en-AU"/>
        </w:rPr>
        <w:t xml:space="preserve"> April 2020</w:t>
      </w:r>
      <w:r w:rsidR="00F406E7" w:rsidRPr="00057F74">
        <w:rPr>
          <w:rFonts w:eastAsia="Times New Roman"/>
          <w:lang w:eastAsia="en-AU"/>
        </w:rPr>
        <w:t xml:space="preserve"> to </w:t>
      </w:r>
      <w:r w:rsidR="00AD10F2">
        <w:rPr>
          <w:rFonts w:eastAsia="Times New Roman"/>
          <w:lang w:eastAsia="en-AU"/>
        </w:rPr>
        <w:t>1</w:t>
      </w:r>
      <w:r w:rsidR="00AF3221">
        <w:rPr>
          <w:rFonts w:eastAsia="Times New Roman"/>
          <w:lang w:eastAsia="en-AU"/>
        </w:rPr>
        <w:t>6 August 2022</w:t>
      </w:r>
    </w:p>
    <w:tbl>
      <w:tblPr>
        <w:tblStyle w:val="GridTable4-Accent1"/>
        <w:tblW w:w="0" w:type="auto"/>
        <w:tblLook w:val="04A0" w:firstRow="1" w:lastRow="0" w:firstColumn="1" w:lastColumn="0" w:noHBand="0" w:noVBand="1"/>
        <w:tblDescription w:val="This table list the COVIDSafe app activities statistics for the reporting period cumulative from 26 April 2020 to 15 May 2022."/>
      </w:tblPr>
      <w:tblGrid>
        <w:gridCol w:w="2802"/>
        <w:gridCol w:w="875"/>
        <w:gridCol w:w="1026"/>
        <w:gridCol w:w="672"/>
        <w:gridCol w:w="432"/>
        <w:gridCol w:w="521"/>
        <w:gridCol w:w="672"/>
        <w:gridCol w:w="447"/>
        <w:gridCol w:w="543"/>
        <w:gridCol w:w="1026"/>
      </w:tblGrid>
      <w:tr w:rsidR="004F4163" w:rsidRPr="003A4302" w14:paraId="02CECFC6" w14:textId="77777777" w:rsidTr="00652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48B52E3" w14:textId="77777777" w:rsidR="004F4163" w:rsidRPr="003A4302" w:rsidRDefault="004F4163" w:rsidP="003A4302"/>
        </w:tc>
        <w:tc>
          <w:tcPr>
            <w:tcW w:w="0" w:type="auto"/>
          </w:tcPr>
          <w:p w14:paraId="4FF7B1E5" w14:textId="77777777" w:rsidR="004F4163" w:rsidRPr="003A4302" w:rsidRDefault="004F4163" w:rsidP="005D52B4">
            <w:pPr>
              <w:cnfStyle w:val="100000000000" w:firstRow="1" w:lastRow="0" w:firstColumn="0" w:lastColumn="0" w:oddVBand="0" w:evenVBand="0" w:oddHBand="0" w:evenHBand="0" w:firstRowFirstColumn="0" w:firstRowLastColumn="0" w:lastRowFirstColumn="0" w:lastRowLastColumn="0"/>
            </w:pPr>
            <w:r w:rsidRPr="003A4302">
              <w:t>NSW</w:t>
            </w:r>
          </w:p>
        </w:tc>
        <w:tc>
          <w:tcPr>
            <w:tcW w:w="0" w:type="auto"/>
          </w:tcPr>
          <w:p w14:paraId="6C707974" w14:textId="77777777" w:rsidR="004F4163" w:rsidRPr="003A4302" w:rsidRDefault="004F4163" w:rsidP="005D52B4">
            <w:pPr>
              <w:cnfStyle w:val="100000000000" w:firstRow="1" w:lastRow="0" w:firstColumn="0" w:lastColumn="0" w:oddVBand="0" w:evenVBand="0" w:oddHBand="0" w:evenHBand="0" w:firstRowFirstColumn="0" w:firstRowLastColumn="0" w:lastRowFirstColumn="0" w:lastRowLastColumn="0"/>
            </w:pPr>
            <w:r w:rsidRPr="003A4302">
              <w:t>VIC</w:t>
            </w:r>
          </w:p>
        </w:tc>
        <w:tc>
          <w:tcPr>
            <w:tcW w:w="0" w:type="auto"/>
          </w:tcPr>
          <w:p w14:paraId="31F03A1F" w14:textId="77777777" w:rsidR="004F4163" w:rsidRPr="003A4302" w:rsidRDefault="004F4163" w:rsidP="005D52B4">
            <w:pPr>
              <w:cnfStyle w:val="100000000000" w:firstRow="1" w:lastRow="0" w:firstColumn="0" w:lastColumn="0" w:oddVBand="0" w:evenVBand="0" w:oddHBand="0" w:evenHBand="0" w:firstRowFirstColumn="0" w:firstRowLastColumn="0" w:lastRowFirstColumn="0" w:lastRowLastColumn="0"/>
            </w:pPr>
            <w:r w:rsidRPr="003A4302">
              <w:t>QLD</w:t>
            </w:r>
          </w:p>
        </w:tc>
        <w:tc>
          <w:tcPr>
            <w:tcW w:w="0" w:type="auto"/>
          </w:tcPr>
          <w:p w14:paraId="67F28F27" w14:textId="77777777" w:rsidR="004F4163" w:rsidRPr="003A4302" w:rsidRDefault="004F4163" w:rsidP="005D52B4">
            <w:pPr>
              <w:cnfStyle w:val="100000000000" w:firstRow="1" w:lastRow="0" w:firstColumn="0" w:lastColumn="0" w:oddVBand="0" w:evenVBand="0" w:oddHBand="0" w:evenHBand="0" w:firstRowFirstColumn="0" w:firstRowLastColumn="0" w:lastRowFirstColumn="0" w:lastRowLastColumn="0"/>
            </w:pPr>
            <w:r w:rsidRPr="003A4302">
              <w:t>SA</w:t>
            </w:r>
          </w:p>
        </w:tc>
        <w:tc>
          <w:tcPr>
            <w:tcW w:w="0" w:type="auto"/>
          </w:tcPr>
          <w:p w14:paraId="5F6AA77A" w14:textId="77777777" w:rsidR="004F4163" w:rsidRPr="003A4302" w:rsidRDefault="004F4163" w:rsidP="005D52B4">
            <w:pPr>
              <w:cnfStyle w:val="100000000000" w:firstRow="1" w:lastRow="0" w:firstColumn="0" w:lastColumn="0" w:oddVBand="0" w:evenVBand="0" w:oddHBand="0" w:evenHBand="0" w:firstRowFirstColumn="0" w:firstRowLastColumn="0" w:lastRowFirstColumn="0" w:lastRowLastColumn="0"/>
            </w:pPr>
            <w:r w:rsidRPr="003A4302">
              <w:t>WA</w:t>
            </w:r>
          </w:p>
        </w:tc>
        <w:tc>
          <w:tcPr>
            <w:tcW w:w="0" w:type="auto"/>
          </w:tcPr>
          <w:p w14:paraId="19A7EB22" w14:textId="77777777" w:rsidR="004F4163" w:rsidRPr="003A4302" w:rsidRDefault="004F4163" w:rsidP="005D52B4">
            <w:pPr>
              <w:cnfStyle w:val="100000000000" w:firstRow="1" w:lastRow="0" w:firstColumn="0" w:lastColumn="0" w:oddVBand="0" w:evenVBand="0" w:oddHBand="0" w:evenHBand="0" w:firstRowFirstColumn="0" w:firstRowLastColumn="0" w:lastRowFirstColumn="0" w:lastRowLastColumn="0"/>
            </w:pPr>
            <w:r w:rsidRPr="003A4302">
              <w:t>TAS</w:t>
            </w:r>
          </w:p>
        </w:tc>
        <w:tc>
          <w:tcPr>
            <w:tcW w:w="0" w:type="auto"/>
          </w:tcPr>
          <w:p w14:paraId="59F43BD6" w14:textId="77777777" w:rsidR="004F4163" w:rsidRPr="003A4302" w:rsidRDefault="004F4163" w:rsidP="005D52B4">
            <w:pPr>
              <w:cnfStyle w:val="100000000000" w:firstRow="1" w:lastRow="0" w:firstColumn="0" w:lastColumn="0" w:oddVBand="0" w:evenVBand="0" w:oddHBand="0" w:evenHBand="0" w:firstRowFirstColumn="0" w:firstRowLastColumn="0" w:lastRowFirstColumn="0" w:lastRowLastColumn="0"/>
            </w:pPr>
            <w:r w:rsidRPr="003A4302">
              <w:t>NT</w:t>
            </w:r>
          </w:p>
        </w:tc>
        <w:tc>
          <w:tcPr>
            <w:tcW w:w="0" w:type="auto"/>
          </w:tcPr>
          <w:p w14:paraId="09A85B56" w14:textId="77777777" w:rsidR="004F4163" w:rsidRPr="003A4302" w:rsidRDefault="004F4163" w:rsidP="005D52B4">
            <w:pPr>
              <w:cnfStyle w:val="100000000000" w:firstRow="1" w:lastRow="0" w:firstColumn="0" w:lastColumn="0" w:oddVBand="0" w:evenVBand="0" w:oddHBand="0" w:evenHBand="0" w:firstRowFirstColumn="0" w:firstRowLastColumn="0" w:lastRowFirstColumn="0" w:lastRowLastColumn="0"/>
            </w:pPr>
            <w:r w:rsidRPr="003A4302">
              <w:t>ACT</w:t>
            </w:r>
          </w:p>
        </w:tc>
        <w:tc>
          <w:tcPr>
            <w:tcW w:w="0" w:type="auto"/>
          </w:tcPr>
          <w:p w14:paraId="1AC49683" w14:textId="77777777" w:rsidR="004F4163" w:rsidRPr="003A4302" w:rsidRDefault="004F4163" w:rsidP="005D52B4">
            <w:pPr>
              <w:cnfStyle w:val="100000000000" w:firstRow="1" w:lastRow="0" w:firstColumn="0" w:lastColumn="0" w:oddVBand="0" w:evenVBand="0" w:oddHBand="0" w:evenHBand="0" w:firstRowFirstColumn="0" w:firstRowLastColumn="0" w:lastRowFirstColumn="0" w:lastRowLastColumn="0"/>
            </w:pPr>
            <w:r w:rsidRPr="003A4302">
              <w:t>TOTAL</w:t>
            </w:r>
          </w:p>
        </w:tc>
      </w:tr>
      <w:tr w:rsidR="004F4163" w:rsidRPr="003A4302" w14:paraId="20497210" w14:textId="77777777" w:rsidTr="006521CA">
        <w:tc>
          <w:tcPr>
            <w:cnfStyle w:val="001000000000" w:firstRow="0" w:lastRow="0" w:firstColumn="1" w:lastColumn="0" w:oddVBand="0" w:evenVBand="0" w:oddHBand="0" w:evenHBand="0" w:firstRowFirstColumn="0" w:firstRowLastColumn="0" w:lastRowFirstColumn="0" w:lastRowLastColumn="0"/>
            <w:tcW w:w="0" w:type="auto"/>
          </w:tcPr>
          <w:p w14:paraId="53058A8A" w14:textId="77777777" w:rsidR="004F4163" w:rsidRPr="003A4302" w:rsidRDefault="004F4163" w:rsidP="005D52B4">
            <w:r w:rsidRPr="003A4302">
              <w:t>Uploads by COVIDSafe users who tested positive to COVID-19</w:t>
            </w:r>
          </w:p>
        </w:tc>
        <w:tc>
          <w:tcPr>
            <w:tcW w:w="0" w:type="auto"/>
          </w:tcPr>
          <w:p w14:paraId="16A09F0A"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125</w:t>
            </w:r>
          </w:p>
        </w:tc>
        <w:tc>
          <w:tcPr>
            <w:tcW w:w="0" w:type="auto"/>
          </w:tcPr>
          <w:p w14:paraId="2B01F104"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661</w:t>
            </w:r>
          </w:p>
        </w:tc>
        <w:tc>
          <w:tcPr>
            <w:tcW w:w="0" w:type="auto"/>
          </w:tcPr>
          <w:p w14:paraId="0487EAA4"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6D41544A"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7E4B9C5B"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35BA4A77"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46C7975D"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7206A658"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04287CD4"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792</w:t>
            </w:r>
          </w:p>
        </w:tc>
      </w:tr>
      <w:tr w:rsidR="004F4163" w:rsidRPr="003A4302" w14:paraId="0BA13968" w14:textId="77777777" w:rsidTr="006521CA">
        <w:tc>
          <w:tcPr>
            <w:cnfStyle w:val="001000000000" w:firstRow="0" w:lastRow="0" w:firstColumn="1" w:lastColumn="0" w:oddVBand="0" w:evenVBand="0" w:oddHBand="0" w:evenHBand="0" w:firstRowFirstColumn="0" w:firstRowLastColumn="0" w:lastRowFirstColumn="0" w:lastRowLastColumn="0"/>
            <w:tcW w:w="0" w:type="auto"/>
          </w:tcPr>
          <w:p w14:paraId="3CA98743" w14:textId="77777777" w:rsidR="004F4163" w:rsidRPr="003A4302" w:rsidRDefault="004F4163" w:rsidP="005D52B4">
            <w:r w:rsidRPr="003A4302">
              <w:t>Handshakes contained in the uploads</w:t>
            </w:r>
          </w:p>
        </w:tc>
        <w:tc>
          <w:tcPr>
            <w:tcW w:w="0" w:type="auto"/>
          </w:tcPr>
          <w:p w14:paraId="4EB6D8B3"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251,153</w:t>
            </w:r>
          </w:p>
        </w:tc>
        <w:tc>
          <w:tcPr>
            <w:tcW w:w="0" w:type="auto"/>
          </w:tcPr>
          <w:p w14:paraId="57A4302E"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1,396,574</w:t>
            </w:r>
          </w:p>
        </w:tc>
        <w:tc>
          <w:tcPr>
            <w:tcW w:w="0" w:type="auto"/>
          </w:tcPr>
          <w:p w14:paraId="50D936CB"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3,293</w:t>
            </w:r>
          </w:p>
        </w:tc>
        <w:tc>
          <w:tcPr>
            <w:tcW w:w="0" w:type="auto"/>
          </w:tcPr>
          <w:p w14:paraId="3817DAAB"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062CB28F"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955</w:t>
            </w:r>
          </w:p>
        </w:tc>
        <w:tc>
          <w:tcPr>
            <w:tcW w:w="0" w:type="auto"/>
          </w:tcPr>
          <w:p w14:paraId="7BCAC2A8"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2,026</w:t>
            </w:r>
          </w:p>
        </w:tc>
        <w:tc>
          <w:tcPr>
            <w:tcW w:w="0" w:type="auto"/>
          </w:tcPr>
          <w:p w14:paraId="2C9A9567"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41625953"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750994E0"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1,654,001</w:t>
            </w:r>
          </w:p>
        </w:tc>
      </w:tr>
      <w:tr w:rsidR="004F4163" w:rsidRPr="003A4302" w14:paraId="4C7AD774" w14:textId="77777777" w:rsidTr="006521CA">
        <w:tc>
          <w:tcPr>
            <w:cnfStyle w:val="001000000000" w:firstRow="0" w:lastRow="0" w:firstColumn="1" w:lastColumn="0" w:oddVBand="0" w:evenVBand="0" w:oddHBand="0" w:evenHBand="0" w:firstRowFirstColumn="0" w:firstRowLastColumn="0" w:lastRowFirstColumn="0" w:lastRowLastColumn="0"/>
            <w:tcW w:w="0" w:type="auto"/>
          </w:tcPr>
          <w:p w14:paraId="43241124" w14:textId="77777777" w:rsidR="004F4163" w:rsidRPr="003A4302" w:rsidRDefault="004F4163" w:rsidP="005D52B4">
            <w:r w:rsidRPr="003A4302">
              <w:t>Encounters contained in the uploads that are within 1.5 metres for 15 minutes or more</w:t>
            </w:r>
          </w:p>
        </w:tc>
        <w:tc>
          <w:tcPr>
            <w:tcW w:w="0" w:type="auto"/>
          </w:tcPr>
          <w:p w14:paraId="59B25B0F"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10,792</w:t>
            </w:r>
          </w:p>
        </w:tc>
        <w:tc>
          <w:tcPr>
            <w:tcW w:w="0" w:type="auto"/>
          </w:tcPr>
          <w:p w14:paraId="2A5C2525"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26,414</w:t>
            </w:r>
          </w:p>
        </w:tc>
        <w:tc>
          <w:tcPr>
            <w:tcW w:w="0" w:type="auto"/>
          </w:tcPr>
          <w:p w14:paraId="2C09B5FD"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190</w:t>
            </w:r>
          </w:p>
        </w:tc>
        <w:tc>
          <w:tcPr>
            <w:tcW w:w="0" w:type="auto"/>
          </w:tcPr>
          <w:p w14:paraId="0B977192"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4BECAC87"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170</w:t>
            </w:r>
          </w:p>
        </w:tc>
        <w:tc>
          <w:tcPr>
            <w:tcW w:w="0" w:type="auto"/>
          </w:tcPr>
          <w:p w14:paraId="51A3A39D"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111</w:t>
            </w:r>
          </w:p>
        </w:tc>
        <w:tc>
          <w:tcPr>
            <w:tcW w:w="0" w:type="auto"/>
          </w:tcPr>
          <w:p w14:paraId="0DC89F72"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649990FC"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725BF2B4"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37,677</w:t>
            </w:r>
          </w:p>
        </w:tc>
      </w:tr>
      <w:tr w:rsidR="004F4163" w:rsidRPr="003A4302" w14:paraId="3095E3EE" w14:textId="77777777" w:rsidTr="006521CA">
        <w:tc>
          <w:tcPr>
            <w:cnfStyle w:val="001000000000" w:firstRow="0" w:lastRow="0" w:firstColumn="1" w:lastColumn="0" w:oddVBand="0" w:evenVBand="0" w:oddHBand="0" w:evenHBand="0" w:firstRowFirstColumn="0" w:firstRowLastColumn="0" w:lastRowFirstColumn="0" w:lastRowLastColumn="0"/>
            <w:tcW w:w="0" w:type="auto"/>
          </w:tcPr>
          <w:p w14:paraId="1FA864EB" w14:textId="126B21ED" w:rsidR="004F4163" w:rsidRPr="003A4302" w:rsidRDefault="004F4163" w:rsidP="005D52B4">
            <w:r w:rsidRPr="003A4302">
              <w:t>Unique potential close contacts generating the uploaded handshakes within 1.5 metres for 15</w:t>
            </w:r>
            <w:r w:rsidR="00FC32C5">
              <w:t> </w:t>
            </w:r>
            <w:r w:rsidRPr="003A4302">
              <w:t>minutes or more</w:t>
            </w:r>
          </w:p>
        </w:tc>
        <w:tc>
          <w:tcPr>
            <w:tcW w:w="0" w:type="auto"/>
          </w:tcPr>
          <w:p w14:paraId="1A3454CE"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1,041</w:t>
            </w:r>
          </w:p>
        </w:tc>
        <w:tc>
          <w:tcPr>
            <w:tcW w:w="0" w:type="auto"/>
          </w:tcPr>
          <w:p w14:paraId="64A6169C"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1,733</w:t>
            </w:r>
          </w:p>
        </w:tc>
        <w:tc>
          <w:tcPr>
            <w:tcW w:w="0" w:type="auto"/>
          </w:tcPr>
          <w:p w14:paraId="52BE4C37"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34</w:t>
            </w:r>
          </w:p>
        </w:tc>
        <w:tc>
          <w:tcPr>
            <w:tcW w:w="0" w:type="auto"/>
          </w:tcPr>
          <w:p w14:paraId="697EC93F"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3FFB6BF9"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12</w:t>
            </w:r>
          </w:p>
        </w:tc>
        <w:tc>
          <w:tcPr>
            <w:tcW w:w="0" w:type="auto"/>
          </w:tcPr>
          <w:p w14:paraId="2B6A137D"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9</w:t>
            </w:r>
          </w:p>
        </w:tc>
        <w:tc>
          <w:tcPr>
            <w:tcW w:w="0" w:type="auto"/>
          </w:tcPr>
          <w:p w14:paraId="1F7A68B2"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360F36AD"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np</w:t>
            </w:r>
          </w:p>
        </w:tc>
        <w:tc>
          <w:tcPr>
            <w:tcW w:w="0" w:type="auto"/>
          </w:tcPr>
          <w:p w14:paraId="00B165AA" w14:textId="77777777" w:rsidR="004F4163" w:rsidRPr="003A4302" w:rsidRDefault="004F4163" w:rsidP="005D52B4">
            <w:pPr>
              <w:cnfStyle w:val="000000000000" w:firstRow="0" w:lastRow="0" w:firstColumn="0" w:lastColumn="0" w:oddVBand="0" w:evenVBand="0" w:oddHBand="0" w:evenHBand="0" w:firstRowFirstColumn="0" w:firstRowLastColumn="0" w:lastRowFirstColumn="0" w:lastRowLastColumn="0"/>
            </w:pPr>
            <w:r w:rsidRPr="003A4302">
              <w:t>2,829</w:t>
            </w:r>
          </w:p>
        </w:tc>
      </w:tr>
      <w:tr w:rsidR="00D83FAD" w:rsidRPr="003A4302" w14:paraId="33915B72" w14:textId="77777777" w:rsidTr="006521CA">
        <w:tc>
          <w:tcPr>
            <w:cnfStyle w:val="001000000000" w:firstRow="0" w:lastRow="0" w:firstColumn="1" w:lastColumn="0" w:oddVBand="0" w:evenVBand="0" w:oddHBand="0" w:evenHBand="0" w:firstRowFirstColumn="0" w:firstRowLastColumn="0" w:lastRowFirstColumn="0" w:lastRowLastColumn="0"/>
            <w:tcW w:w="0" w:type="auto"/>
            <w:gridSpan w:val="10"/>
          </w:tcPr>
          <w:p w14:paraId="568E7E55" w14:textId="77777777" w:rsidR="00D83FAD" w:rsidRPr="003A4302" w:rsidRDefault="00D83FAD" w:rsidP="005D52B4">
            <w:pPr>
              <w:pStyle w:val="NoSpacing"/>
            </w:pPr>
            <w:r w:rsidRPr="005D52B4">
              <w:rPr>
                <w:rStyle w:val="Strong"/>
              </w:rPr>
              <w:t>Note</w:t>
            </w:r>
            <w:r w:rsidRPr="003A4302">
              <w:t>: np - not published as these relate to a very small number of uploads.</w:t>
            </w:r>
          </w:p>
        </w:tc>
      </w:tr>
    </w:tbl>
    <w:p w14:paraId="25FD8EDD" w14:textId="77777777" w:rsidR="006521CA" w:rsidRPr="006521CA" w:rsidRDefault="006521CA" w:rsidP="006521CA">
      <w:r w:rsidRPr="006521CA">
        <w:br w:type="page"/>
      </w:r>
    </w:p>
    <w:p w14:paraId="17052934" w14:textId="1D356F5A" w:rsidR="004F4163" w:rsidRPr="004F4163" w:rsidRDefault="004F4163" w:rsidP="003A4302">
      <w:pPr>
        <w:pStyle w:val="Heading2"/>
        <w:rPr>
          <w:rFonts w:eastAsia="Times New Roman"/>
          <w:lang w:eastAsia="en-AU"/>
        </w:rPr>
      </w:pPr>
      <w:r w:rsidRPr="004F4163">
        <w:rPr>
          <w:rFonts w:eastAsia="Times New Roman"/>
          <w:lang w:eastAsia="en-AU"/>
        </w:rPr>
        <w:lastRenderedPageBreak/>
        <w:t>Key Definitions</w:t>
      </w:r>
    </w:p>
    <w:p w14:paraId="78A0BBA4" w14:textId="77777777" w:rsidR="004F4163" w:rsidRPr="003A4302" w:rsidRDefault="004F4163" w:rsidP="005D52B4">
      <w:r w:rsidRPr="003A4302">
        <w:t>Uploads: Number of unique people who have had their data uploaded to the NCDS.</w:t>
      </w:r>
    </w:p>
    <w:p w14:paraId="6F91D3A9" w14:textId="77777777" w:rsidR="004F4163" w:rsidRPr="003A4302" w:rsidRDefault="004F4163" w:rsidP="005D52B4">
      <w:r w:rsidRPr="003A4302">
        <w:t>Handshake: A single Bluetooth exchange between two devices. Contact details such as date, duration, and proximity are collected around the handshake.</w:t>
      </w:r>
    </w:p>
    <w:p w14:paraId="56C47B78" w14:textId="6A7FA297" w:rsidR="004F4163" w:rsidRPr="003A4302" w:rsidRDefault="004F4163" w:rsidP="005D52B4">
      <w:r w:rsidRPr="003A4302">
        <w:t xml:space="preserve">Encounter: An encounter is an interaction between two people who have the COVIDSafe app who have been in contact of within 1.5 metres for 15 minutes or more.  </w:t>
      </w:r>
      <w:bookmarkStart w:id="14" w:name="_Hlk86819321"/>
      <w:r w:rsidRPr="003A4302">
        <w:t>The algorithm change to one minute was implemented on 15 October</w:t>
      </w:r>
      <w:r w:rsidR="006E6859" w:rsidRPr="003A4302">
        <w:t xml:space="preserve"> 2021</w:t>
      </w:r>
      <w:r w:rsidRPr="003A4302">
        <w:t>, resulting data has not been included in this report.</w:t>
      </w:r>
      <w:bookmarkEnd w:id="14"/>
    </w:p>
    <w:p w14:paraId="379C9C38" w14:textId="158C2D01" w:rsidR="004F4163" w:rsidRPr="003A4302" w:rsidRDefault="004F4163" w:rsidP="005D52B4">
      <w:r w:rsidRPr="003A4302">
        <w:t>Potential Close Contact: Number of potential close contacts identified after the data of a positive case has been uploaded.</w:t>
      </w:r>
    </w:p>
    <w:sectPr w:rsidR="004F4163" w:rsidRPr="003A4302" w:rsidSect="006521CA">
      <w:headerReference w:type="default" r:id="rId11"/>
      <w:footerReference w:type="default" r:id="rId12"/>
      <w:pgSz w:w="11906" w:h="16838"/>
      <w:pgMar w:top="2410" w:right="1440" w:bottom="709" w:left="1440" w:header="708" w:footer="3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98DCD" w14:textId="77777777" w:rsidR="00FF7B51" w:rsidRDefault="00FF7B51" w:rsidP="004F4163">
      <w:pPr>
        <w:spacing w:after="0"/>
      </w:pPr>
      <w:r>
        <w:separator/>
      </w:r>
    </w:p>
  </w:endnote>
  <w:endnote w:type="continuationSeparator" w:id="0">
    <w:p w14:paraId="570F6027" w14:textId="77777777" w:rsidR="00FF7B51" w:rsidRDefault="00FF7B51" w:rsidP="004F4163">
      <w:pPr>
        <w:spacing w:after="0"/>
      </w:pPr>
      <w:r>
        <w:continuationSeparator/>
      </w:r>
    </w:p>
  </w:endnote>
  <w:endnote w:type="continuationNotice" w:id="1">
    <w:p w14:paraId="104C7954" w14:textId="77777777" w:rsidR="00FF7B51" w:rsidRDefault="00FF7B5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A81D" w14:textId="0DA54E23" w:rsidR="003A4302" w:rsidRPr="003A4302" w:rsidRDefault="003A4302" w:rsidP="003A4302">
    <w:pPr>
      <w:pStyle w:val="Footer"/>
    </w:pPr>
    <w:r>
      <w:t xml:space="preserve">Department of Health and Aged Care – </w:t>
    </w:r>
    <w:r w:rsidR="00566022">
      <w:t xml:space="preserve">Fourth and Final </w:t>
    </w:r>
    <w:r w:rsidR="00160413" w:rsidRPr="00160413">
      <w:t>report on the operation and effectiveness of</w:t>
    </w:r>
    <w:r w:rsidR="00323684">
      <w:t> </w:t>
    </w:r>
    <w:proofErr w:type="spellStart"/>
    <w:r w:rsidR="00160413" w:rsidRPr="00160413">
      <w:t>COVIDSafe</w:t>
    </w:r>
    <w:proofErr w:type="spellEnd"/>
    <w:r w:rsidR="00160413" w:rsidRPr="00160413">
      <w:t xml:space="preserve"> and the National </w:t>
    </w:r>
    <w:proofErr w:type="spellStart"/>
    <w:r w:rsidR="00160413" w:rsidRPr="00160413">
      <w:t>COVIDSafe</w:t>
    </w:r>
    <w:proofErr w:type="spellEnd"/>
    <w:r w:rsidR="00160413" w:rsidRPr="00160413">
      <w:t xml:space="preserve"> data Store</w:t>
    </w:r>
    <w:sdt>
      <w:sdtPr>
        <w:id w:val="-183903453"/>
        <w:docPartObj>
          <w:docPartGallery w:val="Page Numbers (Bottom of Page)"/>
          <w:docPartUnique/>
        </w:docPartObj>
      </w:sdtPr>
      <w:sdtEndPr/>
      <w:sdtContent>
        <w:r w:rsidR="00160413">
          <w:tab/>
        </w:r>
        <w:r w:rsidRPr="003D033A">
          <w:fldChar w:fldCharType="begin"/>
        </w:r>
        <w:r w:rsidRPr="003D033A">
          <w:instrText xml:space="preserve"> PAGE   \* MERGEFORMAT </w:instrText>
        </w:r>
        <w:r w:rsidRPr="003D033A">
          <w:fldChar w:fldCharType="separate"/>
        </w:r>
        <w:r>
          <w:t>2</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5F49D" w14:textId="77777777" w:rsidR="00FF7B51" w:rsidRDefault="00FF7B51" w:rsidP="004F4163">
      <w:pPr>
        <w:spacing w:after="0"/>
      </w:pPr>
      <w:r>
        <w:separator/>
      </w:r>
    </w:p>
  </w:footnote>
  <w:footnote w:type="continuationSeparator" w:id="0">
    <w:p w14:paraId="3FA83023" w14:textId="77777777" w:rsidR="00FF7B51" w:rsidRDefault="00FF7B51" w:rsidP="004F4163">
      <w:pPr>
        <w:spacing w:after="0"/>
      </w:pPr>
      <w:r>
        <w:continuationSeparator/>
      </w:r>
    </w:p>
  </w:footnote>
  <w:footnote w:type="continuationNotice" w:id="1">
    <w:p w14:paraId="15C5981B" w14:textId="77777777" w:rsidR="00FF7B51" w:rsidRDefault="00FF7B5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40C6" w14:textId="221445CB" w:rsidR="00567F93" w:rsidRPr="00567F93" w:rsidRDefault="00567F93" w:rsidP="00567F93">
    <w:pPr>
      <w:pStyle w:val="Header"/>
    </w:pPr>
    <w:r>
      <w:rPr>
        <w:noProof/>
        <w:lang w:eastAsia="en-AU"/>
      </w:rPr>
      <w:drawing>
        <wp:inline distT="0" distB="0" distL="0" distR="0" wp14:anchorId="7EC63D41" wp14:editId="5A7AFE70">
          <wp:extent cx="5759450" cy="941705"/>
          <wp:effectExtent l="0" t="0" r="635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903C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8A7F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7A6D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8EFFA6"/>
    <w:lvl w:ilvl="0">
      <w:start w:val="1"/>
      <w:numFmt w:val="lowerLetter"/>
      <w:pStyle w:val="ListNumber2"/>
      <w:lvlText w:val="(%1)"/>
      <w:lvlJc w:val="left"/>
      <w:pPr>
        <w:ind w:left="643" w:hanging="360"/>
      </w:pPr>
      <w:rPr>
        <w:rFonts w:ascii="Arial" w:hAnsi="Arial" w:cs="Arial" w:hint="default"/>
        <w:b w:val="0"/>
        <w:bCs w:val="0"/>
        <w:i w:val="0"/>
        <w:iCs w:val="0"/>
        <w:spacing w:val="-1"/>
        <w:w w:val="99"/>
        <w:sz w:val="20"/>
        <w:szCs w:val="20"/>
      </w:rPr>
    </w:lvl>
  </w:abstractNum>
  <w:abstractNum w:abstractNumId="4" w15:restartNumberingAfterBreak="0">
    <w:nsid w:val="FFFFFF80"/>
    <w:multiLevelType w:val="singleLevel"/>
    <w:tmpl w:val="DF8ED8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2FF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8C93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C86956"/>
    <w:lvl w:ilvl="0">
      <w:start w:val="1"/>
      <w:numFmt w:val="bullet"/>
      <w:pStyle w:val="ListBullet2"/>
      <w:lvlText w:val="o"/>
      <w:lvlJc w:val="left"/>
      <w:pPr>
        <w:ind w:left="643" w:hanging="360"/>
      </w:pPr>
      <w:rPr>
        <w:rFonts w:ascii="Courier New" w:hAnsi="Courier New" w:cs="Courier New" w:hint="default"/>
      </w:rPr>
    </w:lvl>
  </w:abstractNum>
  <w:abstractNum w:abstractNumId="8" w15:restartNumberingAfterBreak="0">
    <w:nsid w:val="FFFFFF88"/>
    <w:multiLevelType w:val="singleLevel"/>
    <w:tmpl w:val="42CACB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B0B1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029E7"/>
    <w:multiLevelType w:val="hybridMultilevel"/>
    <w:tmpl w:val="6D04D2D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AD77E5D"/>
    <w:multiLevelType w:val="hybridMultilevel"/>
    <w:tmpl w:val="02967E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DC459FE"/>
    <w:multiLevelType w:val="hybridMultilevel"/>
    <w:tmpl w:val="7CC2C2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D902845"/>
    <w:multiLevelType w:val="hybridMultilevel"/>
    <w:tmpl w:val="29E20A90"/>
    <w:lvl w:ilvl="0" w:tplc="0C090001">
      <w:start w:val="1"/>
      <w:numFmt w:val="bullet"/>
      <w:lvlText w:val=""/>
      <w:lvlJc w:val="left"/>
      <w:pPr>
        <w:ind w:left="3271" w:hanging="360"/>
      </w:pPr>
      <w:rPr>
        <w:rFonts w:ascii="Symbol" w:hAnsi="Symbol" w:hint="default"/>
      </w:rPr>
    </w:lvl>
    <w:lvl w:ilvl="1" w:tplc="0C090003" w:tentative="1">
      <w:start w:val="1"/>
      <w:numFmt w:val="bullet"/>
      <w:lvlText w:val="o"/>
      <w:lvlJc w:val="left"/>
      <w:pPr>
        <w:ind w:left="3991" w:hanging="360"/>
      </w:pPr>
      <w:rPr>
        <w:rFonts w:ascii="Courier New" w:hAnsi="Courier New" w:cs="Courier New" w:hint="default"/>
      </w:rPr>
    </w:lvl>
    <w:lvl w:ilvl="2" w:tplc="0C090005" w:tentative="1">
      <w:start w:val="1"/>
      <w:numFmt w:val="bullet"/>
      <w:lvlText w:val=""/>
      <w:lvlJc w:val="left"/>
      <w:pPr>
        <w:ind w:left="4711" w:hanging="360"/>
      </w:pPr>
      <w:rPr>
        <w:rFonts w:ascii="Wingdings" w:hAnsi="Wingdings" w:hint="default"/>
      </w:rPr>
    </w:lvl>
    <w:lvl w:ilvl="3" w:tplc="0C090001" w:tentative="1">
      <w:start w:val="1"/>
      <w:numFmt w:val="bullet"/>
      <w:lvlText w:val=""/>
      <w:lvlJc w:val="left"/>
      <w:pPr>
        <w:ind w:left="5431" w:hanging="360"/>
      </w:pPr>
      <w:rPr>
        <w:rFonts w:ascii="Symbol" w:hAnsi="Symbol" w:hint="default"/>
      </w:rPr>
    </w:lvl>
    <w:lvl w:ilvl="4" w:tplc="0C090003" w:tentative="1">
      <w:start w:val="1"/>
      <w:numFmt w:val="bullet"/>
      <w:lvlText w:val="o"/>
      <w:lvlJc w:val="left"/>
      <w:pPr>
        <w:ind w:left="6151" w:hanging="360"/>
      </w:pPr>
      <w:rPr>
        <w:rFonts w:ascii="Courier New" w:hAnsi="Courier New" w:cs="Courier New" w:hint="default"/>
      </w:rPr>
    </w:lvl>
    <w:lvl w:ilvl="5" w:tplc="0C090005" w:tentative="1">
      <w:start w:val="1"/>
      <w:numFmt w:val="bullet"/>
      <w:lvlText w:val=""/>
      <w:lvlJc w:val="left"/>
      <w:pPr>
        <w:ind w:left="6871" w:hanging="360"/>
      </w:pPr>
      <w:rPr>
        <w:rFonts w:ascii="Wingdings" w:hAnsi="Wingdings" w:hint="default"/>
      </w:rPr>
    </w:lvl>
    <w:lvl w:ilvl="6" w:tplc="0C090001" w:tentative="1">
      <w:start w:val="1"/>
      <w:numFmt w:val="bullet"/>
      <w:lvlText w:val=""/>
      <w:lvlJc w:val="left"/>
      <w:pPr>
        <w:ind w:left="7591" w:hanging="360"/>
      </w:pPr>
      <w:rPr>
        <w:rFonts w:ascii="Symbol" w:hAnsi="Symbol" w:hint="default"/>
      </w:rPr>
    </w:lvl>
    <w:lvl w:ilvl="7" w:tplc="0C090003" w:tentative="1">
      <w:start w:val="1"/>
      <w:numFmt w:val="bullet"/>
      <w:lvlText w:val="o"/>
      <w:lvlJc w:val="left"/>
      <w:pPr>
        <w:ind w:left="8311" w:hanging="360"/>
      </w:pPr>
      <w:rPr>
        <w:rFonts w:ascii="Courier New" w:hAnsi="Courier New" w:cs="Courier New" w:hint="default"/>
      </w:rPr>
    </w:lvl>
    <w:lvl w:ilvl="8" w:tplc="0C090005" w:tentative="1">
      <w:start w:val="1"/>
      <w:numFmt w:val="bullet"/>
      <w:lvlText w:val=""/>
      <w:lvlJc w:val="left"/>
      <w:pPr>
        <w:ind w:left="9031" w:hanging="360"/>
      </w:pPr>
      <w:rPr>
        <w:rFonts w:ascii="Wingdings" w:hAnsi="Wingdings" w:hint="default"/>
      </w:rPr>
    </w:lvl>
  </w:abstractNum>
  <w:abstractNum w:abstractNumId="1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883043"/>
    <w:multiLevelType w:val="hybridMultilevel"/>
    <w:tmpl w:val="4D6EF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694D54"/>
    <w:multiLevelType w:val="hybridMultilevel"/>
    <w:tmpl w:val="C2EC72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CEE19A3"/>
    <w:multiLevelType w:val="hybridMultilevel"/>
    <w:tmpl w:val="B59E22EC"/>
    <w:lvl w:ilvl="0" w:tplc="B4CA2056">
      <w:start w:val="1"/>
      <w:numFmt w:val="bullet"/>
      <w:lvlText w:val=""/>
      <w:lvlJc w:val="left"/>
      <w:pPr>
        <w:ind w:left="360" w:hanging="360"/>
      </w:pPr>
      <w:rPr>
        <w:rFonts w:ascii="Symbol" w:hAnsi="Symbol" w:hint="default"/>
      </w:rPr>
    </w:lvl>
    <w:lvl w:ilvl="1" w:tplc="C8748FB4">
      <w:start w:val="1"/>
      <w:numFmt w:val="bullet"/>
      <w:lvlText w:val="o"/>
      <w:lvlJc w:val="left"/>
      <w:pPr>
        <w:ind w:left="1080" w:hanging="360"/>
      </w:pPr>
      <w:rPr>
        <w:rFonts w:ascii="Courier New" w:hAnsi="Courier New" w:cs="Courier New" w:hint="default"/>
      </w:rPr>
    </w:lvl>
    <w:lvl w:ilvl="2" w:tplc="52781D16" w:tentative="1">
      <w:start w:val="1"/>
      <w:numFmt w:val="bullet"/>
      <w:lvlText w:val=""/>
      <w:lvlJc w:val="left"/>
      <w:pPr>
        <w:ind w:left="1800" w:hanging="360"/>
      </w:pPr>
      <w:rPr>
        <w:rFonts w:ascii="Wingdings" w:hAnsi="Wingdings" w:hint="default"/>
      </w:rPr>
    </w:lvl>
    <w:lvl w:ilvl="3" w:tplc="1690D7D2" w:tentative="1">
      <w:start w:val="1"/>
      <w:numFmt w:val="bullet"/>
      <w:lvlText w:val=""/>
      <w:lvlJc w:val="left"/>
      <w:pPr>
        <w:ind w:left="2520" w:hanging="360"/>
      </w:pPr>
      <w:rPr>
        <w:rFonts w:ascii="Symbol" w:hAnsi="Symbol" w:hint="default"/>
      </w:rPr>
    </w:lvl>
    <w:lvl w:ilvl="4" w:tplc="0CE89DD2" w:tentative="1">
      <w:start w:val="1"/>
      <w:numFmt w:val="bullet"/>
      <w:lvlText w:val="o"/>
      <w:lvlJc w:val="left"/>
      <w:pPr>
        <w:ind w:left="3240" w:hanging="360"/>
      </w:pPr>
      <w:rPr>
        <w:rFonts w:ascii="Courier New" w:hAnsi="Courier New" w:cs="Courier New" w:hint="default"/>
      </w:rPr>
    </w:lvl>
    <w:lvl w:ilvl="5" w:tplc="0A3CE8EC" w:tentative="1">
      <w:start w:val="1"/>
      <w:numFmt w:val="bullet"/>
      <w:lvlText w:val=""/>
      <w:lvlJc w:val="left"/>
      <w:pPr>
        <w:ind w:left="3960" w:hanging="360"/>
      </w:pPr>
      <w:rPr>
        <w:rFonts w:ascii="Wingdings" w:hAnsi="Wingdings" w:hint="default"/>
      </w:rPr>
    </w:lvl>
    <w:lvl w:ilvl="6" w:tplc="43D2635E" w:tentative="1">
      <w:start w:val="1"/>
      <w:numFmt w:val="bullet"/>
      <w:lvlText w:val=""/>
      <w:lvlJc w:val="left"/>
      <w:pPr>
        <w:ind w:left="4680" w:hanging="360"/>
      </w:pPr>
      <w:rPr>
        <w:rFonts w:ascii="Symbol" w:hAnsi="Symbol" w:hint="default"/>
      </w:rPr>
    </w:lvl>
    <w:lvl w:ilvl="7" w:tplc="8676C13E" w:tentative="1">
      <w:start w:val="1"/>
      <w:numFmt w:val="bullet"/>
      <w:lvlText w:val="o"/>
      <w:lvlJc w:val="left"/>
      <w:pPr>
        <w:ind w:left="5400" w:hanging="360"/>
      </w:pPr>
      <w:rPr>
        <w:rFonts w:ascii="Courier New" w:hAnsi="Courier New" w:cs="Courier New" w:hint="default"/>
      </w:rPr>
    </w:lvl>
    <w:lvl w:ilvl="8" w:tplc="E734433E" w:tentative="1">
      <w:start w:val="1"/>
      <w:numFmt w:val="bullet"/>
      <w:lvlText w:val=""/>
      <w:lvlJc w:val="left"/>
      <w:pPr>
        <w:ind w:left="6120" w:hanging="360"/>
      </w:pPr>
      <w:rPr>
        <w:rFonts w:ascii="Wingdings" w:hAnsi="Wingdings" w:hint="default"/>
      </w:rPr>
    </w:lvl>
  </w:abstractNum>
  <w:abstractNum w:abstractNumId="18" w15:restartNumberingAfterBreak="0">
    <w:nsid w:val="7D4B041E"/>
    <w:multiLevelType w:val="hybridMultilevel"/>
    <w:tmpl w:val="7F2C5A70"/>
    <w:lvl w:ilvl="0" w:tplc="88C8C8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D766100"/>
    <w:multiLevelType w:val="hybridMultilevel"/>
    <w:tmpl w:val="B6E029D8"/>
    <w:lvl w:ilvl="0" w:tplc="0DF6E9FE">
      <w:start w:val="1"/>
      <w:numFmt w:val="bullet"/>
      <w:lvlText w:val=""/>
      <w:lvlJc w:val="left"/>
      <w:pPr>
        <w:ind w:left="360" w:hanging="360"/>
      </w:pPr>
      <w:rPr>
        <w:rFonts w:ascii="Symbol" w:hAnsi="Symbol" w:hint="default"/>
        <w:color w:val="auto"/>
      </w:rPr>
    </w:lvl>
    <w:lvl w:ilvl="1" w:tplc="6A000CB8">
      <w:start w:val="1"/>
      <w:numFmt w:val="bullet"/>
      <w:lvlText w:val="o"/>
      <w:lvlJc w:val="left"/>
      <w:pPr>
        <w:ind w:left="1080" w:hanging="360"/>
      </w:pPr>
      <w:rPr>
        <w:rFonts w:ascii="Courier New" w:hAnsi="Courier New" w:cs="Courier New" w:hint="default"/>
      </w:rPr>
    </w:lvl>
    <w:lvl w:ilvl="2" w:tplc="609804E2">
      <w:start w:val="1"/>
      <w:numFmt w:val="bullet"/>
      <w:lvlText w:val=""/>
      <w:lvlJc w:val="left"/>
      <w:pPr>
        <w:ind w:left="1800" w:hanging="360"/>
      </w:pPr>
      <w:rPr>
        <w:rFonts w:ascii="Wingdings" w:hAnsi="Wingdings" w:hint="default"/>
      </w:rPr>
    </w:lvl>
    <w:lvl w:ilvl="3" w:tplc="CB389FA2" w:tentative="1">
      <w:start w:val="1"/>
      <w:numFmt w:val="bullet"/>
      <w:lvlText w:val=""/>
      <w:lvlJc w:val="left"/>
      <w:pPr>
        <w:ind w:left="2520" w:hanging="360"/>
      </w:pPr>
      <w:rPr>
        <w:rFonts w:ascii="Symbol" w:hAnsi="Symbol" w:hint="default"/>
      </w:rPr>
    </w:lvl>
    <w:lvl w:ilvl="4" w:tplc="A54CDDA2" w:tentative="1">
      <w:start w:val="1"/>
      <w:numFmt w:val="bullet"/>
      <w:lvlText w:val="o"/>
      <w:lvlJc w:val="left"/>
      <w:pPr>
        <w:ind w:left="3240" w:hanging="360"/>
      </w:pPr>
      <w:rPr>
        <w:rFonts w:ascii="Courier New" w:hAnsi="Courier New" w:cs="Courier New" w:hint="default"/>
      </w:rPr>
    </w:lvl>
    <w:lvl w:ilvl="5" w:tplc="304C26F6" w:tentative="1">
      <w:start w:val="1"/>
      <w:numFmt w:val="bullet"/>
      <w:lvlText w:val=""/>
      <w:lvlJc w:val="left"/>
      <w:pPr>
        <w:ind w:left="3960" w:hanging="360"/>
      </w:pPr>
      <w:rPr>
        <w:rFonts w:ascii="Wingdings" w:hAnsi="Wingdings" w:hint="default"/>
      </w:rPr>
    </w:lvl>
    <w:lvl w:ilvl="6" w:tplc="17B27890" w:tentative="1">
      <w:start w:val="1"/>
      <w:numFmt w:val="bullet"/>
      <w:lvlText w:val=""/>
      <w:lvlJc w:val="left"/>
      <w:pPr>
        <w:ind w:left="4680" w:hanging="360"/>
      </w:pPr>
      <w:rPr>
        <w:rFonts w:ascii="Symbol" w:hAnsi="Symbol" w:hint="default"/>
      </w:rPr>
    </w:lvl>
    <w:lvl w:ilvl="7" w:tplc="C4BCD48E" w:tentative="1">
      <w:start w:val="1"/>
      <w:numFmt w:val="bullet"/>
      <w:lvlText w:val="o"/>
      <w:lvlJc w:val="left"/>
      <w:pPr>
        <w:ind w:left="5400" w:hanging="360"/>
      </w:pPr>
      <w:rPr>
        <w:rFonts w:ascii="Courier New" w:hAnsi="Courier New" w:cs="Courier New" w:hint="default"/>
      </w:rPr>
    </w:lvl>
    <w:lvl w:ilvl="8" w:tplc="F00A3B04" w:tentative="1">
      <w:start w:val="1"/>
      <w:numFmt w:val="bullet"/>
      <w:lvlText w:val=""/>
      <w:lvlJc w:val="left"/>
      <w:pPr>
        <w:ind w:left="6120" w:hanging="360"/>
      </w:pPr>
      <w:rPr>
        <w:rFonts w:ascii="Wingdings" w:hAnsi="Wingdings" w:hint="default"/>
      </w:rPr>
    </w:lvl>
  </w:abstractNum>
  <w:num w:numId="1">
    <w:abstractNumId w:val="19"/>
  </w:num>
  <w:num w:numId="2">
    <w:abstractNumId w:val="15"/>
  </w:num>
  <w:num w:numId="3">
    <w:abstractNumId w:val="13"/>
  </w:num>
  <w:num w:numId="4">
    <w:abstractNumId w:val="12"/>
  </w:num>
  <w:num w:numId="5">
    <w:abstractNumId w:val="16"/>
  </w:num>
  <w:num w:numId="6">
    <w:abstractNumId w:val="11"/>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163"/>
    <w:rsid w:val="000027DA"/>
    <w:rsid w:val="000120EC"/>
    <w:rsid w:val="00015B5C"/>
    <w:rsid w:val="00034F6D"/>
    <w:rsid w:val="00036A20"/>
    <w:rsid w:val="0004649F"/>
    <w:rsid w:val="00051E6F"/>
    <w:rsid w:val="00057F74"/>
    <w:rsid w:val="00057FD8"/>
    <w:rsid w:val="00066E6C"/>
    <w:rsid w:val="000779FA"/>
    <w:rsid w:val="000A4C27"/>
    <w:rsid w:val="000C3DD3"/>
    <w:rsid w:val="00107D8F"/>
    <w:rsid w:val="001119F6"/>
    <w:rsid w:val="00117F72"/>
    <w:rsid w:val="00130393"/>
    <w:rsid w:val="00136709"/>
    <w:rsid w:val="00140319"/>
    <w:rsid w:val="00141863"/>
    <w:rsid w:val="00155202"/>
    <w:rsid w:val="00160413"/>
    <w:rsid w:val="00186C77"/>
    <w:rsid w:val="001A2753"/>
    <w:rsid w:val="001A7432"/>
    <w:rsid w:val="001D32F2"/>
    <w:rsid w:val="0021253C"/>
    <w:rsid w:val="00225ACF"/>
    <w:rsid w:val="00225CD3"/>
    <w:rsid w:val="00233F3A"/>
    <w:rsid w:val="00253BF4"/>
    <w:rsid w:val="00273ABF"/>
    <w:rsid w:val="002A0605"/>
    <w:rsid w:val="002A30F2"/>
    <w:rsid w:val="002D6170"/>
    <w:rsid w:val="002F10F5"/>
    <w:rsid w:val="002F2E49"/>
    <w:rsid w:val="002F3562"/>
    <w:rsid w:val="002F7A38"/>
    <w:rsid w:val="00303BD4"/>
    <w:rsid w:val="00323583"/>
    <w:rsid w:val="00323684"/>
    <w:rsid w:val="00335F2B"/>
    <w:rsid w:val="00390A42"/>
    <w:rsid w:val="003A4302"/>
    <w:rsid w:val="003B3C06"/>
    <w:rsid w:val="003B6462"/>
    <w:rsid w:val="003B72F6"/>
    <w:rsid w:val="003D37FC"/>
    <w:rsid w:val="003F4A14"/>
    <w:rsid w:val="003F5231"/>
    <w:rsid w:val="00402A71"/>
    <w:rsid w:val="00413491"/>
    <w:rsid w:val="004251D3"/>
    <w:rsid w:val="00430FAA"/>
    <w:rsid w:val="004639E8"/>
    <w:rsid w:val="004A53CD"/>
    <w:rsid w:val="004B1628"/>
    <w:rsid w:val="004B68B5"/>
    <w:rsid w:val="004C5F5C"/>
    <w:rsid w:val="004D131F"/>
    <w:rsid w:val="004D6920"/>
    <w:rsid w:val="004E567C"/>
    <w:rsid w:val="004F4163"/>
    <w:rsid w:val="005110FA"/>
    <w:rsid w:val="005147DA"/>
    <w:rsid w:val="00520303"/>
    <w:rsid w:val="00527C70"/>
    <w:rsid w:val="005452D0"/>
    <w:rsid w:val="00554CBE"/>
    <w:rsid w:val="00566022"/>
    <w:rsid w:val="00567F93"/>
    <w:rsid w:val="005773AF"/>
    <w:rsid w:val="005A0AFF"/>
    <w:rsid w:val="005D52B4"/>
    <w:rsid w:val="005D62EB"/>
    <w:rsid w:val="006060DD"/>
    <w:rsid w:val="0061701E"/>
    <w:rsid w:val="00621296"/>
    <w:rsid w:val="006245C8"/>
    <w:rsid w:val="006422AC"/>
    <w:rsid w:val="006521CA"/>
    <w:rsid w:val="00666BC1"/>
    <w:rsid w:val="00690EDC"/>
    <w:rsid w:val="00695862"/>
    <w:rsid w:val="006D2434"/>
    <w:rsid w:val="006D2E2F"/>
    <w:rsid w:val="006D7DF6"/>
    <w:rsid w:val="006D7F31"/>
    <w:rsid w:val="006E6859"/>
    <w:rsid w:val="00703683"/>
    <w:rsid w:val="007215A8"/>
    <w:rsid w:val="007402EF"/>
    <w:rsid w:val="00740E3F"/>
    <w:rsid w:val="007411CB"/>
    <w:rsid w:val="00742142"/>
    <w:rsid w:val="007673B2"/>
    <w:rsid w:val="00772686"/>
    <w:rsid w:val="00774595"/>
    <w:rsid w:val="007818E2"/>
    <w:rsid w:val="00783A36"/>
    <w:rsid w:val="007A2748"/>
    <w:rsid w:val="007A56C5"/>
    <w:rsid w:val="007B788C"/>
    <w:rsid w:val="007D207C"/>
    <w:rsid w:val="007E0712"/>
    <w:rsid w:val="007E2253"/>
    <w:rsid w:val="007E77F3"/>
    <w:rsid w:val="007F17CB"/>
    <w:rsid w:val="00817B77"/>
    <w:rsid w:val="00823D81"/>
    <w:rsid w:val="0082431E"/>
    <w:rsid w:val="00864FF1"/>
    <w:rsid w:val="00867DFF"/>
    <w:rsid w:val="0088438A"/>
    <w:rsid w:val="008A6A65"/>
    <w:rsid w:val="008C0595"/>
    <w:rsid w:val="008C17F6"/>
    <w:rsid w:val="008D7075"/>
    <w:rsid w:val="00904625"/>
    <w:rsid w:val="00934A4A"/>
    <w:rsid w:val="00940260"/>
    <w:rsid w:val="009451E2"/>
    <w:rsid w:val="009567CB"/>
    <w:rsid w:val="00960E95"/>
    <w:rsid w:val="00971190"/>
    <w:rsid w:val="00975803"/>
    <w:rsid w:val="009E1E15"/>
    <w:rsid w:val="009E2D72"/>
    <w:rsid w:val="009E2E87"/>
    <w:rsid w:val="009E5C60"/>
    <w:rsid w:val="00A04656"/>
    <w:rsid w:val="00A14479"/>
    <w:rsid w:val="00A243A0"/>
    <w:rsid w:val="00A46BF6"/>
    <w:rsid w:val="00A474FA"/>
    <w:rsid w:val="00A5478D"/>
    <w:rsid w:val="00A63281"/>
    <w:rsid w:val="00A63402"/>
    <w:rsid w:val="00A700AA"/>
    <w:rsid w:val="00A71A7D"/>
    <w:rsid w:val="00AD10F2"/>
    <w:rsid w:val="00AF3221"/>
    <w:rsid w:val="00AF61CF"/>
    <w:rsid w:val="00B05C22"/>
    <w:rsid w:val="00B17D69"/>
    <w:rsid w:val="00B27733"/>
    <w:rsid w:val="00B314C0"/>
    <w:rsid w:val="00B451EE"/>
    <w:rsid w:val="00B541EB"/>
    <w:rsid w:val="00B75FD8"/>
    <w:rsid w:val="00B82A3C"/>
    <w:rsid w:val="00B9270D"/>
    <w:rsid w:val="00B96420"/>
    <w:rsid w:val="00B972BB"/>
    <w:rsid w:val="00BA1F64"/>
    <w:rsid w:val="00BB4AD0"/>
    <w:rsid w:val="00BC684C"/>
    <w:rsid w:val="00BF0FF5"/>
    <w:rsid w:val="00BF53BA"/>
    <w:rsid w:val="00C112E0"/>
    <w:rsid w:val="00C173EB"/>
    <w:rsid w:val="00C26607"/>
    <w:rsid w:val="00C40E7A"/>
    <w:rsid w:val="00C81C3F"/>
    <w:rsid w:val="00C81F40"/>
    <w:rsid w:val="00C847DB"/>
    <w:rsid w:val="00CA43A8"/>
    <w:rsid w:val="00CB6A66"/>
    <w:rsid w:val="00CD703E"/>
    <w:rsid w:val="00CD7460"/>
    <w:rsid w:val="00D10851"/>
    <w:rsid w:val="00D21BE9"/>
    <w:rsid w:val="00D30FC9"/>
    <w:rsid w:val="00D5419E"/>
    <w:rsid w:val="00D83FAD"/>
    <w:rsid w:val="00D90A24"/>
    <w:rsid w:val="00D913D4"/>
    <w:rsid w:val="00DA20F7"/>
    <w:rsid w:val="00DB6834"/>
    <w:rsid w:val="00DB6E2E"/>
    <w:rsid w:val="00DD6F51"/>
    <w:rsid w:val="00DE14E3"/>
    <w:rsid w:val="00DE4D83"/>
    <w:rsid w:val="00DF2A05"/>
    <w:rsid w:val="00DF2AD7"/>
    <w:rsid w:val="00DF7D57"/>
    <w:rsid w:val="00E1729B"/>
    <w:rsid w:val="00E45A74"/>
    <w:rsid w:val="00E57782"/>
    <w:rsid w:val="00E622D7"/>
    <w:rsid w:val="00E8420A"/>
    <w:rsid w:val="00E87E19"/>
    <w:rsid w:val="00E94452"/>
    <w:rsid w:val="00EA4E29"/>
    <w:rsid w:val="00EB5B17"/>
    <w:rsid w:val="00EC3316"/>
    <w:rsid w:val="00ED4469"/>
    <w:rsid w:val="00EF37EF"/>
    <w:rsid w:val="00F406E7"/>
    <w:rsid w:val="00FB05D3"/>
    <w:rsid w:val="00FC32C5"/>
    <w:rsid w:val="00FD3A16"/>
    <w:rsid w:val="00FE6CE7"/>
    <w:rsid w:val="00FF1628"/>
    <w:rsid w:val="00FF6303"/>
    <w:rsid w:val="00FF7B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B21ACF"/>
  <w15:chartTrackingRefBased/>
  <w15:docId w15:val="{FE38208D-6125-4490-AD70-DA1F902E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1CA"/>
    <w:pPr>
      <w:spacing w:before="120" w:after="120" w:line="240" w:lineRule="auto"/>
    </w:pPr>
    <w:rPr>
      <w:rFonts w:ascii="Calibri" w:hAnsi="Calibri"/>
    </w:rPr>
  </w:style>
  <w:style w:type="paragraph" w:styleId="Heading1">
    <w:name w:val="heading 1"/>
    <w:next w:val="Normal"/>
    <w:link w:val="Heading1Char"/>
    <w:uiPriority w:val="9"/>
    <w:qFormat/>
    <w:rsid w:val="00BF53BA"/>
    <w:pPr>
      <w:keepNext/>
      <w:spacing w:before="120" w:after="120" w:line="240" w:lineRule="auto"/>
      <w:outlineLvl w:val="0"/>
    </w:pPr>
    <w:rPr>
      <w:rFonts w:ascii="Arial" w:eastAsiaTheme="majorEastAsia" w:hAnsi="Arial" w:cstheme="majorBidi"/>
      <w:b/>
      <w:color w:val="2F5496" w:themeColor="accent1" w:themeShade="BF"/>
      <w:sz w:val="40"/>
      <w:szCs w:val="32"/>
    </w:rPr>
  </w:style>
  <w:style w:type="paragraph" w:styleId="Heading2">
    <w:name w:val="heading 2"/>
    <w:basedOn w:val="Heading1"/>
    <w:next w:val="Normal"/>
    <w:link w:val="Heading2Char"/>
    <w:uiPriority w:val="9"/>
    <w:unhideWhenUsed/>
    <w:qFormat/>
    <w:rsid w:val="005D52B4"/>
    <w:pPr>
      <w:spacing w:line="360" w:lineRule="auto"/>
      <w:outlineLvl w:val="1"/>
    </w:pPr>
    <w:rPr>
      <w:color w:val="009999"/>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16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F4163"/>
    <w:pPr>
      <w:spacing w:after="0"/>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F416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F4163"/>
    <w:rPr>
      <w:vertAlign w:val="superscript"/>
    </w:rPr>
  </w:style>
  <w:style w:type="character" w:styleId="CommentReference">
    <w:name w:val="annotation reference"/>
    <w:basedOn w:val="DefaultParagraphFont"/>
    <w:uiPriority w:val="99"/>
    <w:semiHidden/>
    <w:unhideWhenUsed/>
    <w:rsid w:val="00772686"/>
    <w:rPr>
      <w:sz w:val="16"/>
      <w:szCs w:val="16"/>
    </w:rPr>
  </w:style>
  <w:style w:type="paragraph" w:styleId="CommentText">
    <w:name w:val="annotation text"/>
    <w:basedOn w:val="Normal"/>
    <w:link w:val="CommentTextChar"/>
    <w:uiPriority w:val="99"/>
    <w:unhideWhenUsed/>
    <w:rsid w:val="00772686"/>
    <w:rPr>
      <w:sz w:val="20"/>
      <w:szCs w:val="20"/>
    </w:rPr>
  </w:style>
  <w:style w:type="character" w:customStyle="1" w:styleId="CommentTextChar">
    <w:name w:val="Comment Text Char"/>
    <w:basedOn w:val="DefaultParagraphFont"/>
    <w:link w:val="CommentText"/>
    <w:uiPriority w:val="99"/>
    <w:rsid w:val="00772686"/>
    <w:rPr>
      <w:sz w:val="20"/>
      <w:szCs w:val="20"/>
    </w:rPr>
  </w:style>
  <w:style w:type="paragraph" w:styleId="CommentSubject">
    <w:name w:val="annotation subject"/>
    <w:basedOn w:val="CommentText"/>
    <w:next w:val="CommentText"/>
    <w:link w:val="CommentSubjectChar"/>
    <w:uiPriority w:val="99"/>
    <w:semiHidden/>
    <w:unhideWhenUsed/>
    <w:rsid w:val="00772686"/>
    <w:rPr>
      <w:b/>
      <w:bCs/>
    </w:rPr>
  </w:style>
  <w:style w:type="character" w:customStyle="1" w:styleId="CommentSubjectChar">
    <w:name w:val="Comment Subject Char"/>
    <w:basedOn w:val="CommentTextChar"/>
    <w:link w:val="CommentSubject"/>
    <w:uiPriority w:val="99"/>
    <w:semiHidden/>
    <w:rsid w:val="00772686"/>
    <w:rPr>
      <w:b/>
      <w:bCs/>
      <w:sz w:val="20"/>
      <w:szCs w:val="20"/>
    </w:rPr>
  </w:style>
  <w:style w:type="paragraph" w:styleId="Title">
    <w:name w:val="Title"/>
    <w:next w:val="Normal"/>
    <w:link w:val="TitleChar"/>
    <w:uiPriority w:val="10"/>
    <w:qFormat/>
    <w:rsid w:val="005D52B4"/>
    <w:pPr>
      <w:spacing w:before="840" w:after="120" w:line="240" w:lineRule="auto"/>
    </w:pPr>
    <w:rPr>
      <w:rFonts w:ascii="Arial" w:eastAsiaTheme="majorEastAsia" w:hAnsi="Arial" w:cstheme="majorBidi"/>
      <w:b/>
      <w:color w:val="1F3864" w:themeColor="accent1" w:themeShade="80"/>
      <w:spacing w:val="-10"/>
      <w:kern w:val="28"/>
      <w:sz w:val="48"/>
      <w:szCs w:val="56"/>
    </w:rPr>
  </w:style>
  <w:style w:type="character" w:customStyle="1" w:styleId="TitleChar">
    <w:name w:val="Title Char"/>
    <w:basedOn w:val="DefaultParagraphFont"/>
    <w:link w:val="Title"/>
    <w:uiPriority w:val="10"/>
    <w:rsid w:val="005D52B4"/>
    <w:rPr>
      <w:rFonts w:ascii="Arial" w:eastAsiaTheme="majorEastAsia" w:hAnsi="Arial" w:cstheme="majorBidi"/>
      <w:b/>
      <w:color w:val="1F3864" w:themeColor="accent1" w:themeShade="80"/>
      <w:spacing w:val="-10"/>
      <w:kern w:val="28"/>
      <w:sz w:val="48"/>
      <w:szCs w:val="56"/>
    </w:rPr>
  </w:style>
  <w:style w:type="paragraph" w:styleId="Revision">
    <w:name w:val="Revision"/>
    <w:hidden/>
    <w:uiPriority w:val="99"/>
    <w:semiHidden/>
    <w:rsid w:val="00E94452"/>
    <w:pPr>
      <w:spacing w:after="0" w:line="240" w:lineRule="auto"/>
    </w:pPr>
  </w:style>
  <w:style w:type="character" w:customStyle="1" w:styleId="Heading1Char">
    <w:name w:val="Heading 1 Char"/>
    <w:basedOn w:val="DefaultParagraphFont"/>
    <w:link w:val="Heading1"/>
    <w:uiPriority w:val="9"/>
    <w:rsid w:val="00BF53BA"/>
    <w:rPr>
      <w:rFonts w:ascii="Arial" w:eastAsiaTheme="majorEastAsia" w:hAnsi="Arial" w:cstheme="majorBidi"/>
      <w:b/>
      <w:color w:val="2F5496" w:themeColor="accent1" w:themeShade="BF"/>
      <w:sz w:val="40"/>
      <w:szCs w:val="32"/>
    </w:rPr>
  </w:style>
  <w:style w:type="character" w:styleId="Emphasis">
    <w:name w:val="Emphasis"/>
    <w:basedOn w:val="DefaultParagraphFont"/>
    <w:uiPriority w:val="20"/>
    <w:qFormat/>
    <w:rsid w:val="006521CA"/>
    <w:rPr>
      <w:rFonts w:ascii="Calibri" w:hAnsi="Calibri"/>
      <w:i/>
      <w:iCs/>
      <w:sz w:val="22"/>
    </w:rPr>
  </w:style>
  <w:style w:type="paragraph" w:styleId="ListBullet">
    <w:name w:val="List Bullet"/>
    <w:basedOn w:val="Normal"/>
    <w:uiPriority w:val="99"/>
    <w:unhideWhenUsed/>
    <w:rsid w:val="00567F93"/>
    <w:pPr>
      <w:numPr>
        <w:numId w:val="8"/>
      </w:numPr>
      <w:contextualSpacing/>
    </w:pPr>
  </w:style>
  <w:style w:type="paragraph" w:styleId="Header">
    <w:name w:val="header"/>
    <w:basedOn w:val="Normal"/>
    <w:link w:val="HeaderChar"/>
    <w:uiPriority w:val="99"/>
    <w:unhideWhenUsed/>
    <w:rsid w:val="00567F93"/>
    <w:pPr>
      <w:tabs>
        <w:tab w:val="center" w:pos="4513"/>
        <w:tab w:val="right" w:pos="9026"/>
      </w:tabs>
      <w:spacing w:before="0" w:after="0"/>
    </w:pPr>
  </w:style>
  <w:style w:type="character" w:customStyle="1" w:styleId="HeaderChar">
    <w:name w:val="Header Char"/>
    <w:basedOn w:val="DefaultParagraphFont"/>
    <w:link w:val="Header"/>
    <w:uiPriority w:val="99"/>
    <w:rsid w:val="00567F93"/>
  </w:style>
  <w:style w:type="paragraph" w:styleId="Footer">
    <w:name w:val="footer"/>
    <w:basedOn w:val="Normal"/>
    <w:link w:val="FooterChar"/>
    <w:uiPriority w:val="99"/>
    <w:unhideWhenUsed/>
    <w:qFormat/>
    <w:rsid w:val="00567F93"/>
    <w:pPr>
      <w:tabs>
        <w:tab w:val="center" w:pos="4513"/>
        <w:tab w:val="right" w:pos="9026"/>
      </w:tabs>
      <w:spacing w:before="0" w:after="0"/>
    </w:pPr>
  </w:style>
  <w:style w:type="character" w:customStyle="1" w:styleId="FooterChar">
    <w:name w:val="Footer Char"/>
    <w:basedOn w:val="DefaultParagraphFont"/>
    <w:link w:val="Footer"/>
    <w:uiPriority w:val="99"/>
    <w:rsid w:val="00567F93"/>
  </w:style>
  <w:style w:type="paragraph" w:styleId="Subtitle">
    <w:name w:val="Subtitle"/>
    <w:basedOn w:val="Normal"/>
    <w:next w:val="Normal"/>
    <w:link w:val="SubtitleChar"/>
    <w:uiPriority w:val="11"/>
    <w:qFormat/>
    <w:rsid w:val="003A430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A4302"/>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5D52B4"/>
    <w:rPr>
      <w:rFonts w:ascii="Arial" w:eastAsiaTheme="majorEastAsia" w:hAnsi="Arial" w:cstheme="majorBidi"/>
      <w:b/>
      <w:color w:val="009999"/>
      <w:sz w:val="28"/>
      <w:szCs w:val="26"/>
    </w:rPr>
  </w:style>
  <w:style w:type="table" w:styleId="GridTable4-Accent1">
    <w:name w:val="Grid Table 4 Accent 1"/>
    <w:basedOn w:val="TableNormal"/>
    <w:uiPriority w:val="49"/>
    <w:rsid w:val="006521CA"/>
    <w:pPr>
      <w:spacing w:after="0" w:line="240" w:lineRule="auto"/>
    </w:pPr>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1F3864" w:themeFill="accent1" w:themeFillShade="80"/>
      </w:tcPr>
    </w:tblStylePr>
    <w:tblStylePr w:type="lastRow">
      <w:rPr>
        <w:b/>
        <w:bCs/>
      </w:rPr>
      <w:tblPr/>
      <w:tcPr>
        <w:tcBorders>
          <w:top w:val="double" w:sz="4" w:space="0" w:color="4472C4" w:themeColor="accent1"/>
        </w:tcBorders>
      </w:tcPr>
    </w:tblStylePr>
    <w:tblStylePr w:type="firstCol">
      <w:rPr>
        <w:b w:val="0"/>
        <w:bCs/>
      </w:rPr>
    </w:tblStylePr>
    <w:tblStylePr w:type="lastCol">
      <w:rPr>
        <w:b/>
        <w:bCs/>
      </w:rPr>
    </w:tblStylePr>
    <w:tblStylePr w:type="band1Vert">
      <w:tblPr/>
      <w:tcPr>
        <w:shd w:val="clear" w:color="auto" w:fill="D9E2F3" w:themeFill="accent1" w:themeFillTint="33"/>
      </w:tcPr>
    </w:tblStylePr>
  </w:style>
  <w:style w:type="paragraph" w:styleId="ListParagraph">
    <w:name w:val="List Paragraph"/>
    <w:basedOn w:val="Normal"/>
    <w:uiPriority w:val="34"/>
    <w:qFormat/>
    <w:rsid w:val="000C3DD3"/>
    <w:pPr>
      <w:numPr>
        <w:numId w:val="19"/>
      </w:numPr>
      <w:spacing w:before="0" w:after="200" w:line="276" w:lineRule="auto"/>
    </w:pPr>
    <w:rPr>
      <w:rFonts w:ascii="Arial" w:eastAsia="Calibri" w:hAnsi="Arial" w:cs="Times New Roman"/>
    </w:rPr>
  </w:style>
  <w:style w:type="paragraph" w:styleId="NormalWeb">
    <w:name w:val="Normal (Web)"/>
    <w:basedOn w:val="Normal"/>
    <w:uiPriority w:val="99"/>
    <w:semiHidden/>
    <w:unhideWhenUsed/>
    <w:rsid w:val="001A2753"/>
    <w:pPr>
      <w:spacing w:before="100" w:beforeAutospacing="1" w:after="100" w:afterAutospacing="1"/>
    </w:pPr>
    <w:rPr>
      <w:rFonts w:ascii="Times New Roman" w:eastAsia="Times New Roman" w:hAnsi="Times New Roman" w:cs="Times New Roman"/>
      <w:sz w:val="24"/>
      <w:szCs w:val="24"/>
      <w:lang w:eastAsia="en-AU"/>
    </w:rPr>
  </w:style>
  <w:style w:type="paragraph" w:styleId="ListNumber2">
    <w:name w:val="List Number 2"/>
    <w:basedOn w:val="Normal"/>
    <w:uiPriority w:val="99"/>
    <w:unhideWhenUsed/>
    <w:rsid w:val="006521CA"/>
    <w:pPr>
      <w:numPr>
        <w:numId w:val="14"/>
      </w:numPr>
      <w:contextualSpacing/>
    </w:pPr>
  </w:style>
  <w:style w:type="paragraph" w:styleId="ListBullet2">
    <w:name w:val="List Bullet 2"/>
    <w:basedOn w:val="Normal"/>
    <w:uiPriority w:val="99"/>
    <w:unhideWhenUsed/>
    <w:rsid w:val="005D52B4"/>
    <w:pPr>
      <w:numPr>
        <w:numId w:val="9"/>
      </w:numPr>
      <w:contextualSpacing/>
    </w:pPr>
  </w:style>
  <w:style w:type="character" w:styleId="Strong">
    <w:name w:val="Strong"/>
    <w:basedOn w:val="DefaultParagraphFont"/>
    <w:uiPriority w:val="22"/>
    <w:qFormat/>
    <w:rsid w:val="006521CA"/>
    <w:rPr>
      <w:rFonts w:ascii="Calibri" w:hAnsi="Calibri"/>
      <w:b/>
      <w:bCs/>
      <w:sz w:val="22"/>
    </w:rPr>
  </w:style>
  <w:style w:type="paragraph" w:styleId="NoSpacing">
    <w:name w:val="No Spacing"/>
    <w:uiPriority w:val="1"/>
    <w:qFormat/>
    <w:rsid w:val="006521CA"/>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441523">
      <w:bodyDiv w:val="1"/>
      <w:marLeft w:val="0"/>
      <w:marRight w:val="0"/>
      <w:marTop w:val="0"/>
      <w:marBottom w:val="0"/>
      <w:divBdr>
        <w:top w:val="none" w:sz="0" w:space="0" w:color="auto"/>
        <w:left w:val="none" w:sz="0" w:space="0" w:color="auto"/>
        <w:bottom w:val="none" w:sz="0" w:space="0" w:color="auto"/>
        <w:right w:val="none" w:sz="0" w:space="0" w:color="auto"/>
      </w:divBdr>
    </w:div>
    <w:div w:id="78100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F719B23-D1DC-4D6A-A7A4-D93D33018A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A7750314F7B204FA4DD50E83A562493" ma:contentTypeVersion="" ma:contentTypeDescription="PDMS Document Site Content Type" ma:contentTypeScope="" ma:versionID="f3c860799217f56ca7547a746d491393">
  <xsd:schema xmlns:xsd="http://www.w3.org/2001/XMLSchema" xmlns:xs="http://www.w3.org/2001/XMLSchema" xmlns:p="http://schemas.microsoft.com/office/2006/metadata/properties" xmlns:ns2="9F719B23-D1DC-4D6A-A7A4-D93D33018A38" targetNamespace="http://schemas.microsoft.com/office/2006/metadata/properties" ma:root="true" ma:fieldsID="8da8b9625ee6b6a12d4935792b2b8b25" ns2:_="">
    <xsd:import namespace="9F719B23-D1DC-4D6A-A7A4-D93D33018A3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19B23-D1DC-4D6A-A7A4-D93D33018A3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98C5CB-85E5-43D4-AF1B-AA55CC278BCD}">
  <ds:schemaRefs>
    <ds:schemaRef ds:uri="http://schemas.openxmlformats.org/officeDocument/2006/bibliography"/>
  </ds:schemaRefs>
</ds:datastoreItem>
</file>

<file path=customXml/itemProps2.xml><?xml version="1.0" encoding="utf-8"?>
<ds:datastoreItem xmlns:ds="http://schemas.openxmlformats.org/officeDocument/2006/customXml" ds:itemID="{348FE3B3-7349-4B02-90DD-9580C8C1B1C2}">
  <ds:schemaRefs>
    <ds:schemaRef ds:uri="http://schemas.microsoft.com/office/2006/metadata/properties"/>
    <ds:schemaRef ds:uri="http://schemas.microsoft.com/office/infopath/2007/PartnerControls"/>
    <ds:schemaRef ds:uri="9F719B23-D1DC-4D6A-A7A4-D93D33018A38"/>
  </ds:schemaRefs>
</ds:datastoreItem>
</file>

<file path=customXml/itemProps3.xml><?xml version="1.0" encoding="utf-8"?>
<ds:datastoreItem xmlns:ds="http://schemas.openxmlformats.org/officeDocument/2006/customXml" ds:itemID="{AC8716DB-52BE-44FA-B135-072100B8B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19B23-D1DC-4D6A-A7A4-D93D33018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3E87B-98B7-46FB-8319-DC1582732D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1441</Words>
  <Characters>8099</Characters>
  <Application>Microsoft Office Word</Application>
  <DocSecurity>0</DocSecurity>
  <Lines>144</Lines>
  <Paragraphs>55</Paragraphs>
  <ScaleCrop>false</ScaleCrop>
  <HeadingPairs>
    <vt:vector size="2" baseType="variant">
      <vt:variant>
        <vt:lpstr>Title</vt:lpstr>
      </vt:variant>
      <vt:variant>
        <vt:i4>1</vt:i4>
      </vt:variant>
    </vt:vector>
  </HeadingPairs>
  <TitlesOfParts>
    <vt:vector size="1" baseType="lpstr">
      <vt:lpstr>Third report on the operation and effectiveness of COVIDSafe and the National COVIDSafe data Store</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report on the operation and effectiveness of COVIDSafe and the National COVIDSafe data Store</dc:title>
  <dc:subject>COVID-19</dc:subject>
  <dc:creator>Australian Government Department of Health and Aged Care</dc:creator>
  <cp:keywords>COVID-19;  COVIDSafe; Data;</cp:keywords>
  <dc:description/>
  <cp:lastModifiedBy>Department of Health and Aged Care</cp:lastModifiedBy>
  <cp:revision>3</cp:revision>
  <dcterms:created xsi:type="dcterms:W3CDTF">2023-03-23T02:16:00Z</dcterms:created>
  <dcterms:modified xsi:type="dcterms:W3CDTF">2023-03-23T02:32:00Z</dcterms:modified>
</cp:coreProperties>
</file>