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06D1" w14:textId="45E195CB" w:rsidR="00D27CEC" w:rsidRPr="006C5AC0" w:rsidRDefault="00D27CEC" w:rsidP="004871E9">
      <w:pPr>
        <w:pStyle w:val="Title"/>
        <w:spacing w:before="1800"/>
        <w:rPr>
          <w:rFonts w:cs="Arial"/>
        </w:rPr>
      </w:pPr>
      <w:r w:rsidRPr="006C5AC0">
        <w:rPr>
          <w:rFonts w:cs="Arial"/>
        </w:rPr>
        <w:t>Electronic National Residential Medication Charts (eNRMC)</w:t>
      </w:r>
      <w:r w:rsidR="00242BC0" w:rsidRPr="006C5AC0">
        <w:rPr>
          <w:rFonts w:cs="Arial"/>
          <w:sz w:val="34"/>
          <w:szCs w:val="34"/>
        </w:rPr>
        <w:t xml:space="preserve"> </w:t>
      </w:r>
    </w:p>
    <w:p w14:paraId="601467B3" w14:textId="19D1C181" w:rsidR="00D27CEC" w:rsidRPr="006C5AC0" w:rsidRDefault="00242BC0" w:rsidP="00D27CEC">
      <w:pPr>
        <w:pStyle w:val="Subtitle"/>
        <w:rPr>
          <w:rFonts w:cs="Arial"/>
          <w:sz w:val="34"/>
          <w:szCs w:val="34"/>
        </w:rPr>
        <w:sectPr w:rsidR="00D27CEC" w:rsidRPr="006C5AC0" w:rsidSect="00C96221">
          <w:headerReference w:type="first" r:id="rId8"/>
          <w:pgSz w:w="11906" w:h="16838"/>
          <w:pgMar w:top="1701" w:right="1418" w:bottom="1418" w:left="1418" w:header="850" w:footer="709" w:gutter="0"/>
          <w:cols w:space="708"/>
          <w:titlePg/>
          <w:docGrid w:linePitch="360"/>
        </w:sectPr>
      </w:pPr>
      <w:r w:rsidRPr="006C5AC0">
        <w:rPr>
          <w:rFonts w:cs="Arial"/>
          <w:sz w:val="34"/>
          <w:szCs w:val="34"/>
        </w:rPr>
        <w:t>eNRMC Adoption Grant Opportunity</w:t>
      </w:r>
      <w:r w:rsidR="00D27CEC" w:rsidRPr="006C5AC0">
        <w:rPr>
          <w:rFonts w:cs="Arial"/>
          <w:sz w:val="34"/>
          <w:szCs w:val="34"/>
        </w:rPr>
        <w:t xml:space="preserve"> Information Pack</w:t>
      </w:r>
      <w:r w:rsidR="004871E9" w:rsidRPr="006C5AC0">
        <w:rPr>
          <w:rFonts w:cs="Arial"/>
          <w:sz w:val="34"/>
          <w:szCs w:val="34"/>
        </w:rPr>
        <w:t xml:space="preserve"> for Residential Aged Care Services </w:t>
      </w:r>
    </w:p>
    <w:p w14:paraId="09DB2DD3" w14:textId="59AC1BB4" w:rsidR="00D27CEC" w:rsidRPr="006C5AC0" w:rsidRDefault="00D27CEC" w:rsidP="00A54238">
      <w:pPr>
        <w:pStyle w:val="Heading1"/>
        <w:spacing w:before="0" w:after="120"/>
      </w:pPr>
      <w:r w:rsidRPr="006C5AC0">
        <w:lastRenderedPageBreak/>
        <w:t>Introduction to the eNRMC Adoption grant opportunity</w:t>
      </w:r>
    </w:p>
    <w:p w14:paraId="53330FF7" w14:textId="77777777" w:rsidR="00D27CEC" w:rsidRPr="006C5AC0" w:rsidRDefault="00D27CEC" w:rsidP="00A54238">
      <w:pPr>
        <w:pStyle w:val="BodyText"/>
        <w:spacing w:before="240"/>
        <w:rPr>
          <w:rFonts w:eastAsia="Times New Roman" w:cs="Arial"/>
          <w:color w:val="358189"/>
          <w:sz w:val="28"/>
        </w:rPr>
      </w:pPr>
      <w:r w:rsidRPr="006C5AC0">
        <w:rPr>
          <w:rFonts w:eastAsia="Times New Roman" w:cs="Arial"/>
          <w:color w:val="358189"/>
          <w:sz w:val="28"/>
        </w:rPr>
        <w:t>In response to the Final Report of the Royal Commission into Aged Care Quality and Safety, the Australian Government is addressing widespread issues associated with medication management in Residential Aged Care Services (RACS).</w:t>
      </w:r>
    </w:p>
    <w:p w14:paraId="7641013B" w14:textId="77777777" w:rsidR="00D27CEC" w:rsidRPr="006C5AC0" w:rsidRDefault="00D27CEC" w:rsidP="00D27CEC">
      <w:pPr>
        <w:pStyle w:val="BodyText"/>
        <w:rPr>
          <w:rFonts w:eastAsia="Times New Roman" w:cs="Arial"/>
          <w:sz w:val="21"/>
        </w:rPr>
      </w:pPr>
      <w:r w:rsidRPr="006C5AC0">
        <w:rPr>
          <w:rFonts w:eastAsia="Times New Roman" w:cs="Arial"/>
          <w:sz w:val="21"/>
        </w:rPr>
        <w:t xml:space="preserve">The Government announced the </w:t>
      </w:r>
      <w:r w:rsidRPr="006C5AC0">
        <w:rPr>
          <w:rFonts w:eastAsia="Times New Roman" w:cs="Arial"/>
          <w:i/>
          <w:iCs/>
          <w:sz w:val="21"/>
        </w:rPr>
        <w:t>Supporting Medication Management in Residential Aged Care Initiative</w:t>
      </w:r>
      <w:r w:rsidRPr="006C5AC0">
        <w:rPr>
          <w:rFonts w:eastAsia="Times New Roman" w:cs="Arial"/>
          <w:sz w:val="21"/>
        </w:rPr>
        <w:t xml:space="preserve"> as part of the </w:t>
      </w:r>
      <w:r w:rsidRPr="006C5AC0">
        <w:rPr>
          <w:rFonts w:eastAsia="Times New Roman" w:cs="Arial"/>
          <w:i/>
          <w:iCs/>
          <w:sz w:val="21"/>
        </w:rPr>
        <w:t>Residential Aged Care Quality and Safety - Improving Access to Primary Care and other Health Services</w:t>
      </w:r>
      <w:r w:rsidRPr="006C5AC0">
        <w:rPr>
          <w:rFonts w:eastAsia="Times New Roman" w:cs="Arial"/>
          <w:sz w:val="21"/>
        </w:rPr>
        <w:t xml:space="preserve"> 2021-22 Budget measure. </w:t>
      </w:r>
    </w:p>
    <w:p w14:paraId="36D91D8F" w14:textId="77777777" w:rsidR="00D27CEC" w:rsidRPr="006C5AC0" w:rsidRDefault="00D27CEC" w:rsidP="00D27CEC">
      <w:pPr>
        <w:pStyle w:val="BodyText"/>
        <w:rPr>
          <w:rFonts w:eastAsia="Times New Roman" w:cs="Arial"/>
          <w:sz w:val="21"/>
        </w:rPr>
      </w:pPr>
      <w:r w:rsidRPr="006C5AC0">
        <w:rPr>
          <w:rFonts w:eastAsia="Times New Roman" w:cs="Arial"/>
          <w:sz w:val="21"/>
        </w:rPr>
        <w:t xml:space="preserve">The Government has provided funding of $45.4 million over four financial years from 2021-22 to 2024-25 for implementation of the initiative. </w:t>
      </w:r>
    </w:p>
    <w:p w14:paraId="55A83937" w14:textId="4723E669" w:rsidR="00D27CEC" w:rsidRPr="006C5AC0" w:rsidRDefault="00D27CEC" w:rsidP="00D27CEC">
      <w:pPr>
        <w:pStyle w:val="BodyText"/>
        <w:spacing w:after="0"/>
        <w:rPr>
          <w:rFonts w:cs="Arial"/>
          <w:b/>
          <w:bCs/>
        </w:rPr>
      </w:pPr>
      <w:r w:rsidRPr="006C5AC0">
        <w:rPr>
          <w:rFonts w:eastAsia="Times New Roman" w:cs="Arial"/>
          <w:sz w:val="21"/>
        </w:rPr>
        <w:t xml:space="preserve">Under the </w:t>
      </w:r>
      <w:r w:rsidR="004871E9" w:rsidRPr="006C5AC0">
        <w:rPr>
          <w:rFonts w:eastAsia="Times New Roman" w:cs="Arial"/>
          <w:sz w:val="21"/>
        </w:rPr>
        <w:t>i</w:t>
      </w:r>
      <w:r w:rsidRPr="006C5AC0">
        <w:rPr>
          <w:rFonts w:eastAsia="Times New Roman" w:cs="Arial"/>
          <w:sz w:val="21"/>
        </w:rPr>
        <w:t xml:space="preserve">nitiative, up to $30 million (GST Exclusive) has been made available via a grant opportunity to incentivise the adoption of Transitional or </w:t>
      </w:r>
      <w:r w:rsidR="00B2329E">
        <w:rPr>
          <w:rFonts w:eastAsia="Times New Roman" w:cs="Arial"/>
          <w:sz w:val="21"/>
        </w:rPr>
        <w:t>Electronic Prescribing</w:t>
      </w:r>
      <w:r w:rsidR="009C3B68">
        <w:rPr>
          <w:rFonts w:eastAsia="Times New Roman" w:cs="Arial"/>
          <w:sz w:val="21"/>
        </w:rPr>
        <w:t xml:space="preserve"> </w:t>
      </w:r>
      <w:r w:rsidRPr="006C5AC0">
        <w:rPr>
          <w:rFonts w:eastAsia="Times New Roman" w:cs="Arial"/>
          <w:sz w:val="21"/>
        </w:rPr>
        <w:t xml:space="preserve">Conformant eNRMC Products in RACS. </w:t>
      </w:r>
    </w:p>
    <w:p w14:paraId="56A6A91D" w14:textId="77777777" w:rsidR="00D27CEC" w:rsidRPr="006C5AC0" w:rsidRDefault="00D27CEC" w:rsidP="00D27CEC">
      <w:pPr>
        <w:pStyle w:val="Paragraphtext"/>
        <w:rPr>
          <w:rFonts w:cs="Arial"/>
        </w:rPr>
      </w:pPr>
      <w:r w:rsidRPr="006C5AC0">
        <w:rPr>
          <w:rFonts w:cs="Arial"/>
          <w:noProof/>
        </w:rPr>
        <mc:AlternateContent>
          <mc:Choice Requires="wps">
            <w:drawing>
              <wp:inline distT="0" distB="0" distL="0" distR="0" wp14:anchorId="3AEB68B6" wp14:editId="157078C1">
                <wp:extent cx="6010275" cy="16002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00200"/>
                        </a:xfrm>
                        <a:prstGeom prst="rect">
                          <a:avLst/>
                        </a:prstGeom>
                        <a:solidFill>
                          <a:srgbClr val="FFFFFF"/>
                        </a:solidFill>
                        <a:ln w="9525">
                          <a:solidFill>
                            <a:srgbClr val="000000"/>
                          </a:solidFill>
                          <a:miter lim="800000"/>
                          <a:headEnd/>
                          <a:tailEnd/>
                        </a:ln>
                      </wps:spPr>
                      <wps:txbx>
                        <w:txbxContent>
                          <w:p w14:paraId="7691C3F0" w14:textId="3AA68947" w:rsidR="00D27CEC" w:rsidRPr="006C5AC0" w:rsidRDefault="006C5AC0" w:rsidP="006C5AC0">
                            <w:pPr>
                              <w:spacing w:before="240" w:after="240"/>
                              <w:rPr>
                                <w:rStyle w:val="BoldAllCaps"/>
                                <w:b w:val="0"/>
                                <w:caps w:val="0"/>
                                <w:sz w:val="21"/>
                                <w:szCs w:val="20"/>
                                <w:lang w:val="en"/>
                              </w:rPr>
                            </w:pPr>
                            <w:r>
                              <w:rPr>
                                <w:rStyle w:val="BoldAllCaps"/>
                                <w:b w:val="0"/>
                                <w:caps w:val="0"/>
                                <w:sz w:val="21"/>
                                <w:szCs w:val="20"/>
                                <w:lang w:val="en"/>
                              </w:rPr>
                              <w:t>R</w:t>
                            </w:r>
                            <w:r w:rsidRPr="006C5AC0">
                              <w:rPr>
                                <w:rStyle w:val="BoldAllCaps"/>
                                <w:b w:val="0"/>
                                <w:caps w:val="0"/>
                                <w:sz w:val="21"/>
                                <w:szCs w:val="20"/>
                                <w:lang w:val="en"/>
                              </w:rPr>
                              <w:t xml:space="preserve">esidential </w:t>
                            </w:r>
                            <w:r>
                              <w:rPr>
                                <w:rStyle w:val="BoldAllCaps"/>
                                <w:b w:val="0"/>
                                <w:caps w:val="0"/>
                                <w:sz w:val="21"/>
                                <w:szCs w:val="20"/>
                                <w:lang w:val="en"/>
                              </w:rPr>
                              <w:t>A</w:t>
                            </w:r>
                            <w:r w:rsidRPr="006C5AC0">
                              <w:rPr>
                                <w:rStyle w:val="BoldAllCaps"/>
                                <w:b w:val="0"/>
                                <w:caps w:val="0"/>
                                <w:sz w:val="21"/>
                                <w:szCs w:val="20"/>
                                <w:lang w:val="en"/>
                              </w:rPr>
                              <w:t xml:space="preserve">ged </w:t>
                            </w:r>
                            <w:r>
                              <w:rPr>
                                <w:rStyle w:val="BoldAllCaps"/>
                                <w:b w:val="0"/>
                                <w:caps w:val="0"/>
                                <w:sz w:val="21"/>
                                <w:szCs w:val="20"/>
                                <w:lang w:val="en"/>
                              </w:rPr>
                              <w:t>C</w:t>
                            </w:r>
                            <w:r w:rsidRPr="006C5AC0">
                              <w:rPr>
                                <w:rStyle w:val="BoldAllCaps"/>
                                <w:b w:val="0"/>
                                <w:caps w:val="0"/>
                                <w:sz w:val="21"/>
                                <w:szCs w:val="20"/>
                                <w:lang w:val="en"/>
                              </w:rPr>
                              <w:t xml:space="preserve">are </w:t>
                            </w:r>
                            <w:r>
                              <w:rPr>
                                <w:rStyle w:val="BoldAllCaps"/>
                                <w:b w:val="0"/>
                                <w:caps w:val="0"/>
                                <w:sz w:val="21"/>
                                <w:szCs w:val="20"/>
                                <w:lang w:val="en"/>
                              </w:rPr>
                              <w:t>S</w:t>
                            </w:r>
                            <w:r w:rsidRPr="006C5AC0">
                              <w:rPr>
                                <w:rStyle w:val="BoldAllCaps"/>
                                <w:b w:val="0"/>
                                <w:caps w:val="0"/>
                                <w:sz w:val="21"/>
                                <w:szCs w:val="20"/>
                                <w:lang w:val="en"/>
                              </w:rPr>
                              <w:t>ervices</w:t>
                            </w:r>
                          </w:p>
                          <w:p w14:paraId="677AC3FC" w14:textId="2793B906" w:rsidR="00242BC0" w:rsidRDefault="00D27CEC" w:rsidP="00D27CEC">
                            <w:pPr>
                              <w:spacing w:after="120"/>
                              <w:rPr>
                                <w:rFonts w:cs="Arial"/>
                                <w:color w:val="000000" w:themeColor="text1"/>
                                <w:sz w:val="21"/>
                                <w:lang w:val="en"/>
                              </w:rPr>
                            </w:pPr>
                            <w:r w:rsidRPr="00BB7878">
                              <w:rPr>
                                <w:rFonts w:cs="Arial"/>
                                <w:color w:val="000000" w:themeColor="text1"/>
                              </w:rPr>
                              <w:t xml:space="preserve">For </w:t>
                            </w:r>
                            <w:r w:rsidRPr="00BB7878">
                              <w:rPr>
                                <w:rFonts w:cs="Arial"/>
                                <w:color w:val="000000" w:themeColor="text1"/>
                                <w:sz w:val="21"/>
                                <w:lang w:val="en"/>
                              </w:rPr>
                              <w:t>the purposes of th</w:t>
                            </w:r>
                            <w:r w:rsidR="00242BC0">
                              <w:rPr>
                                <w:rFonts w:cs="Arial"/>
                                <w:color w:val="000000" w:themeColor="text1"/>
                                <w:sz w:val="21"/>
                                <w:lang w:val="en"/>
                              </w:rPr>
                              <w:t>e grant opportunity and Transitional</w:t>
                            </w:r>
                            <w:r w:rsidRPr="00BB7878">
                              <w:rPr>
                                <w:rFonts w:cs="Arial"/>
                                <w:color w:val="000000" w:themeColor="text1"/>
                                <w:sz w:val="21"/>
                                <w:lang w:val="en"/>
                              </w:rPr>
                              <w:t xml:space="preserve"> Arrangement, “RACS” encompasses</w:t>
                            </w:r>
                            <w:r w:rsidR="00242BC0">
                              <w:rPr>
                                <w:rFonts w:cs="Arial"/>
                                <w:color w:val="000000" w:themeColor="text1"/>
                                <w:sz w:val="21"/>
                                <w:lang w:val="en"/>
                              </w:rPr>
                              <w:t xml:space="preserve">: </w:t>
                            </w:r>
                          </w:p>
                          <w:p w14:paraId="23EE30B2" w14:textId="78B67DEC"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Residential Aged Care Services</w:t>
                            </w:r>
                          </w:p>
                          <w:p w14:paraId="08F5F287" w14:textId="0C09B149"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 xml:space="preserve">National Aboriginal and Torres Strait Islander Flexible Aged Care Program residential services </w:t>
                            </w:r>
                          </w:p>
                          <w:p w14:paraId="4A64126B" w14:textId="20F924A7"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Multi-Purpose Services that provide residential aged care services.</w:t>
                            </w:r>
                          </w:p>
                          <w:p w14:paraId="5116B8F6" w14:textId="58E0DFA7" w:rsidR="00D27CEC" w:rsidRPr="00BB7878" w:rsidRDefault="00D27CEC" w:rsidP="00D27CEC">
                            <w:pPr>
                              <w:spacing w:after="120"/>
                              <w:rPr>
                                <w:rFonts w:cs="Arial"/>
                                <w:color w:val="000000" w:themeColor="text1"/>
                                <w:lang w:val="en"/>
                              </w:rPr>
                            </w:pPr>
                          </w:p>
                        </w:txbxContent>
                      </wps:txbx>
                      <wps:bodyPr rot="0" vert="horz" wrap="square" lIns="91440" tIns="45720" rIns="91440" bIns="45720" anchor="t" anchorCtr="0">
                        <a:noAutofit/>
                      </wps:bodyPr>
                    </wps:wsp>
                  </a:graphicData>
                </a:graphic>
              </wp:inline>
            </w:drawing>
          </mc:Choice>
          <mc:Fallback>
            <w:pict>
              <v:shapetype w14:anchorId="3AEB68B6" id="_x0000_t202" coordsize="21600,21600" o:spt="202" path="m,l,21600r21600,l21600,xe">
                <v:stroke joinstyle="miter"/>
                <v:path gradientshapeok="t" o:connecttype="rect"/>
              </v:shapetype>
              <v:shape id="Text Box 2" o:spid="_x0000_s1026" type="#_x0000_t202" style="width:473.2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">
                <v:textbox>
                  <w:txbxContent>
                    <w:p w14:paraId="7691C3F0" w14:textId="3AA68947" w:rsidR="00D27CEC" w:rsidRPr="006C5AC0" w:rsidRDefault="006C5AC0" w:rsidP="006C5AC0">
                      <w:pPr>
                        <w:spacing w:before="240" w:after="240"/>
                        <w:rPr>
                          <w:rStyle w:val="BoldAllCaps"/>
                          <w:b w:val="0"/>
                          <w:caps w:val="0"/>
                          <w:sz w:val="21"/>
                          <w:szCs w:val="20"/>
                          <w:lang w:val="en"/>
                        </w:rPr>
                      </w:pPr>
                      <w:r>
                        <w:rPr>
                          <w:rStyle w:val="BoldAllCaps"/>
                          <w:b w:val="0"/>
                          <w:caps w:val="0"/>
                          <w:sz w:val="21"/>
                          <w:szCs w:val="20"/>
                          <w:lang w:val="en"/>
                        </w:rPr>
                        <w:t>R</w:t>
                      </w:r>
                      <w:r w:rsidRPr="006C5AC0">
                        <w:rPr>
                          <w:rStyle w:val="BoldAllCaps"/>
                          <w:b w:val="0"/>
                          <w:caps w:val="0"/>
                          <w:sz w:val="21"/>
                          <w:szCs w:val="20"/>
                          <w:lang w:val="en"/>
                        </w:rPr>
                        <w:t xml:space="preserve">esidential </w:t>
                      </w:r>
                      <w:r>
                        <w:rPr>
                          <w:rStyle w:val="BoldAllCaps"/>
                          <w:b w:val="0"/>
                          <w:caps w:val="0"/>
                          <w:sz w:val="21"/>
                          <w:szCs w:val="20"/>
                          <w:lang w:val="en"/>
                        </w:rPr>
                        <w:t>A</w:t>
                      </w:r>
                      <w:r w:rsidRPr="006C5AC0">
                        <w:rPr>
                          <w:rStyle w:val="BoldAllCaps"/>
                          <w:b w:val="0"/>
                          <w:caps w:val="0"/>
                          <w:sz w:val="21"/>
                          <w:szCs w:val="20"/>
                          <w:lang w:val="en"/>
                        </w:rPr>
                        <w:t xml:space="preserve">ged </w:t>
                      </w:r>
                      <w:r>
                        <w:rPr>
                          <w:rStyle w:val="BoldAllCaps"/>
                          <w:b w:val="0"/>
                          <w:caps w:val="0"/>
                          <w:sz w:val="21"/>
                          <w:szCs w:val="20"/>
                          <w:lang w:val="en"/>
                        </w:rPr>
                        <w:t>C</w:t>
                      </w:r>
                      <w:r w:rsidRPr="006C5AC0">
                        <w:rPr>
                          <w:rStyle w:val="BoldAllCaps"/>
                          <w:b w:val="0"/>
                          <w:caps w:val="0"/>
                          <w:sz w:val="21"/>
                          <w:szCs w:val="20"/>
                          <w:lang w:val="en"/>
                        </w:rPr>
                        <w:t xml:space="preserve">are </w:t>
                      </w:r>
                      <w:r>
                        <w:rPr>
                          <w:rStyle w:val="BoldAllCaps"/>
                          <w:b w:val="0"/>
                          <w:caps w:val="0"/>
                          <w:sz w:val="21"/>
                          <w:szCs w:val="20"/>
                          <w:lang w:val="en"/>
                        </w:rPr>
                        <w:t>S</w:t>
                      </w:r>
                      <w:r w:rsidRPr="006C5AC0">
                        <w:rPr>
                          <w:rStyle w:val="BoldAllCaps"/>
                          <w:b w:val="0"/>
                          <w:caps w:val="0"/>
                          <w:sz w:val="21"/>
                          <w:szCs w:val="20"/>
                          <w:lang w:val="en"/>
                        </w:rPr>
                        <w:t>ervices</w:t>
                      </w:r>
                    </w:p>
                    <w:p w14:paraId="677AC3FC" w14:textId="2793B906" w:rsidR="00242BC0" w:rsidRDefault="00D27CEC" w:rsidP="00D27CEC">
                      <w:pPr>
                        <w:spacing w:after="120"/>
                        <w:rPr>
                          <w:rFonts w:cs="Arial"/>
                          <w:color w:val="000000" w:themeColor="text1"/>
                          <w:sz w:val="21"/>
                          <w:lang w:val="en"/>
                        </w:rPr>
                      </w:pPr>
                      <w:r w:rsidRPr="00BB7878">
                        <w:rPr>
                          <w:rFonts w:cs="Arial"/>
                          <w:color w:val="000000" w:themeColor="text1"/>
                        </w:rPr>
                        <w:t xml:space="preserve">For </w:t>
                      </w:r>
                      <w:r w:rsidRPr="00BB7878">
                        <w:rPr>
                          <w:rFonts w:cs="Arial"/>
                          <w:color w:val="000000" w:themeColor="text1"/>
                          <w:sz w:val="21"/>
                          <w:lang w:val="en"/>
                        </w:rPr>
                        <w:t>the purposes of th</w:t>
                      </w:r>
                      <w:r w:rsidR="00242BC0">
                        <w:rPr>
                          <w:rFonts w:cs="Arial"/>
                          <w:color w:val="000000" w:themeColor="text1"/>
                          <w:sz w:val="21"/>
                          <w:lang w:val="en"/>
                        </w:rPr>
                        <w:t>e grant opportunity and Transitional</w:t>
                      </w:r>
                      <w:r w:rsidRPr="00BB7878">
                        <w:rPr>
                          <w:rFonts w:cs="Arial"/>
                          <w:color w:val="000000" w:themeColor="text1"/>
                          <w:sz w:val="21"/>
                          <w:lang w:val="en"/>
                        </w:rPr>
                        <w:t xml:space="preserve"> Arrangement, “RACS” encompasses</w:t>
                      </w:r>
                      <w:r w:rsidR="00242BC0">
                        <w:rPr>
                          <w:rFonts w:cs="Arial"/>
                          <w:color w:val="000000" w:themeColor="text1"/>
                          <w:sz w:val="21"/>
                          <w:lang w:val="en"/>
                        </w:rPr>
                        <w:t xml:space="preserve">: </w:t>
                      </w:r>
                    </w:p>
                    <w:p w14:paraId="23EE30B2" w14:textId="78B67DEC"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Residential Aged Care Services</w:t>
                      </w:r>
                    </w:p>
                    <w:p w14:paraId="08F5F287" w14:textId="0C09B149"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 xml:space="preserve">National Aboriginal and Torres Strait Islander Flexible Aged Care Program residential services </w:t>
                      </w:r>
                    </w:p>
                    <w:p w14:paraId="4A64126B" w14:textId="20F924A7" w:rsidR="00242BC0" w:rsidRPr="00242BC0" w:rsidRDefault="00D27CEC" w:rsidP="00242BC0">
                      <w:pPr>
                        <w:pStyle w:val="ListParagraph"/>
                        <w:numPr>
                          <w:ilvl w:val="0"/>
                          <w:numId w:val="10"/>
                        </w:numPr>
                        <w:spacing w:after="120"/>
                        <w:rPr>
                          <w:rFonts w:cs="Arial"/>
                          <w:color w:val="000000" w:themeColor="text1"/>
                          <w:sz w:val="21"/>
                          <w:lang w:val="en"/>
                        </w:rPr>
                      </w:pPr>
                      <w:r w:rsidRPr="00242BC0">
                        <w:rPr>
                          <w:rFonts w:cs="Arial"/>
                          <w:color w:val="000000" w:themeColor="text1"/>
                          <w:sz w:val="21"/>
                          <w:lang w:val="en"/>
                        </w:rPr>
                        <w:t>Multi-Purpose Services that provide residential aged care services.</w:t>
                      </w:r>
                    </w:p>
                    <w:p w14:paraId="5116B8F6" w14:textId="58E0DFA7" w:rsidR="00D27CEC" w:rsidRPr="00BB7878" w:rsidRDefault="00D27CEC" w:rsidP="00D27CEC">
                      <w:pPr>
                        <w:spacing w:after="120"/>
                        <w:rPr>
                          <w:rFonts w:cs="Arial"/>
                          <w:color w:val="000000" w:themeColor="text1"/>
                          <w:lang w:val="en"/>
                        </w:rPr>
                      </w:pPr>
                    </w:p>
                  </w:txbxContent>
                </v:textbox>
                <w10:anchorlock/>
              </v:shape>
            </w:pict>
          </mc:Fallback>
        </mc:AlternateContent>
      </w:r>
    </w:p>
    <w:p w14:paraId="461C1F34" w14:textId="77777777" w:rsidR="004871E9" w:rsidRPr="006C5AC0" w:rsidRDefault="004871E9"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 xml:space="preserve">The objective of the eNRMC Adoption grant opportunity </w:t>
      </w:r>
    </w:p>
    <w:p w14:paraId="3FE5DAD8" w14:textId="474B1C91" w:rsidR="004871E9" w:rsidRPr="006C5AC0" w:rsidRDefault="004871E9" w:rsidP="004871E9">
      <w:pPr>
        <w:pStyle w:val="BodyText"/>
        <w:rPr>
          <w:rFonts w:eastAsia="Times New Roman" w:cs="Arial"/>
          <w:sz w:val="21"/>
        </w:rPr>
      </w:pPr>
      <w:r w:rsidRPr="006C5AC0">
        <w:rPr>
          <w:rFonts w:eastAsia="Times New Roman" w:cs="Arial"/>
          <w:sz w:val="21"/>
        </w:rPr>
        <w:t>The desired outcome of the eNRMC Adoption grant opportunity is to increase the use of eNRMC Products in RACS. The increased use of eNRMCs contributes to improved medication management and safety practices and improved health outcomes for Australians in these settings.</w:t>
      </w:r>
    </w:p>
    <w:p w14:paraId="0410E93A" w14:textId="20BEE474" w:rsidR="00D27CEC" w:rsidRPr="006C5AC0" w:rsidRDefault="00D27CEC"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The eNRMC Transitional Arrangement – an overview</w:t>
      </w:r>
    </w:p>
    <w:p w14:paraId="3F9D7E82" w14:textId="20F2CB73" w:rsidR="00A54238" w:rsidRPr="006C5AC0" w:rsidRDefault="00A54238" w:rsidP="00A54238">
      <w:pPr>
        <w:pStyle w:val="BodyText"/>
        <w:rPr>
          <w:rFonts w:eastAsia="Times New Roman" w:cs="Arial"/>
          <w:sz w:val="21"/>
        </w:rPr>
      </w:pPr>
      <w:r w:rsidRPr="006C5AC0">
        <w:rPr>
          <w:rFonts w:eastAsia="Times New Roman" w:cs="Arial"/>
          <w:sz w:val="21"/>
        </w:rPr>
        <w:t xml:space="preserve">RACS can use the funding provided through the eNRMC Adoption grant opportunity to help </w:t>
      </w:r>
      <w:r w:rsidR="00891221">
        <w:rPr>
          <w:rFonts w:eastAsia="Times New Roman" w:cs="Arial"/>
          <w:sz w:val="21"/>
        </w:rPr>
        <w:t>defray</w:t>
      </w:r>
      <w:r w:rsidR="00891221" w:rsidRPr="006C5AC0">
        <w:rPr>
          <w:rFonts w:eastAsia="Times New Roman" w:cs="Arial"/>
          <w:sz w:val="21"/>
        </w:rPr>
        <w:t xml:space="preserve"> </w:t>
      </w:r>
      <w:r w:rsidRPr="006C5AC0">
        <w:rPr>
          <w:rFonts w:eastAsia="Times New Roman" w:cs="Arial"/>
          <w:sz w:val="21"/>
        </w:rPr>
        <w:t xml:space="preserve">the costs of adopting a </w:t>
      </w:r>
      <w:r w:rsidR="006B4CA0" w:rsidRPr="006C5AC0">
        <w:rPr>
          <w:rFonts w:eastAsia="Times New Roman" w:cs="Arial"/>
          <w:sz w:val="21"/>
        </w:rPr>
        <w:t>“</w:t>
      </w:r>
      <w:r w:rsidRPr="006C5AC0">
        <w:rPr>
          <w:rFonts w:eastAsia="Times New Roman" w:cs="Arial"/>
          <w:sz w:val="21"/>
        </w:rPr>
        <w:t>Transitional</w:t>
      </w:r>
      <w:r w:rsidR="00891221">
        <w:rPr>
          <w:rFonts w:eastAsia="Times New Roman" w:cs="Arial"/>
          <w:sz w:val="21"/>
        </w:rPr>
        <w:t xml:space="preserve"> or </w:t>
      </w:r>
      <w:r w:rsidR="00B2329E">
        <w:rPr>
          <w:rFonts w:eastAsia="Times New Roman" w:cs="Arial"/>
          <w:sz w:val="21"/>
        </w:rPr>
        <w:t xml:space="preserve">Electronic Prescribing </w:t>
      </w:r>
      <w:r w:rsidR="00891221">
        <w:rPr>
          <w:rFonts w:eastAsia="Times New Roman" w:cs="Arial"/>
          <w:sz w:val="21"/>
        </w:rPr>
        <w:t>Conformant</w:t>
      </w:r>
      <w:r w:rsidRPr="006C5AC0">
        <w:rPr>
          <w:rFonts w:eastAsia="Times New Roman" w:cs="Arial"/>
          <w:sz w:val="21"/>
        </w:rPr>
        <w:t xml:space="preserve"> eNRMC Product</w:t>
      </w:r>
      <w:r w:rsidR="006B4CA0" w:rsidRPr="006C5AC0">
        <w:rPr>
          <w:rFonts w:eastAsia="Times New Roman" w:cs="Arial"/>
          <w:sz w:val="21"/>
        </w:rPr>
        <w:t>”</w:t>
      </w:r>
      <w:r w:rsidRPr="006C5AC0">
        <w:rPr>
          <w:rFonts w:eastAsia="Times New Roman" w:cs="Arial"/>
          <w:sz w:val="21"/>
        </w:rPr>
        <w:t>.</w:t>
      </w:r>
    </w:p>
    <w:p w14:paraId="1E103420" w14:textId="1D73C9E7" w:rsidR="00D27CEC" w:rsidRPr="006C5AC0" w:rsidRDefault="00D27CEC" w:rsidP="00CD6531">
      <w:pPr>
        <w:pStyle w:val="BodyText"/>
        <w:rPr>
          <w:rFonts w:eastAsia="Times New Roman" w:cs="Arial"/>
          <w:sz w:val="21"/>
        </w:rPr>
      </w:pPr>
      <w:r w:rsidRPr="006C5AC0">
        <w:rPr>
          <w:rFonts w:eastAsia="Times New Roman" w:cs="Arial"/>
          <w:sz w:val="21"/>
        </w:rPr>
        <w:t>The Department of Health</w:t>
      </w:r>
      <w:r w:rsidR="000401F6">
        <w:rPr>
          <w:rFonts w:eastAsia="Times New Roman" w:cs="Arial"/>
          <w:sz w:val="21"/>
        </w:rPr>
        <w:t xml:space="preserve"> and Aged Care</w:t>
      </w:r>
      <w:r w:rsidRPr="006C5AC0">
        <w:rPr>
          <w:rFonts w:eastAsia="Times New Roman" w:cs="Arial"/>
          <w:sz w:val="21"/>
        </w:rPr>
        <w:t xml:space="preserve"> (the Department) and Australian Digital Health Agency (the Agency) </w:t>
      </w:r>
      <w:r w:rsidR="005E4620">
        <w:rPr>
          <w:rFonts w:eastAsia="Times New Roman" w:cs="Arial"/>
          <w:sz w:val="21"/>
        </w:rPr>
        <w:t>has</w:t>
      </w:r>
      <w:r w:rsidRPr="006C5AC0">
        <w:rPr>
          <w:rFonts w:eastAsia="Times New Roman" w:cs="Arial"/>
          <w:sz w:val="21"/>
        </w:rPr>
        <w:t xml:space="preserve"> put in place an eNRMC “Transitional Arrangement” </w:t>
      </w:r>
      <w:r w:rsidR="00C9397E">
        <w:rPr>
          <w:rFonts w:eastAsia="Times New Roman" w:cs="Arial"/>
          <w:sz w:val="21"/>
        </w:rPr>
        <w:t>which commenced on</w:t>
      </w:r>
      <w:r w:rsidR="00C9397E" w:rsidRPr="006C5AC0">
        <w:rPr>
          <w:rFonts w:eastAsia="Times New Roman" w:cs="Arial"/>
          <w:sz w:val="21"/>
        </w:rPr>
        <w:t xml:space="preserve"> </w:t>
      </w:r>
      <w:r w:rsidRPr="006C5AC0">
        <w:rPr>
          <w:rFonts w:eastAsia="Times New Roman" w:cs="Arial"/>
          <w:sz w:val="21"/>
        </w:rPr>
        <w:t>1 July 2022. The Arrangement allow</w:t>
      </w:r>
      <w:r w:rsidR="00C9397E">
        <w:rPr>
          <w:rFonts w:eastAsia="Times New Roman" w:cs="Arial"/>
          <w:sz w:val="21"/>
        </w:rPr>
        <w:t>s</w:t>
      </w:r>
      <w:r w:rsidRPr="006C5AC0">
        <w:rPr>
          <w:rFonts w:eastAsia="Times New Roman" w:cs="Arial"/>
          <w:sz w:val="21"/>
        </w:rPr>
        <w:t xml:space="preserve"> all RACS to begin adopting and benefiting from eNRMC products</w:t>
      </w:r>
      <w:r w:rsidR="006B4CA0" w:rsidRPr="006C5AC0">
        <w:rPr>
          <w:rFonts w:eastAsia="Times New Roman" w:cs="Arial"/>
          <w:sz w:val="21"/>
        </w:rPr>
        <w:t xml:space="preserve"> as soon as possible</w:t>
      </w:r>
      <w:r w:rsidRPr="006C5AC0">
        <w:rPr>
          <w:rFonts w:eastAsia="Times New Roman" w:cs="Arial"/>
          <w:sz w:val="21"/>
        </w:rPr>
        <w:t>.</w:t>
      </w:r>
    </w:p>
    <w:p w14:paraId="68B89337" w14:textId="311EF484" w:rsidR="00D27CEC" w:rsidRPr="006C5AC0" w:rsidRDefault="00D27CEC" w:rsidP="00CD6531">
      <w:pPr>
        <w:pStyle w:val="BodyText"/>
        <w:rPr>
          <w:rFonts w:eastAsia="Times New Roman" w:cs="Arial"/>
          <w:sz w:val="21"/>
        </w:rPr>
      </w:pPr>
      <w:r w:rsidRPr="006C5AC0">
        <w:rPr>
          <w:rFonts w:eastAsia="Times New Roman" w:cs="Arial"/>
          <w:sz w:val="21"/>
        </w:rPr>
        <w:t>The Arrangement is an interim measure while Prescription Delivery Services (PDS) and dispensing software meet the latest electronic prescribing conformance requirements. Once</w:t>
      </w:r>
      <w:r w:rsidRPr="006C5AC0" w:rsidDel="003C42DC">
        <w:rPr>
          <w:rFonts w:eastAsia="Times New Roman" w:cs="Arial"/>
          <w:sz w:val="21"/>
        </w:rPr>
        <w:t xml:space="preserve"> </w:t>
      </w:r>
      <w:r w:rsidRPr="006C5AC0">
        <w:rPr>
          <w:rFonts w:eastAsia="Times New Roman" w:cs="Arial"/>
          <w:sz w:val="21"/>
        </w:rPr>
        <w:t>PDS and dispensing software have met the</w:t>
      </w:r>
      <w:r w:rsidR="00243803">
        <w:rPr>
          <w:rFonts w:eastAsia="Times New Roman" w:cs="Arial"/>
          <w:sz w:val="21"/>
        </w:rPr>
        <w:t>se</w:t>
      </w:r>
      <w:r w:rsidRPr="006C5AC0">
        <w:rPr>
          <w:rFonts w:eastAsia="Times New Roman" w:cs="Arial"/>
          <w:sz w:val="21"/>
        </w:rPr>
        <w:t xml:space="preserve"> requirements, RACS</w:t>
      </w:r>
      <w:r w:rsidR="00CD6531" w:rsidRPr="006C5AC0">
        <w:rPr>
          <w:rFonts w:eastAsia="Times New Roman" w:cs="Arial"/>
          <w:sz w:val="21"/>
        </w:rPr>
        <w:t xml:space="preserve"> </w:t>
      </w:r>
      <w:r w:rsidRPr="006C5AC0">
        <w:rPr>
          <w:rFonts w:eastAsia="Times New Roman" w:cs="Arial"/>
          <w:sz w:val="21"/>
        </w:rPr>
        <w:t xml:space="preserve">will be able to update their </w:t>
      </w:r>
      <w:r w:rsidR="006B4CA0" w:rsidRPr="006C5AC0">
        <w:rPr>
          <w:rFonts w:eastAsia="Times New Roman" w:cs="Arial"/>
          <w:sz w:val="21"/>
        </w:rPr>
        <w:t xml:space="preserve">eNRMC </w:t>
      </w:r>
      <w:r w:rsidRPr="006C5AC0">
        <w:rPr>
          <w:rFonts w:eastAsia="Times New Roman" w:cs="Arial"/>
          <w:sz w:val="21"/>
        </w:rPr>
        <w:t>product to the “</w:t>
      </w:r>
      <w:r w:rsidR="00B2329E">
        <w:rPr>
          <w:rFonts w:eastAsia="Times New Roman" w:cs="Arial"/>
          <w:sz w:val="21"/>
        </w:rPr>
        <w:t>Electronic Prescribing</w:t>
      </w:r>
      <w:r w:rsidRPr="006C5AC0">
        <w:rPr>
          <w:rFonts w:eastAsia="Times New Roman" w:cs="Arial"/>
          <w:sz w:val="21"/>
        </w:rPr>
        <w:t xml:space="preserve"> Conformant eNRMC Product”. Under the Transitional Arrangement, electronic medication chart prescriptions will not be sent to a PDS, </w:t>
      </w:r>
      <w:r w:rsidR="00243803">
        <w:rPr>
          <w:rFonts w:eastAsia="Times New Roman" w:cs="Arial"/>
          <w:sz w:val="21"/>
        </w:rPr>
        <w:t xml:space="preserve">which </w:t>
      </w:r>
      <w:proofErr w:type="gramStart"/>
      <w:r w:rsidR="00243803">
        <w:rPr>
          <w:rFonts w:eastAsia="Times New Roman" w:cs="Arial"/>
          <w:sz w:val="21"/>
        </w:rPr>
        <w:t xml:space="preserve">means </w:t>
      </w:r>
      <w:r w:rsidRPr="006C5AC0">
        <w:rPr>
          <w:rFonts w:eastAsia="Times New Roman" w:cs="Arial"/>
          <w:sz w:val="21"/>
        </w:rPr>
        <w:t xml:space="preserve"> pharmacies</w:t>
      </w:r>
      <w:proofErr w:type="gramEnd"/>
      <w:r w:rsidRPr="006C5AC0">
        <w:rPr>
          <w:rFonts w:eastAsia="Times New Roman" w:cs="Arial"/>
          <w:sz w:val="21"/>
        </w:rPr>
        <w:t xml:space="preserve"> </w:t>
      </w:r>
      <w:r w:rsidR="00243803">
        <w:rPr>
          <w:rFonts w:eastAsia="Times New Roman" w:cs="Arial"/>
          <w:sz w:val="21"/>
        </w:rPr>
        <w:t xml:space="preserve">are required to </w:t>
      </w:r>
      <w:r w:rsidRPr="006C5AC0">
        <w:rPr>
          <w:rFonts w:eastAsia="Times New Roman" w:cs="Arial"/>
          <w:sz w:val="21"/>
        </w:rPr>
        <w:t>manually transcribe</w:t>
      </w:r>
      <w:r w:rsidR="00243803">
        <w:rPr>
          <w:rFonts w:eastAsia="Times New Roman" w:cs="Arial"/>
          <w:sz w:val="21"/>
        </w:rPr>
        <w:t xml:space="preserve"> prescription details into their dispensing systems.</w:t>
      </w:r>
      <w:r w:rsidRPr="006C5AC0">
        <w:rPr>
          <w:rFonts w:eastAsia="Times New Roman" w:cs="Arial"/>
          <w:sz w:val="21"/>
        </w:rPr>
        <w:t xml:space="preserve"> </w:t>
      </w:r>
      <w:r w:rsidRPr="006C5AC0">
        <w:rPr>
          <w:rFonts w:eastAsia="Times New Roman" w:cs="Arial"/>
          <w:sz w:val="21"/>
        </w:rPr>
        <w:lastRenderedPageBreak/>
        <w:t xml:space="preserve">Once products are updated to </w:t>
      </w:r>
      <w:r w:rsidR="00B2329E">
        <w:rPr>
          <w:rFonts w:eastAsia="Times New Roman" w:cs="Arial"/>
          <w:sz w:val="21"/>
        </w:rPr>
        <w:t>Electronic Prescribing</w:t>
      </w:r>
      <w:r w:rsidR="0089005C">
        <w:rPr>
          <w:rFonts w:eastAsia="Times New Roman" w:cs="Arial"/>
          <w:sz w:val="21"/>
        </w:rPr>
        <w:t xml:space="preserve"> </w:t>
      </w:r>
      <w:r w:rsidRPr="006C5AC0">
        <w:rPr>
          <w:rFonts w:eastAsia="Times New Roman" w:cs="Arial"/>
          <w:sz w:val="21"/>
        </w:rPr>
        <w:t xml:space="preserve">Conformant products, </w:t>
      </w:r>
      <w:r w:rsidR="001C053E">
        <w:rPr>
          <w:rFonts w:eastAsia="Times New Roman" w:cs="Arial"/>
          <w:sz w:val="21"/>
        </w:rPr>
        <w:t xml:space="preserve">medication chart </w:t>
      </w:r>
      <w:r w:rsidRPr="006C5AC0">
        <w:rPr>
          <w:rFonts w:eastAsia="Times New Roman" w:cs="Arial"/>
          <w:sz w:val="21"/>
        </w:rPr>
        <w:t xml:space="preserve">prescriptions will be sent to the PDS and will be retrievable by pharmacy dispensing software. The Transitional Arrangement will then end. </w:t>
      </w:r>
    </w:p>
    <w:p w14:paraId="15B0554A" w14:textId="02F48DF1" w:rsidR="00242BC0" w:rsidRPr="006C5AC0" w:rsidRDefault="00242BC0" w:rsidP="00242BC0">
      <w:pPr>
        <w:spacing w:after="120"/>
        <w:rPr>
          <w:rFonts w:cs="Arial"/>
          <w:sz w:val="21"/>
          <w:szCs w:val="21"/>
        </w:rPr>
      </w:pPr>
      <w:r w:rsidRPr="006C5AC0">
        <w:rPr>
          <w:rFonts w:cs="Arial"/>
          <w:sz w:val="21"/>
          <w:szCs w:val="21"/>
        </w:rPr>
        <w:t>For more information about the Transitional Arrangement</w:t>
      </w:r>
      <w:r w:rsidR="000967C6" w:rsidRPr="006C5AC0">
        <w:rPr>
          <w:rFonts w:cs="Arial"/>
          <w:sz w:val="21"/>
          <w:szCs w:val="21"/>
        </w:rPr>
        <w:t xml:space="preserve"> </w:t>
      </w:r>
      <w:r w:rsidRPr="006C5AC0">
        <w:rPr>
          <w:rFonts w:cs="Arial"/>
          <w:sz w:val="21"/>
          <w:szCs w:val="21"/>
        </w:rPr>
        <w:t xml:space="preserve">and what RACS need to do to </w:t>
      </w:r>
      <w:r w:rsidR="000967C6" w:rsidRPr="006C5AC0">
        <w:rPr>
          <w:rFonts w:cs="Arial"/>
          <w:sz w:val="21"/>
          <w:szCs w:val="21"/>
        </w:rPr>
        <w:t>if they adopt a Transitional eNRMC Product</w:t>
      </w:r>
      <w:r w:rsidRPr="006C5AC0">
        <w:rPr>
          <w:rFonts w:cs="Arial"/>
          <w:sz w:val="21"/>
          <w:szCs w:val="21"/>
        </w:rPr>
        <w:t xml:space="preserve">, please see the </w:t>
      </w:r>
      <w:hyperlink r:id="rId9" w:history="1">
        <w:r w:rsidRPr="006C5AC0">
          <w:rPr>
            <w:rStyle w:val="Hyperlink"/>
            <w:rFonts w:cs="Arial"/>
            <w:sz w:val="21"/>
            <w:szCs w:val="21"/>
          </w:rPr>
          <w:t>Department of Health’s website</w:t>
        </w:r>
      </w:hyperlink>
      <w:r w:rsidRPr="006C5AC0">
        <w:rPr>
          <w:rFonts w:cs="Arial"/>
          <w:sz w:val="21"/>
          <w:szCs w:val="21"/>
        </w:rPr>
        <w:t>.</w:t>
      </w:r>
    </w:p>
    <w:p w14:paraId="564EF095" w14:textId="71926C38" w:rsidR="00D27CEC" w:rsidRPr="006C5AC0" w:rsidRDefault="00CD6531"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 xml:space="preserve">When will the eNRMC Adoption grant opportunity be available? </w:t>
      </w:r>
    </w:p>
    <w:p w14:paraId="57C61511" w14:textId="73BE9FE0" w:rsidR="00CD6531" w:rsidRPr="006C5AC0" w:rsidRDefault="00CD6531" w:rsidP="00CD6531">
      <w:pPr>
        <w:pStyle w:val="BodyText"/>
        <w:rPr>
          <w:rFonts w:eastAsia="Times New Roman" w:cs="Arial"/>
          <w:sz w:val="21"/>
        </w:rPr>
      </w:pPr>
      <w:r w:rsidRPr="006C5AC0">
        <w:rPr>
          <w:rFonts w:eastAsia="Times New Roman" w:cs="Arial"/>
          <w:sz w:val="21"/>
        </w:rPr>
        <w:t xml:space="preserve">The eNRMC Adoption grant opportunity will run over three rounds. The first round </w:t>
      </w:r>
      <w:r w:rsidR="008D2BF7">
        <w:rPr>
          <w:rFonts w:eastAsia="Times New Roman" w:cs="Arial"/>
          <w:sz w:val="21"/>
        </w:rPr>
        <w:t>ran from</w:t>
      </w:r>
      <w:r w:rsidRPr="006C5AC0">
        <w:rPr>
          <w:rFonts w:eastAsia="Times New Roman" w:cs="Arial"/>
          <w:sz w:val="21"/>
        </w:rPr>
        <w:t xml:space="preserve"> July 2022 </w:t>
      </w:r>
      <w:r w:rsidR="008D2BF7">
        <w:rPr>
          <w:rFonts w:eastAsia="Times New Roman" w:cs="Arial"/>
          <w:sz w:val="21"/>
        </w:rPr>
        <w:t>to</w:t>
      </w:r>
      <w:r w:rsidR="00B94517" w:rsidRPr="00B94517">
        <w:rPr>
          <w:rFonts w:eastAsia="Times New Roman" w:cs="Arial"/>
          <w:sz w:val="21"/>
        </w:rPr>
        <w:t xml:space="preserve"> 12 January 2023</w:t>
      </w:r>
      <w:r w:rsidR="008D2BF7">
        <w:rPr>
          <w:rFonts w:eastAsia="Times New Roman" w:cs="Arial"/>
          <w:sz w:val="21"/>
        </w:rPr>
        <w:t>, closing earlier than anticipated</w:t>
      </w:r>
      <w:r w:rsidR="00B94517" w:rsidRPr="00B94517">
        <w:rPr>
          <w:rFonts w:eastAsia="Times New Roman" w:cs="Arial"/>
          <w:sz w:val="21"/>
        </w:rPr>
        <w:t xml:space="preserve"> as </w:t>
      </w:r>
      <w:r w:rsidR="001C053E">
        <w:rPr>
          <w:rFonts w:eastAsia="Times New Roman" w:cs="Arial"/>
          <w:sz w:val="21"/>
        </w:rPr>
        <w:t xml:space="preserve">all available </w:t>
      </w:r>
      <w:r w:rsidR="00B94517" w:rsidRPr="00B94517">
        <w:rPr>
          <w:rFonts w:eastAsia="Times New Roman" w:cs="Arial"/>
          <w:sz w:val="21"/>
        </w:rPr>
        <w:t>funding was expended. Round 2 commences on 3 July 2023.</w:t>
      </w:r>
      <w:r w:rsidRPr="006C5AC0">
        <w:rPr>
          <w:rFonts w:eastAsia="Times New Roman" w:cs="Arial"/>
          <w:sz w:val="21"/>
        </w:rPr>
        <w:t xml:space="preserve"> Grant applications </w:t>
      </w:r>
      <w:r w:rsidR="008D2BF7">
        <w:rPr>
          <w:rFonts w:eastAsia="Times New Roman" w:cs="Arial"/>
          <w:sz w:val="21"/>
        </w:rPr>
        <w:t>are</w:t>
      </w:r>
      <w:r w:rsidRPr="006C5AC0">
        <w:rPr>
          <w:rFonts w:eastAsia="Times New Roman" w:cs="Arial"/>
          <w:sz w:val="21"/>
        </w:rPr>
        <w:t xml:space="preserve"> assessed on a rolling basis until available funding is ex</w:t>
      </w:r>
      <w:r w:rsidR="001C053E">
        <w:rPr>
          <w:rFonts w:eastAsia="Times New Roman" w:cs="Arial"/>
          <w:sz w:val="21"/>
        </w:rPr>
        <w:t>pended</w:t>
      </w:r>
      <w:r w:rsidRPr="006C5AC0">
        <w:rPr>
          <w:rFonts w:eastAsia="Times New Roman" w:cs="Arial"/>
          <w:sz w:val="21"/>
        </w:rPr>
        <w:t>. If funding is expended before the grant round closing date, the grant round will be closed early. Applicants will then need to wait for the next round to open the following financial year</w:t>
      </w:r>
      <w:r w:rsidR="004871E9" w:rsidRPr="006C5AC0">
        <w:rPr>
          <w:rFonts w:eastAsia="Times New Roman" w:cs="Arial"/>
          <w:sz w:val="21"/>
        </w:rPr>
        <w:t xml:space="preserve"> to apply</w:t>
      </w:r>
      <w:r w:rsidRPr="006C5AC0">
        <w:rPr>
          <w:rFonts w:eastAsia="Times New Roman" w:cs="Arial"/>
          <w:sz w:val="21"/>
        </w:rPr>
        <w:t xml:space="preserve">. </w:t>
      </w:r>
    </w:p>
    <w:p w14:paraId="6523207D" w14:textId="73083FE5" w:rsidR="00CD6531" w:rsidRPr="006C5AC0" w:rsidRDefault="00CD6531" w:rsidP="00CD6531">
      <w:pPr>
        <w:pStyle w:val="BodyText"/>
        <w:rPr>
          <w:rFonts w:eastAsia="Times New Roman" w:cs="Arial"/>
          <w:sz w:val="21"/>
        </w:rPr>
      </w:pPr>
      <w:r w:rsidRPr="006C5AC0">
        <w:rPr>
          <w:rFonts w:eastAsia="Times New Roman" w:cs="Arial"/>
          <w:sz w:val="21"/>
        </w:rPr>
        <w:t>Below are the dates and timings for the grant</w:t>
      </w:r>
      <w:r w:rsidR="00B94517">
        <w:rPr>
          <w:rFonts w:eastAsia="Times New Roman" w:cs="Arial"/>
          <w:sz w:val="21"/>
        </w:rPr>
        <w:t xml:space="preserve"> as of March 2023</w:t>
      </w:r>
      <w:r w:rsidRPr="006C5AC0">
        <w:rPr>
          <w:rFonts w:eastAsia="Times New Roman" w:cs="Arial"/>
          <w:sz w:val="21"/>
        </w:rPr>
        <w:t>:</w:t>
      </w:r>
    </w:p>
    <w:tbl>
      <w:tblPr>
        <w:tblStyle w:val="TableGrid"/>
        <w:tblW w:w="9351" w:type="dxa"/>
        <w:tblLook w:val="04A0" w:firstRow="1" w:lastRow="0" w:firstColumn="1" w:lastColumn="0" w:noHBand="0" w:noVBand="1"/>
      </w:tblPr>
      <w:tblGrid>
        <w:gridCol w:w="4508"/>
        <w:gridCol w:w="4843"/>
      </w:tblGrid>
      <w:tr w:rsidR="00CD6531" w:rsidRPr="006C5AC0" w14:paraId="06FE039F" w14:textId="77777777" w:rsidTr="006D6DF9">
        <w:tc>
          <w:tcPr>
            <w:tcW w:w="4508" w:type="dxa"/>
          </w:tcPr>
          <w:p w14:paraId="0FA24A28" w14:textId="1E882735" w:rsidR="00CD6531" w:rsidRPr="006C5AC0" w:rsidRDefault="00CD6531" w:rsidP="00E208BA">
            <w:pPr>
              <w:pStyle w:val="BodyText"/>
              <w:rPr>
                <w:rFonts w:eastAsia="Times New Roman" w:cs="Arial"/>
                <w:sz w:val="21"/>
              </w:rPr>
            </w:pPr>
            <w:r w:rsidRPr="006C5AC0">
              <w:rPr>
                <w:rFonts w:eastAsia="Times New Roman" w:cs="Arial"/>
                <w:sz w:val="21"/>
              </w:rPr>
              <w:t>Round 1 open</w:t>
            </w:r>
            <w:r w:rsidR="003623ED">
              <w:rPr>
                <w:rFonts w:eastAsia="Times New Roman" w:cs="Arial"/>
                <w:sz w:val="21"/>
              </w:rPr>
              <w:t>ed</w:t>
            </w:r>
            <w:r w:rsidRPr="006C5AC0">
              <w:rPr>
                <w:rFonts w:eastAsia="Times New Roman" w:cs="Arial"/>
                <w:sz w:val="21"/>
              </w:rPr>
              <w:t xml:space="preserve"> </w:t>
            </w:r>
          </w:p>
        </w:tc>
        <w:tc>
          <w:tcPr>
            <w:tcW w:w="4843" w:type="dxa"/>
          </w:tcPr>
          <w:p w14:paraId="6003A5D7" w14:textId="1A4F2D5E" w:rsidR="00CD6531" w:rsidRPr="006C5AC0" w:rsidRDefault="003623ED" w:rsidP="00E208BA">
            <w:pPr>
              <w:pStyle w:val="BodyText"/>
              <w:rPr>
                <w:rFonts w:eastAsia="Times New Roman" w:cs="Arial"/>
                <w:sz w:val="21"/>
              </w:rPr>
            </w:pPr>
            <w:r>
              <w:rPr>
                <w:rFonts w:eastAsia="Times New Roman" w:cs="Arial"/>
                <w:sz w:val="21"/>
              </w:rPr>
              <w:t xml:space="preserve">1 </w:t>
            </w:r>
            <w:r w:rsidR="00CD6531" w:rsidRPr="006C5AC0">
              <w:rPr>
                <w:rFonts w:eastAsia="Times New Roman" w:cs="Arial"/>
                <w:sz w:val="21"/>
              </w:rPr>
              <w:t>July 2022</w:t>
            </w:r>
          </w:p>
        </w:tc>
      </w:tr>
      <w:tr w:rsidR="00CD6531" w:rsidRPr="006C5AC0" w14:paraId="4E952C27" w14:textId="77777777" w:rsidTr="006D6DF9">
        <w:tc>
          <w:tcPr>
            <w:tcW w:w="4508" w:type="dxa"/>
          </w:tcPr>
          <w:p w14:paraId="59DDAE6C" w14:textId="6854EF33" w:rsidR="00CD6531" w:rsidRPr="006C5AC0" w:rsidRDefault="00CD6531" w:rsidP="00E208BA">
            <w:pPr>
              <w:pStyle w:val="BodyText"/>
              <w:rPr>
                <w:rFonts w:eastAsia="Times New Roman" w:cs="Arial"/>
                <w:sz w:val="21"/>
              </w:rPr>
            </w:pPr>
            <w:r w:rsidRPr="006C5AC0">
              <w:rPr>
                <w:rFonts w:eastAsia="Times New Roman" w:cs="Arial"/>
                <w:sz w:val="21"/>
              </w:rPr>
              <w:t>Round 1 close</w:t>
            </w:r>
            <w:r w:rsidR="003623ED">
              <w:rPr>
                <w:rFonts w:eastAsia="Times New Roman" w:cs="Arial"/>
                <w:sz w:val="21"/>
              </w:rPr>
              <w:t>d</w:t>
            </w:r>
          </w:p>
        </w:tc>
        <w:tc>
          <w:tcPr>
            <w:tcW w:w="4843" w:type="dxa"/>
          </w:tcPr>
          <w:p w14:paraId="28793FE6" w14:textId="5563E33A" w:rsidR="00CD6531" w:rsidRPr="006C5AC0" w:rsidRDefault="00B94517" w:rsidP="00E208BA">
            <w:pPr>
              <w:pStyle w:val="BodyText"/>
              <w:rPr>
                <w:rFonts w:eastAsia="Times New Roman" w:cs="Arial"/>
                <w:sz w:val="21"/>
              </w:rPr>
            </w:pPr>
            <w:r>
              <w:rPr>
                <w:rFonts w:eastAsia="Times New Roman" w:cs="Arial"/>
                <w:sz w:val="21"/>
              </w:rPr>
              <w:t xml:space="preserve">12 January 2023 (originally </w:t>
            </w:r>
            <w:r w:rsidR="00CD6531" w:rsidRPr="006C5AC0">
              <w:rPr>
                <w:rFonts w:eastAsia="Times New Roman" w:cs="Arial"/>
                <w:sz w:val="21"/>
              </w:rPr>
              <w:t>30 March 2023</w:t>
            </w:r>
            <w:r>
              <w:rPr>
                <w:rFonts w:eastAsia="Times New Roman" w:cs="Arial"/>
                <w:sz w:val="21"/>
              </w:rPr>
              <w:t>)</w:t>
            </w:r>
          </w:p>
        </w:tc>
      </w:tr>
      <w:tr w:rsidR="00CD6531" w:rsidRPr="006C5AC0" w14:paraId="707AB344" w14:textId="77777777" w:rsidTr="006D6DF9">
        <w:tc>
          <w:tcPr>
            <w:tcW w:w="4508" w:type="dxa"/>
          </w:tcPr>
          <w:p w14:paraId="4BCBA697" w14:textId="6798216C" w:rsidR="00CD6531" w:rsidRPr="006C5AC0" w:rsidRDefault="00CD6531" w:rsidP="00E208BA">
            <w:pPr>
              <w:pStyle w:val="BodyText"/>
              <w:rPr>
                <w:rFonts w:eastAsia="Times New Roman" w:cs="Arial"/>
                <w:sz w:val="21"/>
              </w:rPr>
            </w:pPr>
            <w:r w:rsidRPr="006C5AC0">
              <w:rPr>
                <w:rFonts w:eastAsia="Times New Roman" w:cs="Arial"/>
                <w:sz w:val="21"/>
              </w:rPr>
              <w:t>Round 2 open</w:t>
            </w:r>
            <w:r w:rsidR="003623ED">
              <w:rPr>
                <w:rFonts w:eastAsia="Times New Roman" w:cs="Arial"/>
                <w:sz w:val="21"/>
              </w:rPr>
              <w:t>s</w:t>
            </w:r>
            <w:r w:rsidRPr="006C5AC0">
              <w:rPr>
                <w:rFonts w:eastAsia="Times New Roman" w:cs="Arial"/>
                <w:sz w:val="21"/>
              </w:rPr>
              <w:t xml:space="preserve"> on GrantConnect</w:t>
            </w:r>
          </w:p>
        </w:tc>
        <w:tc>
          <w:tcPr>
            <w:tcW w:w="4843" w:type="dxa"/>
          </w:tcPr>
          <w:p w14:paraId="5EC2C133" w14:textId="6CD36FC6" w:rsidR="00CD6531" w:rsidRPr="006C5AC0" w:rsidRDefault="00B94517" w:rsidP="00E208BA">
            <w:pPr>
              <w:pStyle w:val="BodyText"/>
              <w:rPr>
                <w:rFonts w:eastAsia="Times New Roman" w:cs="Arial"/>
                <w:sz w:val="21"/>
              </w:rPr>
            </w:pPr>
            <w:r>
              <w:rPr>
                <w:rFonts w:eastAsia="Times New Roman" w:cs="Arial"/>
                <w:sz w:val="21"/>
              </w:rPr>
              <w:t>3</w:t>
            </w:r>
            <w:r w:rsidR="00CD6531" w:rsidRPr="006C5AC0">
              <w:rPr>
                <w:rFonts w:eastAsia="Times New Roman" w:cs="Arial"/>
                <w:sz w:val="21"/>
              </w:rPr>
              <w:t xml:space="preserve"> July 2023</w:t>
            </w:r>
          </w:p>
        </w:tc>
      </w:tr>
      <w:tr w:rsidR="00CD6531" w:rsidRPr="006C5AC0" w14:paraId="648884FD" w14:textId="77777777" w:rsidTr="006D6DF9">
        <w:tc>
          <w:tcPr>
            <w:tcW w:w="4508" w:type="dxa"/>
          </w:tcPr>
          <w:p w14:paraId="2E3C2D91" w14:textId="77777777" w:rsidR="00CD6531" w:rsidRPr="006C5AC0" w:rsidRDefault="00CD6531" w:rsidP="00E208BA">
            <w:pPr>
              <w:pStyle w:val="BodyText"/>
              <w:rPr>
                <w:rFonts w:eastAsia="Times New Roman" w:cs="Arial"/>
                <w:sz w:val="21"/>
              </w:rPr>
            </w:pPr>
            <w:r w:rsidRPr="006C5AC0">
              <w:rPr>
                <w:rFonts w:eastAsia="Times New Roman" w:cs="Arial"/>
                <w:sz w:val="21"/>
              </w:rPr>
              <w:t>Round 2 grant applications close</w:t>
            </w:r>
          </w:p>
        </w:tc>
        <w:tc>
          <w:tcPr>
            <w:tcW w:w="4843" w:type="dxa"/>
          </w:tcPr>
          <w:p w14:paraId="55ACE2E0" w14:textId="0673F76B" w:rsidR="00CD6531" w:rsidRPr="006C5AC0" w:rsidRDefault="00CD6531" w:rsidP="00E208BA">
            <w:pPr>
              <w:pStyle w:val="BodyText"/>
              <w:rPr>
                <w:rFonts w:eastAsia="Times New Roman" w:cs="Arial"/>
                <w:sz w:val="21"/>
              </w:rPr>
            </w:pPr>
            <w:r w:rsidRPr="006C5AC0">
              <w:rPr>
                <w:rFonts w:eastAsia="Times New Roman" w:cs="Arial"/>
                <w:sz w:val="21"/>
              </w:rPr>
              <w:t>2</w:t>
            </w:r>
            <w:r w:rsidR="003623ED">
              <w:rPr>
                <w:rFonts w:eastAsia="Times New Roman" w:cs="Arial"/>
                <w:sz w:val="21"/>
              </w:rPr>
              <w:t>8</w:t>
            </w:r>
            <w:r w:rsidRPr="006C5AC0">
              <w:rPr>
                <w:rFonts w:eastAsia="Times New Roman" w:cs="Arial"/>
                <w:sz w:val="21"/>
              </w:rPr>
              <w:t xml:space="preserve"> March 2024</w:t>
            </w:r>
            <w:r w:rsidR="0089005C">
              <w:rPr>
                <w:rFonts w:eastAsia="Times New Roman" w:cs="Arial"/>
                <w:sz w:val="21"/>
              </w:rPr>
              <w:t xml:space="preserve"> </w:t>
            </w:r>
            <w:r w:rsidR="008D2BF7">
              <w:rPr>
                <w:rFonts w:eastAsia="Times New Roman" w:cs="Arial"/>
                <w:sz w:val="21"/>
              </w:rPr>
              <w:t>(</w:t>
            </w:r>
            <w:r w:rsidR="0089005C">
              <w:rPr>
                <w:rFonts w:eastAsia="Times New Roman" w:cs="Arial"/>
                <w:sz w:val="21"/>
              </w:rPr>
              <w:t xml:space="preserve">or until funding is </w:t>
            </w:r>
            <w:r w:rsidR="008D2BF7">
              <w:rPr>
                <w:rFonts w:eastAsia="Times New Roman" w:cs="Arial"/>
                <w:sz w:val="21"/>
              </w:rPr>
              <w:t>expended)</w:t>
            </w:r>
            <w:r w:rsidR="0089005C">
              <w:rPr>
                <w:rFonts w:eastAsia="Times New Roman" w:cs="Arial"/>
                <w:sz w:val="21"/>
              </w:rPr>
              <w:t xml:space="preserve"> </w:t>
            </w:r>
          </w:p>
        </w:tc>
      </w:tr>
      <w:tr w:rsidR="00CD6531" w:rsidRPr="006C5AC0" w14:paraId="4B5ADD11" w14:textId="77777777" w:rsidTr="006D6DF9">
        <w:tc>
          <w:tcPr>
            <w:tcW w:w="4508" w:type="dxa"/>
          </w:tcPr>
          <w:p w14:paraId="6462C10A" w14:textId="524713A2" w:rsidR="00CD6531" w:rsidRPr="006C5AC0" w:rsidRDefault="00CD6531" w:rsidP="00E208BA">
            <w:pPr>
              <w:pStyle w:val="BodyText"/>
              <w:rPr>
                <w:rFonts w:eastAsia="Times New Roman" w:cs="Arial"/>
                <w:sz w:val="21"/>
              </w:rPr>
            </w:pPr>
            <w:r w:rsidRPr="006C5AC0">
              <w:rPr>
                <w:rFonts w:eastAsia="Times New Roman" w:cs="Arial"/>
                <w:sz w:val="21"/>
              </w:rPr>
              <w:t>Round 3 open</w:t>
            </w:r>
            <w:r w:rsidR="003623ED">
              <w:rPr>
                <w:rFonts w:eastAsia="Times New Roman" w:cs="Arial"/>
                <w:sz w:val="21"/>
              </w:rPr>
              <w:t>s</w:t>
            </w:r>
            <w:r w:rsidRPr="006C5AC0">
              <w:rPr>
                <w:rFonts w:eastAsia="Times New Roman" w:cs="Arial"/>
                <w:sz w:val="21"/>
              </w:rPr>
              <w:t xml:space="preserve"> on GrantConnect</w:t>
            </w:r>
          </w:p>
        </w:tc>
        <w:tc>
          <w:tcPr>
            <w:tcW w:w="4843" w:type="dxa"/>
          </w:tcPr>
          <w:p w14:paraId="3B948263" w14:textId="77777777" w:rsidR="00CD6531" w:rsidRPr="006C5AC0" w:rsidRDefault="00CD6531" w:rsidP="00E208BA">
            <w:pPr>
              <w:pStyle w:val="BodyText"/>
              <w:rPr>
                <w:rFonts w:eastAsia="Times New Roman" w:cs="Arial"/>
                <w:sz w:val="21"/>
              </w:rPr>
            </w:pPr>
            <w:r w:rsidRPr="006C5AC0">
              <w:rPr>
                <w:rFonts w:eastAsia="Times New Roman" w:cs="Arial"/>
                <w:sz w:val="21"/>
              </w:rPr>
              <w:t>1 July 2024</w:t>
            </w:r>
          </w:p>
        </w:tc>
      </w:tr>
      <w:tr w:rsidR="00CD6531" w:rsidRPr="006C5AC0" w14:paraId="01B97A3B" w14:textId="77777777" w:rsidTr="006D6DF9">
        <w:tc>
          <w:tcPr>
            <w:tcW w:w="4508" w:type="dxa"/>
          </w:tcPr>
          <w:p w14:paraId="77DFAB7D" w14:textId="77777777" w:rsidR="00CD6531" w:rsidRPr="006C5AC0" w:rsidRDefault="00CD6531" w:rsidP="00E208BA">
            <w:pPr>
              <w:pStyle w:val="BodyText"/>
              <w:rPr>
                <w:rFonts w:eastAsia="Times New Roman" w:cs="Arial"/>
                <w:sz w:val="21"/>
              </w:rPr>
            </w:pPr>
            <w:r w:rsidRPr="006C5AC0">
              <w:rPr>
                <w:rFonts w:eastAsia="Times New Roman" w:cs="Arial"/>
                <w:sz w:val="21"/>
              </w:rPr>
              <w:t>Round 3 grant applications close</w:t>
            </w:r>
          </w:p>
        </w:tc>
        <w:tc>
          <w:tcPr>
            <w:tcW w:w="4843" w:type="dxa"/>
          </w:tcPr>
          <w:p w14:paraId="5AC2E434" w14:textId="23158262" w:rsidR="00CD6531" w:rsidRPr="006C5AC0" w:rsidRDefault="00CD6531" w:rsidP="00E208BA">
            <w:pPr>
              <w:pStyle w:val="BodyText"/>
              <w:rPr>
                <w:rFonts w:eastAsia="Times New Roman" w:cs="Arial"/>
                <w:sz w:val="21"/>
              </w:rPr>
            </w:pPr>
            <w:r w:rsidRPr="006C5AC0">
              <w:rPr>
                <w:rFonts w:eastAsia="Times New Roman" w:cs="Arial"/>
                <w:sz w:val="21"/>
              </w:rPr>
              <w:t>19 December 2024</w:t>
            </w:r>
            <w:r w:rsidR="0089005C">
              <w:rPr>
                <w:rFonts w:eastAsia="Times New Roman" w:cs="Arial"/>
                <w:sz w:val="21"/>
              </w:rPr>
              <w:t xml:space="preserve"> </w:t>
            </w:r>
            <w:r w:rsidR="006D6DF9">
              <w:rPr>
                <w:rFonts w:eastAsia="Times New Roman" w:cs="Arial"/>
                <w:sz w:val="21"/>
              </w:rPr>
              <w:t>(</w:t>
            </w:r>
            <w:r w:rsidR="0089005C">
              <w:rPr>
                <w:rFonts w:eastAsia="Times New Roman" w:cs="Arial"/>
                <w:sz w:val="21"/>
              </w:rPr>
              <w:t>or until funding is ex</w:t>
            </w:r>
            <w:r w:rsidR="008D2BF7">
              <w:rPr>
                <w:rFonts w:eastAsia="Times New Roman" w:cs="Arial"/>
                <w:sz w:val="21"/>
              </w:rPr>
              <w:t>pen</w:t>
            </w:r>
            <w:r w:rsidR="0089005C">
              <w:rPr>
                <w:rFonts w:eastAsia="Times New Roman" w:cs="Arial"/>
                <w:sz w:val="21"/>
              </w:rPr>
              <w:t>ded</w:t>
            </w:r>
            <w:r w:rsidR="006D6DF9">
              <w:rPr>
                <w:rFonts w:eastAsia="Times New Roman" w:cs="Arial"/>
                <w:sz w:val="21"/>
              </w:rPr>
              <w:t>)</w:t>
            </w:r>
          </w:p>
        </w:tc>
      </w:tr>
      <w:tr w:rsidR="00CD6531" w:rsidRPr="006C5AC0" w14:paraId="4D360A4F" w14:textId="77777777" w:rsidTr="006D6DF9">
        <w:tc>
          <w:tcPr>
            <w:tcW w:w="4508" w:type="dxa"/>
          </w:tcPr>
          <w:p w14:paraId="4392ED05" w14:textId="77777777" w:rsidR="00CD6531" w:rsidRPr="006C5AC0" w:rsidRDefault="00CD6531" w:rsidP="00E208BA">
            <w:pPr>
              <w:pStyle w:val="BodyText"/>
              <w:rPr>
                <w:rFonts w:eastAsia="Times New Roman" w:cs="Arial"/>
                <w:sz w:val="21"/>
              </w:rPr>
            </w:pPr>
            <w:r w:rsidRPr="006C5AC0">
              <w:rPr>
                <w:rFonts w:eastAsia="Times New Roman" w:cs="Arial"/>
                <w:sz w:val="21"/>
              </w:rPr>
              <w:t>Approval of outcomes</w:t>
            </w:r>
          </w:p>
        </w:tc>
        <w:tc>
          <w:tcPr>
            <w:tcW w:w="4843" w:type="dxa"/>
          </w:tcPr>
          <w:p w14:paraId="769BAC83" w14:textId="503AF91F" w:rsidR="00CD6531" w:rsidRPr="006C5AC0" w:rsidRDefault="0089005C" w:rsidP="00E208BA">
            <w:pPr>
              <w:pStyle w:val="BodyText"/>
              <w:rPr>
                <w:rFonts w:eastAsia="Times New Roman" w:cs="Arial"/>
                <w:sz w:val="21"/>
              </w:rPr>
            </w:pPr>
            <w:r>
              <w:rPr>
                <w:rFonts w:eastAsia="Times New Roman" w:cs="Arial"/>
                <w:sz w:val="21"/>
              </w:rPr>
              <w:t>5-8</w:t>
            </w:r>
            <w:r w:rsidR="00CD6531" w:rsidRPr="006C5AC0">
              <w:rPr>
                <w:rFonts w:eastAsia="Times New Roman" w:cs="Arial"/>
                <w:sz w:val="21"/>
              </w:rPr>
              <w:t xml:space="preserve"> weeks after receipt of application</w:t>
            </w:r>
          </w:p>
        </w:tc>
      </w:tr>
      <w:tr w:rsidR="00CD6531" w:rsidRPr="006C5AC0" w14:paraId="46985DBC" w14:textId="77777777" w:rsidTr="006D6DF9">
        <w:tc>
          <w:tcPr>
            <w:tcW w:w="4508" w:type="dxa"/>
          </w:tcPr>
          <w:p w14:paraId="2D36681E" w14:textId="77777777" w:rsidR="00CD6531" w:rsidRPr="006C5AC0" w:rsidRDefault="00CD6531" w:rsidP="00E208BA">
            <w:pPr>
              <w:pStyle w:val="BodyText"/>
              <w:rPr>
                <w:rFonts w:eastAsia="Times New Roman" w:cs="Arial"/>
                <w:sz w:val="21"/>
              </w:rPr>
            </w:pPr>
            <w:r w:rsidRPr="006C5AC0">
              <w:rPr>
                <w:rFonts w:eastAsia="Times New Roman" w:cs="Arial"/>
                <w:sz w:val="21"/>
              </w:rPr>
              <w:t>Negotiations and award of grant agreements</w:t>
            </w:r>
          </w:p>
        </w:tc>
        <w:tc>
          <w:tcPr>
            <w:tcW w:w="4843" w:type="dxa"/>
          </w:tcPr>
          <w:p w14:paraId="1B452490" w14:textId="77777777" w:rsidR="00CD6531" w:rsidRPr="006C5AC0" w:rsidRDefault="00CD6531" w:rsidP="00E208BA">
            <w:pPr>
              <w:pStyle w:val="BodyText"/>
              <w:rPr>
                <w:rFonts w:eastAsia="Times New Roman" w:cs="Arial"/>
                <w:sz w:val="21"/>
              </w:rPr>
            </w:pPr>
            <w:r w:rsidRPr="006C5AC0">
              <w:rPr>
                <w:rFonts w:eastAsia="Times New Roman" w:cs="Arial"/>
                <w:sz w:val="21"/>
              </w:rPr>
              <w:t>2 weeks after approval of outcomes</w:t>
            </w:r>
          </w:p>
        </w:tc>
      </w:tr>
      <w:tr w:rsidR="008D2BF7" w:rsidRPr="006C5AC0" w14:paraId="74E5CAED" w14:textId="77777777" w:rsidTr="006D6DF9">
        <w:tc>
          <w:tcPr>
            <w:tcW w:w="4508" w:type="dxa"/>
          </w:tcPr>
          <w:p w14:paraId="38AA636E" w14:textId="14629641" w:rsidR="008D2BF7" w:rsidRPr="006C5AC0" w:rsidRDefault="008D2BF7" w:rsidP="00E208BA">
            <w:pPr>
              <w:pStyle w:val="BodyText"/>
              <w:rPr>
                <w:rFonts w:eastAsia="Times New Roman" w:cs="Arial"/>
                <w:sz w:val="21"/>
              </w:rPr>
            </w:pPr>
            <w:r>
              <w:rPr>
                <w:rFonts w:eastAsia="Times New Roman" w:cs="Arial"/>
                <w:sz w:val="21"/>
              </w:rPr>
              <w:t xml:space="preserve">Provision of grant funding </w:t>
            </w:r>
          </w:p>
        </w:tc>
        <w:tc>
          <w:tcPr>
            <w:tcW w:w="4843" w:type="dxa"/>
          </w:tcPr>
          <w:p w14:paraId="7BB54A06" w14:textId="06E73DB4" w:rsidR="008D2BF7" w:rsidRPr="006C5AC0" w:rsidRDefault="008D2BF7" w:rsidP="00E208BA">
            <w:pPr>
              <w:pStyle w:val="BodyText"/>
              <w:rPr>
                <w:rFonts w:eastAsia="Times New Roman" w:cs="Arial"/>
                <w:sz w:val="21"/>
              </w:rPr>
            </w:pPr>
            <w:r>
              <w:rPr>
                <w:rFonts w:eastAsia="Times New Roman" w:cs="Arial"/>
                <w:sz w:val="21"/>
              </w:rPr>
              <w:t xml:space="preserve">5-10 business days after execution of Grant Agreement. </w:t>
            </w:r>
          </w:p>
        </w:tc>
      </w:tr>
    </w:tbl>
    <w:p w14:paraId="179BC149" w14:textId="6BF37AA9" w:rsidR="00CD6531" w:rsidRPr="006C5AC0" w:rsidRDefault="00CD6531"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Who is eligible for the eNRMC Adoption grant opportunity?</w:t>
      </w:r>
    </w:p>
    <w:p w14:paraId="3E35D0DB" w14:textId="017407E3" w:rsidR="00CD6531" w:rsidRPr="006C5AC0" w:rsidRDefault="00CD6531" w:rsidP="00CD6531">
      <w:pPr>
        <w:pStyle w:val="BodyText"/>
        <w:rPr>
          <w:rFonts w:eastAsia="Times New Roman" w:cs="Arial"/>
          <w:sz w:val="21"/>
        </w:rPr>
      </w:pPr>
      <w:r w:rsidRPr="006C5AC0">
        <w:rPr>
          <w:rFonts w:eastAsia="Times New Roman" w:cs="Arial"/>
          <w:sz w:val="21"/>
        </w:rPr>
        <w:t xml:space="preserve">To be eligible for funding under this grant opportunity a </w:t>
      </w:r>
      <w:r w:rsidR="0089005C">
        <w:rPr>
          <w:rFonts w:eastAsia="Times New Roman" w:cs="Arial"/>
          <w:sz w:val="21"/>
        </w:rPr>
        <w:t xml:space="preserve">RACS </w:t>
      </w:r>
      <w:r w:rsidRPr="006C5AC0">
        <w:rPr>
          <w:rFonts w:eastAsia="Times New Roman" w:cs="Arial"/>
          <w:sz w:val="21"/>
        </w:rPr>
        <w:t>must:</w:t>
      </w:r>
    </w:p>
    <w:p w14:paraId="319A279E" w14:textId="77777777" w:rsidR="00CD6531" w:rsidRPr="006C5AC0" w:rsidRDefault="00CD6531" w:rsidP="00CD6531">
      <w:pPr>
        <w:pStyle w:val="BodyText"/>
        <w:numPr>
          <w:ilvl w:val="0"/>
          <w:numId w:val="3"/>
        </w:numPr>
        <w:spacing w:after="0" w:line="240" w:lineRule="auto"/>
        <w:ind w:hanging="357"/>
        <w:rPr>
          <w:rFonts w:eastAsia="Times New Roman" w:cs="Arial"/>
          <w:sz w:val="21"/>
        </w:rPr>
      </w:pPr>
      <w:r w:rsidRPr="006C5AC0">
        <w:rPr>
          <w:rFonts w:eastAsia="Times New Roman" w:cs="Arial"/>
          <w:sz w:val="21"/>
        </w:rPr>
        <w:t xml:space="preserve">be one of the following: </w:t>
      </w:r>
    </w:p>
    <w:p w14:paraId="01EEABDF" w14:textId="4446111A" w:rsidR="00CD6531" w:rsidRPr="006C5AC0" w:rsidRDefault="00CD6531" w:rsidP="00CD6531">
      <w:pPr>
        <w:pStyle w:val="BodyText"/>
        <w:numPr>
          <w:ilvl w:val="1"/>
          <w:numId w:val="3"/>
        </w:numPr>
        <w:spacing w:after="0" w:line="240" w:lineRule="auto"/>
        <w:ind w:hanging="357"/>
        <w:rPr>
          <w:rFonts w:eastAsia="Times New Roman" w:cs="Arial"/>
          <w:sz w:val="21"/>
        </w:rPr>
      </w:pPr>
      <w:r w:rsidRPr="006C5AC0">
        <w:rPr>
          <w:rFonts w:eastAsia="Times New Roman" w:cs="Arial"/>
          <w:sz w:val="21"/>
        </w:rPr>
        <w:t xml:space="preserve">a </w:t>
      </w:r>
      <w:r w:rsidR="0089005C">
        <w:rPr>
          <w:rFonts w:eastAsia="Times New Roman" w:cs="Arial"/>
          <w:sz w:val="21"/>
        </w:rPr>
        <w:t xml:space="preserve">registered </w:t>
      </w:r>
      <w:r w:rsidRPr="006C5AC0">
        <w:rPr>
          <w:rFonts w:eastAsia="Times New Roman" w:cs="Arial"/>
          <w:sz w:val="21"/>
        </w:rPr>
        <w:t>RACS</w:t>
      </w:r>
    </w:p>
    <w:p w14:paraId="3C444AD3" w14:textId="77777777" w:rsidR="00CD6531" w:rsidRPr="006C5AC0" w:rsidRDefault="00CD6531" w:rsidP="00CD6531">
      <w:pPr>
        <w:pStyle w:val="BodyText"/>
        <w:numPr>
          <w:ilvl w:val="1"/>
          <w:numId w:val="3"/>
        </w:numPr>
        <w:spacing w:after="0" w:line="240" w:lineRule="auto"/>
        <w:ind w:hanging="357"/>
        <w:rPr>
          <w:rFonts w:eastAsia="Times New Roman" w:cs="Arial"/>
          <w:sz w:val="21"/>
        </w:rPr>
      </w:pPr>
      <w:r w:rsidRPr="006C5AC0">
        <w:rPr>
          <w:rFonts w:eastAsia="Times New Roman" w:cs="Arial"/>
          <w:sz w:val="21"/>
        </w:rPr>
        <w:t>a National Aboriginal and Torres Strait Islander Flexible Aged Care Program Provider that delivers residential services, or</w:t>
      </w:r>
    </w:p>
    <w:p w14:paraId="22F75F11" w14:textId="77777777" w:rsidR="00CD6531" w:rsidRPr="006C5AC0" w:rsidRDefault="00CD6531" w:rsidP="00CD6531">
      <w:pPr>
        <w:pStyle w:val="BodyText"/>
        <w:numPr>
          <w:ilvl w:val="1"/>
          <w:numId w:val="3"/>
        </w:numPr>
        <w:spacing w:after="0" w:line="240" w:lineRule="auto"/>
        <w:ind w:hanging="357"/>
        <w:rPr>
          <w:rFonts w:eastAsia="Times New Roman" w:cs="Arial"/>
          <w:sz w:val="21"/>
        </w:rPr>
      </w:pPr>
      <w:r w:rsidRPr="006C5AC0">
        <w:rPr>
          <w:rFonts w:eastAsia="Times New Roman" w:cs="Arial"/>
          <w:sz w:val="21"/>
        </w:rPr>
        <w:t>a Multi-Purpose Service providing residential aged care services (including those operated by State and Territory governments).</w:t>
      </w:r>
    </w:p>
    <w:p w14:paraId="0706D490" w14:textId="4F0AF3A0" w:rsidR="00CD6531" w:rsidRPr="006C5AC0" w:rsidRDefault="00CD6531" w:rsidP="00CD6531">
      <w:pPr>
        <w:pStyle w:val="BodyText"/>
        <w:numPr>
          <w:ilvl w:val="0"/>
          <w:numId w:val="3"/>
        </w:numPr>
        <w:spacing w:after="0" w:line="240" w:lineRule="auto"/>
        <w:ind w:hanging="357"/>
        <w:rPr>
          <w:rFonts w:eastAsia="Times New Roman" w:cs="Arial"/>
          <w:sz w:val="21"/>
        </w:rPr>
      </w:pPr>
      <w:r w:rsidRPr="006C5AC0">
        <w:rPr>
          <w:rFonts w:eastAsia="Times New Roman" w:cs="Arial"/>
          <w:sz w:val="21"/>
        </w:rPr>
        <w:t>have a current and valid residential aged care service unique system identifier issued by the Commonwealth. This could be a RACS/Residential Aged Care Facility (RAC</w:t>
      </w:r>
      <w:r w:rsidR="008D2BF7">
        <w:rPr>
          <w:rFonts w:eastAsia="Times New Roman" w:cs="Arial"/>
          <w:sz w:val="21"/>
        </w:rPr>
        <w:t>F</w:t>
      </w:r>
      <w:r w:rsidRPr="006C5AC0">
        <w:rPr>
          <w:rFonts w:eastAsia="Times New Roman" w:cs="Arial"/>
          <w:sz w:val="21"/>
        </w:rPr>
        <w:t>) ID or National Approved Provider Service (NAPS) ID.</w:t>
      </w:r>
    </w:p>
    <w:p w14:paraId="2C15536F" w14:textId="595E94F9" w:rsidR="00CD6531" w:rsidRPr="006C5AC0" w:rsidRDefault="00CD6531" w:rsidP="00CD6531">
      <w:pPr>
        <w:pStyle w:val="BodyText"/>
        <w:numPr>
          <w:ilvl w:val="0"/>
          <w:numId w:val="3"/>
        </w:numPr>
        <w:spacing w:after="0" w:line="240" w:lineRule="auto"/>
        <w:ind w:hanging="357"/>
        <w:rPr>
          <w:rFonts w:cs="Arial"/>
        </w:rPr>
      </w:pPr>
      <w:r w:rsidRPr="006C5AC0">
        <w:rPr>
          <w:rFonts w:eastAsia="Times New Roman" w:cs="Arial"/>
          <w:sz w:val="21"/>
        </w:rPr>
        <w:t xml:space="preserve">undertake to implement a Transitional eNRMC Product or </w:t>
      </w:r>
      <w:r w:rsidR="00B2329E">
        <w:rPr>
          <w:rFonts w:eastAsia="Times New Roman" w:cs="Arial"/>
          <w:sz w:val="21"/>
        </w:rPr>
        <w:t>Electronic Prescribing</w:t>
      </w:r>
      <w:r w:rsidR="0089005C">
        <w:rPr>
          <w:rFonts w:eastAsia="Times New Roman" w:cs="Arial"/>
          <w:sz w:val="21"/>
        </w:rPr>
        <w:t xml:space="preserve"> </w:t>
      </w:r>
      <w:r w:rsidRPr="006C5AC0">
        <w:rPr>
          <w:rFonts w:eastAsia="Times New Roman" w:cs="Arial"/>
          <w:sz w:val="21"/>
        </w:rPr>
        <w:t xml:space="preserve">Conformant eNRMC Product within 12 months of </w:t>
      </w:r>
      <w:r w:rsidRPr="006C5AC0">
        <w:rPr>
          <w:rFonts w:eastAsia="Times New Roman" w:cs="Arial"/>
          <w:sz w:val="21"/>
          <w:szCs w:val="21"/>
        </w:rPr>
        <w:t>executing a grant agreement. The product must be listed on the</w:t>
      </w:r>
      <w:r w:rsidRPr="006C5AC0">
        <w:rPr>
          <w:rFonts w:cs="Arial"/>
          <w:sz w:val="21"/>
          <w:szCs w:val="21"/>
        </w:rPr>
        <w:t xml:space="preserve"> </w:t>
      </w:r>
      <w:hyperlink r:id="rId10" w:history="1">
        <w:r w:rsidRPr="006C5AC0">
          <w:rPr>
            <w:rStyle w:val="Hyperlink"/>
            <w:rFonts w:cs="Arial"/>
            <w:i/>
            <w:sz w:val="21"/>
            <w:szCs w:val="21"/>
          </w:rPr>
          <w:t>Electronic Prescribing Conformance Register</w:t>
        </w:r>
      </w:hyperlink>
      <w:r w:rsidRPr="006C5AC0">
        <w:rPr>
          <w:rFonts w:cs="Arial"/>
          <w:sz w:val="21"/>
          <w:szCs w:val="21"/>
        </w:rPr>
        <w:t xml:space="preserve"> or </w:t>
      </w:r>
      <w:hyperlink r:id="rId11" w:history="1">
        <w:r w:rsidRPr="006C5AC0">
          <w:rPr>
            <w:rStyle w:val="Hyperlink"/>
            <w:rFonts w:cs="Arial"/>
            <w:i/>
            <w:sz w:val="21"/>
            <w:szCs w:val="21"/>
          </w:rPr>
          <w:t>Transitional eNRMC Conformance Register</w:t>
        </w:r>
      </w:hyperlink>
      <w:r w:rsidRPr="006C5AC0">
        <w:rPr>
          <w:rFonts w:cs="Arial"/>
          <w:sz w:val="21"/>
          <w:szCs w:val="21"/>
        </w:rPr>
        <w:t>.</w:t>
      </w:r>
    </w:p>
    <w:p w14:paraId="12208277" w14:textId="77777777" w:rsidR="009576EB" w:rsidRPr="006C5AC0" w:rsidRDefault="009576EB" w:rsidP="006C5AC0">
      <w:pPr>
        <w:pStyle w:val="Heading2"/>
        <w:spacing w:before="360" w:after="120"/>
        <w:rPr>
          <w:rFonts w:ascii="Arial" w:hAnsi="Arial" w:cs="Arial"/>
        </w:rPr>
      </w:pPr>
      <w:r w:rsidRPr="006C5AC0">
        <w:rPr>
          <w:rFonts w:ascii="Arial" w:eastAsia="Times New Roman" w:hAnsi="Arial" w:cs="Arial"/>
          <w:bCs/>
          <w:color w:val="3F4A75"/>
          <w:kern w:val="28"/>
          <w:sz w:val="36"/>
          <w:szCs w:val="36"/>
        </w:rPr>
        <w:lastRenderedPageBreak/>
        <w:t>What are the funding amounts for the eNRMC Adoption grant opportunity?</w:t>
      </w:r>
    </w:p>
    <w:p w14:paraId="20D7531D" w14:textId="76B4361B" w:rsidR="009576EB" w:rsidRPr="006C5AC0" w:rsidRDefault="009576EB" w:rsidP="009576EB">
      <w:pPr>
        <w:pStyle w:val="BodyText"/>
        <w:spacing w:before="120"/>
        <w:rPr>
          <w:rFonts w:eastAsia="Times New Roman" w:cs="Arial"/>
          <w:sz w:val="21"/>
        </w:rPr>
      </w:pPr>
      <w:r w:rsidRPr="006C5AC0">
        <w:rPr>
          <w:rFonts w:eastAsia="Times New Roman" w:cs="Arial"/>
          <w:sz w:val="21"/>
        </w:rPr>
        <w:t xml:space="preserve">The value of the grants available will be varied. Grant amounts will depend on: </w:t>
      </w:r>
    </w:p>
    <w:p w14:paraId="7F9C5254" w14:textId="1C85E755" w:rsidR="009576EB" w:rsidRPr="006C5AC0" w:rsidRDefault="0043192E" w:rsidP="009576EB">
      <w:pPr>
        <w:pStyle w:val="BodyText"/>
        <w:numPr>
          <w:ilvl w:val="0"/>
          <w:numId w:val="4"/>
        </w:numPr>
        <w:spacing w:after="0"/>
        <w:rPr>
          <w:rFonts w:eastAsia="Times New Roman" w:cs="Arial"/>
          <w:sz w:val="21"/>
        </w:rPr>
      </w:pPr>
      <w:r w:rsidRPr="006C5AC0">
        <w:rPr>
          <w:rFonts w:eastAsia="Times New Roman" w:cs="Arial"/>
          <w:sz w:val="21"/>
        </w:rPr>
        <w:t>w</w:t>
      </w:r>
      <w:r w:rsidR="009576EB" w:rsidRPr="006C5AC0">
        <w:rPr>
          <w:rFonts w:eastAsia="Times New Roman" w:cs="Arial"/>
          <w:sz w:val="21"/>
        </w:rPr>
        <w:t xml:space="preserve">hich round you </w:t>
      </w:r>
      <w:r w:rsidR="0089005C">
        <w:rPr>
          <w:rFonts w:eastAsia="Times New Roman" w:cs="Arial"/>
          <w:sz w:val="21"/>
        </w:rPr>
        <w:t>submit a successful application in</w:t>
      </w:r>
    </w:p>
    <w:p w14:paraId="2B0F55B4" w14:textId="2AAA4BDA" w:rsidR="009576EB" w:rsidRPr="006C5AC0" w:rsidRDefault="009576EB" w:rsidP="009576EB">
      <w:pPr>
        <w:pStyle w:val="BodyText"/>
        <w:numPr>
          <w:ilvl w:val="0"/>
          <w:numId w:val="4"/>
        </w:numPr>
        <w:spacing w:after="0"/>
        <w:rPr>
          <w:rFonts w:eastAsia="Times New Roman" w:cs="Arial"/>
          <w:sz w:val="21"/>
        </w:rPr>
      </w:pPr>
      <w:r w:rsidRPr="006C5AC0">
        <w:rPr>
          <w:rFonts w:eastAsia="Times New Roman" w:cs="Arial"/>
          <w:sz w:val="21"/>
        </w:rPr>
        <w:t>the remoteness of your RACS (as determined by the ABS Remoteness classification)</w:t>
      </w:r>
    </w:p>
    <w:p w14:paraId="0657B788" w14:textId="733C96AD" w:rsidR="009576EB" w:rsidRPr="006C5AC0" w:rsidRDefault="009576EB" w:rsidP="009576EB">
      <w:pPr>
        <w:pStyle w:val="BodyText"/>
        <w:numPr>
          <w:ilvl w:val="0"/>
          <w:numId w:val="4"/>
        </w:numPr>
        <w:spacing w:after="0"/>
        <w:rPr>
          <w:rFonts w:eastAsia="Times New Roman" w:cs="Arial"/>
          <w:sz w:val="21"/>
        </w:rPr>
      </w:pPr>
      <w:r w:rsidRPr="006C5AC0">
        <w:rPr>
          <w:rFonts w:eastAsia="Times New Roman" w:cs="Arial"/>
          <w:sz w:val="21"/>
        </w:rPr>
        <w:t>the ownership model o</w:t>
      </w:r>
      <w:r w:rsidR="000967C6" w:rsidRPr="006C5AC0">
        <w:rPr>
          <w:rFonts w:eastAsia="Times New Roman" w:cs="Arial"/>
          <w:sz w:val="21"/>
        </w:rPr>
        <w:t xml:space="preserve">f </w:t>
      </w:r>
      <w:r w:rsidRPr="006C5AC0">
        <w:rPr>
          <w:rFonts w:eastAsia="Times New Roman" w:cs="Arial"/>
          <w:sz w:val="21"/>
        </w:rPr>
        <w:t xml:space="preserve">your RACS and </w:t>
      </w:r>
    </w:p>
    <w:p w14:paraId="6E28876A" w14:textId="5362CCAA" w:rsidR="009576EB" w:rsidRDefault="009576EB" w:rsidP="009576EB">
      <w:pPr>
        <w:pStyle w:val="BodyText"/>
        <w:numPr>
          <w:ilvl w:val="0"/>
          <w:numId w:val="4"/>
        </w:numPr>
        <w:rPr>
          <w:rFonts w:eastAsia="Times New Roman" w:cs="Arial"/>
          <w:sz w:val="21"/>
        </w:rPr>
      </w:pPr>
      <w:r w:rsidRPr="006C5AC0">
        <w:rPr>
          <w:rFonts w:eastAsia="Times New Roman" w:cs="Arial"/>
          <w:sz w:val="21"/>
        </w:rPr>
        <w:t>whether your RACS has participated in the eNRMC Trial at any time between July 2018 and March 2022.</w:t>
      </w:r>
    </w:p>
    <w:p w14:paraId="1A3FAE3B" w14:textId="4CE1203A" w:rsidR="003B30D5" w:rsidRDefault="009576EB" w:rsidP="0043192E">
      <w:pPr>
        <w:pStyle w:val="BodyText"/>
        <w:rPr>
          <w:rFonts w:eastAsia="Times New Roman" w:cs="Arial"/>
          <w:sz w:val="21"/>
        </w:rPr>
      </w:pPr>
      <w:r w:rsidRPr="006C5AC0">
        <w:rPr>
          <w:rFonts w:eastAsia="Times New Roman" w:cs="Arial"/>
          <w:sz w:val="21"/>
        </w:rPr>
        <w:t>Grant amounts decrease with each subsequent round of the grant opportunity</w:t>
      </w:r>
      <w:r w:rsidR="00D31987">
        <w:rPr>
          <w:rFonts w:eastAsia="Times New Roman" w:cs="Arial"/>
          <w:sz w:val="21"/>
        </w:rPr>
        <w:t xml:space="preserve"> to encourage early adoption</w:t>
      </w:r>
      <w:r w:rsidRPr="006C5AC0">
        <w:rPr>
          <w:rFonts w:eastAsia="Times New Roman" w:cs="Arial"/>
          <w:sz w:val="21"/>
        </w:rPr>
        <w:t xml:space="preserve">. Details of grant funding and grant amounts for subsequent rounds </w:t>
      </w:r>
      <w:r w:rsidR="00D31987">
        <w:rPr>
          <w:rFonts w:eastAsia="Times New Roman" w:cs="Arial"/>
          <w:sz w:val="21"/>
        </w:rPr>
        <w:t xml:space="preserve">are subject to change and </w:t>
      </w:r>
      <w:r w:rsidRPr="006C5AC0">
        <w:rPr>
          <w:rFonts w:eastAsia="Times New Roman" w:cs="Arial"/>
          <w:sz w:val="21"/>
        </w:rPr>
        <w:t xml:space="preserve">will be published in updated Grant Opportunity Guidelines on </w:t>
      </w:r>
      <w:hyperlink r:id="rId12" w:history="1">
        <w:r w:rsidRPr="00D305AE">
          <w:rPr>
            <w:rStyle w:val="Hyperlink"/>
            <w:rFonts w:eastAsia="Times New Roman" w:cs="Arial"/>
            <w:sz w:val="21"/>
          </w:rPr>
          <w:t>GrantConnect</w:t>
        </w:r>
      </w:hyperlink>
      <w:r w:rsidRPr="006C5AC0">
        <w:rPr>
          <w:rFonts w:eastAsia="Times New Roman" w:cs="Arial"/>
          <w:sz w:val="21"/>
        </w:rPr>
        <w:t xml:space="preserve"> prior to </w:t>
      </w:r>
      <w:r w:rsidR="00D31987">
        <w:rPr>
          <w:rFonts w:eastAsia="Times New Roman" w:cs="Arial"/>
          <w:sz w:val="21"/>
        </w:rPr>
        <w:t>each</w:t>
      </w:r>
      <w:r w:rsidR="00D31987" w:rsidRPr="006C5AC0">
        <w:rPr>
          <w:rFonts w:eastAsia="Times New Roman" w:cs="Arial"/>
          <w:sz w:val="21"/>
        </w:rPr>
        <w:t xml:space="preserve"> </w:t>
      </w:r>
      <w:r w:rsidRPr="006C5AC0">
        <w:rPr>
          <w:rFonts w:eastAsia="Times New Roman" w:cs="Arial"/>
          <w:sz w:val="21"/>
        </w:rPr>
        <w:t xml:space="preserve">round commencing. </w:t>
      </w:r>
      <w:r w:rsidR="00D31987">
        <w:rPr>
          <w:rFonts w:eastAsia="Times New Roman" w:cs="Arial"/>
          <w:sz w:val="21"/>
        </w:rPr>
        <w:t xml:space="preserve">Available grant funding within each financial year is finite. </w:t>
      </w:r>
      <w:r w:rsidRPr="006C5AC0">
        <w:rPr>
          <w:rFonts w:eastAsia="Times New Roman" w:cs="Arial"/>
          <w:sz w:val="21"/>
        </w:rPr>
        <w:t xml:space="preserve">If funding is expended </w:t>
      </w:r>
      <w:r w:rsidR="00D31987">
        <w:rPr>
          <w:rFonts w:eastAsia="Times New Roman" w:cs="Arial"/>
          <w:sz w:val="21"/>
        </w:rPr>
        <w:t xml:space="preserve">earlier than expected for a round, </w:t>
      </w:r>
      <w:r w:rsidRPr="006C5AC0">
        <w:rPr>
          <w:rFonts w:eastAsia="Times New Roman" w:cs="Arial"/>
          <w:sz w:val="21"/>
        </w:rPr>
        <w:t xml:space="preserve">the grant round will be </w:t>
      </w:r>
      <w:proofErr w:type="gramStart"/>
      <w:r w:rsidRPr="006C5AC0">
        <w:rPr>
          <w:rFonts w:eastAsia="Times New Roman" w:cs="Arial"/>
          <w:sz w:val="21"/>
        </w:rPr>
        <w:t>closed</w:t>
      </w:r>
      <w:proofErr w:type="gramEnd"/>
      <w:r w:rsidRPr="006C5AC0">
        <w:rPr>
          <w:rFonts w:eastAsia="Times New Roman" w:cs="Arial"/>
          <w:sz w:val="21"/>
        </w:rPr>
        <w:t xml:space="preserve"> and applicants will need to wait for the next round to open the following financial year. </w:t>
      </w:r>
    </w:p>
    <w:tbl>
      <w:tblPr>
        <w:tblStyle w:val="TableGridLight"/>
        <w:tblW w:w="8926" w:type="dxa"/>
        <w:tblLook w:val="04A0" w:firstRow="1" w:lastRow="0" w:firstColumn="1" w:lastColumn="0" w:noHBand="0" w:noVBand="1"/>
        <w:tblCaption w:val="Table 2: Grant Opportunity Funding Available"/>
        <w:tblDescription w:val="Grant Opportunity funding available over financial years (GST exclusive)."/>
      </w:tblPr>
      <w:tblGrid>
        <w:gridCol w:w="3256"/>
        <w:gridCol w:w="1890"/>
        <w:gridCol w:w="1890"/>
        <w:gridCol w:w="1890"/>
      </w:tblGrid>
      <w:tr w:rsidR="003B30D5" w:rsidRPr="00B44DC7" w14:paraId="0E711A3D" w14:textId="77777777" w:rsidTr="0097381F">
        <w:trPr>
          <w:tblHeader/>
        </w:trPr>
        <w:tc>
          <w:tcPr>
            <w:tcW w:w="3256" w:type="dxa"/>
            <w:shd w:val="clear" w:color="auto" w:fill="F2F2F2" w:themeFill="background1" w:themeFillShade="F2"/>
          </w:tcPr>
          <w:p w14:paraId="615D13AD" w14:textId="77777777" w:rsidR="003B30D5" w:rsidRPr="004A54FE" w:rsidRDefault="003B30D5" w:rsidP="0097381F">
            <w:pPr>
              <w:spacing w:after="40"/>
              <w:jc w:val="center"/>
              <w:rPr>
                <w:rFonts w:cs="Arial"/>
                <w:color w:val="000000" w:themeColor="text1"/>
              </w:rPr>
            </w:pPr>
            <w:r>
              <w:rPr>
                <w:rFonts w:cs="Arial"/>
                <w:b/>
              </w:rPr>
              <w:t xml:space="preserve">Grant Opportunity </w:t>
            </w:r>
            <w:r w:rsidRPr="004A54FE">
              <w:rPr>
                <w:rFonts w:cs="Arial"/>
                <w:b/>
              </w:rPr>
              <w:t xml:space="preserve">Years </w:t>
            </w:r>
          </w:p>
        </w:tc>
        <w:tc>
          <w:tcPr>
            <w:tcW w:w="1890" w:type="dxa"/>
            <w:shd w:val="clear" w:color="auto" w:fill="F2F2F2" w:themeFill="background1" w:themeFillShade="F2"/>
          </w:tcPr>
          <w:p w14:paraId="4AC8CAC2" w14:textId="77777777" w:rsidR="003B30D5" w:rsidRPr="004A54FE" w:rsidRDefault="003B30D5" w:rsidP="0097381F">
            <w:pPr>
              <w:jc w:val="center"/>
              <w:rPr>
                <w:rFonts w:cs="Arial"/>
                <w:color w:val="000000"/>
                <w:lang w:eastAsia="en-AU"/>
              </w:rPr>
            </w:pPr>
            <w:r w:rsidRPr="004A54FE">
              <w:rPr>
                <w:rFonts w:cs="Arial"/>
                <w:color w:val="000000"/>
                <w:lang w:eastAsia="en-AU"/>
              </w:rPr>
              <w:t xml:space="preserve">Tier 1 </w:t>
            </w:r>
          </w:p>
          <w:p w14:paraId="1417586F" w14:textId="77777777" w:rsidR="003B30D5" w:rsidRPr="004A54FE" w:rsidRDefault="003B30D5" w:rsidP="0097381F">
            <w:pPr>
              <w:spacing w:after="40"/>
              <w:jc w:val="center"/>
              <w:rPr>
                <w:rFonts w:cs="Arial"/>
                <w:color w:val="000000" w:themeColor="text1"/>
              </w:rPr>
            </w:pPr>
            <w:r w:rsidRPr="004A54FE">
              <w:rPr>
                <w:rFonts w:cs="Arial"/>
                <w:color w:val="000000"/>
                <w:lang w:eastAsia="en-AU"/>
              </w:rPr>
              <w:t>(Highest $)</w:t>
            </w:r>
          </w:p>
        </w:tc>
        <w:tc>
          <w:tcPr>
            <w:tcW w:w="1890" w:type="dxa"/>
            <w:shd w:val="clear" w:color="auto" w:fill="F2F2F2" w:themeFill="background1" w:themeFillShade="F2"/>
          </w:tcPr>
          <w:p w14:paraId="5EA859A3" w14:textId="77777777" w:rsidR="003B30D5" w:rsidRPr="004A54FE" w:rsidRDefault="003B30D5" w:rsidP="0097381F">
            <w:pPr>
              <w:jc w:val="center"/>
              <w:rPr>
                <w:rFonts w:cs="Arial"/>
                <w:color w:val="000000"/>
                <w:lang w:eastAsia="en-AU"/>
              </w:rPr>
            </w:pPr>
            <w:r w:rsidRPr="004A54FE">
              <w:rPr>
                <w:rFonts w:cs="Arial"/>
                <w:color w:val="000000"/>
                <w:lang w:eastAsia="en-AU"/>
              </w:rPr>
              <w:t>Tier 2</w:t>
            </w:r>
          </w:p>
          <w:p w14:paraId="7B83AEB5" w14:textId="77777777" w:rsidR="003B30D5" w:rsidRPr="004A54FE" w:rsidRDefault="003B30D5" w:rsidP="0097381F">
            <w:pPr>
              <w:spacing w:after="40"/>
              <w:jc w:val="center"/>
              <w:rPr>
                <w:rFonts w:cs="Arial"/>
                <w:b/>
                <w:color w:val="000000" w:themeColor="text1"/>
              </w:rPr>
            </w:pPr>
            <w:r w:rsidRPr="004A54FE">
              <w:rPr>
                <w:rFonts w:cs="Arial"/>
                <w:color w:val="000000"/>
                <w:lang w:eastAsia="en-AU"/>
              </w:rPr>
              <w:t>(Middle $)</w:t>
            </w:r>
          </w:p>
        </w:tc>
        <w:tc>
          <w:tcPr>
            <w:tcW w:w="1890" w:type="dxa"/>
            <w:shd w:val="clear" w:color="auto" w:fill="F2F2F2" w:themeFill="background1" w:themeFillShade="F2"/>
          </w:tcPr>
          <w:p w14:paraId="05D2568F" w14:textId="77777777" w:rsidR="003B30D5" w:rsidRPr="004A54FE" w:rsidRDefault="003B30D5" w:rsidP="0097381F">
            <w:pPr>
              <w:jc w:val="center"/>
              <w:rPr>
                <w:rFonts w:cs="Arial"/>
                <w:color w:val="000000"/>
                <w:lang w:eastAsia="en-AU"/>
              </w:rPr>
            </w:pPr>
            <w:r w:rsidRPr="004A54FE">
              <w:rPr>
                <w:rFonts w:cs="Arial"/>
                <w:color w:val="000000"/>
                <w:lang w:eastAsia="en-AU"/>
              </w:rPr>
              <w:t>Tier 3</w:t>
            </w:r>
          </w:p>
          <w:p w14:paraId="714F68B7" w14:textId="77777777" w:rsidR="003B30D5" w:rsidRPr="004A54FE" w:rsidRDefault="003B30D5" w:rsidP="0097381F">
            <w:pPr>
              <w:spacing w:after="40"/>
              <w:jc w:val="center"/>
              <w:rPr>
                <w:rFonts w:cs="Arial"/>
                <w:color w:val="000000" w:themeColor="text1"/>
              </w:rPr>
            </w:pPr>
            <w:r w:rsidRPr="004A54FE">
              <w:rPr>
                <w:rFonts w:cs="Arial"/>
                <w:color w:val="000000"/>
                <w:lang w:eastAsia="en-AU"/>
              </w:rPr>
              <w:t>(Lowest $)</w:t>
            </w:r>
          </w:p>
        </w:tc>
      </w:tr>
      <w:tr w:rsidR="003B30D5" w:rsidRPr="003B30D5" w14:paraId="6966070F" w14:textId="77777777" w:rsidTr="0097381F">
        <w:tc>
          <w:tcPr>
            <w:tcW w:w="3256" w:type="dxa"/>
          </w:tcPr>
          <w:p w14:paraId="51FBC696" w14:textId="77777777" w:rsidR="003B30D5" w:rsidRPr="003B30D5" w:rsidRDefault="003B30D5" w:rsidP="0097381F">
            <w:pPr>
              <w:rPr>
                <w:rFonts w:cs="Arial"/>
                <w:b/>
                <w:bCs/>
                <w:sz w:val="21"/>
                <w:szCs w:val="21"/>
              </w:rPr>
            </w:pPr>
            <w:r w:rsidRPr="003B30D5">
              <w:rPr>
                <w:rFonts w:cs="Arial"/>
                <w:b/>
                <w:bCs/>
                <w:sz w:val="21"/>
                <w:szCs w:val="21"/>
              </w:rPr>
              <w:t>Round 2</w:t>
            </w:r>
          </w:p>
          <w:p w14:paraId="42FE4C12" w14:textId="739E316D" w:rsidR="003B30D5" w:rsidRPr="003B30D5" w:rsidRDefault="00B94517" w:rsidP="0097381F">
            <w:pPr>
              <w:rPr>
                <w:rFonts w:cs="Arial"/>
                <w:sz w:val="21"/>
                <w:szCs w:val="21"/>
              </w:rPr>
            </w:pPr>
            <w:r>
              <w:rPr>
                <w:rFonts w:cs="Arial"/>
                <w:sz w:val="21"/>
                <w:szCs w:val="21"/>
              </w:rPr>
              <w:t>3</w:t>
            </w:r>
            <w:r w:rsidR="003B30D5" w:rsidRPr="003B30D5">
              <w:rPr>
                <w:rFonts w:cs="Arial"/>
                <w:sz w:val="21"/>
                <w:szCs w:val="21"/>
              </w:rPr>
              <w:t xml:space="preserve"> July 2023 – 2</w:t>
            </w:r>
            <w:r w:rsidR="003623ED">
              <w:rPr>
                <w:rFonts w:cs="Arial"/>
                <w:sz w:val="21"/>
                <w:szCs w:val="21"/>
              </w:rPr>
              <w:t>8</w:t>
            </w:r>
            <w:r w:rsidR="003B30D5" w:rsidRPr="003B30D5">
              <w:rPr>
                <w:rFonts w:cs="Arial"/>
                <w:sz w:val="21"/>
                <w:szCs w:val="21"/>
              </w:rPr>
              <w:t xml:space="preserve"> March 2024</w:t>
            </w:r>
          </w:p>
        </w:tc>
        <w:tc>
          <w:tcPr>
            <w:tcW w:w="1890" w:type="dxa"/>
          </w:tcPr>
          <w:p w14:paraId="30B937BD" w14:textId="77777777" w:rsidR="003B30D5" w:rsidRPr="003B30D5" w:rsidRDefault="003B30D5" w:rsidP="0097381F">
            <w:pPr>
              <w:jc w:val="center"/>
              <w:rPr>
                <w:rFonts w:cs="Arial"/>
                <w:sz w:val="21"/>
                <w:szCs w:val="21"/>
              </w:rPr>
            </w:pPr>
            <w:r w:rsidRPr="003B30D5">
              <w:rPr>
                <w:rFonts w:cs="Arial"/>
                <w:sz w:val="21"/>
                <w:szCs w:val="21"/>
              </w:rPr>
              <w:t>$20,000</w:t>
            </w:r>
          </w:p>
        </w:tc>
        <w:tc>
          <w:tcPr>
            <w:tcW w:w="1890" w:type="dxa"/>
          </w:tcPr>
          <w:p w14:paraId="4C9C2866" w14:textId="77777777" w:rsidR="003B30D5" w:rsidRPr="003B30D5" w:rsidRDefault="003B30D5" w:rsidP="0097381F">
            <w:pPr>
              <w:jc w:val="center"/>
              <w:rPr>
                <w:rFonts w:cs="Arial"/>
                <w:sz w:val="21"/>
                <w:szCs w:val="21"/>
              </w:rPr>
            </w:pPr>
            <w:r w:rsidRPr="003B30D5">
              <w:rPr>
                <w:rFonts w:cs="Arial"/>
                <w:sz w:val="21"/>
                <w:szCs w:val="21"/>
              </w:rPr>
              <w:t>$15,000</w:t>
            </w:r>
          </w:p>
        </w:tc>
        <w:tc>
          <w:tcPr>
            <w:tcW w:w="1890" w:type="dxa"/>
          </w:tcPr>
          <w:p w14:paraId="1DC6A99F" w14:textId="77777777" w:rsidR="003B30D5" w:rsidRPr="003B30D5" w:rsidRDefault="003B30D5" w:rsidP="0097381F">
            <w:pPr>
              <w:jc w:val="center"/>
              <w:rPr>
                <w:rFonts w:cs="Arial"/>
                <w:sz w:val="21"/>
                <w:szCs w:val="21"/>
              </w:rPr>
            </w:pPr>
            <w:r w:rsidRPr="003B30D5">
              <w:rPr>
                <w:rFonts w:cs="Arial"/>
                <w:sz w:val="21"/>
                <w:szCs w:val="21"/>
              </w:rPr>
              <w:t>$5,000</w:t>
            </w:r>
          </w:p>
        </w:tc>
      </w:tr>
      <w:tr w:rsidR="003B30D5" w:rsidRPr="003B30D5" w14:paraId="19FB3548" w14:textId="77777777" w:rsidTr="0097381F">
        <w:tc>
          <w:tcPr>
            <w:tcW w:w="3256" w:type="dxa"/>
          </w:tcPr>
          <w:p w14:paraId="0A29C389" w14:textId="77777777" w:rsidR="003B30D5" w:rsidRPr="003B30D5" w:rsidRDefault="003B30D5" w:rsidP="0097381F">
            <w:pPr>
              <w:rPr>
                <w:rFonts w:cs="Arial"/>
                <w:b/>
                <w:bCs/>
                <w:sz w:val="21"/>
                <w:szCs w:val="21"/>
              </w:rPr>
            </w:pPr>
            <w:r w:rsidRPr="003B30D5">
              <w:rPr>
                <w:rFonts w:cs="Arial"/>
                <w:b/>
                <w:bCs/>
                <w:sz w:val="21"/>
                <w:szCs w:val="21"/>
              </w:rPr>
              <w:t>Round 3</w:t>
            </w:r>
          </w:p>
          <w:p w14:paraId="7F3F269F" w14:textId="77777777" w:rsidR="003B30D5" w:rsidRPr="003B30D5" w:rsidRDefault="003B30D5" w:rsidP="0097381F">
            <w:pPr>
              <w:rPr>
                <w:rFonts w:cs="Arial"/>
                <w:sz w:val="21"/>
                <w:szCs w:val="21"/>
              </w:rPr>
            </w:pPr>
            <w:r w:rsidRPr="003B30D5">
              <w:rPr>
                <w:rFonts w:cs="Arial"/>
                <w:sz w:val="21"/>
                <w:szCs w:val="21"/>
              </w:rPr>
              <w:t>1 July 2024 – 19 December 2024</w:t>
            </w:r>
          </w:p>
        </w:tc>
        <w:tc>
          <w:tcPr>
            <w:tcW w:w="1890" w:type="dxa"/>
          </w:tcPr>
          <w:p w14:paraId="34B9A962" w14:textId="77777777" w:rsidR="003B30D5" w:rsidRPr="003B30D5" w:rsidRDefault="003B30D5" w:rsidP="0097381F">
            <w:pPr>
              <w:jc w:val="center"/>
              <w:rPr>
                <w:rFonts w:cs="Arial"/>
                <w:sz w:val="21"/>
                <w:szCs w:val="21"/>
              </w:rPr>
            </w:pPr>
            <w:r w:rsidRPr="003B30D5">
              <w:rPr>
                <w:rFonts w:cs="Arial"/>
                <w:sz w:val="21"/>
                <w:szCs w:val="21"/>
              </w:rPr>
              <w:t>$12,000</w:t>
            </w:r>
          </w:p>
        </w:tc>
        <w:tc>
          <w:tcPr>
            <w:tcW w:w="1890" w:type="dxa"/>
          </w:tcPr>
          <w:p w14:paraId="51A3E5C0" w14:textId="77777777" w:rsidR="003B30D5" w:rsidRPr="003B30D5" w:rsidRDefault="003B30D5" w:rsidP="0097381F">
            <w:pPr>
              <w:jc w:val="center"/>
              <w:rPr>
                <w:rFonts w:cs="Arial"/>
                <w:sz w:val="21"/>
                <w:szCs w:val="21"/>
              </w:rPr>
            </w:pPr>
            <w:r w:rsidRPr="003B30D5">
              <w:rPr>
                <w:rFonts w:cs="Arial"/>
                <w:sz w:val="21"/>
                <w:szCs w:val="21"/>
              </w:rPr>
              <w:t>$7,000</w:t>
            </w:r>
          </w:p>
        </w:tc>
        <w:tc>
          <w:tcPr>
            <w:tcW w:w="1890" w:type="dxa"/>
          </w:tcPr>
          <w:p w14:paraId="17B1C5BA" w14:textId="77777777" w:rsidR="003B30D5" w:rsidRPr="003B30D5" w:rsidRDefault="003B30D5" w:rsidP="0097381F">
            <w:pPr>
              <w:jc w:val="center"/>
              <w:rPr>
                <w:rFonts w:cs="Arial"/>
                <w:sz w:val="21"/>
                <w:szCs w:val="21"/>
              </w:rPr>
            </w:pPr>
            <w:r w:rsidRPr="003B30D5">
              <w:rPr>
                <w:rFonts w:cs="Arial"/>
                <w:sz w:val="21"/>
                <w:szCs w:val="21"/>
              </w:rPr>
              <w:t>N/A</w:t>
            </w:r>
          </w:p>
        </w:tc>
      </w:tr>
    </w:tbl>
    <w:p w14:paraId="1825031A" w14:textId="6D773F60" w:rsidR="003B30D5" w:rsidRPr="003B30D5" w:rsidRDefault="003B30D5" w:rsidP="003B30D5">
      <w:pPr>
        <w:pStyle w:val="NoSpacing"/>
        <w:rPr>
          <w:rFonts w:ascii="Arial" w:eastAsia="Calibri" w:hAnsi="Arial" w:cs="Arial"/>
          <w:sz w:val="21"/>
          <w:szCs w:val="21"/>
        </w:rPr>
      </w:pPr>
      <w:r w:rsidRPr="003B30D5" w:rsidDel="00AC6F7A">
        <w:rPr>
          <w:rFonts w:ascii="Arial" w:eastAsia="Calibri" w:hAnsi="Arial" w:cs="Arial"/>
          <w:sz w:val="21"/>
          <w:szCs w:val="21"/>
        </w:rPr>
        <w:t xml:space="preserve">*The </w:t>
      </w:r>
      <w:r w:rsidRPr="003B30D5">
        <w:rPr>
          <w:rFonts w:ascii="Arial" w:eastAsia="Calibri" w:hAnsi="Arial" w:cs="Arial"/>
          <w:sz w:val="21"/>
          <w:szCs w:val="21"/>
        </w:rPr>
        <w:t>grant</w:t>
      </w:r>
      <w:r w:rsidRPr="003B30D5" w:rsidDel="00AC6F7A">
        <w:rPr>
          <w:rFonts w:ascii="Arial" w:eastAsia="Calibri" w:hAnsi="Arial" w:cs="Arial"/>
          <w:sz w:val="21"/>
          <w:szCs w:val="21"/>
        </w:rPr>
        <w:t xml:space="preserve"> amounts </w:t>
      </w:r>
      <w:r w:rsidRPr="003B30D5">
        <w:rPr>
          <w:rFonts w:ascii="Arial" w:eastAsia="Calibri" w:hAnsi="Arial" w:cs="Arial"/>
          <w:sz w:val="21"/>
          <w:szCs w:val="21"/>
        </w:rPr>
        <w:t>for round 3</w:t>
      </w:r>
      <w:r w:rsidRPr="003B30D5" w:rsidDel="00AC6F7A">
        <w:rPr>
          <w:rFonts w:ascii="Arial" w:eastAsia="Calibri" w:hAnsi="Arial" w:cs="Arial"/>
          <w:sz w:val="21"/>
          <w:szCs w:val="21"/>
        </w:rPr>
        <w:t xml:space="preserve"> </w:t>
      </w:r>
      <w:r w:rsidR="00AF138C">
        <w:rPr>
          <w:rFonts w:ascii="Arial" w:eastAsia="Calibri" w:hAnsi="Arial" w:cs="Arial"/>
          <w:sz w:val="21"/>
          <w:szCs w:val="21"/>
        </w:rPr>
        <w:t xml:space="preserve">is </w:t>
      </w:r>
      <w:r w:rsidRPr="003B30D5" w:rsidDel="00AC6F7A">
        <w:rPr>
          <w:rFonts w:ascii="Arial" w:eastAsia="Calibri" w:hAnsi="Arial" w:cs="Arial"/>
          <w:sz w:val="21"/>
          <w:szCs w:val="21"/>
        </w:rPr>
        <w:t>indicative</w:t>
      </w:r>
      <w:r w:rsidRPr="003B30D5">
        <w:rPr>
          <w:rFonts w:ascii="Arial" w:eastAsia="Calibri" w:hAnsi="Arial" w:cs="Arial"/>
          <w:sz w:val="21"/>
          <w:szCs w:val="21"/>
        </w:rPr>
        <w:t xml:space="preserve"> only</w:t>
      </w:r>
      <w:r w:rsidRPr="003B30D5" w:rsidDel="00AC6F7A">
        <w:rPr>
          <w:rFonts w:ascii="Arial" w:eastAsia="Calibri" w:hAnsi="Arial" w:cs="Arial"/>
          <w:sz w:val="21"/>
          <w:szCs w:val="21"/>
        </w:rPr>
        <w:t xml:space="preserve"> and may be subject to change as per ongoing Government announcements. </w:t>
      </w:r>
    </w:p>
    <w:p w14:paraId="672C0683" w14:textId="4157C7E7" w:rsidR="009576EB" w:rsidRPr="006C5AC0" w:rsidRDefault="009576EB"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 xml:space="preserve">What are the </w:t>
      </w:r>
      <w:r w:rsidR="004871E9" w:rsidRPr="006C5AC0">
        <w:rPr>
          <w:rFonts w:ascii="Arial" w:eastAsia="Times New Roman" w:hAnsi="Arial" w:cs="Arial"/>
          <w:bCs/>
          <w:color w:val="3F4A75"/>
          <w:kern w:val="28"/>
          <w:sz w:val="36"/>
          <w:szCs w:val="36"/>
        </w:rPr>
        <w:t>t</w:t>
      </w:r>
      <w:r w:rsidRPr="006C5AC0">
        <w:rPr>
          <w:rFonts w:ascii="Arial" w:eastAsia="Times New Roman" w:hAnsi="Arial" w:cs="Arial"/>
          <w:bCs/>
          <w:color w:val="3F4A75"/>
          <w:kern w:val="28"/>
          <w:sz w:val="36"/>
          <w:szCs w:val="36"/>
        </w:rPr>
        <w:t>iers of the eNRMC Adoption grant opportunity?</w:t>
      </w:r>
    </w:p>
    <w:p w14:paraId="5FF1F4CD" w14:textId="12C73BAA" w:rsidR="009576EB" w:rsidRPr="006C5AC0" w:rsidRDefault="00D31987" w:rsidP="009576EB">
      <w:pPr>
        <w:pStyle w:val="BodyText"/>
        <w:rPr>
          <w:rFonts w:eastAsia="Times New Roman" w:cs="Arial"/>
          <w:sz w:val="21"/>
        </w:rPr>
      </w:pPr>
      <w:r>
        <w:rPr>
          <w:rFonts w:eastAsia="Times New Roman" w:cs="Arial"/>
          <w:sz w:val="21"/>
        </w:rPr>
        <w:t>Grant payments are</w:t>
      </w:r>
      <w:r w:rsidR="009576EB" w:rsidRPr="006C5AC0">
        <w:rPr>
          <w:rFonts w:eastAsia="Times New Roman" w:cs="Arial"/>
          <w:sz w:val="21"/>
        </w:rPr>
        <w:t xml:space="preserve"> tiered to provide a greater amount of funding for services th</w:t>
      </w:r>
      <w:r w:rsidR="00555C6B">
        <w:rPr>
          <w:rFonts w:eastAsia="Times New Roman" w:cs="Arial"/>
          <w:sz w:val="21"/>
        </w:rPr>
        <w:t>at</w:t>
      </w:r>
      <w:r w:rsidR="009576EB" w:rsidRPr="006C5AC0">
        <w:rPr>
          <w:rFonts w:eastAsia="Times New Roman" w:cs="Arial"/>
          <w:sz w:val="21"/>
        </w:rPr>
        <w:t xml:space="preserve"> require more support to implement an eNRMC</w:t>
      </w:r>
      <w:r w:rsidR="00555C6B">
        <w:rPr>
          <w:rFonts w:eastAsia="Times New Roman" w:cs="Arial"/>
          <w:sz w:val="21"/>
        </w:rPr>
        <w:t xml:space="preserve"> due to greater cost barriers</w:t>
      </w:r>
      <w:r w:rsidR="009576EB" w:rsidRPr="006C5AC0">
        <w:rPr>
          <w:rFonts w:eastAsia="Times New Roman" w:cs="Arial"/>
          <w:sz w:val="21"/>
        </w:rPr>
        <w:t xml:space="preserve">. These include those in </w:t>
      </w:r>
      <w:r w:rsidR="0043192E" w:rsidRPr="006C5AC0">
        <w:rPr>
          <w:rFonts w:eastAsia="Times New Roman" w:cs="Arial"/>
          <w:sz w:val="21"/>
        </w:rPr>
        <w:t>regional</w:t>
      </w:r>
      <w:r w:rsidR="009576EB" w:rsidRPr="006C5AC0">
        <w:rPr>
          <w:rFonts w:eastAsia="Times New Roman" w:cs="Arial"/>
          <w:sz w:val="21"/>
        </w:rPr>
        <w:t xml:space="preserve">, </w:t>
      </w:r>
      <w:proofErr w:type="gramStart"/>
      <w:r w:rsidR="009576EB" w:rsidRPr="006C5AC0">
        <w:rPr>
          <w:rFonts w:eastAsia="Times New Roman" w:cs="Arial"/>
          <w:sz w:val="21"/>
        </w:rPr>
        <w:t>remote</w:t>
      </w:r>
      <w:proofErr w:type="gramEnd"/>
      <w:r w:rsidR="009576EB" w:rsidRPr="006C5AC0">
        <w:rPr>
          <w:rFonts w:eastAsia="Times New Roman" w:cs="Arial"/>
          <w:sz w:val="21"/>
        </w:rPr>
        <w:t xml:space="preserve"> and very remote Australia and not-for-profit services.</w:t>
      </w:r>
      <w:r w:rsidR="00F93DD8">
        <w:rPr>
          <w:rFonts w:eastAsia="Times New Roman" w:cs="Arial"/>
          <w:sz w:val="21"/>
        </w:rPr>
        <w:t xml:space="preserve"> The tier structure is: </w:t>
      </w:r>
    </w:p>
    <w:tbl>
      <w:tblPr>
        <w:tblStyle w:val="TableGrid"/>
        <w:tblW w:w="0" w:type="auto"/>
        <w:tblLook w:val="04A0" w:firstRow="1" w:lastRow="0" w:firstColumn="1" w:lastColumn="0" w:noHBand="0" w:noVBand="1"/>
      </w:tblPr>
      <w:tblGrid>
        <w:gridCol w:w="1413"/>
        <w:gridCol w:w="7513"/>
      </w:tblGrid>
      <w:tr w:rsidR="009576EB" w:rsidRPr="006C5AC0" w14:paraId="71FD21DB" w14:textId="77777777" w:rsidTr="006B4CA0">
        <w:trPr>
          <w:trHeight w:val="1045"/>
        </w:trPr>
        <w:tc>
          <w:tcPr>
            <w:tcW w:w="1413" w:type="dxa"/>
          </w:tcPr>
          <w:p w14:paraId="6049534F" w14:textId="77777777" w:rsidR="009576EB" w:rsidRPr="006C5AC0" w:rsidRDefault="009576EB" w:rsidP="00E208BA">
            <w:pPr>
              <w:pStyle w:val="BodyText"/>
              <w:rPr>
                <w:rFonts w:eastAsia="Times New Roman" w:cs="Arial"/>
                <w:sz w:val="21"/>
              </w:rPr>
            </w:pPr>
            <w:r w:rsidRPr="006C5AC0">
              <w:rPr>
                <w:rFonts w:eastAsia="Times New Roman" w:cs="Arial"/>
                <w:sz w:val="21"/>
              </w:rPr>
              <w:t>Tier 1</w:t>
            </w:r>
          </w:p>
        </w:tc>
        <w:tc>
          <w:tcPr>
            <w:tcW w:w="7513" w:type="dxa"/>
          </w:tcPr>
          <w:p w14:paraId="780DDAAF" w14:textId="77777777" w:rsidR="009576EB" w:rsidRPr="006C5AC0" w:rsidRDefault="009576EB" w:rsidP="00216D4E">
            <w:pPr>
              <w:pStyle w:val="BodyText"/>
              <w:spacing w:after="0"/>
              <w:rPr>
                <w:rFonts w:eastAsia="Times New Roman" w:cs="Arial"/>
                <w:sz w:val="21"/>
              </w:rPr>
            </w:pPr>
            <w:r w:rsidRPr="006C5AC0">
              <w:rPr>
                <w:rFonts w:eastAsia="Times New Roman" w:cs="Arial"/>
                <w:sz w:val="21"/>
              </w:rPr>
              <w:t>Not-for-profit or profit based RACSs in the following locations:</w:t>
            </w:r>
          </w:p>
          <w:p w14:paraId="468B555F" w14:textId="77777777" w:rsidR="009576EB" w:rsidRPr="006C5AC0" w:rsidRDefault="009576EB" w:rsidP="009576EB">
            <w:pPr>
              <w:pStyle w:val="BodyText"/>
              <w:numPr>
                <w:ilvl w:val="0"/>
                <w:numId w:val="4"/>
              </w:numPr>
              <w:spacing w:after="0" w:line="240" w:lineRule="auto"/>
              <w:ind w:left="714" w:hanging="357"/>
              <w:rPr>
                <w:rFonts w:eastAsia="Times New Roman" w:cs="Arial"/>
                <w:sz w:val="21"/>
              </w:rPr>
            </w:pPr>
            <w:r w:rsidRPr="006C5AC0">
              <w:rPr>
                <w:rFonts w:eastAsia="Times New Roman" w:cs="Arial"/>
                <w:sz w:val="21"/>
              </w:rPr>
              <w:t xml:space="preserve">Very remote </w:t>
            </w:r>
          </w:p>
          <w:p w14:paraId="6A5709A2" w14:textId="77777777" w:rsidR="009576EB" w:rsidRPr="006C5AC0" w:rsidRDefault="009576EB" w:rsidP="009576EB">
            <w:pPr>
              <w:pStyle w:val="BodyText"/>
              <w:numPr>
                <w:ilvl w:val="0"/>
                <w:numId w:val="4"/>
              </w:numPr>
              <w:spacing w:after="0" w:line="240" w:lineRule="auto"/>
              <w:ind w:left="714" w:hanging="357"/>
              <w:rPr>
                <w:rFonts w:eastAsia="Times New Roman" w:cs="Arial"/>
                <w:sz w:val="21"/>
              </w:rPr>
            </w:pPr>
            <w:r w:rsidRPr="006C5AC0">
              <w:rPr>
                <w:rFonts w:eastAsia="Times New Roman" w:cs="Arial"/>
                <w:sz w:val="21"/>
              </w:rPr>
              <w:t>Remote or</w:t>
            </w:r>
          </w:p>
          <w:p w14:paraId="281969D0" w14:textId="77777777" w:rsidR="009576EB" w:rsidRPr="006C5AC0" w:rsidRDefault="009576EB" w:rsidP="009576EB">
            <w:pPr>
              <w:pStyle w:val="BodyText"/>
              <w:numPr>
                <w:ilvl w:val="0"/>
                <w:numId w:val="4"/>
              </w:numPr>
              <w:spacing w:line="240" w:lineRule="auto"/>
              <w:ind w:left="714" w:hanging="357"/>
              <w:rPr>
                <w:rFonts w:eastAsia="Times New Roman" w:cs="Arial"/>
                <w:sz w:val="21"/>
              </w:rPr>
            </w:pPr>
            <w:r w:rsidRPr="006C5AC0">
              <w:rPr>
                <w:rFonts w:eastAsia="Times New Roman" w:cs="Arial"/>
                <w:sz w:val="21"/>
              </w:rPr>
              <w:t xml:space="preserve">Outer regional </w:t>
            </w:r>
          </w:p>
        </w:tc>
      </w:tr>
      <w:tr w:rsidR="009576EB" w:rsidRPr="006C5AC0" w14:paraId="194F6FA0" w14:textId="77777777" w:rsidTr="006B4CA0">
        <w:trPr>
          <w:trHeight w:val="1076"/>
        </w:trPr>
        <w:tc>
          <w:tcPr>
            <w:tcW w:w="1413" w:type="dxa"/>
          </w:tcPr>
          <w:p w14:paraId="1708D1D6" w14:textId="77777777" w:rsidR="009576EB" w:rsidRPr="006C5AC0" w:rsidRDefault="009576EB" w:rsidP="00E208BA">
            <w:pPr>
              <w:pStyle w:val="BodyText"/>
              <w:rPr>
                <w:rFonts w:eastAsia="Times New Roman" w:cs="Arial"/>
                <w:sz w:val="21"/>
              </w:rPr>
            </w:pPr>
            <w:r w:rsidRPr="006C5AC0">
              <w:rPr>
                <w:rFonts w:eastAsia="Times New Roman" w:cs="Arial"/>
                <w:sz w:val="21"/>
              </w:rPr>
              <w:t>Tier 2</w:t>
            </w:r>
          </w:p>
        </w:tc>
        <w:tc>
          <w:tcPr>
            <w:tcW w:w="7513" w:type="dxa"/>
          </w:tcPr>
          <w:p w14:paraId="4866BB36" w14:textId="77777777" w:rsidR="009576EB" w:rsidRPr="006C5AC0" w:rsidRDefault="009576EB" w:rsidP="00AF138C">
            <w:pPr>
              <w:pStyle w:val="BodyText"/>
              <w:spacing w:after="0" w:line="240" w:lineRule="auto"/>
              <w:rPr>
                <w:rFonts w:eastAsia="Times New Roman" w:cs="Arial"/>
                <w:sz w:val="21"/>
              </w:rPr>
            </w:pPr>
            <w:r w:rsidRPr="006C5AC0">
              <w:rPr>
                <w:rFonts w:eastAsia="Times New Roman" w:cs="Arial"/>
                <w:sz w:val="21"/>
              </w:rPr>
              <w:t>Not-for-profit RACSs in the following locations:</w:t>
            </w:r>
          </w:p>
          <w:p w14:paraId="2828D080" w14:textId="77777777" w:rsidR="009576EB" w:rsidRPr="006C5AC0" w:rsidRDefault="009576EB" w:rsidP="009576EB">
            <w:pPr>
              <w:pStyle w:val="BodyText"/>
              <w:numPr>
                <w:ilvl w:val="0"/>
                <w:numId w:val="4"/>
              </w:numPr>
              <w:spacing w:after="0" w:line="240" w:lineRule="auto"/>
              <w:rPr>
                <w:rFonts w:eastAsia="Times New Roman" w:cs="Arial"/>
                <w:sz w:val="21"/>
              </w:rPr>
            </w:pPr>
            <w:r w:rsidRPr="006C5AC0">
              <w:rPr>
                <w:rFonts w:eastAsia="Times New Roman" w:cs="Arial"/>
                <w:sz w:val="21"/>
              </w:rPr>
              <w:t xml:space="preserve">Inner regional </w:t>
            </w:r>
          </w:p>
          <w:p w14:paraId="40D375B9" w14:textId="77777777" w:rsidR="009576EB" w:rsidRPr="006C5AC0" w:rsidRDefault="009576EB" w:rsidP="009576EB">
            <w:pPr>
              <w:pStyle w:val="BodyText"/>
              <w:numPr>
                <w:ilvl w:val="0"/>
                <w:numId w:val="4"/>
              </w:numPr>
              <w:spacing w:line="240" w:lineRule="auto"/>
              <w:rPr>
                <w:rFonts w:eastAsia="Times New Roman" w:cs="Arial"/>
                <w:sz w:val="21"/>
              </w:rPr>
            </w:pPr>
            <w:r w:rsidRPr="006C5AC0">
              <w:rPr>
                <w:rFonts w:eastAsia="Times New Roman" w:cs="Arial"/>
                <w:sz w:val="21"/>
              </w:rPr>
              <w:t>Major cities</w:t>
            </w:r>
          </w:p>
          <w:p w14:paraId="0B580F08" w14:textId="77777777" w:rsidR="009576EB" w:rsidRPr="006C5AC0" w:rsidRDefault="009576EB" w:rsidP="00E208BA">
            <w:pPr>
              <w:pStyle w:val="BodyText"/>
              <w:spacing w:after="0" w:line="240" w:lineRule="auto"/>
              <w:rPr>
                <w:rFonts w:eastAsia="Times New Roman" w:cs="Arial"/>
                <w:sz w:val="21"/>
              </w:rPr>
            </w:pPr>
            <w:r w:rsidRPr="006C5AC0">
              <w:rPr>
                <w:rFonts w:eastAsia="Times New Roman" w:cs="Arial"/>
                <w:sz w:val="21"/>
              </w:rPr>
              <w:t xml:space="preserve">Profit based RACSs in the following locations: </w:t>
            </w:r>
          </w:p>
          <w:p w14:paraId="4C454AB2" w14:textId="77777777" w:rsidR="009576EB" w:rsidRPr="006C5AC0" w:rsidRDefault="009576EB" w:rsidP="009576EB">
            <w:pPr>
              <w:pStyle w:val="BodyText"/>
              <w:numPr>
                <w:ilvl w:val="0"/>
                <w:numId w:val="4"/>
              </w:numPr>
              <w:spacing w:line="240" w:lineRule="auto"/>
              <w:rPr>
                <w:rFonts w:eastAsia="Times New Roman" w:cs="Arial"/>
                <w:sz w:val="21"/>
              </w:rPr>
            </w:pPr>
            <w:r w:rsidRPr="006C5AC0">
              <w:rPr>
                <w:rFonts w:eastAsia="Times New Roman" w:cs="Arial"/>
                <w:sz w:val="21"/>
              </w:rPr>
              <w:t>Inner regional</w:t>
            </w:r>
            <w:r w:rsidRPr="006C5AC0">
              <w:rPr>
                <w:rFonts w:eastAsia="Times New Roman" w:cs="Arial"/>
                <w:sz w:val="21"/>
              </w:rPr>
              <w:tab/>
            </w:r>
          </w:p>
        </w:tc>
      </w:tr>
      <w:tr w:rsidR="009576EB" w:rsidRPr="006C5AC0" w14:paraId="433F448B" w14:textId="77777777" w:rsidTr="006B4CA0">
        <w:trPr>
          <w:trHeight w:val="601"/>
        </w:trPr>
        <w:tc>
          <w:tcPr>
            <w:tcW w:w="1413" w:type="dxa"/>
          </w:tcPr>
          <w:p w14:paraId="177A0241" w14:textId="77777777" w:rsidR="009576EB" w:rsidRPr="006C5AC0" w:rsidRDefault="009576EB" w:rsidP="00E208BA">
            <w:pPr>
              <w:pStyle w:val="BodyText"/>
              <w:rPr>
                <w:rFonts w:eastAsia="Times New Roman" w:cs="Arial"/>
                <w:sz w:val="21"/>
              </w:rPr>
            </w:pPr>
            <w:r w:rsidRPr="006C5AC0">
              <w:rPr>
                <w:rFonts w:eastAsia="Times New Roman" w:cs="Arial"/>
                <w:sz w:val="21"/>
              </w:rPr>
              <w:t>Tier 3</w:t>
            </w:r>
          </w:p>
        </w:tc>
        <w:tc>
          <w:tcPr>
            <w:tcW w:w="7513" w:type="dxa"/>
          </w:tcPr>
          <w:p w14:paraId="3EB522C6" w14:textId="0048B0EB" w:rsidR="009576EB" w:rsidRPr="006C5AC0" w:rsidRDefault="009576EB" w:rsidP="00E208BA">
            <w:pPr>
              <w:pStyle w:val="BodyText"/>
              <w:spacing w:after="0" w:line="240" w:lineRule="auto"/>
              <w:rPr>
                <w:rFonts w:eastAsia="Times New Roman" w:cs="Arial"/>
                <w:sz w:val="21"/>
              </w:rPr>
            </w:pPr>
            <w:r w:rsidRPr="006C5AC0">
              <w:rPr>
                <w:rFonts w:eastAsia="Times New Roman" w:cs="Arial"/>
                <w:sz w:val="21"/>
              </w:rPr>
              <w:t xml:space="preserve">All </w:t>
            </w:r>
            <w:r w:rsidR="003623ED">
              <w:rPr>
                <w:rFonts w:eastAsia="Times New Roman" w:cs="Arial"/>
                <w:sz w:val="21"/>
              </w:rPr>
              <w:t>A</w:t>
            </w:r>
            <w:r w:rsidR="00F93DD8">
              <w:rPr>
                <w:rFonts w:eastAsia="Times New Roman" w:cs="Arial"/>
                <w:sz w:val="21"/>
              </w:rPr>
              <w:t xml:space="preserve">ctive </w:t>
            </w:r>
            <w:r w:rsidRPr="006C5AC0">
              <w:rPr>
                <w:rFonts w:eastAsia="Times New Roman" w:cs="Arial"/>
                <w:sz w:val="21"/>
              </w:rPr>
              <w:t>eNRMC Trial participant RACS regardless of location.</w:t>
            </w:r>
          </w:p>
          <w:p w14:paraId="4603D162" w14:textId="77777777" w:rsidR="009576EB" w:rsidRPr="006C5AC0" w:rsidRDefault="009576EB" w:rsidP="00E208BA">
            <w:pPr>
              <w:pStyle w:val="BodyText"/>
              <w:spacing w:after="0" w:line="240" w:lineRule="auto"/>
              <w:rPr>
                <w:rFonts w:eastAsia="Times New Roman" w:cs="Arial"/>
                <w:sz w:val="21"/>
              </w:rPr>
            </w:pPr>
            <w:r w:rsidRPr="006C5AC0">
              <w:rPr>
                <w:rFonts w:eastAsia="Times New Roman" w:cs="Arial"/>
                <w:sz w:val="21"/>
              </w:rPr>
              <w:t>Profit based RACSs in the following locations:</w:t>
            </w:r>
          </w:p>
          <w:p w14:paraId="1B847312" w14:textId="77777777" w:rsidR="009576EB" w:rsidRPr="006C5AC0" w:rsidRDefault="009576EB" w:rsidP="009576EB">
            <w:pPr>
              <w:pStyle w:val="BodyText"/>
              <w:numPr>
                <w:ilvl w:val="0"/>
                <w:numId w:val="4"/>
              </w:numPr>
              <w:spacing w:line="240" w:lineRule="auto"/>
              <w:rPr>
                <w:rFonts w:eastAsia="Times New Roman" w:cs="Arial"/>
                <w:sz w:val="21"/>
              </w:rPr>
            </w:pPr>
            <w:r w:rsidRPr="006C5AC0">
              <w:rPr>
                <w:rFonts w:eastAsia="Times New Roman" w:cs="Arial"/>
                <w:sz w:val="21"/>
              </w:rPr>
              <w:t xml:space="preserve">Major cities </w:t>
            </w:r>
          </w:p>
        </w:tc>
      </w:tr>
    </w:tbl>
    <w:p w14:paraId="6D355B84" w14:textId="4ADDADCF" w:rsidR="009576EB" w:rsidRPr="00216D4E" w:rsidRDefault="009576EB" w:rsidP="009576EB">
      <w:pPr>
        <w:pStyle w:val="BodyText"/>
        <w:spacing w:before="120"/>
        <w:rPr>
          <w:rFonts w:eastAsia="Times New Roman" w:cs="Arial"/>
          <w:sz w:val="21"/>
        </w:rPr>
      </w:pPr>
      <w:r w:rsidRPr="006C5AC0">
        <w:rPr>
          <w:rFonts w:eastAsia="Times New Roman" w:cs="Arial"/>
          <w:sz w:val="21"/>
        </w:rPr>
        <w:t xml:space="preserve">Very remote, </w:t>
      </w:r>
      <w:proofErr w:type="gramStart"/>
      <w:r w:rsidRPr="006C5AC0">
        <w:rPr>
          <w:rFonts w:eastAsia="Times New Roman" w:cs="Arial"/>
          <w:sz w:val="21"/>
        </w:rPr>
        <w:t>remote</w:t>
      </w:r>
      <w:proofErr w:type="gramEnd"/>
      <w:r w:rsidRPr="006C5AC0">
        <w:rPr>
          <w:rFonts w:eastAsia="Times New Roman" w:cs="Arial"/>
          <w:sz w:val="21"/>
        </w:rPr>
        <w:t xml:space="preserve"> and outer regional RACS are facilities located within an outer regional, remote or very remote location. RACS remoteness is identified in the most recent Aged Care Service List on the</w:t>
      </w:r>
      <w:r w:rsidRPr="006C5AC0">
        <w:rPr>
          <w:rFonts w:cs="Arial"/>
        </w:rPr>
        <w:t xml:space="preserve"> </w:t>
      </w:r>
      <w:r w:rsidR="00F86C7C" w:rsidRPr="006D6DF9">
        <w:rPr>
          <w:rStyle w:val="Hyperlink"/>
          <w:rFonts w:cs="Arial"/>
          <w:sz w:val="21"/>
          <w:szCs w:val="21"/>
        </w:rPr>
        <w:t xml:space="preserve">Australian Institute of Health and Welfare’s GEN Aged Care Data </w:t>
      </w:r>
      <w:proofErr w:type="gramStart"/>
      <w:r w:rsidR="00F86C7C" w:rsidRPr="006D6DF9">
        <w:rPr>
          <w:rStyle w:val="Hyperlink"/>
          <w:rFonts w:cs="Arial"/>
          <w:sz w:val="21"/>
          <w:szCs w:val="21"/>
        </w:rPr>
        <w:t>website.</w:t>
      </w:r>
      <w:r w:rsidRPr="006C5AC0">
        <w:rPr>
          <w:rFonts w:cs="Arial"/>
          <w:sz w:val="21"/>
          <w:szCs w:val="21"/>
        </w:rPr>
        <w:t>.</w:t>
      </w:r>
      <w:proofErr w:type="gramEnd"/>
      <w:r w:rsidR="003544FE">
        <w:rPr>
          <w:rFonts w:cs="Arial"/>
          <w:sz w:val="21"/>
          <w:szCs w:val="21"/>
        </w:rPr>
        <w:t xml:space="preserve"> </w:t>
      </w:r>
      <w:r w:rsidR="003544FE">
        <w:rPr>
          <w:rFonts w:cs="Arial"/>
          <w:sz w:val="21"/>
          <w:szCs w:val="21"/>
        </w:rPr>
        <w:lastRenderedPageBreak/>
        <w:t>Not f</w:t>
      </w:r>
      <w:r w:rsidR="003544FE">
        <w:rPr>
          <w:rFonts w:ascii="Segoe UI" w:hAnsi="Segoe UI" w:cs="Segoe UI"/>
          <w:color w:val="000000"/>
          <w:sz w:val="21"/>
          <w:szCs w:val="21"/>
          <w:shd w:val="clear" w:color="auto" w:fill="FFFFFF"/>
        </w:rPr>
        <w:t xml:space="preserve">or </w:t>
      </w:r>
      <w:r w:rsidR="003544FE" w:rsidRPr="00216D4E">
        <w:rPr>
          <w:rFonts w:eastAsia="Times New Roman" w:cs="Arial"/>
          <w:sz w:val="21"/>
        </w:rPr>
        <w:t>Profit RACS are those classified as: Charitable, Religious, Community, Local Government or State Government.</w:t>
      </w:r>
    </w:p>
    <w:p w14:paraId="577A9C6C" w14:textId="0EAC1A0B" w:rsidR="009576EB" w:rsidRPr="00216D4E" w:rsidRDefault="00F93DD8" w:rsidP="009576EB">
      <w:pPr>
        <w:pStyle w:val="BodyText"/>
        <w:rPr>
          <w:rFonts w:eastAsia="Times New Roman" w:cs="Arial"/>
          <w:sz w:val="21"/>
        </w:rPr>
      </w:pPr>
      <w:r w:rsidRPr="006D6DF9">
        <w:rPr>
          <w:rFonts w:eastAsia="Times New Roman"/>
          <w:sz w:val="21"/>
        </w:rPr>
        <w:t>Active eNRMC trial participants are classified as services that signed a deed of agreement with the Department to participate in the trial, were issued an eNRMC trial authorisation number, and were listed within the eNRMC trial legislative instrument. </w:t>
      </w:r>
      <w:r w:rsidR="009576EB" w:rsidRPr="006C5AC0">
        <w:rPr>
          <w:rFonts w:eastAsia="Times New Roman" w:cs="Arial"/>
          <w:sz w:val="21"/>
        </w:rPr>
        <w:t>A full list of eNRMC Trial participants is available on the Federal Register of Legislation.</w:t>
      </w:r>
    </w:p>
    <w:p w14:paraId="15CFB4B4" w14:textId="3561AF33" w:rsidR="009576EB" w:rsidRPr="006C5AC0" w:rsidRDefault="004871E9"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 xml:space="preserve">How </w:t>
      </w:r>
      <w:r w:rsidR="006B4CA0" w:rsidRPr="006C5AC0">
        <w:rPr>
          <w:rFonts w:ascii="Arial" w:eastAsia="Times New Roman" w:hAnsi="Arial" w:cs="Arial"/>
          <w:bCs/>
          <w:color w:val="3F4A75"/>
          <w:kern w:val="28"/>
          <w:sz w:val="36"/>
          <w:szCs w:val="36"/>
        </w:rPr>
        <w:t>can</w:t>
      </w:r>
      <w:r w:rsidRPr="006C5AC0">
        <w:rPr>
          <w:rFonts w:ascii="Arial" w:eastAsia="Times New Roman" w:hAnsi="Arial" w:cs="Arial"/>
          <w:bCs/>
          <w:color w:val="3F4A75"/>
          <w:kern w:val="28"/>
          <w:sz w:val="36"/>
          <w:szCs w:val="36"/>
        </w:rPr>
        <w:t xml:space="preserve"> RACS apply for the</w:t>
      </w:r>
      <w:r w:rsidR="009576EB" w:rsidRPr="006C5AC0">
        <w:rPr>
          <w:rFonts w:ascii="Arial" w:eastAsia="Times New Roman" w:hAnsi="Arial" w:cs="Arial"/>
          <w:bCs/>
          <w:color w:val="3F4A75"/>
          <w:kern w:val="28"/>
          <w:sz w:val="36"/>
          <w:szCs w:val="36"/>
        </w:rPr>
        <w:t xml:space="preserve"> eNRMC Adoption grant opportunity?</w:t>
      </w:r>
    </w:p>
    <w:p w14:paraId="1F65AE57" w14:textId="7F8AF890" w:rsidR="009576EB" w:rsidRPr="006C5AC0" w:rsidRDefault="009576EB" w:rsidP="004871E9">
      <w:pPr>
        <w:pStyle w:val="BodyText"/>
        <w:spacing w:before="120"/>
        <w:rPr>
          <w:rFonts w:eastAsia="Times New Roman" w:cs="Arial"/>
          <w:sz w:val="21"/>
        </w:rPr>
      </w:pPr>
      <w:r w:rsidRPr="006C5AC0">
        <w:rPr>
          <w:rFonts w:eastAsia="Times New Roman" w:cs="Arial"/>
          <w:sz w:val="21"/>
        </w:rPr>
        <w:t>RACS must read and understand the Grant Opportunity Guidelines and the</w:t>
      </w:r>
      <w:r w:rsidR="00F93DD8">
        <w:rPr>
          <w:rFonts w:eastAsia="Times New Roman" w:cs="Arial"/>
          <w:sz w:val="21"/>
        </w:rPr>
        <w:t xml:space="preserve"> Grant</w:t>
      </w:r>
      <w:r w:rsidRPr="006C5AC0">
        <w:rPr>
          <w:rFonts w:eastAsia="Times New Roman" w:cs="Arial"/>
          <w:sz w:val="21"/>
        </w:rPr>
        <w:t xml:space="preserve"> Application Form</w:t>
      </w:r>
      <w:r w:rsidR="004871E9" w:rsidRPr="006C5AC0">
        <w:rPr>
          <w:rFonts w:eastAsia="Times New Roman" w:cs="Arial"/>
          <w:sz w:val="21"/>
        </w:rPr>
        <w:t xml:space="preserve"> before applying</w:t>
      </w:r>
      <w:r w:rsidRPr="006C5AC0">
        <w:rPr>
          <w:rFonts w:eastAsia="Times New Roman" w:cs="Arial"/>
          <w:sz w:val="21"/>
        </w:rPr>
        <w:t>.</w:t>
      </w:r>
      <w:r w:rsidR="004871E9" w:rsidRPr="006C5AC0">
        <w:rPr>
          <w:rFonts w:eastAsia="Times New Roman" w:cs="Arial"/>
          <w:sz w:val="21"/>
        </w:rPr>
        <w:t xml:space="preserve"> </w:t>
      </w:r>
      <w:r w:rsidR="0043192E" w:rsidRPr="006C5AC0">
        <w:rPr>
          <w:rFonts w:eastAsia="Times New Roman" w:cs="Arial"/>
          <w:sz w:val="21"/>
        </w:rPr>
        <w:t>Once the grant is live, you will be able to find these documents</w:t>
      </w:r>
      <w:r w:rsidRPr="006C5AC0">
        <w:rPr>
          <w:rFonts w:eastAsia="Times New Roman" w:cs="Arial"/>
          <w:sz w:val="21"/>
        </w:rPr>
        <w:t xml:space="preserve"> on GrantConnect. Any alterations and addenda will be published on GrantConnect and by registering on this website, you will be automatically notified o</w:t>
      </w:r>
      <w:r w:rsidR="00CB3B1D" w:rsidRPr="006C5AC0">
        <w:rPr>
          <w:rFonts w:eastAsia="Times New Roman" w:cs="Arial"/>
          <w:sz w:val="21"/>
        </w:rPr>
        <w:t>f</w:t>
      </w:r>
      <w:r w:rsidRPr="006C5AC0">
        <w:rPr>
          <w:rFonts w:eastAsia="Times New Roman" w:cs="Arial"/>
          <w:sz w:val="21"/>
        </w:rPr>
        <w:t xml:space="preserve"> any changes. GrantConnect is the authoritative source for grants information.</w:t>
      </w:r>
    </w:p>
    <w:p w14:paraId="1ADE0BF6" w14:textId="116E9FA1" w:rsidR="009576EB" w:rsidRPr="006C5AC0" w:rsidRDefault="009576EB" w:rsidP="009576EB">
      <w:pPr>
        <w:pStyle w:val="BodyText"/>
        <w:rPr>
          <w:rFonts w:eastAsia="Times New Roman" w:cs="Arial"/>
          <w:sz w:val="21"/>
        </w:rPr>
      </w:pPr>
      <w:r w:rsidRPr="006C5AC0">
        <w:rPr>
          <w:rFonts w:eastAsia="Times New Roman" w:cs="Arial"/>
          <w:sz w:val="21"/>
        </w:rPr>
        <w:t>To apply</w:t>
      </w:r>
      <w:r w:rsidR="00F93DD8">
        <w:rPr>
          <w:rFonts w:eastAsia="Times New Roman" w:cs="Arial"/>
          <w:sz w:val="21"/>
        </w:rPr>
        <w:t>,</w:t>
      </w:r>
      <w:r w:rsidRPr="006C5AC0">
        <w:rPr>
          <w:rFonts w:eastAsia="Times New Roman" w:cs="Arial"/>
          <w:sz w:val="21"/>
        </w:rPr>
        <w:t xml:space="preserve"> RACS must:</w:t>
      </w:r>
    </w:p>
    <w:p w14:paraId="537D935D" w14:textId="77777777" w:rsidR="009576EB" w:rsidRPr="006C5AC0" w:rsidRDefault="009576EB" w:rsidP="009576EB">
      <w:pPr>
        <w:pStyle w:val="BodyText"/>
        <w:numPr>
          <w:ilvl w:val="0"/>
          <w:numId w:val="5"/>
        </w:numPr>
        <w:spacing w:after="0" w:line="240" w:lineRule="auto"/>
        <w:ind w:left="714" w:hanging="357"/>
        <w:rPr>
          <w:rFonts w:eastAsia="Times New Roman" w:cs="Arial"/>
          <w:sz w:val="21"/>
        </w:rPr>
      </w:pPr>
      <w:r w:rsidRPr="006C5AC0">
        <w:rPr>
          <w:rFonts w:eastAsia="Times New Roman" w:cs="Arial"/>
          <w:sz w:val="21"/>
        </w:rPr>
        <w:t>complete the Application Form on GrantConnect</w:t>
      </w:r>
    </w:p>
    <w:p w14:paraId="138B3D11" w14:textId="77777777" w:rsidR="009576EB" w:rsidRPr="006C5AC0" w:rsidRDefault="009576EB" w:rsidP="009576EB">
      <w:pPr>
        <w:pStyle w:val="BodyText"/>
        <w:numPr>
          <w:ilvl w:val="0"/>
          <w:numId w:val="5"/>
        </w:numPr>
        <w:spacing w:after="0" w:line="240" w:lineRule="auto"/>
        <w:ind w:left="714" w:hanging="357"/>
        <w:rPr>
          <w:rFonts w:eastAsia="Times New Roman" w:cs="Arial"/>
          <w:sz w:val="21"/>
        </w:rPr>
      </w:pPr>
      <w:r w:rsidRPr="006C5AC0">
        <w:rPr>
          <w:rFonts w:eastAsia="Times New Roman" w:cs="Arial"/>
          <w:sz w:val="21"/>
        </w:rPr>
        <w:t>provide all information requested</w:t>
      </w:r>
    </w:p>
    <w:p w14:paraId="5FB26654" w14:textId="77777777" w:rsidR="009576EB" w:rsidRPr="006C5AC0" w:rsidRDefault="009576EB" w:rsidP="009576EB">
      <w:pPr>
        <w:pStyle w:val="BodyText"/>
        <w:numPr>
          <w:ilvl w:val="0"/>
          <w:numId w:val="5"/>
        </w:numPr>
        <w:spacing w:after="0" w:line="240" w:lineRule="auto"/>
        <w:ind w:left="714" w:hanging="357"/>
        <w:rPr>
          <w:rFonts w:eastAsia="Times New Roman" w:cs="Arial"/>
          <w:sz w:val="21"/>
        </w:rPr>
      </w:pPr>
      <w:r w:rsidRPr="006C5AC0">
        <w:rPr>
          <w:rFonts w:eastAsia="Times New Roman" w:cs="Arial"/>
          <w:sz w:val="21"/>
        </w:rPr>
        <w:t>address all eligibility criteria and</w:t>
      </w:r>
    </w:p>
    <w:p w14:paraId="5A0C8459" w14:textId="77777777" w:rsidR="009576EB" w:rsidRPr="006C5AC0" w:rsidRDefault="009576EB" w:rsidP="009576EB">
      <w:pPr>
        <w:pStyle w:val="BodyText"/>
        <w:numPr>
          <w:ilvl w:val="0"/>
          <w:numId w:val="5"/>
        </w:numPr>
        <w:spacing w:line="240" w:lineRule="auto"/>
        <w:ind w:left="714" w:hanging="357"/>
        <w:rPr>
          <w:rFonts w:eastAsia="Times New Roman" w:cs="Arial"/>
          <w:sz w:val="21"/>
        </w:rPr>
      </w:pPr>
      <w:r w:rsidRPr="006C5AC0">
        <w:rPr>
          <w:rFonts w:eastAsia="Times New Roman" w:cs="Arial"/>
          <w:sz w:val="21"/>
        </w:rPr>
        <w:t>submit their application by the closing date and time, as specified on the front cover of the Grant Opportunity Guidelines, using the online application form link on GrantConnect</w:t>
      </w:r>
    </w:p>
    <w:p w14:paraId="2D3E3063" w14:textId="3794F116" w:rsidR="009576EB" w:rsidRPr="006C5AC0" w:rsidRDefault="009576EB" w:rsidP="009576EB">
      <w:pPr>
        <w:pStyle w:val="BodyText"/>
        <w:spacing w:after="0"/>
        <w:rPr>
          <w:rFonts w:eastAsia="Times New Roman" w:cs="Arial"/>
          <w:sz w:val="21"/>
        </w:rPr>
      </w:pPr>
      <w:r w:rsidRPr="006C5AC0">
        <w:rPr>
          <w:rFonts w:eastAsia="Times New Roman" w:cs="Arial"/>
          <w:sz w:val="21"/>
        </w:rPr>
        <w:t xml:space="preserve">If a RACS needs further guidance around the application process or if they are unable to submit an application, they should please contact us at </w:t>
      </w:r>
      <w:hyperlink r:id="rId13" w:history="1">
        <w:r w:rsidRPr="00DA6F0E">
          <w:rPr>
            <w:rStyle w:val="Hyperlink"/>
            <w:rFonts w:eastAsia="Times New Roman" w:cs="Arial"/>
            <w:sz w:val="21"/>
          </w:rPr>
          <w:t>grant.atm@health.gov.au</w:t>
        </w:r>
      </w:hyperlink>
      <w:r w:rsidRPr="006C5AC0">
        <w:rPr>
          <w:rFonts w:eastAsia="Times New Roman" w:cs="Arial"/>
          <w:sz w:val="21"/>
        </w:rPr>
        <w:t xml:space="preserve"> or by calling (02) 6289 5600.</w:t>
      </w:r>
    </w:p>
    <w:p w14:paraId="4BFCDB99" w14:textId="5BEEABF1" w:rsidR="009576EB" w:rsidRPr="006C5AC0" w:rsidRDefault="009576EB"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 xml:space="preserve">What are </w:t>
      </w:r>
      <w:r w:rsidR="004871E9" w:rsidRPr="006C5AC0">
        <w:rPr>
          <w:rFonts w:ascii="Arial" w:eastAsia="Times New Roman" w:hAnsi="Arial" w:cs="Arial"/>
          <w:bCs/>
          <w:color w:val="3F4A75"/>
          <w:kern w:val="28"/>
          <w:sz w:val="36"/>
          <w:szCs w:val="36"/>
        </w:rPr>
        <w:t>RACS</w:t>
      </w:r>
      <w:r w:rsidRPr="006C5AC0">
        <w:rPr>
          <w:rFonts w:ascii="Arial" w:eastAsia="Times New Roman" w:hAnsi="Arial" w:cs="Arial"/>
          <w:bCs/>
          <w:color w:val="3F4A75"/>
          <w:kern w:val="28"/>
          <w:sz w:val="36"/>
          <w:szCs w:val="36"/>
        </w:rPr>
        <w:t xml:space="preserve"> </w:t>
      </w:r>
      <w:r w:rsidR="004871E9" w:rsidRPr="006C5AC0">
        <w:rPr>
          <w:rFonts w:ascii="Arial" w:eastAsia="Times New Roman" w:hAnsi="Arial" w:cs="Arial"/>
          <w:bCs/>
          <w:color w:val="3F4A75"/>
          <w:kern w:val="28"/>
          <w:sz w:val="36"/>
          <w:szCs w:val="36"/>
        </w:rPr>
        <w:t>o</w:t>
      </w:r>
      <w:r w:rsidRPr="006C5AC0">
        <w:rPr>
          <w:rFonts w:ascii="Arial" w:eastAsia="Times New Roman" w:hAnsi="Arial" w:cs="Arial"/>
          <w:bCs/>
          <w:color w:val="3F4A75"/>
          <w:kern w:val="28"/>
          <w:sz w:val="36"/>
          <w:szCs w:val="36"/>
        </w:rPr>
        <w:t>bligat</w:t>
      </w:r>
      <w:r w:rsidR="004871E9" w:rsidRPr="006C5AC0">
        <w:rPr>
          <w:rFonts w:ascii="Arial" w:eastAsia="Times New Roman" w:hAnsi="Arial" w:cs="Arial"/>
          <w:bCs/>
          <w:color w:val="3F4A75"/>
          <w:kern w:val="28"/>
          <w:sz w:val="36"/>
          <w:szCs w:val="36"/>
        </w:rPr>
        <w:t>ed to do</w:t>
      </w:r>
      <w:r w:rsidRPr="006C5AC0">
        <w:rPr>
          <w:rFonts w:ascii="Arial" w:eastAsia="Times New Roman" w:hAnsi="Arial" w:cs="Arial"/>
          <w:bCs/>
          <w:color w:val="3F4A75"/>
          <w:kern w:val="28"/>
          <w:sz w:val="36"/>
          <w:szCs w:val="36"/>
        </w:rPr>
        <w:t xml:space="preserve"> under the eNRMC Adoption grant opportunity?</w:t>
      </w:r>
    </w:p>
    <w:p w14:paraId="3E816183" w14:textId="679B8BDD" w:rsidR="009576EB" w:rsidRPr="006C5AC0" w:rsidRDefault="009576EB" w:rsidP="009576EB">
      <w:pPr>
        <w:pStyle w:val="BodyText"/>
        <w:rPr>
          <w:rFonts w:eastAsia="Times New Roman" w:cs="Arial"/>
          <w:sz w:val="21"/>
        </w:rPr>
      </w:pPr>
      <w:r w:rsidRPr="006C5AC0">
        <w:rPr>
          <w:rFonts w:eastAsia="Times New Roman" w:cs="Arial"/>
          <w:sz w:val="21"/>
        </w:rPr>
        <w:t xml:space="preserve">Within 12 months of executing their grant agreement, grant recipients will </w:t>
      </w:r>
      <w:r w:rsidR="0043192E" w:rsidRPr="006C5AC0">
        <w:rPr>
          <w:rFonts w:eastAsia="Times New Roman" w:cs="Arial"/>
          <w:sz w:val="21"/>
        </w:rPr>
        <w:t xml:space="preserve">need </w:t>
      </w:r>
      <w:r w:rsidRPr="006C5AC0">
        <w:rPr>
          <w:rFonts w:eastAsia="Times New Roman" w:cs="Arial"/>
          <w:sz w:val="21"/>
        </w:rPr>
        <w:t>to:</w:t>
      </w:r>
    </w:p>
    <w:p w14:paraId="0486ABC5" w14:textId="6E472F30" w:rsidR="009576EB" w:rsidRPr="006C5AC0" w:rsidRDefault="009576EB" w:rsidP="0043192E">
      <w:pPr>
        <w:pStyle w:val="BodyText"/>
        <w:numPr>
          <w:ilvl w:val="0"/>
          <w:numId w:val="11"/>
        </w:numPr>
        <w:rPr>
          <w:rFonts w:eastAsia="Times New Roman" w:cs="Arial"/>
          <w:sz w:val="21"/>
        </w:rPr>
      </w:pPr>
      <w:r w:rsidRPr="006C5AC0">
        <w:rPr>
          <w:rFonts w:eastAsia="Times New Roman" w:cs="Arial"/>
          <w:sz w:val="21"/>
        </w:rPr>
        <w:t xml:space="preserve">adopt a Transitional eNRMC Product or </w:t>
      </w:r>
      <w:r w:rsidR="003623ED">
        <w:rPr>
          <w:rFonts w:eastAsia="Times New Roman" w:cs="Arial"/>
          <w:sz w:val="21"/>
        </w:rPr>
        <w:t>Electronic Prescribing</w:t>
      </w:r>
      <w:r w:rsidR="00F93DD8">
        <w:rPr>
          <w:rFonts w:eastAsia="Times New Roman" w:cs="Arial"/>
          <w:sz w:val="21"/>
        </w:rPr>
        <w:t xml:space="preserve"> </w:t>
      </w:r>
      <w:r w:rsidRPr="006C5AC0">
        <w:rPr>
          <w:rFonts w:eastAsia="Times New Roman" w:cs="Arial"/>
          <w:sz w:val="21"/>
        </w:rPr>
        <w:t>Conformant eNRMC Product, and</w:t>
      </w:r>
    </w:p>
    <w:p w14:paraId="3D785B7D" w14:textId="77777777" w:rsidR="009576EB" w:rsidRPr="006C5AC0" w:rsidRDefault="009576EB" w:rsidP="0043192E">
      <w:pPr>
        <w:pStyle w:val="BodyText"/>
        <w:numPr>
          <w:ilvl w:val="0"/>
          <w:numId w:val="11"/>
        </w:numPr>
        <w:rPr>
          <w:rFonts w:eastAsia="Times New Roman" w:cs="Arial"/>
          <w:sz w:val="21"/>
        </w:rPr>
      </w:pPr>
      <w:r w:rsidRPr="006C5AC0">
        <w:rPr>
          <w:rFonts w:eastAsia="Times New Roman" w:cs="Arial"/>
          <w:sz w:val="21"/>
        </w:rPr>
        <w:t>submit evidence of adoption from their eNRMC vendor and a financial declaration stating that all grant funds have been expended on eligible activities.</w:t>
      </w:r>
    </w:p>
    <w:p w14:paraId="7AC74FA6" w14:textId="760EEE51" w:rsidR="009576EB" w:rsidRPr="006C5AC0" w:rsidRDefault="009576EB"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What can grant money be used for</w:t>
      </w:r>
      <w:r w:rsidR="00CB3B1D" w:rsidRPr="006C5AC0">
        <w:rPr>
          <w:rFonts w:ascii="Arial" w:eastAsia="Times New Roman" w:hAnsi="Arial" w:cs="Arial"/>
          <w:bCs/>
          <w:color w:val="3F4A75"/>
          <w:kern w:val="28"/>
          <w:sz w:val="36"/>
          <w:szCs w:val="36"/>
        </w:rPr>
        <w:t>?</w:t>
      </w:r>
    </w:p>
    <w:p w14:paraId="4B4790E2" w14:textId="6519F1E4" w:rsidR="009576EB" w:rsidRPr="006C5AC0" w:rsidRDefault="009576EB" w:rsidP="009576EB">
      <w:pPr>
        <w:pStyle w:val="BodyText"/>
        <w:rPr>
          <w:rFonts w:cs="Arial"/>
          <w:sz w:val="21"/>
          <w:szCs w:val="21"/>
        </w:rPr>
      </w:pPr>
      <w:r w:rsidRPr="006C5AC0">
        <w:rPr>
          <w:rFonts w:cs="Arial"/>
          <w:sz w:val="21"/>
          <w:szCs w:val="21"/>
        </w:rPr>
        <w:t xml:space="preserve">RACS can only spend the grant on goods or services that are directly related to the sourcing, </w:t>
      </w:r>
      <w:proofErr w:type="gramStart"/>
      <w:r w:rsidRPr="006C5AC0">
        <w:rPr>
          <w:rFonts w:cs="Arial"/>
          <w:sz w:val="21"/>
          <w:szCs w:val="21"/>
        </w:rPr>
        <w:t>adoption</w:t>
      </w:r>
      <w:proofErr w:type="gramEnd"/>
      <w:r w:rsidRPr="006C5AC0">
        <w:rPr>
          <w:rFonts w:cs="Arial"/>
          <w:sz w:val="21"/>
          <w:szCs w:val="21"/>
        </w:rPr>
        <w:t xml:space="preserve"> or use of a Transitional eNRMC Product or </w:t>
      </w:r>
      <w:r w:rsidR="003623ED">
        <w:rPr>
          <w:rFonts w:cs="Arial"/>
          <w:sz w:val="21"/>
          <w:szCs w:val="21"/>
        </w:rPr>
        <w:t>Electronic Prescribing</w:t>
      </w:r>
      <w:r w:rsidR="00334CA5">
        <w:rPr>
          <w:rFonts w:cs="Arial"/>
          <w:sz w:val="21"/>
          <w:szCs w:val="21"/>
        </w:rPr>
        <w:t xml:space="preserve"> </w:t>
      </w:r>
      <w:r w:rsidRPr="006C5AC0">
        <w:rPr>
          <w:rFonts w:cs="Arial"/>
          <w:sz w:val="21"/>
          <w:szCs w:val="21"/>
        </w:rPr>
        <w:t xml:space="preserve">Conformant eNRMC Product. Eligible products will be listed on the Agency's </w:t>
      </w:r>
      <w:hyperlink r:id="rId14" w:history="1">
        <w:r w:rsidRPr="006C5AC0">
          <w:rPr>
            <w:rStyle w:val="Hyperlink"/>
            <w:rFonts w:cs="Arial"/>
            <w:i/>
            <w:sz w:val="21"/>
            <w:szCs w:val="21"/>
          </w:rPr>
          <w:t>Transitional eNRMC Conformance Register</w:t>
        </w:r>
      </w:hyperlink>
      <w:r w:rsidRPr="006C5AC0">
        <w:rPr>
          <w:rFonts w:cs="Arial"/>
          <w:sz w:val="21"/>
          <w:szCs w:val="21"/>
        </w:rPr>
        <w:t xml:space="preserve"> or, once available, the </w:t>
      </w:r>
      <w:hyperlink r:id="rId15" w:history="1">
        <w:r w:rsidRPr="006C5AC0">
          <w:rPr>
            <w:rStyle w:val="Hyperlink"/>
            <w:rFonts w:cs="Arial"/>
            <w:i/>
            <w:sz w:val="21"/>
            <w:szCs w:val="21"/>
          </w:rPr>
          <w:t>Electronic Prescribing Conformance Register</w:t>
        </w:r>
      </w:hyperlink>
      <w:r w:rsidRPr="006C5AC0">
        <w:rPr>
          <w:rFonts w:cs="Arial"/>
          <w:i/>
          <w:sz w:val="21"/>
          <w:szCs w:val="21"/>
          <w:u w:val="single"/>
        </w:rPr>
        <w:t xml:space="preserve"> </w:t>
      </w:r>
      <w:r w:rsidRPr="006C5AC0">
        <w:rPr>
          <w:rFonts w:cs="Arial"/>
          <w:sz w:val="21"/>
          <w:szCs w:val="21"/>
        </w:rPr>
        <w:t xml:space="preserve">. </w:t>
      </w:r>
    </w:p>
    <w:p w14:paraId="138E186E" w14:textId="77777777" w:rsidR="009576EB" w:rsidRPr="006C5AC0" w:rsidRDefault="009576EB" w:rsidP="009576EB">
      <w:pPr>
        <w:pStyle w:val="BodyText"/>
        <w:rPr>
          <w:rFonts w:cs="Arial"/>
          <w:sz w:val="21"/>
          <w:szCs w:val="21"/>
        </w:rPr>
      </w:pPr>
      <w:r w:rsidRPr="006C5AC0">
        <w:rPr>
          <w:rFonts w:cs="Arial"/>
          <w:sz w:val="21"/>
          <w:szCs w:val="21"/>
        </w:rPr>
        <w:t>Eligible expenditure items include:</w:t>
      </w:r>
    </w:p>
    <w:p w14:paraId="4D4BDDC5" w14:textId="77777777" w:rsidR="009576EB" w:rsidRPr="006C5AC0" w:rsidRDefault="009576EB" w:rsidP="009576EB">
      <w:pPr>
        <w:pStyle w:val="BodyText"/>
        <w:numPr>
          <w:ilvl w:val="0"/>
          <w:numId w:val="5"/>
        </w:numPr>
        <w:spacing w:after="0" w:line="240" w:lineRule="auto"/>
        <w:ind w:left="714" w:hanging="357"/>
        <w:rPr>
          <w:rFonts w:cs="Arial"/>
          <w:sz w:val="21"/>
          <w:szCs w:val="21"/>
        </w:rPr>
      </w:pPr>
      <w:r w:rsidRPr="006C5AC0">
        <w:rPr>
          <w:rFonts w:cs="Arial"/>
          <w:sz w:val="21"/>
          <w:szCs w:val="21"/>
        </w:rPr>
        <w:t>purchase of, or subscription to, a Transitional eNRMC Product or eNRMC software modules</w:t>
      </w:r>
    </w:p>
    <w:p w14:paraId="7287B60A" w14:textId="77777777" w:rsidR="009576EB" w:rsidRPr="006C5AC0" w:rsidRDefault="009576EB" w:rsidP="009576EB">
      <w:pPr>
        <w:pStyle w:val="BodyText"/>
        <w:numPr>
          <w:ilvl w:val="0"/>
          <w:numId w:val="5"/>
        </w:numPr>
        <w:spacing w:after="0" w:line="240" w:lineRule="auto"/>
        <w:ind w:left="714" w:hanging="357"/>
        <w:rPr>
          <w:rFonts w:cs="Arial"/>
          <w:sz w:val="21"/>
          <w:szCs w:val="21"/>
        </w:rPr>
      </w:pPr>
      <w:r w:rsidRPr="006C5AC0">
        <w:rPr>
          <w:rFonts w:cs="Arial"/>
          <w:sz w:val="21"/>
          <w:szCs w:val="21"/>
        </w:rPr>
        <w:t>upgrade or purchase of hardware or infrastructure to enable the use of an eNRMC Product (such as Wi-Fi, computers, digital portable devices, etc.)</w:t>
      </w:r>
    </w:p>
    <w:p w14:paraId="5B5F97EA" w14:textId="77777777" w:rsidR="009576EB" w:rsidRPr="006C5AC0" w:rsidRDefault="009576EB" w:rsidP="009576EB">
      <w:pPr>
        <w:pStyle w:val="BodyText"/>
        <w:numPr>
          <w:ilvl w:val="0"/>
          <w:numId w:val="5"/>
        </w:numPr>
        <w:spacing w:after="0" w:line="240" w:lineRule="auto"/>
        <w:ind w:left="714" w:hanging="357"/>
        <w:rPr>
          <w:rFonts w:cs="Arial"/>
          <w:sz w:val="21"/>
          <w:szCs w:val="21"/>
        </w:rPr>
      </w:pPr>
      <w:r w:rsidRPr="006C5AC0">
        <w:rPr>
          <w:rFonts w:cs="Arial"/>
          <w:sz w:val="21"/>
          <w:szCs w:val="21"/>
        </w:rPr>
        <w:lastRenderedPageBreak/>
        <w:t>expenditure related to change management processes (such as wages/salaries incurred for additional hours of training, or developing policies, processes, or training materials), and</w:t>
      </w:r>
    </w:p>
    <w:p w14:paraId="7D53D6A1" w14:textId="77777777" w:rsidR="009576EB" w:rsidRPr="006C5AC0" w:rsidRDefault="009576EB" w:rsidP="006B4CA0">
      <w:pPr>
        <w:pStyle w:val="BodyText"/>
        <w:numPr>
          <w:ilvl w:val="0"/>
          <w:numId w:val="5"/>
        </w:numPr>
        <w:spacing w:line="240" w:lineRule="auto"/>
        <w:ind w:left="714" w:hanging="357"/>
        <w:rPr>
          <w:rFonts w:cs="Arial"/>
          <w:sz w:val="21"/>
          <w:szCs w:val="21"/>
        </w:rPr>
      </w:pPr>
      <w:r w:rsidRPr="006C5AC0">
        <w:rPr>
          <w:rFonts w:cs="Arial"/>
          <w:sz w:val="21"/>
          <w:szCs w:val="21"/>
        </w:rPr>
        <w:t xml:space="preserve">other expenditure incurred which directly relates to the sourcing, </w:t>
      </w:r>
      <w:proofErr w:type="gramStart"/>
      <w:r w:rsidRPr="006C5AC0">
        <w:rPr>
          <w:rFonts w:cs="Arial"/>
          <w:sz w:val="21"/>
          <w:szCs w:val="21"/>
        </w:rPr>
        <w:t>adoption</w:t>
      </w:r>
      <w:proofErr w:type="gramEnd"/>
      <w:r w:rsidRPr="006C5AC0">
        <w:rPr>
          <w:rFonts w:cs="Arial"/>
          <w:sz w:val="21"/>
          <w:szCs w:val="21"/>
        </w:rPr>
        <w:t xml:space="preserve"> or use of a conformant eNRMC Product.</w:t>
      </w:r>
    </w:p>
    <w:p w14:paraId="145DCA8A" w14:textId="2F61A261" w:rsidR="009576EB" w:rsidRPr="006C5AC0" w:rsidRDefault="009576EB" w:rsidP="006B4CA0">
      <w:pPr>
        <w:pStyle w:val="BodyText"/>
        <w:rPr>
          <w:rFonts w:cs="Arial"/>
          <w:sz w:val="21"/>
          <w:szCs w:val="21"/>
        </w:rPr>
      </w:pPr>
      <w:r w:rsidRPr="006C5AC0">
        <w:rPr>
          <w:rFonts w:cs="Arial"/>
          <w:sz w:val="21"/>
          <w:szCs w:val="21"/>
        </w:rPr>
        <w:t>In instances where an eNRMC has been adopted before a grant is received, grant funds may still be used on eligible activities such as change management processes</w:t>
      </w:r>
      <w:r w:rsidR="00243803">
        <w:rPr>
          <w:rFonts w:cs="Arial"/>
          <w:sz w:val="21"/>
          <w:szCs w:val="21"/>
        </w:rPr>
        <w:t xml:space="preserve"> or subscription fees. </w:t>
      </w:r>
    </w:p>
    <w:p w14:paraId="6D2FC0E9" w14:textId="77777777" w:rsidR="009576EB" w:rsidRPr="006C5AC0" w:rsidRDefault="009576EB" w:rsidP="006B4CA0">
      <w:pPr>
        <w:pStyle w:val="BodyText"/>
        <w:rPr>
          <w:rFonts w:cs="Arial"/>
          <w:sz w:val="21"/>
          <w:szCs w:val="21"/>
        </w:rPr>
      </w:pPr>
      <w:r w:rsidRPr="006C5AC0">
        <w:rPr>
          <w:rFonts w:cs="Arial"/>
          <w:sz w:val="21"/>
          <w:szCs w:val="21"/>
        </w:rPr>
        <w:t>Grant recipients will be required to submit a financial declaration confirming all grant funds have been expended on eligible activities or products.</w:t>
      </w:r>
    </w:p>
    <w:p w14:paraId="4F3C6A72" w14:textId="77777777" w:rsidR="009576EB" w:rsidRPr="006C5AC0" w:rsidRDefault="009576EB" w:rsidP="006C5AC0">
      <w:pPr>
        <w:pStyle w:val="Heading2"/>
        <w:spacing w:before="360" w:after="120"/>
        <w:rPr>
          <w:rFonts w:ascii="Arial" w:eastAsia="Times New Roman" w:hAnsi="Arial" w:cs="Arial"/>
          <w:bCs/>
          <w:color w:val="3F4A75"/>
          <w:kern w:val="28"/>
          <w:sz w:val="36"/>
          <w:szCs w:val="36"/>
        </w:rPr>
      </w:pPr>
      <w:r w:rsidRPr="006C5AC0">
        <w:rPr>
          <w:rFonts w:ascii="Arial" w:eastAsia="Times New Roman" w:hAnsi="Arial" w:cs="Arial"/>
          <w:bCs/>
          <w:color w:val="3F4A75"/>
          <w:kern w:val="28"/>
          <w:sz w:val="36"/>
          <w:szCs w:val="36"/>
        </w:rPr>
        <w:t>What eNRMC products are eligible for adoption under the grant opportunity?</w:t>
      </w:r>
    </w:p>
    <w:p w14:paraId="5BCC6616" w14:textId="77777777" w:rsidR="009576EB" w:rsidRPr="006C5AC0" w:rsidRDefault="009576EB" w:rsidP="009576EB">
      <w:pPr>
        <w:pStyle w:val="BodyText"/>
        <w:rPr>
          <w:rFonts w:cs="Arial"/>
          <w:sz w:val="21"/>
          <w:szCs w:val="21"/>
        </w:rPr>
      </w:pPr>
      <w:r w:rsidRPr="006C5AC0">
        <w:rPr>
          <w:rFonts w:cs="Arial"/>
          <w:sz w:val="21"/>
          <w:szCs w:val="21"/>
        </w:rPr>
        <w:t>Eligible products for adoption through the grant will be listed on:</w:t>
      </w:r>
    </w:p>
    <w:p w14:paraId="4B754F8E" w14:textId="704D8927" w:rsidR="009576EB" w:rsidRPr="006C5AC0" w:rsidRDefault="009576EB" w:rsidP="009576EB">
      <w:pPr>
        <w:pStyle w:val="BodyText"/>
        <w:numPr>
          <w:ilvl w:val="0"/>
          <w:numId w:val="6"/>
        </w:numPr>
        <w:spacing w:after="0"/>
        <w:rPr>
          <w:rFonts w:cs="Arial"/>
          <w:sz w:val="21"/>
          <w:szCs w:val="21"/>
        </w:rPr>
      </w:pPr>
      <w:r w:rsidRPr="006C5AC0">
        <w:rPr>
          <w:rFonts w:cs="Arial"/>
          <w:sz w:val="21"/>
          <w:szCs w:val="21"/>
        </w:rPr>
        <w:t xml:space="preserve">the </w:t>
      </w:r>
      <w:hyperlink r:id="rId16" w:history="1">
        <w:r w:rsidRPr="006C5AC0">
          <w:rPr>
            <w:rStyle w:val="Hyperlink"/>
            <w:rFonts w:cs="Arial"/>
            <w:i/>
            <w:sz w:val="21"/>
            <w:szCs w:val="21"/>
          </w:rPr>
          <w:t>Electronic Prescribing Conformance Register</w:t>
        </w:r>
      </w:hyperlink>
      <w:r w:rsidRPr="006C5AC0">
        <w:rPr>
          <w:rFonts w:cs="Arial"/>
          <w:sz w:val="21"/>
          <w:szCs w:val="21"/>
        </w:rPr>
        <w:t xml:space="preserve"> </w:t>
      </w:r>
    </w:p>
    <w:p w14:paraId="0A88FD66" w14:textId="3CF6A114" w:rsidR="006B4CA0" w:rsidRPr="006C5AC0" w:rsidRDefault="009576EB" w:rsidP="006B4CA0">
      <w:pPr>
        <w:pStyle w:val="BodyText"/>
        <w:numPr>
          <w:ilvl w:val="0"/>
          <w:numId w:val="6"/>
        </w:numPr>
        <w:ind w:left="714" w:hanging="357"/>
        <w:rPr>
          <w:rFonts w:cs="Arial"/>
          <w:sz w:val="21"/>
          <w:szCs w:val="21"/>
        </w:rPr>
      </w:pPr>
      <w:r w:rsidRPr="006C5AC0">
        <w:rPr>
          <w:rFonts w:cs="Arial"/>
          <w:sz w:val="21"/>
          <w:szCs w:val="21"/>
        </w:rPr>
        <w:t xml:space="preserve">the </w:t>
      </w:r>
      <w:hyperlink r:id="rId17" w:history="1">
        <w:r w:rsidRPr="006C5AC0">
          <w:rPr>
            <w:rStyle w:val="Hyperlink"/>
            <w:rFonts w:cs="Arial"/>
            <w:i/>
            <w:sz w:val="21"/>
            <w:szCs w:val="21"/>
          </w:rPr>
          <w:t>Transitional eNRMC Conformance Register</w:t>
        </w:r>
      </w:hyperlink>
    </w:p>
    <w:p w14:paraId="40445AA5" w14:textId="6993A396" w:rsidR="00A54238" w:rsidRDefault="006B4CA0" w:rsidP="006C5AC0">
      <w:pPr>
        <w:pStyle w:val="BodyText"/>
        <w:spacing w:line="240" w:lineRule="auto"/>
        <w:rPr>
          <w:rFonts w:eastAsia="Times New Roman" w:cs="Arial"/>
          <w:sz w:val="21"/>
          <w:szCs w:val="21"/>
        </w:rPr>
      </w:pPr>
      <w:r w:rsidRPr="006C5AC0">
        <w:rPr>
          <w:rFonts w:eastAsia="Times New Roman" w:cs="Arial"/>
          <w:sz w:val="21"/>
          <w:szCs w:val="21"/>
        </w:rPr>
        <w:t>Not all software will meet the requirements to be a “Transitional eNRMC Product” at the same time. This means that not all software will be listed on the</w:t>
      </w:r>
      <w:r w:rsidRPr="006C5AC0">
        <w:rPr>
          <w:rFonts w:cs="Arial"/>
          <w:sz w:val="21"/>
          <w:szCs w:val="21"/>
        </w:rPr>
        <w:t xml:space="preserve"> </w:t>
      </w:r>
      <w:hyperlink r:id="rId18" w:history="1">
        <w:r w:rsidRPr="006C5AC0">
          <w:rPr>
            <w:rStyle w:val="Hyperlink"/>
            <w:rFonts w:cs="Arial"/>
            <w:i/>
            <w:sz w:val="21"/>
            <w:szCs w:val="21"/>
          </w:rPr>
          <w:t>Transitional eNRMC Conformance Register</w:t>
        </w:r>
      </w:hyperlink>
      <w:r w:rsidRPr="006C5AC0">
        <w:rPr>
          <w:rFonts w:cs="Arial"/>
          <w:sz w:val="21"/>
          <w:szCs w:val="21"/>
        </w:rPr>
        <w:t xml:space="preserve"> </w:t>
      </w:r>
      <w:r w:rsidRPr="006C5AC0">
        <w:rPr>
          <w:rFonts w:eastAsia="Times New Roman" w:cs="Arial"/>
          <w:sz w:val="21"/>
          <w:szCs w:val="21"/>
        </w:rPr>
        <w:t xml:space="preserve">and eligible under the grant opportunity straight away. RACS should contact their software provider to confirm their intention and timeframes to reach Transitional eNRMC Product status and </w:t>
      </w:r>
      <w:r w:rsidR="00B2329E">
        <w:rPr>
          <w:rFonts w:eastAsia="Times New Roman" w:cs="Arial"/>
          <w:sz w:val="21"/>
          <w:szCs w:val="21"/>
        </w:rPr>
        <w:t>Electronic Prescribing</w:t>
      </w:r>
      <w:r w:rsidR="00334CA5">
        <w:rPr>
          <w:rFonts w:eastAsia="Times New Roman" w:cs="Arial"/>
          <w:sz w:val="21"/>
          <w:szCs w:val="21"/>
        </w:rPr>
        <w:t xml:space="preserve"> </w:t>
      </w:r>
      <w:r w:rsidRPr="006C5AC0">
        <w:rPr>
          <w:rFonts w:eastAsia="Times New Roman" w:cs="Arial"/>
          <w:sz w:val="21"/>
          <w:szCs w:val="21"/>
        </w:rPr>
        <w:t>conformance.</w:t>
      </w:r>
    </w:p>
    <w:p w14:paraId="7D05D43B" w14:textId="63ABD723" w:rsidR="00F86C7C" w:rsidRPr="006C5AC0" w:rsidRDefault="00F86C7C" w:rsidP="006C5AC0">
      <w:pPr>
        <w:pStyle w:val="BodyText"/>
        <w:spacing w:line="240" w:lineRule="auto"/>
        <w:rPr>
          <w:rFonts w:eastAsia="Times New Roman" w:cs="Arial"/>
          <w:sz w:val="21"/>
          <w:szCs w:val="21"/>
        </w:rPr>
      </w:pPr>
      <w:r w:rsidRPr="006D6DF9">
        <w:rPr>
          <w:rFonts w:eastAsia="Times New Roman" w:cs="Arial"/>
          <w:sz w:val="21"/>
          <w:szCs w:val="21"/>
        </w:rPr>
        <w:t xml:space="preserve">RACS are strongly encouraged to review the </w:t>
      </w:r>
      <w:hyperlink r:id="rId19" w:history="1">
        <w:r w:rsidRPr="006D6DF9">
          <w:rPr>
            <w:rFonts w:eastAsia="Times New Roman" w:cs="Arial"/>
            <w:sz w:val="21"/>
          </w:rPr>
          <w:t>Guide to Safe Implementation in Residential Care Facilities</w:t>
        </w:r>
      </w:hyperlink>
      <w:r w:rsidRPr="006D6DF9">
        <w:rPr>
          <w:rFonts w:eastAsia="Times New Roman" w:cs="Arial"/>
          <w:sz w:val="21"/>
          <w:szCs w:val="21"/>
        </w:rPr>
        <w:t xml:space="preserve"> and to consult with their pharmacy/</w:t>
      </w:r>
      <w:proofErr w:type="spellStart"/>
      <w:r w:rsidRPr="006D6DF9">
        <w:rPr>
          <w:rFonts w:eastAsia="Times New Roman" w:cs="Arial"/>
          <w:sz w:val="21"/>
          <w:szCs w:val="21"/>
        </w:rPr>
        <w:t>ies</w:t>
      </w:r>
      <w:proofErr w:type="spellEnd"/>
      <w:r w:rsidRPr="006D6DF9">
        <w:rPr>
          <w:rFonts w:eastAsia="Times New Roman" w:cs="Arial"/>
          <w:sz w:val="21"/>
          <w:szCs w:val="21"/>
        </w:rPr>
        <w:t xml:space="preserve"> and prescribers when selecting an eNRMC system and during implementation.</w:t>
      </w:r>
    </w:p>
    <w:p w14:paraId="58D091DC" w14:textId="20ADA29E" w:rsidR="009576EB" w:rsidRPr="006C5AC0" w:rsidRDefault="009576EB" w:rsidP="00A54238">
      <w:pPr>
        <w:pStyle w:val="BodyText"/>
        <w:spacing w:before="240"/>
        <w:rPr>
          <w:rFonts w:cs="Arial"/>
          <w:sz w:val="21"/>
          <w:szCs w:val="21"/>
        </w:rPr>
      </w:pPr>
      <w:r w:rsidRPr="006C5AC0">
        <w:rPr>
          <w:rFonts w:eastAsia="Times New Roman" w:cs="Arial"/>
          <w:bCs/>
          <w:color w:val="3F4A75"/>
          <w:kern w:val="28"/>
          <w:sz w:val="36"/>
          <w:szCs w:val="36"/>
        </w:rPr>
        <w:t xml:space="preserve">Are Trial participants who have already adopted an eNRMC eligible for the grant? </w:t>
      </w:r>
    </w:p>
    <w:p w14:paraId="547878FE" w14:textId="3BA55421" w:rsidR="009576EB" w:rsidRPr="006C5AC0" w:rsidRDefault="009576EB" w:rsidP="009576EB">
      <w:pPr>
        <w:pStyle w:val="BodyText"/>
        <w:rPr>
          <w:rFonts w:cs="Arial"/>
          <w:sz w:val="21"/>
          <w:szCs w:val="21"/>
        </w:rPr>
      </w:pPr>
      <w:r w:rsidRPr="006C5AC0">
        <w:rPr>
          <w:rFonts w:cs="Arial"/>
          <w:sz w:val="21"/>
          <w:szCs w:val="21"/>
        </w:rPr>
        <w:t xml:space="preserve">RACS who participated </w:t>
      </w:r>
      <w:r w:rsidR="00560AC3">
        <w:rPr>
          <w:rFonts w:cs="Arial"/>
          <w:sz w:val="21"/>
          <w:szCs w:val="21"/>
        </w:rPr>
        <w:t>i</w:t>
      </w:r>
      <w:r w:rsidRPr="006C5AC0">
        <w:rPr>
          <w:rFonts w:cs="Arial"/>
          <w:sz w:val="21"/>
          <w:szCs w:val="21"/>
        </w:rPr>
        <w:t xml:space="preserve">n the eNRMC Trial any time between July 2018 and March 2022 are eligible for the eNRMC Adoption grant opportunity, if the eNRMC product they have adopted </w:t>
      </w:r>
      <w:r w:rsidR="003544FE">
        <w:rPr>
          <w:rFonts w:cs="Arial"/>
          <w:sz w:val="21"/>
          <w:szCs w:val="21"/>
        </w:rPr>
        <w:t>is</w:t>
      </w:r>
      <w:r w:rsidRPr="006C5AC0">
        <w:rPr>
          <w:rFonts w:cs="Arial"/>
          <w:sz w:val="21"/>
          <w:szCs w:val="21"/>
        </w:rPr>
        <w:t xml:space="preserve"> listed on the </w:t>
      </w:r>
      <w:hyperlink r:id="rId20" w:history="1">
        <w:r w:rsidRPr="006C5AC0">
          <w:rPr>
            <w:rStyle w:val="Hyperlink"/>
            <w:rFonts w:cs="Arial"/>
            <w:i/>
            <w:sz w:val="21"/>
            <w:szCs w:val="21"/>
          </w:rPr>
          <w:t>Transitional eNRMC Conformance Register</w:t>
        </w:r>
      </w:hyperlink>
      <w:r w:rsidRPr="006C5AC0">
        <w:rPr>
          <w:rFonts w:cs="Arial"/>
          <w:sz w:val="21"/>
          <w:szCs w:val="21"/>
        </w:rPr>
        <w:t xml:space="preserve"> (or the </w:t>
      </w:r>
      <w:hyperlink r:id="rId21" w:history="1">
        <w:r w:rsidRPr="006C5AC0">
          <w:rPr>
            <w:rStyle w:val="Hyperlink"/>
            <w:rFonts w:cs="Arial"/>
            <w:i/>
            <w:sz w:val="21"/>
            <w:szCs w:val="21"/>
          </w:rPr>
          <w:t>Electronic Prescribing Conformance Register</w:t>
        </w:r>
      </w:hyperlink>
      <w:r w:rsidRPr="006C5AC0">
        <w:rPr>
          <w:rFonts w:cs="Arial"/>
          <w:sz w:val="21"/>
          <w:szCs w:val="21"/>
        </w:rPr>
        <w:t>).</w:t>
      </w:r>
    </w:p>
    <w:p w14:paraId="41CCC19A" w14:textId="50995B11" w:rsidR="009576EB" w:rsidRPr="006C5AC0" w:rsidRDefault="009576EB" w:rsidP="00A54238">
      <w:pPr>
        <w:pStyle w:val="BodyText"/>
        <w:rPr>
          <w:rFonts w:cs="Arial"/>
          <w:sz w:val="21"/>
          <w:szCs w:val="21"/>
        </w:rPr>
      </w:pPr>
      <w:r w:rsidRPr="006C5AC0">
        <w:rPr>
          <w:rFonts w:cs="Arial"/>
          <w:sz w:val="21"/>
          <w:szCs w:val="21"/>
        </w:rPr>
        <w:t xml:space="preserve">Trial participants will be categorised as a Tier 3 applicant to reflect the fact they are already significantly progressed in adopting an eNRMC product. Grant funds may still be used on eligible activities to support the adoption of a Transitional eNRMC Product or </w:t>
      </w:r>
      <w:r w:rsidR="00B2329E">
        <w:rPr>
          <w:rFonts w:cs="Arial"/>
          <w:sz w:val="21"/>
          <w:szCs w:val="21"/>
        </w:rPr>
        <w:t>Electronic Prescribing</w:t>
      </w:r>
      <w:r w:rsidR="00334CA5">
        <w:rPr>
          <w:rFonts w:cs="Arial"/>
          <w:sz w:val="21"/>
          <w:szCs w:val="21"/>
        </w:rPr>
        <w:t xml:space="preserve"> </w:t>
      </w:r>
      <w:r w:rsidRPr="006C5AC0">
        <w:rPr>
          <w:rFonts w:cs="Arial"/>
          <w:sz w:val="21"/>
          <w:szCs w:val="21"/>
        </w:rPr>
        <w:t>Conformant eNRMC Product. For example, change management processes.</w:t>
      </w:r>
    </w:p>
    <w:p w14:paraId="384EB762" w14:textId="77777777" w:rsidR="00D27CEC" w:rsidRPr="006C5AC0" w:rsidRDefault="00D27CEC" w:rsidP="00D27CEC">
      <w:pPr>
        <w:pStyle w:val="Paragraphtext"/>
        <w:rPr>
          <w:rStyle w:val="normaltextrun"/>
          <w:rFonts w:cs="Arial"/>
        </w:rPr>
      </w:pPr>
      <w:r w:rsidRPr="006C5AC0">
        <w:rPr>
          <w:rStyle w:val="normaltextrun"/>
          <w:rFonts w:cs="Arial"/>
          <w:noProof/>
        </w:rPr>
        <mc:AlternateContent>
          <mc:Choice Requires="wps">
            <w:drawing>
              <wp:inline distT="0" distB="0" distL="0" distR="0" wp14:anchorId="11F8EAD4" wp14:editId="3777E7DD">
                <wp:extent cx="5701086" cy="1428750"/>
                <wp:effectExtent l="0" t="0" r="139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86" cy="1428750"/>
                        </a:xfrm>
                        <a:prstGeom prst="rect">
                          <a:avLst/>
                        </a:prstGeom>
                        <a:solidFill>
                          <a:srgbClr val="FFFFFF"/>
                        </a:solidFill>
                        <a:ln w="9525">
                          <a:solidFill>
                            <a:srgbClr val="000000"/>
                          </a:solidFill>
                          <a:miter lim="800000"/>
                          <a:headEnd/>
                          <a:tailEnd/>
                        </a:ln>
                      </wps:spPr>
                      <wps:txbx>
                        <w:txbxContent>
                          <w:p w14:paraId="15110089" w14:textId="20432B93" w:rsidR="00D27CEC" w:rsidRPr="006C5AC0" w:rsidRDefault="006C5AC0" w:rsidP="006C5AC0">
                            <w:pPr>
                              <w:spacing w:before="240" w:after="240"/>
                              <w:rPr>
                                <w:rStyle w:val="BoldAllCaps"/>
                                <w:b w:val="0"/>
                                <w:caps w:val="0"/>
                                <w:sz w:val="21"/>
                                <w:szCs w:val="20"/>
                                <w:lang w:val="en"/>
                              </w:rPr>
                            </w:pPr>
                            <w:r>
                              <w:rPr>
                                <w:rStyle w:val="BoldAllCaps"/>
                                <w:b w:val="0"/>
                                <w:caps w:val="0"/>
                                <w:sz w:val="21"/>
                                <w:szCs w:val="20"/>
                                <w:lang w:val="en"/>
                              </w:rPr>
                              <w:t>F</w:t>
                            </w:r>
                            <w:r w:rsidRPr="006C5AC0">
                              <w:rPr>
                                <w:rStyle w:val="BoldAllCaps"/>
                                <w:b w:val="0"/>
                                <w:caps w:val="0"/>
                                <w:sz w:val="21"/>
                                <w:szCs w:val="20"/>
                                <w:lang w:val="en"/>
                              </w:rPr>
                              <w:t xml:space="preserve">urther </w:t>
                            </w:r>
                            <w:r>
                              <w:rPr>
                                <w:rStyle w:val="BoldAllCaps"/>
                                <w:b w:val="0"/>
                                <w:caps w:val="0"/>
                                <w:sz w:val="21"/>
                                <w:szCs w:val="20"/>
                                <w:lang w:val="en"/>
                              </w:rPr>
                              <w:t>I</w:t>
                            </w:r>
                            <w:r w:rsidRPr="006C5AC0">
                              <w:rPr>
                                <w:rStyle w:val="BoldAllCaps"/>
                                <w:b w:val="0"/>
                                <w:caps w:val="0"/>
                                <w:sz w:val="21"/>
                                <w:szCs w:val="20"/>
                                <w:lang w:val="en"/>
                              </w:rPr>
                              <w:t xml:space="preserve">nformation </w:t>
                            </w:r>
                          </w:p>
                          <w:p w14:paraId="258B62E6" w14:textId="77777777" w:rsidR="00625898" w:rsidRPr="00625898" w:rsidRDefault="00625898" w:rsidP="00625898">
                            <w:pPr>
                              <w:spacing w:after="120"/>
                              <w:rPr>
                                <w:rFonts w:cs="Arial"/>
                                <w:sz w:val="21"/>
                                <w:szCs w:val="21"/>
                              </w:rPr>
                            </w:pPr>
                            <w:r w:rsidRPr="00625898">
                              <w:rPr>
                                <w:rFonts w:cs="Arial"/>
                                <w:sz w:val="21"/>
                                <w:szCs w:val="21"/>
                              </w:rPr>
                              <w:t xml:space="preserve">For more information about the Transitional Arrangement and Transitional eNRMC Products, please see the </w:t>
                            </w:r>
                            <w:hyperlink r:id="rId22" w:history="1">
                              <w:r w:rsidRPr="00625898">
                                <w:rPr>
                                  <w:rStyle w:val="Hyperlink"/>
                                  <w:rFonts w:cs="Arial"/>
                                  <w:sz w:val="21"/>
                                  <w:szCs w:val="21"/>
                                </w:rPr>
                                <w:t>Department of Health’s website</w:t>
                              </w:r>
                            </w:hyperlink>
                            <w:r w:rsidRPr="00625898">
                              <w:rPr>
                                <w:rFonts w:cs="Arial"/>
                                <w:sz w:val="21"/>
                                <w:szCs w:val="21"/>
                              </w:rPr>
                              <w:t>.</w:t>
                            </w:r>
                          </w:p>
                          <w:p w14:paraId="6F5DD74F" w14:textId="77777777" w:rsidR="00625898" w:rsidRPr="00625898" w:rsidRDefault="00625898" w:rsidP="00625898">
                            <w:pPr>
                              <w:rPr>
                                <w:rFonts w:cs="Arial"/>
                                <w:sz w:val="21"/>
                                <w:szCs w:val="21"/>
                              </w:rPr>
                            </w:pPr>
                            <w:r w:rsidRPr="00625898">
                              <w:rPr>
                                <w:rFonts w:cs="Arial"/>
                                <w:sz w:val="21"/>
                                <w:szCs w:val="21"/>
                              </w:rPr>
                              <w:t xml:space="preserve">To apply for the eNRMC Adoption grant opportunity, visit the </w:t>
                            </w:r>
                            <w:hyperlink r:id="rId23" w:history="1">
                              <w:r w:rsidRPr="00625898">
                                <w:rPr>
                                  <w:rStyle w:val="Hyperlink"/>
                                  <w:rFonts w:cs="Arial"/>
                                  <w:sz w:val="21"/>
                                  <w:szCs w:val="21"/>
                                </w:rPr>
                                <w:t>GrantConnect website</w:t>
                              </w:r>
                            </w:hyperlink>
                            <w:r w:rsidRPr="00625898">
                              <w:rPr>
                                <w:rFonts w:cs="Arial"/>
                                <w:sz w:val="21"/>
                                <w:szCs w:val="21"/>
                              </w:rPr>
                              <w:t>.</w:t>
                            </w:r>
                          </w:p>
                          <w:p w14:paraId="7B18BF01" w14:textId="26080A90" w:rsidR="00D27CEC" w:rsidRPr="00625898" w:rsidRDefault="00A54238" w:rsidP="00625898">
                            <w:pPr>
                              <w:pStyle w:val="paragraph"/>
                              <w:spacing w:before="0" w:beforeAutospacing="0" w:after="120" w:afterAutospacing="0"/>
                              <w:textAlignment w:val="baseline"/>
                              <w:rPr>
                                <w:rStyle w:val="BoldAllCaps"/>
                                <w:rFonts w:ascii="Arial" w:hAnsi="Arial" w:cs="Arial"/>
                                <w:b w:val="0"/>
                                <w:caps w:val="0"/>
                                <w:color w:val="auto"/>
                                <w:sz w:val="21"/>
                                <w:szCs w:val="21"/>
                              </w:rPr>
                            </w:pPr>
                            <w:r>
                              <w:rPr>
                                <w:rFonts w:ascii="Arial" w:hAnsi="Arial" w:cs="Arial"/>
                                <w:sz w:val="21"/>
                                <w:szCs w:val="21"/>
                              </w:rPr>
                              <w:t xml:space="preserve">If you have questions about the grant, </w:t>
                            </w:r>
                            <w:r w:rsidR="00625898" w:rsidRPr="00625898">
                              <w:rPr>
                                <w:rFonts w:ascii="Arial" w:hAnsi="Arial" w:cs="Arial"/>
                                <w:sz w:val="21"/>
                                <w:szCs w:val="21"/>
                              </w:rPr>
                              <w:t xml:space="preserve">please contact </w:t>
                            </w:r>
                            <w:hyperlink r:id="rId24" w:history="1">
                              <w:r w:rsidR="00625898" w:rsidRPr="00625898">
                                <w:rPr>
                                  <w:rStyle w:val="Hyperlink"/>
                                  <w:rFonts w:ascii="Arial" w:hAnsi="Arial" w:cs="Arial"/>
                                  <w:sz w:val="21"/>
                                  <w:szCs w:val="21"/>
                                </w:rPr>
                                <w:t>eNRMC@health.gov.au</w:t>
                              </w:r>
                            </w:hyperlink>
                            <w:r w:rsidR="00625898" w:rsidRPr="00625898">
                              <w:rPr>
                                <w:rFonts w:ascii="Arial" w:hAnsi="Arial" w:cs="Arial"/>
                                <w:sz w:val="21"/>
                                <w:szCs w:val="21"/>
                              </w:rPr>
                              <w:t>.</w:t>
                            </w:r>
                          </w:p>
                        </w:txbxContent>
                      </wps:txbx>
                      <wps:bodyPr rot="0" vert="horz" wrap="square" lIns="91440" tIns="45720" rIns="91440" bIns="45720" anchor="t" anchorCtr="0">
                        <a:noAutofit/>
                      </wps:bodyPr>
                    </wps:wsp>
                  </a:graphicData>
                </a:graphic>
              </wp:inline>
            </w:drawing>
          </mc:Choice>
          <mc:Fallback>
            <w:pict>
              <v:shape w14:anchorId="11F8EAD4" id="_x0000_s1027" type="#_x0000_t202" style="width:448.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">
                <v:textbox>
                  <w:txbxContent>
                    <w:p w14:paraId="15110089" w14:textId="20432B93" w:rsidR="00D27CEC" w:rsidRPr="006C5AC0" w:rsidRDefault="006C5AC0" w:rsidP="006C5AC0">
                      <w:pPr>
                        <w:spacing w:before="240" w:after="240"/>
                        <w:rPr>
                          <w:rStyle w:val="BoldAllCaps"/>
                          <w:b w:val="0"/>
                          <w:caps w:val="0"/>
                          <w:sz w:val="21"/>
                          <w:szCs w:val="20"/>
                          <w:lang w:val="en"/>
                        </w:rPr>
                      </w:pPr>
                      <w:r>
                        <w:rPr>
                          <w:rStyle w:val="BoldAllCaps"/>
                          <w:b w:val="0"/>
                          <w:caps w:val="0"/>
                          <w:sz w:val="21"/>
                          <w:szCs w:val="20"/>
                          <w:lang w:val="en"/>
                        </w:rPr>
                        <w:t>F</w:t>
                      </w:r>
                      <w:r w:rsidRPr="006C5AC0">
                        <w:rPr>
                          <w:rStyle w:val="BoldAllCaps"/>
                          <w:b w:val="0"/>
                          <w:caps w:val="0"/>
                          <w:sz w:val="21"/>
                          <w:szCs w:val="20"/>
                          <w:lang w:val="en"/>
                        </w:rPr>
                        <w:t xml:space="preserve">urther </w:t>
                      </w:r>
                      <w:r>
                        <w:rPr>
                          <w:rStyle w:val="BoldAllCaps"/>
                          <w:b w:val="0"/>
                          <w:caps w:val="0"/>
                          <w:sz w:val="21"/>
                          <w:szCs w:val="20"/>
                          <w:lang w:val="en"/>
                        </w:rPr>
                        <w:t>I</w:t>
                      </w:r>
                      <w:r w:rsidRPr="006C5AC0">
                        <w:rPr>
                          <w:rStyle w:val="BoldAllCaps"/>
                          <w:b w:val="0"/>
                          <w:caps w:val="0"/>
                          <w:sz w:val="21"/>
                          <w:szCs w:val="20"/>
                          <w:lang w:val="en"/>
                        </w:rPr>
                        <w:t xml:space="preserve">nformation </w:t>
                      </w:r>
                    </w:p>
                    <w:p w14:paraId="258B62E6" w14:textId="77777777" w:rsidR="00625898" w:rsidRPr="00625898" w:rsidRDefault="00625898" w:rsidP="00625898">
                      <w:pPr>
                        <w:spacing w:after="120"/>
                        <w:rPr>
                          <w:rFonts w:cs="Arial"/>
                          <w:sz w:val="21"/>
                          <w:szCs w:val="21"/>
                        </w:rPr>
                      </w:pPr>
                      <w:r w:rsidRPr="00625898">
                        <w:rPr>
                          <w:rFonts w:cs="Arial"/>
                          <w:sz w:val="21"/>
                          <w:szCs w:val="21"/>
                        </w:rPr>
                        <w:t xml:space="preserve">For more information about the Transitional Arrangement and Transitional eNRMC Products, please see the </w:t>
                      </w:r>
                      <w:hyperlink r:id="rId29" w:history="1">
                        <w:r w:rsidRPr="00625898">
                          <w:rPr>
                            <w:rStyle w:val="Hyperlink"/>
                            <w:rFonts w:cs="Arial"/>
                            <w:sz w:val="21"/>
                            <w:szCs w:val="21"/>
                          </w:rPr>
                          <w:t>Department of Health’s website</w:t>
                        </w:r>
                      </w:hyperlink>
                      <w:r w:rsidRPr="00625898">
                        <w:rPr>
                          <w:rFonts w:cs="Arial"/>
                          <w:sz w:val="21"/>
                          <w:szCs w:val="21"/>
                        </w:rPr>
                        <w:t>.</w:t>
                      </w:r>
                    </w:p>
                    <w:p w14:paraId="6F5DD74F" w14:textId="77777777" w:rsidR="00625898" w:rsidRPr="00625898" w:rsidRDefault="00625898" w:rsidP="00625898">
                      <w:pPr>
                        <w:rPr>
                          <w:rFonts w:cs="Arial"/>
                          <w:sz w:val="21"/>
                          <w:szCs w:val="21"/>
                        </w:rPr>
                      </w:pPr>
                      <w:r w:rsidRPr="00625898">
                        <w:rPr>
                          <w:rFonts w:cs="Arial"/>
                          <w:sz w:val="21"/>
                          <w:szCs w:val="21"/>
                        </w:rPr>
                        <w:t xml:space="preserve">To apply for the eNRMC Adoption grant opportunity, visit the </w:t>
                      </w:r>
                      <w:hyperlink r:id="rId30" w:history="1">
                        <w:r w:rsidRPr="00625898">
                          <w:rPr>
                            <w:rStyle w:val="Hyperlink"/>
                            <w:rFonts w:cs="Arial"/>
                            <w:sz w:val="21"/>
                            <w:szCs w:val="21"/>
                          </w:rPr>
                          <w:t>GrantConnect website</w:t>
                        </w:r>
                      </w:hyperlink>
                      <w:r w:rsidRPr="00625898">
                        <w:rPr>
                          <w:rFonts w:cs="Arial"/>
                          <w:sz w:val="21"/>
                          <w:szCs w:val="21"/>
                        </w:rPr>
                        <w:t>.</w:t>
                      </w:r>
                    </w:p>
                    <w:p w14:paraId="7B18BF01" w14:textId="26080A90" w:rsidR="00D27CEC" w:rsidRPr="00625898" w:rsidRDefault="00A54238" w:rsidP="00625898">
                      <w:pPr>
                        <w:pStyle w:val="paragraph"/>
                        <w:spacing w:before="0" w:beforeAutospacing="0" w:after="120" w:afterAutospacing="0"/>
                        <w:textAlignment w:val="baseline"/>
                        <w:rPr>
                          <w:rStyle w:val="BoldAllCaps"/>
                          <w:rFonts w:ascii="Arial" w:hAnsi="Arial" w:cs="Arial"/>
                          <w:b w:val="0"/>
                          <w:caps w:val="0"/>
                          <w:color w:val="auto"/>
                          <w:sz w:val="21"/>
                          <w:szCs w:val="21"/>
                        </w:rPr>
                      </w:pPr>
                      <w:r>
                        <w:rPr>
                          <w:rFonts w:ascii="Arial" w:hAnsi="Arial" w:cs="Arial"/>
                          <w:sz w:val="21"/>
                          <w:szCs w:val="21"/>
                        </w:rPr>
                        <w:t xml:space="preserve">If you have questions about the grant, </w:t>
                      </w:r>
                      <w:r w:rsidR="00625898" w:rsidRPr="00625898">
                        <w:rPr>
                          <w:rFonts w:ascii="Arial" w:hAnsi="Arial" w:cs="Arial"/>
                          <w:sz w:val="21"/>
                          <w:szCs w:val="21"/>
                        </w:rPr>
                        <w:t xml:space="preserve">please contact </w:t>
                      </w:r>
                      <w:hyperlink r:id="rId31" w:history="1">
                        <w:r w:rsidR="00625898" w:rsidRPr="00625898">
                          <w:rPr>
                            <w:rStyle w:val="Hyperlink"/>
                            <w:rFonts w:ascii="Arial" w:hAnsi="Arial" w:cs="Arial"/>
                            <w:sz w:val="21"/>
                            <w:szCs w:val="21"/>
                          </w:rPr>
                          <w:t>eNRMC@health.gov.au</w:t>
                        </w:r>
                      </w:hyperlink>
                      <w:r w:rsidR="00625898" w:rsidRPr="00625898">
                        <w:rPr>
                          <w:rFonts w:ascii="Arial" w:hAnsi="Arial" w:cs="Arial"/>
                          <w:sz w:val="21"/>
                          <w:szCs w:val="21"/>
                        </w:rPr>
                        <w:t>.</w:t>
                      </w:r>
                    </w:p>
                  </w:txbxContent>
                </v:textbox>
                <w10:anchorlock/>
              </v:shape>
            </w:pict>
          </mc:Fallback>
        </mc:AlternateContent>
      </w:r>
    </w:p>
    <w:p w14:paraId="62DC5D12" w14:textId="77777777" w:rsidR="00D27CEC" w:rsidRPr="006C5AC0" w:rsidRDefault="00D27CEC" w:rsidP="006D6DF9"/>
    <w:p w14:paraId="3B265131" w14:textId="77777777" w:rsidR="00D27CEC" w:rsidRPr="006C5AC0" w:rsidRDefault="00D27CEC">
      <w:pPr>
        <w:rPr>
          <w:rFonts w:cs="Arial"/>
        </w:rPr>
      </w:pPr>
    </w:p>
    <w:sectPr w:rsidR="00D27CEC" w:rsidRPr="006C5AC0" w:rsidSect="00A74345">
      <w:headerReference w:type="default" r:id="rId32"/>
      <w:footerReference w:type="default" r:id="rId3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F1B3" w14:textId="77777777" w:rsidR="005561CA" w:rsidRDefault="005561CA" w:rsidP="00625898">
      <w:r>
        <w:separator/>
      </w:r>
    </w:p>
  </w:endnote>
  <w:endnote w:type="continuationSeparator" w:id="0">
    <w:p w14:paraId="4C4A7547" w14:textId="77777777" w:rsidR="005561CA" w:rsidRDefault="005561CA" w:rsidP="006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C321" w14:textId="12056906" w:rsidR="006C420E" w:rsidRPr="006C5AC0" w:rsidRDefault="006C5AC0" w:rsidP="006C420E">
    <w:pPr>
      <w:pStyle w:val="Footer"/>
      <w:tabs>
        <w:tab w:val="clear" w:pos="4513"/>
        <w:tab w:val="center" w:pos="0"/>
      </w:tabs>
      <w:jc w:val="right"/>
    </w:pPr>
    <w:r w:rsidRPr="006C5AC0">
      <w:t xml:space="preserve">eNRMC Adoption Grant Opportunity Information Pack </w:t>
    </w:r>
    <w:sdt>
      <w:sdtPr>
        <w:id w:val="-443848716"/>
        <w:docPartObj>
          <w:docPartGallery w:val="Page Numbers (Bottom of Page)"/>
          <w:docPartUnique/>
        </w:docPartObj>
      </w:sdtPr>
      <w:sdtEndPr/>
      <w:sdtContent>
        <w:r w:rsidR="00625898" w:rsidRPr="006C5AC0">
          <w:tab/>
        </w:r>
        <w:r w:rsidR="00625898" w:rsidRPr="006C5AC0">
          <w:fldChar w:fldCharType="begin"/>
        </w:r>
        <w:r w:rsidR="00625898" w:rsidRPr="006C5AC0">
          <w:instrText xml:space="preserve"> PAGE   \* MERGEFORMAT </w:instrText>
        </w:r>
        <w:r w:rsidR="00625898" w:rsidRPr="006C5AC0">
          <w:fldChar w:fldCharType="separate"/>
        </w:r>
        <w:r w:rsidR="00625898" w:rsidRPr="006C5AC0">
          <w:t>2</w:t>
        </w:r>
        <w:r w:rsidR="00625898" w:rsidRPr="006C5AC0">
          <w:fldChar w:fldCharType="end"/>
        </w:r>
      </w:sdtContent>
    </w:sdt>
  </w:p>
  <w:p w14:paraId="7899A705" w14:textId="77777777" w:rsidR="00751A23" w:rsidRPr="006C420E" w:rsidRDefault="00212322" w:rsidP="006C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E620" w14:textId="77777777" w:rsidR="005561CA" w:rsidRDefault="005561CA" w:rsidP="00625898">
      <w:r>
        <w:separator/>
      </w:r>
    </w:p>
  </w:footnote>
  <w:footnote w:type="continuationSeparator" w:id="0">
    <w:p w14:paraId="1BAF45C2" w14:textId="77777777" w:rsidR="005561CA" w:rsidRDefault="005561CA" w:rsidP="0062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6F7" w14:textId="3CD39B70" w:rsidR="006C420E" w:rsidRDefault="008D2BF7">
    <w:pPr>
      <w:pStyle w:val="Header"/>
    </w:pPr>
    <w:r>
      <w:rPr>
        <w:noProof/>
        <w:lang w:eastAsia="en-AU"/>
      </w:rPr>
      <w:drawing>
        <wp:anchor distT="0" distB="0" distL="114300" distR="114300" simplePos="0" relativeHeight="251657216" behindDoc="1" locked="0" layoutInCell="1" allowOverlap="1" wp14:anchorId="595EA9B3" wp14:editId="0B60362D">
          <wp:simplePos x="0" y="0"/>
          <wp:positionH relativeFrom="page">
            <wp:align>left</wp:align>
          </wp:positionH>
          <wp:positionV relativeFrom="margin">
            <wp:align>center</wp:align>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50379"/>
      <w:docPartObj>
        <w:docPartGallery w:val="Watermarks"/>
        <w:docPartUnique/>
      </w:docPartObj>
    </w:sdtPr>
    <w:sdtEndPr/>
    <w:sdtContent>
      <w:p w14:paraId="4FD4292C" w14:textId="1C23BA31" w:rsidR="008E0C77" w:rsidRDefault="00212322" w:rsidP="008E0C77">
        <w:pPr>
          <w:pStyle w:val="Headertext"/>
          <w:spacing w:after="180"/>
          <w:jc w:val="left"/>
        </w:pPr>
        <w:r>
          <w:rPr>
            <w:noProof/>
          </w:rPr>
          <w:pict w14:anchorId="7D30A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743"/>
    <w:multiLevelType w:val="multilevel"/>
    <w:tmpl w:val="89E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45ED7"/>
    <w:multiLevelType w:val="multilevel"/>
    <w:tmpl w:val="45F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F73B2"/>
    <w:multiLevelType w:val="hybridMultilevel"/>
    <w:tmpl w:val="80002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DE4763"/>
    <w:multiLevelType w:val="hybridMultilevel"/>
    <w:tmpl w:val="54AEF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F13FC0"/>
    <w:multiLevelType w:val="hybridMultilevel"/>
    <w:tmpl w:val="C50E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6E2754"/>
    <w:multiLevelType w:val="hybridMultilevel"/>
    <w:tmpl w:val="17ECF9F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183F01"/>
    <w:multiLevelType w:val="hybridMultilevel"/>
    <w:tmpl w:val="4970E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45F3D"/>
    <w:multiLevelType w:val="hybridMultilevel"/>
    <w:tmpl w:val="B170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43101E"/>
    <w:multiLevelType w:val="hybridMultilevel"/>
    <w:tmpl w:val="D91A3CDC"/>
    <w:lvl w:ilvl="0" w:tplc="CE30B4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89247B"/>
    <w:multiLevelType w:val="multilevel"/>
    <w:tmpl w:val="8F8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F00A0"/>
    <w:multiLevelType w:val="hybridMultilevel"/>
    <w:tmpl w:val="4C8CECA8"/>
    <w:lvl w:ilvl="0" w:tplc="0C090013">
      <w:start w:val="1"/>
      <w:numFmt w:val="upp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76F44B8B"/>
    <w:multiLevelType w:val="hybridMultilevel"/>
    <w:tmpl w:val="B64AC038"/>
    <w:lvl w:ilvl="0" w:tplc="CE30B4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3211EA"/>
    <w:multiLevelType w:val="hybridMultilevel"/>
    <w:tmpl w:val="FC88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227427"/>
    <w:multiLevelType w:val="hybridMultilevel"/>
    <w:tmpl w:val="A468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1"/>
  </w:num>
  <w:num w:numId="5">
    <w:abstractNumId w:val="8"/>
  </w:num>
  <w:num w:numId="6">
    <w:abstractNumId w:val="12"/>
  </w:num>
  <w:num w:numId="7">
    <w:abstractNumId w:val="10"/>
  </w:num>
  <w:num w:numId="8">
    <w:abstractNumId w:val="5"/>
  </w:num>
  <w:num w:numId="9">
    <w:abstractNumId w:val="4"/>
  </w:num>
  <w:num w:numId="10">
    <w:abstractNumId w:val="13"/>
  </w:num>
  <w:num w:numId="11">
    <w:abstractNumId w:val="2"/>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EC"/>
    <w:rsid w:val="000401F6"/>
    <w:rsid w:val="00067302"/>
    <w:rsid w:val="0008759B"/>
    <w:rsid w:val="00087B72"/>
    <w:rsid w:val="000967C6"/>
    <w:rsid w:val="001C053E"/>
    <w:rsid w:val="00212322"/>
    <w:rsid w:val="00216D4E"/>
    <w:rsid w:val="00242BC0"/>
    <w:rsid w:val="00243803"/>
    <w:rsid w:val="00251DAD"/>
    <w:rsid w:val="00334CA5"/>
    <w:rsid w:val="003537BC"/>
    <w:rsid w:val="003544FE"/>
    <w:rsid w:val="003623ED"/>
    <w:rsid w:val="00377831"/>
    <w:rsid w:val="00384988"/>
    <w:rsid w:val="003B30D5"/>
    <w:rsid w:val="003E55F3"/>
    <w:rsid w:val="0043192E"/>
    <w:rsid w:val="00436783"/>
    <w:rsid w:val="00460BD4"/>
    <w:rsid w:val="004613AC"/>
    <w:rsid w:val="004871E9"/>
    <w:rsid w:val="00555C6B"/>
    <w:rsid w:val="005561CA"/>
    <w:rsid w:val="00560AC3"/>
    <w:rsid w:val="005C1D9F"/>
    <w:rsid w:val="005E4620"/>
    <w:rsid w:val="006008E1"/>
    <w:rsid w:val="00623430"/>
    <w:rsid w:val="00625898"/>
    <w:rsid w:val="006B4CA0"/>
    <w:rsid w:val="006C5AC0"/>
    <w:rsid w:val="006D6DF9"/>
    <w:rsid w:val="006F284C"/>
    <w:rsid w:val="0089005C"/>
    <w:rsid w:val="00891221"/>
    <w:rsid w:val="008D2BF7"/>
    <w:rsid w:val="009576EB"/>
    <w:rsid w:val="00964C8F"/>
    <w:rsid w:val="009C3B68"/>
    <w:rsid w:val="00A54238"/>
    <w:rsid w:val="00AF138C"/>
    <w:rsid w:val="00B2329E"/>
    <w:rsid w:val="00B57F9D"/>
    <w:rsid w:val="00B612A9"/>
    <w:rsid w:val="00B94517"/>
    <w:rsid w:val="00BB32F5"/>
    <w:rsid w:val="00C9397E"/>
    <w:rsid w:val="00CB3B1D"/>
    <w:rsid w:val="00CD1714"/>
    <w:rsid w:val="00CD6531"/>
    <w:rsid w:val="00D27CEC"/>
    <w:rsid w:val="00D305AE"/>
    <w:rsid w:val="00D31987"/>
    <w:rsid w:val="00D623F1"/>
    <w:rsid w:val="00D74005"/>
    <w:rsid w:val="00DA6F0E"/>
    <w:rsid w:val="00E51BCA"/>
    <w:rsid w:val="00EA2F32"/>
    <w:rsid w:val="00EF70EC"/>
    <w:rsid w:val="00F00029"/>
    <w:rsid w:val="00F63C52"/>
    <w:rsid w:val="00F80874"/>
    <w:rsid w:val="00F81A30"/>
    <w:rsid w:val="00F86C7C"/>
    <w:rsid w:val="00F93DD8"/>
    <w:rsid w:val="00F96479"/>
    <w:rsid w:val="00FB7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D1D28"/>
  <w15:chartTrackingRefBased/>
  <w15:docId w15:val="{39C25330-58C1-4D74-8050-59884B88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7CE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D27CEC"/>
    <w:pPr>
      <w:keepNext/>
      <w:spacing w:before="240" w:after="60"/>
      <w:outlineLvl w:val="0"/>
    </w:pPr>
    <w:rPr>
      <w:rFonts w:cs="Arial"/>
      <w:bCs/>
      <w:color w:val="3F4A75"/>
      <w:kern w:val="28"/>
      <w:sz w:val="36"/>
      <w:szCs w:val="36"/>
    </w:rPr>
  </w:style>
  <w:style w:type="paragraph" w:styleId="Heading2">
    <w:name w:val="heading 2"/>
    <w:basedOn w:val="Normal"/>
    <w:next w:val="Normal"/>
    <w:link w:val="Heading2Char"/>
    <w:uiPriority w:val="9"/>
    <w:unhideWhenUsed/>
    <w:qFormat/>
    <w:rsid w:val="00D27C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CEC"/>
    <w:rPr>
      <w:rFonts w:ascii="Arial" w:eastAsia="Times New Roman" w:hAnsi="Arial" w:cs="Arial"/>
      <w:bCs/>
      <w:color w:val="3F4A75"/>
      <w:kern w:val="28"/>
      <w:sz w:val="36"/>
      <w:szCs w:val="36"/>
    </w:rPr>
  </w:style>
  <w:style w:type="paragraph" w:customStyle="1" w:styleId="Paragraphtext">
    <w:name w:val="Paragraph text"/>
    <w:basedOn w:val="Normal"/>
    <w:qFormat/>
    <w:rsid w:val="00D27CEC"/>
    <w:pPr>
      <w:spacing w:before="120" w:after="60"/>
    </w:pPr>
    <w:rPr>
      <w:color w:val="000000" w:themeColor="text1"/>
      <w:sz w:val="21"/>
    </w:rPr>
  </w:style>
  <w:style w:type="paragraph" w:styleId="Subtitle">
    <w:name w:val="Subtitle"/>
    <w:next w:val="Normal"/>
    <w:link w:val="SubtitleChar"/>
    <w:qFormat/>
    <w:rsid w:val="00D27CEC"/>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D27CEC"/>
    <w:rPr>
      <w:rFonts w:ascii="Arial" w:eastAsiaTheme="majorEastAsia" w:hAnsi="Arial" w:cstheme="majorBidi"/>
      <w:iCs/>
      <w:color w:val="3F4A75"/>
      <w:spacing w:val="15"/>
      <w:sz w:val="40"/>
      <w:szCs w:val="24"/>
    </w:rPr>
  </w:style>
  <w:style w:type="paragraph" w:styleId="Title">
    <w:name w:val="Title"/>
    <w:basedOn w:val="Normal"/>
    <w:next w:val="Paragraphtext"/>
    <w:link w:val="TitleChar"/>
    <w:qFormat/>
    <w:rsid w:val="00D27CEC"/>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D27CEC"/>
    <w:rPr>
      <w:rFonts w:ascii="Arial" w:eastAsiaTheme="majorEastAsia" w:hAnsi="Arial" w:cstheme="majorBidi"/>
      <w:b/>
      <w:color w:val="3F4A75"/>
      <w:kern w:val="28"/>
      <w:sz w:val="48"/>
      <w:szCs w:val="52"/>
    </w:rPr>
  </w:style>
  <w:style w:type="paragraph" w:styleId="Header">
    <w:name w:val="header"/>
    <w:basedOn w:val="Normal"/>
    <w:link w:val="HeaderChar"/>
    <w:uiPriority w:val="99"/>
    <w:qFormat/>
    <w:rsid w:val="00D27CEC"/>
    <w:pPr>
      <w:tabs>
        <w:tab w:val="center" w:pos="4513"/>
        <w:tab w:val="right" w:pos="9026"/>
      </w:tabs>
    </w:pPr>
  </w:style>
  <w:style w:type="character" w:customStyle="1" w:styleId="HeaderChar">
    <w:name w:val="Header Char"/>
    <w:basedOn w:val="DefaultParagraphFont"/>
    <w:link w:val="Header"/>
    <w:uiPriority w:val="99"/>
    <w:rsid w:val="00D27CEC"/>
    <w:rPr>
      <w:rFonts w:ascii="Arial" w:eastAsia="Times New Roman" w:hAnsi="Arial" w:cs="Times New Roman"/>
      <w:szCs w:val="24"/>
    </w:rPr>
  </w:style>
  <w:style w:type="paragraph" w:styleId="Footer">
    <w:name w:val="footer"/>
    <w:basedOn w:val="Normal"/>
    <w:link w:val="FooterChar"/>
    <w:uiPriority w:val="99"/>
    <w:qFormat/>
    <w:rsid w:val="00D27CEC"/>
    <w:pPr>
      <w:tabs>
        <w:tab w:val="center" w:pos="4513"/>
        <w:tab w:val="right" w:pos="9026"/>
      </w:tabs>
    </w:pPr>
    <w:rPr>
      <w:sz w:val="20"/>
    </w:rPr>
  </w:style>
  <w:style w:type="character" w:customStyle="1" w:styleId="FooterChar">
    <w:name w:val="Footer Char"/>
    <w:basedOn w:val="DefaultParagraphFont"/>
    <w:link w:val="Footer"/>
    <w:uiPriority w:val="99"/>
    <w:rsid w:val="00D27CEC"/>
    <w:rPr>
      <w:rFonts w:ascii="Arial" w:eastAsia="Times New Roman" w:hAnsi="Arial" w:cs="Times New Roman"/>
      <w:sz w:val="20"/>
      <w:szCs w:val="24"/>
    </w:rPr>
  </w:style>
  <w:style w:type="paragraph" w:customStyle="1" w:styleId="Headertext">
    <w:name w:val="Header text"/>
    <w:basedOn w:val="Normal"/>
    <w:rsid w:val="00D27CEC"/>
    <w:pPr>
      <w:jc w:val="right"/>
    </w:pPr>
    <w:rPr>
      <w:sz w:val="20"/>
    </w:rPr>
  </w:style>
  <w:style w:type="character" w:customStyle="1" w:styleId="BoldAllCaps">
    <w:name w:val="Bold All Caps"/>
    <w:basedOn w:val="DefaultParagraphFont"/>
    <w:uiPriority w:val="1"/>
    <w:qFormat/>
    <w:rsid w:val="00D27CEC"/>
    <w:rPr>
      <w:b/>
      <w:caps/>
      <w:smallCaps w:val="0"/>
      <w:color w:val="358189"/>
      <w:bdr w:val="none" w:sz="0" w:space="0" w:color="auto"/>
    </w:rPr>
  </w:style>
  <w:style w:type="character" w:styleId="Hyperlink">
    <w:name w:val="Hyperlink"/>
    <w:basedOn w:val="DefaultParagraphFont"/>
    <w:uiPriority w:val="99"/>
    <w:unhideWhenUsed/>
    <w:rsid w:val="00D27CEC"/>
    <w:rPr>
      <w:color w:val="0000FF"/>
      <w:u w:val="single"/>
    </w:rPr>
  </w:style>
  <w:style w:type="character" w:customStyle="1" w:styleId="normaltextrun">
    <w:name w:val="normaltextrun"/>
    <w:basedOn w:val="DefaultParagraphFont"/>
    <w:rsid w:val="00D27CEC"/>
  </w:style>
  <w:style w:type="paragraph" w:styleId="BodyText">
    <w:name w:val="Body Text"/>
    <w:basedOn w:val="Normal"/>
    <w:link w:val="BodyTextChar"/>
    <w:uiPriority w:val="99"/>
    <w:unhideWhenUsed/>
    <w:rsid w:val="00D27CEC"/>
    <w:pPr>
      <w:spacing w:after="120" w:line="259" w:lineRule="auto"/>
    </w:pPr>
    <w:rPr>
      <w:rFonts w:eastAsiaTheme="minorHAnsi"/>
      <w:color w:val="000000" w:themeColor="text1"/>
      <w:sz w:val="24"/>
    </w:rPr>
  </w:style>
  <w:style w:type="character" w:customStyle="1" w:styleId="BodyTextChar">
    <w:name w:val="Body Text Char"/>
    <w:basedOn w:val="DefaultParagraphFont"/>
    <w:link w:val="BodyText"/>
    <w:uiPriority w:val="99"/>
    <w:rsid w:val="00D27CEC"/>
    <w:rPr>
      <w:rFonts w:ascii="Arial" w:hAnsi="Arial" w:cs="Times New Roman"/>
      <w:color w:val="000000" w:themeColor="text1"/>
      <w:sz w:val="24"/>
      <w:szCs w:val="24"/>
    </w:rPr>
  </w:style>
  <w:style w:type="character" w:customStyle="1" w:styleId="Heading2Char">
    <w:name w:val="Heading 2 Char"/>
    <w:basedOn w:val="DefaultParagraphFont"/>
    <w:link w:val="Heading2"/>
    <w:uiPriority w:val="9"/>
    <w:rsid w:val="00D27CE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D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898"/>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BC0"/>
    <w:pPr>
      <w:ind w:left="720"/>
      <w:contextualSpacing/>
    </w:pPr>
  </w:style>
  <w:style w:type="paragraph" w:styleId="NoSpacing">
    <w:name w:val="No Spacing"/>
    <w:link w:val="NoSpacingChar"/>
    <w:uiPriority w:val="1"/>
    <w:qFormat/>
    <w:rsid w:val="003B30D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B30D5"/>
    <w:rPr>
      <w:rFonts w:ascii="Calibri" w:eastAsia="Times New Roman" w:hAnsi="Calibri" w:cs="Times New Roman"/>
    </w:rPr>
  </w:style>
  <w:style w:type="table" w:styleId="TableGridLight">
    <w:name w:val="Grid Table Light"/>
    <w:basedOn w:val="TableNormal"/>
    <w:uiPriority w:val="40"/>
    <w:rsid w:val="003B30D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A6F0E"/>
    <w:rPr>
      <w:color w:val="605E5C"/>
      <w:shd w:val="clear" w:color="auto" w:fill="E1DFDD"/>
    </w:rPr>
  </w:style>
  <w:style w:type="character" w:customStyle="1" w:styleId="spellingerror">
    <w:name w:val="spellingerror"/>
    <w:basedOn w:val="DefaultParagraphFont"/>
    <w:rsid w:val="00F93DD8"/>
  </w:style>
  <w:style w:type="character" w:customStyle="1" w:styleId="eop">
    <w:name w:val="eop"/>
    <w:basedOn w:val="DefaultParagraphFont"/>
    <w:rsid w:val="00F93DD8"/>
  </w:style>
  <w:style w:type="character" w:styleId="CommentReference">
    <w:name w:val="annotation reference"/>
    <w:basedOn w:val="DefaultParagraphFont"/>
    <w:uiPriority w:val="99"/>
    <w:semiHidden/>
    <w:unhideWhenUsed/>
    <w:rsid w:val="00D305AE"/>
    <w:rPr>
      <w:sz w:val="16"/>
      <w:szCs w:val="16"/>
    </w:rPr>
  </w:style>
  <w:style w:type="paragraph" w:styleId="CommentText">
    <w:name w:val="annotation text"/>
    <w:basedOn w:val="Normal"/>
    <w:link w:val="CommentTextChar"/>
    <w:uiPriority w:val="99"/>
    <w:semiHidden/>
    <w:unhideWhenUsed/>
    <w:rsid w:val="00D305AE"/>
    <w:rPr>
      <w:sz w:val="20"/>
      <w:szCs w:val="20"/>
    </w:rPr>
  </w:style>
  <w:style w:type="character" w:customStyle="1" w:styleId="CommentTextChar">
    <w:name w:val="Comment Text Char"/>
    <w:basedOn w:val="DefaultParagraphFont"/>
    <w:link w:val="CommentText"/>
    <w:uiPriority w:val="99"/>
    <w:semiHidden/>
    <w:rsid w:val="00D305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05AE"/>
    <w:rPr>
      <w:b/>
      <w:bCs/>
    </w:rPr>
  </w:style>
  <w:style w:type="character" w:customStyle="1" w:styleId="CommentSubjectChar">
    <w:name w:val="Comment Subject Char"/>
    <w:basedOn w:val="CommentTextChar"/>
    <w:link w:val="CommentSubject"/>
    <w:uiPriority w:val="99"/>
    <w:semiHidden/>
    <w:rsid w:val="00D305AE"/>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D30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entral.health\dfsuserenv\Users\User_20\NEWHAE\Documents\grant.atm@health.gov.au" TargetMode="External"/><Relationship Id="rId18" Type="http://schemas.openxmlformats.org/officeDocument/2006/relationships/hyperlink" Target="https://www.digitalhealth.gov.au/about-us/policies-privacy-and-reporting/registers" TargetMode="External"/><Relationship Id="rId3" Type="http://schemas.openxmlformats.org/officeDocument/2006/relationships/styles" Target="styles.xml"/><Relationship Id="rId21" Type="http://schemas.openxmlformats.org/officeDocument/2006/relationships/hyperlink" Target="https://www.digitalhealth.gov.au/about-us/policies-privacy-and-reporting/registe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p.grants.gov.au/" TargetMode="External"/><Relationship Id="rId17" Type="http://schemas.openxmlformats.org/officeDocument/2006/relationships/hyperlink" Target="https://www.digitalhealth.gov.au/about-us/policies-privacy-and-reporting/registe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gitalhealth.gov.au/about-us/policies-privacy-and-reporting/registers" TargetMode="External"/><Relationship Id="rId20" Type="http://schemas.openxmlformats.org/officeDocument/2006/relationships/hyperlink" Target="https://www.digitalhealth.gov.au/about-us/policies-privacy-and-reporting/registers" TargetMode="External"/><Relationship Id="rId29" Type="http://schemas.openxmlformats.org/officeDocument/2006/relationships/hyperlink" Target="https://www.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health.gov.au/about-us/policies-privacy-and-reporting/registers" TargetMode="External"/><Relationship Id="rId24" Type="http://schemas.openxmlformats.org/officeDocument/2006/relationships/hyperlink" Target="mailto:PBSNRMC@health.gov.a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igitalhealth.gov.au/about-us/policies-privacy-and-reporting/registers" TargetMode="External"/><Relationship Id="rId23" Type="http://schemas.openxmlformats.org/officeDocument/2006/relationships/hyperlink" Target="https://www.grants.gov.au/" TargetMode="External"/><Relationship Id="rId10" Type="http://schemas.openxmlformats.org/officeDocument/2006/relationships/hyperlink" Target="https://www.digitalhealth.gov.au/about-us/policies-privacy-and-reporting/registers" TargetMode="External"/><Relationship Id="rId19" Type="http://schemas.openxmlformats.org/officeDocument/2006/relationships/hyperlink" Target="https://www.safetyandquality.gov.au/our-work/medication-safety/electronic-medication-charts/electronic-national-residential-medication-chart" TargetMode="External"/><Relationship Id="rId31" Type="http://schemas.openxmlformats.org/officeDocument/2006/relationships/hyperlink" Target="mailto:PBSNRMC@health.gov.au"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digitalhealth.gov.au/about-us/policies-privacy-and-reporting/registers" TargetMode="External"/><Relationship Id="rId22" Type="http://schemas.openxmlformats.org/officeDocument/2006/relationships/hyperlink" Target="https://www.health.gov.au/" TargetMode="External"/><Relationship Id="rId30" Type="http://schemas.openxmlformats.org/officeDocument/2006/relationships/hyperlink" Target="https://www.grants.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B8A6-87D2-4E55-9050-835E191C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11259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NEWHAM, Emma</dc:creator>
  <cp:keywords/>
  <dc:description/>
  <cp:lastModifiedBy>NEWHAM, Emma</cp:lastModifiedBy>
  <cp:revision>2</cp:revision>
  <dcterms:created xsi:type="dcterms:W3CDTF">2023-05-30T23:51:00Z</dcterms:created>
  <dcterms:modified xsi:type="dcterms:W3CDTF">2023-05-30T23:51:00Z</dcterms:modified>
</cp:coreProperties>
</file>