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80027" w14:textId="4F11FD58" w:rsidR="00654D27" w:rsidRPr="000A7542" w:rsidRDefault="00654D27" w:rsidP="000A7542">
      <w:pPr>
        <w:pStyle w:val="Heading1"/>
      </w:pPr>
      <w:r w:rsidRPr="000A7542">
        <w:t xml:space="preserve">Data analysis: 12 months of food and nutrition reporting </w:t>
      </w:r>
    </w:p>
    <w:p w14:paraId="5178BFEC" w14:textId="109E714B" w:rsidR="00654D27" w:rsidRPr="000A7542" w:rsidRDefault="00654D27" w:rsidP="00654D27">
      <w:pPr>
        <w:rPr>
          <w:rFonts w:cs="Arial"/>
        </w:rPr>
      </w:pPr>
      <w:r w:rsidRPr="000A7542">
        <w:rPr>
          <w:rFonts w:cs="Arial"/>
        </w:rPr>
        <w:t>In 2021-22, providers received $699.7 million under the B</w:t>
      </w:r>
      <w:r w:rsidR="000A7542" w:rsidRPr="000A7542">
        <w:rPr>
          <w:rFonts w:cs="Arial"/>
        </w:rPr>
        <w:t xml:space="preserve">asic </w:t>
      </w:r>
      <w:r w:rsidRPr="000A7542">
        <w:rPr>
          <w:rFonts w:cs="Arial"/>
        </w:rPr>
        <w:t>D</w:t>
      </w:r>
      <w:r w:rsidR="000A7542" w:rsidRPr="000A7542">
        <w:rPr>
          <w:rFonts w:cs="Arial"/>
        </w:rPr>
        <w:t xml:space="preserve">aily </w:t>
      </w:r>
      <w:r w:rsidRPr="000A7542">
        <w:rPr>
          <w:rFonts w:cs="Arial"/>
        </w:rPr>
        <w:t>F</w:t>
      </w:r>
      <w:r w:rsidR="000A7542" w:rsidRPr="000A7542">
        <w:rPr>
          <w:rFonts w:cs="Arial"/>
        </w:rPr>
        <w:t>ee</w:t>
      </w:r>
      <w:r w:rsidRPr="000A7542">
        <w:rPr>
          <w:rFonts w:cs="Arial"/>
        </w:rPr>
        <w:t xml:space="preserve"> supplement to improve Food and Nutrition services in Residential Aged Care. We analysed food and nutrition reports from over 2,700 residential services. </w:t>
      </w:r>
    </w:p>
    <w:p w14:paraId="08A89D59" w14:textId="5D45952D" w:rsidR="00654D27" w:rsidRPr="000A7542" w:rsidRDefault="00654D27" w:rsidP="00654D27">
      <w:pPr>
        <w:rPr>
          <w:rFonts w:cs="Arial"/>
        </w:rPr>
      </w:pPr>
      <w:r w:rsidRPr="000A7542">
        <w:rPr>
          <w:rFonts w:cs="Arial"/>
        </w:rPr>
        <w:t>Based on the past 12 months of self-reported data, our results show that:</w:t>
      </w:r>
    </w:p>
    <w:p w14:paraId="47A9058C" w14:textId="77777777" w:rsidR="00654D27" w:rsidRPr="000A7542" w:rsidRDefault="00654D27" w:rsidP="00654D27">
      <w:pPr>
        <w:numPr>
          <w:ilvl w:val="0"/>
          <w:numId w:val="23"/>
        </w:numPr>
        <w:spacing w:before="0" w:after="160" w:line="259" w:lineRule="auto"/>
        <w:rPr>
          <w:rFonts w:cs="Arial"/>
        </w:rPr>
      </w:pPr>
      <w:r w:rsidRPr="000A7542">
        <w:rPr>
          <w:rFonts w:cs="Arial"/>
        </w:rPr>
        <w:t>An average of </w:t>
      </w:r>
      <w:r w:rsidRPr="000A7542">
        <w:rPr>
          <w:rFonts w:cs="Arial"/>
          <w:b/>
          <w:bCs/>
        </w:rPr>
        <w:t>$14.46</w:t>
      </w:r>
      <w:r w:rsidRPr="000A7542">
        <w:rPr>
          <w:rFonts w:cs="Arial"/>
        </w:rPr>
        <w:t> was spent on food per resident per day in 2021-22, calculated from all services who reported.</w:t>
      </w:r>
    </w:p>
    <w:p w14:paraId="3A4697C3" w14:textId="77777777" w:rsidR="00654D27" w:rsidRPr="000A7542" w:rsidRDefault="00654D27" w:rsidP="00654D27">
      <w:pPr>
        <w:numPr>
          <w:ilvl w:val="1"/>
          <w:numId w:val="23"/>
        </w:numPr>
        <w:spacing w:before="0" w:after="160" w:line="259" w:lineRule="auto"/>
        <w:rPr>
          <w:rFonts w:cs="Arial"/>
        </w:rPr>
      </w:pPr>
      <w:r w:rsidRPr="000A7542">
        <w:rPr>
          <w:rFonts w:cs="Arial"/>
        </w:rPr>
        <w:t>For services reporting expenditure on food and ingredients only, the average was </w:t>
      </w:r>
      <w:r w:rsidRPr="000A7542">
        <w:rPr>
          <w:rFonts w:cs="Arial"/>
          <w:b/>
          <w:bCs/>
        </w:rPr>
        <w:t>$12.54</w:t>
      </w:r>
      <w:r w:rsidRPr="000A7542">
        <w:rPr>
          <w:rFonts w:cs="Arial"/>
        </w:rPr>
        <w:t> per resident per day in 2021-22.</w:t>
      </w:r>
    </w:p>
    <w:p w14:paraId="4138EDC1" w14:textId="77777777" w:rsidR="00654D27" w:rsidRPr="000A7542" w:rsidRDefault="00654D27" w:rsidP="00654D27">
      <w:pPr>
        <w:numPr>
          <w:ilvl w:val="0"/>
          <w:numId w:val="21"/>
        </w:numPr>
        <w:spacing w:before="0" w:after="160" w:line="259" w:lineRule="auto"/>
        <w:rPr>
          <w:rFonts w:cs="Arial"/>
        </w:rPr>
      </w:pPr>
      <w:r w:rsidRPr="000A7542">
        <w:rPr>
          <w:rFonts w:cs="Arial"/>
        </w:rPr>
        <w:t>75% of services, with expenditure on </w:t>
      </w:r>
      <w:r w:rsidRPr="000A7542">
        <w:rPr>
          <w:rFonts w:cs="Arial"/>
          <w:b/>
          <w:bCs/>
        </w:rPr>
        <w:t>food and ingredients only</w:t>
      </w:r>
      <w:r w:rsidRPr="000A7542">
        <w:rPr>
          <w:rFonts w:cs="Arial"/>
        </w:rPr>
        <w:t>, spent more than $10 per day in the six months to June 2022 (up from 67% in previous six months).</w:t>
      </w:r>
    </w:p>
    <w:p w14:paraId="4005DDC1" w14:textId="639EC49E" w:rsidR="00654D27" w:rsidRPr="000A7542" w:rsidRDefault="00654D27" w:rsidP="00654D27">
      <w:pPr>
        <w:numPr>
          <w:ilvl w:val="0"/>
          <w:numId w:val="21"/>
        </w:numPr>
        <w:spacing w:before="0" w:after="160" w:line="259" w:lineRule="auto"/>
        <w:rPr>
          <w:rFonts w:cs="Arial"/>
        </w:rPr>
      </w:pPr>
      <w:r w:rsidRPr="000A7542">
        <w:rPr>
          <w:rFonts w:cs="Arial"/>
        </w:rPr>
        <w:t xml:space="preserve">The average </w:t>
      </w:r>
      <w:r w:rsidR="000A7542" w:rsidRPr="000A7542">
        <w:rPr>
          <w:rFonts w:cs="Arial"/>
        </w:rPr>
        <w:t>spend</w:t>
      </w:r>
      <w:r w:rsidRPr="000A7542">
        <w:rPr>
          <w:rFonts w:cs="Arial"/>
        </w:rPr>
        <w:t xml:space="preserve"> per resident per day increased quarter on quarter for all catering types, with quarter 3 showing a substantial increase of over 8% for services reporting expenditure on contract catering.</w:t>
      </w:r>
    </w:p>
    <w:p w14:paraId="3C190A62" w14:textId="77777777" w:rsidR="00654D27" w:rsidRPr="000A7542" w:rsidRDefault="00654D27" w:rsidP="00654D27">
      <w:pPr>
        <w:numPr>
          <w:ilvl w:val="0"/>
          <w:numId w:val="21"/>
        </w:numPr>
        <w:spacing w:before="0" w:after="160" w:line="259" w:lineRule="auto"/>
        <w:rPr>
          <w:rFonts w:cs="Arial"/>
        </w:rPr>
      </w:pPr>
      <w:r w:rsidRPr="000A7542">
        <w:rPr>
          <w:rFonts w:cs="Arial"/>
        </w:rPr>
        <w:t>Food expenditure models did not change much across the year, with the proportion of services reporting expenditure on food and ingredients only, and the proportion of services reporting expenditure on contract catering remaining consistent.</w:t>
      </w:r>
    </w:p>
    <w:p w14:paraId="27B02034" w14:textId="74B4CBE7" w:rsidR="00654D27" w:rsidRPr="000A7542" w:rsidRDefault="00654D27" w:rsidP="00654D27">
      <w:pPr>
        <w:rPr>
          <w:rFonts w:cs="Arial"/>
        </w:rPr>
      </w:pPr>
      <w:r w:rsidRPr="000A7542">
        <w:rPr>
          <w:rFonts w:cs="Arial"/>
        </w:rPr>
        <w:t xml:space="preserve">The reporting also highlighted the commitment that services have shown to improve food, </w:t>
      </w:r>
      <w:r w:rsidR="000A7542" w:rsidRPr="000A7542">
        <w:rPr>
          <w:rFonts w:cs="Arial"/>
        </w:rPr>
        <w:t>nutrition,</w:t>
      </w:r>
      <w:r w:rsidRPr="000A7542">
        <w:rPr>
          <w:rFonts w:cs="Arial"/>
        </w:rPr>
        <w:t xml:space="preserve"> and the dining experience. These included:</w:t>
      </w:r>
    </w:p>
    <w:p w14:paraId="2AD03320" w14:textId="77777777" w:rsidR="00654D27" w:rsidRPr="000A7542" w:rsidRDefault="00654D27" w:rsidP="00654D27">
      <w:pPr>
        <w:numPr>
          <w:ilvl w:val="0"/>
          <w:numId w:val="22"/>
        </w:numPr>
        <w:spacing w:before="0" w:after="160" w:line="259" w:lineRule="auto"/>
        <w:rPr>
          <w:rFonts w:cs="Arial"/>
        </w:rPr>
      </w:pPr>
      <w:r w:rsidRPr="000A7542">
        <w:rPr>
          <w:rFonts w:cs="Arial"/>
        </w:rPr>
        <w:t>inclusion of cultural or religious values</w:t>
      </w:r>
    </w:p>
    <w:p w14:paraId="10460A00" w14:textId="77777777" w:rsidR="00654D27" w:rsidRPr="000A7542" w:rsidRDefault="00654D27" w:rsidP="00654D27">
      <w:pPr>
        <w:numPr>
          <w:ilvl w:val="0"/>
          <w:numId w:val="22"/>
        </w:numPr>
        <w:spacing w:before="0" w:after="160" w:line="259" w:lineRule="auto"/>
        <w:rPr>
          <w:rFonts w:cs="Arial"/>
        </w:rPr>
      </w:pPr>
      <w:r w:rsidRPr="000A7542">
        <w:rPr>
          <w:rFonts w:cs="Arial"/>
        </w:rPr>
        <w:t>further specific education and training</w:t>
      </w:r>
    </w:p>
    <w:p w14:paraId="69FA5E64" w14:textId="77777777" w:rsidR="00654D27" w:rsidRPr="000A7542" w:rsidRDefault="00654D27" w:rsidP="00654D27">
      <w:pPr>
        <w:numPr>
          <w:ilvl w:val="0"/>
          <w:numId w:val="22"/>
        </w:numPr>
        <w:spacing w:before="0" w:after="160" w:line="259" w:lineRule="auto"/>
        <w:rPr>
          <w:rFonts w:cs="Arial"/>
        </w:rPr>
      </w:pPr>
      <w:r w:rsidRPr="000A7542">
        <w:rPr>
          <w:rFonts w:cs="Arial"/>
        </w:rPr>
        <w:t>development of a tool to measure food wastage</w:t>
      </w:r>
    </w:p>
    <w:p w14:paraId="45040B9A" w14:textId="77777777" w:rsidR="00654D27" w:rsidRPr="000A7542" w:rsidRDefault="00654D27" w:rsidP="00654D27">
      <w:pPr>
        <w:numPr>
          <w:ilvl w:val="0"/>
          <w:numId w:val="22"/>
        </w:numPr>
        <w:spacing w:before="0" w:after="160" w:line="259" w:lineRule="auto"/>
        <w:rPr>
          <w:rFonts w:cs="Arial"/>
        </w:rPr>
      </w:pPr>
      <w:r w:rsidRPr="000A7542">
        <w:rPr>
          <w:rFonts w:cs="Arial"/>
        </w:rPr>
        <w:t>implementation of ‘Food Focus Communities’.</w:t>
      </w:r>
    </w:p>
    <w:p w14:paraId="473DF4A7" w14:textId="77777777" w:rsidR="00654D27" w:rsidRPr="000A7542" w:rsidRDefault="00654D27" w:rsidP="00654D27">
      <w:pPr>
        <w:rPr>
          <w:rFonts w:cs="Arial"/>
        </w:rPr>
      </w:pPr>
      <w:r w:rsidRPr="000A7542">
        <w:rPr>
          <w:rFonts w:cs="Arial"/>
        </w:rPr>
        <w:lastRenderedPageBreak/>
        <w:t>The </w:t>
      </w:r>
      <w:hyperlink r:id="rId11" w:tooltip="Food and Nutrition Report 2021–2022" w:history="1">
        <w:r w:rsidRPr="000A7542">
          <w:rPr>
            <w:rStyle w:val="Hyperlink"/>
            <w:rFonts w:cs="Arial"/>
          </w:rPr>
          <w:t>full report</w:t>
        </w:r>
      </w:hyperlink>
      <w:r w:rsidRPr="000A7542">
        <w:rPr>
          <w:rFonts w:cs="Arial"/>
        </w:rPr>
        <w:t> includes key next steps on how we utilise the data to help inform policy options. These can further improve food and nutrition outcomes for older Australians.</w:t>
      </w:r>
    </w:p>
    <w:p w14:paraId="25BA7596" w14:textId="213A432D" w:rsidR="00654D27" w:rsidRPr="00747DD5" w:rsidRDefault="00654D27" w:rsidP="00654D27">
      <w:pPr>
        <w:rPr>
          <w:rFonts w:cs="Arial"/>
        </w:rPr>
      </w:pPr>
      <w:r w:rsidRPr="000A7542">
        <w:rPr>
          <w:rFonts w:cs="Arial"/>
        </w:rPr>
        <w:t xml:space="preserve">This is the second and final report in the series under the Basic Daily Fee reporting model. Reporting will now take place through the Quarterly Financial Reports. </w:t>
      </w:r>
      <w:r w:rsidRPr="000A7542">
        <w:rPr>
          <w:rFonts w:asciiTheme="minorHAnsi" w:hAnsiTheme="minorHAnsi" w:cstheme="minorHAnsi"/>
          <w:noProof/>
        </w:rPr>
        <mc:AlternateContent>
          <mc:Choice Requires="wpg">
            <w:drawing>
              <wp:anchor distT="0" distB="0" distL="114300" distR="114300" simplePos="0" relativeHeight="251659264" behindDoc="0" locked="1" layoutInCell="1" allowOverlap="0" wp14:anchorId="03855700" wp14:editId="2D67499C">
                <wp:simplePos x="0" y="0"/>
                <wp:positionH relativeFrom="page">
                  <wp:posOffset>580390</wp:posOffset>
                </wp:positionH>
                <wp:positionV relativeFrom="page">
                  <wp:posOffset>8366760</wp:posOffset>
                </wp:positionV>
                <wp:extent cx="6980400" cy="23256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37" name="Group 37">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D3DCA63" w14:textId="77777777" w:rsidR="00654D27" w:rsidRPr="00E27023" w:rsidRDefault="00654D27" w:rsidP="00654D27">
                                <w:pPr>
                                  <w:pStyle w:val="Heading2"/>
                                  <w:rPr>
                                    <w:color w:val="auto"/>
                                  </w:rPr>
                                </w:pPr>
                                <w:r w:rsidRPr="00E27023">
                                  <w:rPr>
                                    <w:color w:val="auto"/>
                                  </w:rPr>
                                  <w:t xml:space="preserve">Let’s change aged care together </w:t>
                                </w:r>
                              </w:p>
                              <w:p w14:paraId="468A426F" w14:textId="77777777" w:rsidR="00654D27" w:rsidRPr="00F45B7B" w:rsidRDefault="00654D27" w:rsidP="00654D27">
                                <w:r w:rsidRPr="00F45B7B">
                                  <w:t>We invite Australians to continue to have their say about the aged care reforms.</w:t>
                                </w:r>
                              </w:p>
                              <w:p w14:paraId="41236993" w14:textId="77777777" w:rsidR="00654D27" w:rsidRPr="00F45B7B" w:rsidRDefault="00654D27" w:rsidP="00654D27">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069610A9" w14:textId="77777777" w:rsidR="00654D27" w:rsidRPr="00F45B7B" w:rsidRDefault="00654D27" w:rsidP="00654D27">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4609D838" w14:textId="77777777" w:rsidR="00654D27" w:rsidRPr="00F45B7B" w:rsidRDefault="00654D27" w:rsidP="00654D2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3855700" id="Group 2" o:spid="_x0000_s1026" alt="&quot;&quot;" style="position:absolute;margin-left:45.7pt;margin-top:658.8pt;width:549.65pt;height:183.1pt;z-index:251659264;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y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" o:allowoverlap="f">
                <v:group id="Group 37"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D3DCA63" w14:textId="77777777" w:rsidR="00654D27" w:rsidRPr="00E27023" w:rsidRDefault="00654D27" w:rsidP="00654D27">
                          <w:pPr>
                            <w:pStyle w:val="Heading2"/>
                            <w:rPr>
                              <w:color w:val="auto"/>
                            </w:rPr>
                          </w:pPr>
                          <w:r w:rsidRPr="00E27023">
                            <w:rPr>
                              <w:color w:val="auto"/>
                            </w:rPr>
                            <w:t xml:space="preserve">Let’s change aged care together </w:t>
                          </w:r>
                        </w:p>
                        <w:p w14:paraId="468A426F" w14:textId="77777777" w:rsidR="00654D27" w:rsidRPr="00F45B7B" w:rsidRDefault="00654D27" w:rsidP="00654D27">
                          <w:r w:rsidRPr="00F45B7B">
                            <w:t>We invite Australians to continue to have their say about the aged care reforms.</w:t>
                          </w:r>
                        </w:p>
                        <w:p w14:paraId="41236993" w14:textId="77777777" w:rsidR="00654D27" w:rsidRPr="00F45B7B" w:rsidRDefault="00654D27" w:rsidP="00654D27">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069610A9" w14:textId="77777777" w:rsidR="00654D27" w:rsidRPr="00F45B7B" w:rsidRDefault="00654D27" w:rsidP="00654D27">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4609D838" w14:textId="77777777" w:rsidR="00654D27" w:rsidRPr="00F45B7B" w:rsidRDefault="00654D27" w:rsidP="00654D2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5" o:title=""/>
                  </v:shape>
                </v:group>
                <w10:wrap anchorx="page" anchory="page"/>
                <w10:anchorlock/>
              </v:group>
            </w:pict>
          </mc:Fallback>
        </mc:AlternateContent>
      </w:r>
    </w:p>
    <w:sectPr w:rsidR="00654D27" w:rsidRPr="00747DD5" w:rsidSect="009346B6">
      <w:headerReference w:type="first" r:id="rId16"/>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5329A" w14:textId="77777777" w:rsidR="00564324" w:rsidRDefault="00564324" w:rsidP="0076491B">
      <w:pPr>
        <w:spacing w:before="0" w:after="0" w:line="240" w:lineRule="auto"/>
      </w:pPr>
      <w:r>
        <w:separator/>
      </w:r>
    </w:p>
  </w:endnote>
  <w:endnote w:type="continuationSeparator" w:id="0">
    <w:p w14:paraId="57775B53" w14:textId="77777777" w:rsidR="00564324" w:rsidRDefault="00564324"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53B4" w14:textId="77777777" w:rsidR="00564324" w:rsidRDefault="00564324" w:rsidP="0076491B">
      <w:pPr>
        <w:spacing w:before="0" w:after="0" w:line="240" w:lineRule="auto"/>
      </w:pPr>
      <w:r>
        <w:separator/>
      </w:r>
    </w:p>
  </w:footnote>
  <w:footnote w:type="continuationSeparator" w:id="0">
    <w:p w14:paraId="0ADD90C7" w14:textId="77777777" w:rsidR="00564324" w:rsidRDefault="00564324"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501B" w14:textId="77777777" w:rsidR="0076491B" w:rsidRDefault="00681E9F">
    <w:pPr>
      <w:pStyle w:val="Header"/>
    </w:pPr>
    <w:r>
      <w:rPr>
        <w:noProof/>
      </w:rPr>
      <w:drawing>
        <wp:anchor distT="0" distB="0" distL="114300" distR="114300" simplePos="0" relativeHeight="251658240" behindDoc="1" locked="0" layoutInCell="1" allowOverlap="1" wp14:anchorId="229BE53F" wp14:editId="51B66878">
          <wp:simplePos x="0" y="0"/>
          <wp:positionH relativeFrom="page">
            <wp:posOffset>-343535</wp:posOffset>
          </wp:positionH>
          <wp:positionV relativeFrom="page">
            <wp:posOffset>-153670</wp:posOffset>
          </wp:positionV>
          <wp:extent cx="8230235" cy="354901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07" r="307"/>
                  <a:stretch>
                    <a:fillRect/>
                  </a:stretch>
                </pic:blipFill>
                <pic:spPr bwMode="auto">
                  <a:xfrm flipH="1">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7216" behindDoc="0" locked="0" layoutInCell="1" allowOverlap="1" wp14:anchorId="5DD2A17A" wp14:editId="7489B602">
          <wp:simplePos x="0" y="0"/>
          <wp:positionH relativeFrom="page">
            <wp:align>left</wp:align>
          </wp:positionH>
          <wp:positionV relativeFrom="page">
            <wp:align>top</wp:align>
          </wp:positionV>
          <wp:extent cx="7560000" cy="19872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FD4C6B"/>
    <w:multiLevelType w:val="hybridMultilevel"/>
    <w:tmpl w:val="CD7EE084"/>
    <w:lvl w:ilvl="0" w:tplc="CB82E55E">
      <w:start w:val="1"/>
      <w:numFmt w:val="bullet"/>
      <w:lvlText w:val=""/>
      <w:lvlJc w:val="left"/>
      <w:pPr>
        <w:ind w:left="72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51C31"/>
    <w:multiLevelType w:val="multilevel"/>
    <w:tmpl w:val="00982BE6"/>
    <w:lvl w:ilvl="0">
      <w:start w:val="1"/>
      <w:numFmt w:val="bullet"/>
      <w:lvlText w:val=""/>
      <w:lvlJc w:val="left"/>
      <w:pPr>
        <w:tabs>
          <w:tab w:val="num" w:pos="720"/>
        </w:tabs>
        <w:ind w:left="720" w:hanging="360"/>
      </w:pPr>
      <w:rPr>
        <w:rFonts w:ascii="Symbol" w:hAnsi="Symbol" w:hint="default"/>
        <w:color w:val="F2692B" w:themeColor="accent5"/>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7E7F269C"/>
    <w:multiLevelType w:val="multilevel"/>
    <w:tmpl w:val="835CEE74"/>
    <w:lvl w:ilvl="0">
      <w:start w:val="1"/>
      <w:numFmt w:val="bullet"/>
      <w:lvlText w:val=""/>
      <w:lvlJc w:val="left"/>
      <w:pPr>
        <w:tabs>
          <w:tab w:val="num" w:pos="720"/>
        </w:tabs>
        <w:ind w:left="720" w:hanging="360"/>
      </w:pPr>
      <w:rPr>
        <w:rFonts w:ascii="Symbol" w:hAnsi="Symbol" w:hint="default"/>
        <w:color w:val="F2692B" w:themeColor="accent5"/>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16"/>
  </w:num>
  <w:num w:numId="4">
    <w:abstractNumId w:val="17"/>
  </w:num>
  <w:num w:numId="5">
    <w:abstractNumId w:val="15"/>
  </w:num>
  <w:num w:numId="6">
    <w:abstractNumId w:val="9"/>
  </w:num>
  <w:num w:numId="7">
    <w:abstractNumId w:val="4"/>
  </w:num>
  <w:num w:numId="8">
    <w:abstractNumId w:val="3"/>
  </w:num>
  <w:num w:numId="9">
    <w:abstractNumId w:val="1"/>
  </w:num>
  <w:num w:numId="10">
    <w:abstractNumId w:val="12"/>
  </w:num>
  <w:num w:numId="11">
    <w:abstractNumId w:val="7"/>
  </w:num>
  <w:num w:numId="12">
    <w:abstractNumId w:val="21"/>
  </w:num>
  <w:num w:numId="13">
    <w:abstractNumId w:val="20"/>
  </w:num>
  <w:num w:numId="14">
    <w:abstractNumId w:val="14"/>
  </w:num>
  <w:num w:numId="15">
    <w:abstractNumId w:val="0"/>
  </w:num>
  <w:num w:numId="16">
    <w:abstractNumId w:val="5"/>
  </w:num>
  <w:num w:numId="17">
    <w:abstractNumId w:val="10"/>
  </w:num>
  <w:num w:numId="18">
    <w:abstractNumId w:val="2"/>
  </w:num>
  <w:num w:numId="19">
    <w:abstractNumId w:val="13"/>
  </w:num>
  <w:num w:numId="20">
    <w:abstractNumId w:val="18"/>
  </w:num>
  <w:num w:numId="21">
    <w:abstractNumId w:val="22"/>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D27"/>
    <w:rsid w:val="0001245D"/>
    <w:rsid w:val="000A7542"/>
    <w:rsid w:val="001A4831"/>
    <w:rsid w:val="002205B7"/>
    <w:rsid w:val="002852B8"/>
    <w:rsid w:val="00360B34"/>
    <w:rsid w:val="003A22DB"/>
    <w:rsid w:val="004557A0"/>
    <w:rsid w:val="004C11EB"/>
    <w:rsid w:val="005035B6"/>
    <w:rsid w:val="00564324"/>
    <w:rsid w:val="00577C30"/>
    <w:rsid w:val="00633DB4"/>
    <w:rsid w:val="00651ACF"/>
    <w:rsid w:val="00654D27"/>
    <w:rsid w:val="00681E9F"/>
    <w:rsid w:val="006F4500"/>
    <w:rsid w:val="00726939"/>
    <w:rsid w:val="00747DD5"/>
    <w:rsid w:val="0076491B"/>
    <w:rsid w:val="00901E78"/>
    <w:rsid w:val="009346B6"/>
    <w:rsid w:val="00941E85"/>
    <w:rsid w:val="00992524"/>
    <w:rsid w:val="009B2828"/>
    <w:rsid w:val="009F67AE"/>
    <w:rsid w:val="00BD7B2E"/>
    <w:rsid w:val="00C46331"/>
    <w:rsid w:val="00C57424"/>
    <w:rsid w:val="00C76B54"/>
    <w:rsid w:val="00C9187A"/>
    <w:rsid w:val="00CA0CFC"/>
    <w:rsid w:val="00CD281E"/>
    <w:rsid w:val="00D372BE"/>
    <w:rsid w:val="00D41508"/>
    <w:rsid w:val="00D83916"/>
    <w:rsid w:val="00D96247"/>
    <w:rsid w:val="00E27023"/>
    <w:rsid w:val="00E651BD"/>
    <w:rsid w:val="00E653B5"/>
    <w:rsid w:val="00E717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2AD9F"/>
  <w15:chartTrackingRefBased/>
  <w15:docId w15:val="{1C953130-8EF2-4427-B63C-09AD8ECE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654D27"/>
    <w:rPr>
      <w:sz w:val="16"/>
      <w:szCs w:val="16"/>
    </w:rPr>
  </w:style>
  <w:style w:type="paragraph" w:styleId="CommentText">
    <w:name w:val="annotation text"/>
    <w:basedOn w:val="Normal"/>
    <w:link w:val="CommentTextChar"/>
    <w:uiPriority w:val="99"/>
    <w:semiHidden/>
    <w:unhideWhenUsed/>
    <w:rsid w:val="00654D27"/>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54D2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food-and-nutrition-report-2021-2022"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ategory xmlns="1caad870-3340-4911-bc92-c3989ba6ea87">Template</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AB8119B1D0B40B9C97E64BEA9C356" ma:contentTypeVersion="12" ma:contentTypeDescription="Create a new document." ma:contentTypeScope="" ma:versionID="777d9cf5c7728b85ba49536c988fbb27">
  <xsd:schema xmlns:xsd="http://www.w3.org/2001/XMLSchema" xmlns:xs="http://www.w3.org/2001/XMLSchema" xmlns:p="http://schemas.microsoft.com/office/2006/metadata/properties" xmlns:ns2="1caad870-3340-4911-bc92-c3989ba6ea87" xmlns:ns3="50d51488-8d6c-408c-8e2e-448ce4e05758" targetNamespace="http://schemas.microsoft.com/office/2006/metadata/properties" ma:root="true" ma:fieldsID="cc079d9b070b22d609109ea51b673897" ns2:_="" ns3:_="">
    <xsd:import namespace="1caad870-3340-4911-bc92-c3989ba6ea87"/>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d870-3340-4911-bc92-c3989ba6e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ategory" ma:index="19" nillable="true" ma:displayName="Category" ma:format="Dropdown"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1caad870-3340-4911-bc92-c3989ba6ea87"/>
  </ds:schemaRefs>
</ds:datastoreItem>
</file>

<file path=customXml/itemProps4.xml><?xml version="1.0" encoding="utf-8"?>
<ds:datastoreItem xmlns:ds="http://schemas.openxmlformats.org/officeDocument/2006/customXml" ds:itemID="{5EB8CB6D-445B-4236-9974-68B8E8ECC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d870-3340-4911-bc92-c3989ba6ea87"/>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Data analysis – 12 months of food and nutrition reporting</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analysis – 12 months of food and nutrition reporting</dc:title>
  <dc:subject>Aged Care</dc:subject>
  <dc:creator>Australian Government Department of Health and Aged Care</dc:creator>
  <cp:keywords>Aged Care; Aged Care Reforms;</cp:keywords>
  <dc:description/>
  <cp:lastModifiedBy>HAMLEY, Erynn</cp:lastModifiedBy>
  <cp:revision>3</cp:revision>
  <cp:lastPrinted>2023-06-12T01:43:00Z</cp:lastPrinted>
  <dcterms:created xsi:type="dcterms:W3CDTF">2023-06-12T01:43:00Z</dcterms:created>
  <dcterms:modified xsi:type="dcterms:W3CDTF">2023-06-12T01:44:00Z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0x010100655AB8119B1D0B40B9C97E64BEA9C356</vt:lpwstr>
  </property>
</Properties>
</file>