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D4B70" w14:textId="4E0C34AB" w:rsidR="00153018" w:rsidRDefault="002A70F7">
      <w:pPr>
        <w:pStyle w:val="BodyText"/>
        <w:spacing w:before="8"/>
        <w:rPr>
          <w:rFonts w:ascii="Times New Roman"/>
          <w:sz w:val="15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367CA23" wp14:editId="454D50FF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2263139" cy="415288"/>
            <wp:effectExtent l="0" t="0" r="4445" b="444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139" cy="415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98C596" w14:textId="5A56C68F" w:rsidR="00757176" w:rsidRDefault="00071376" w:rsidP="00757176">
      <w:pPr>
        <w:spacing w:before="93"/>
        <w:ind w:left="4962"/>
        <w:jc w:val="right"/>
        <w:rPr>
          <w:b/>
          <w:sz w:val="20"/>
        </w:rPr>
      </w:pPr>
      <w:r>
        <w:rPr>
          <w:b/>
          <w:sz w:val="20"/>
        </w:rPr>
        <w:t>Prostheses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List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Reform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Taskforce</w:t>
      </w:r>
    </w:p>
    <w:p w14:paraId="6A03DF93" w14:textId="2011528E" w:rsidR="00153018" w:rsidRDefault="00071376" w:rsidP="00757176">
      <w:pPr>
        <w:ind w:left="4962"/>
        <w:jc w:val="right"/>
        <w:rPr>
          <w:b/>
          <w:sz w:val="20"/>
        </w:rPr>
      </w:pPr>
      <w:r>
        <w:rPr>
          <w:b/>
          <w:sz w:val="20"/>
        </w:rPr>
        <w:t>Technology</w:t>
      </w:r>
      <w:r w:rsidR="00757176">
        <w:rPr>
          <w:b/>
          <w:sz w:val="20"/>
        </w:rPr>
        <w:t xml:space="preserve"> </w:t>
      </w:r>
      <w:r>
        <w:rPr>
          <w:b/>
          <w:sz w:val="20"/>
        </w:rPr>
        <w:t>Assessment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Access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Division</w:t>
      </w:r>
    </w:p>
    <w:p w14:paraId="31A50D14" w14:textId="77777777" w:rsidR="00153018" w:rsidRDefault="00153018">
      <w:pPr>
        <w:pStyle w:val="BodyText"/>
        <w:spacing w:before="2"/>
        <w:rPr>
          <w:b/>
          <w:sz w:val="27"/>
        </w:rPr>
      </w:pPr>
    </w:p>
    <w:p w14:paraId="23F389B7" w14:textId="0EF84B29" w:rsidR="00153018" w:rsidRDefault="00C6013C">
      <w:pPr>
        <w:pStyle w:val="BodyText"/>
        <w:spacing w:line="169" w:lineRule="exact"/>
        <w:ind w:left="-54"/>
        <w:rPr>
          <w:sz w:val="16"/>
        </w:rPr>
      </w:pPr>
      <w:r>
        <w:pict w14:anchorId="6E6AB6EB">
          <v:group id="docshapegroup3" o:spid="_x0000_s2050" style="width:485.4pt;height:8.45pt;mso-position-horizontal-relative:char;mso-position-vertical-relative:line" coordsize="10413,169">
            <v:shape id="docshape4" o:spid="_x0000_s2051" style="position:absolute;left:2537;width:7876;height:169;visibility:visible;mso-wrap-style:square;v-text-anchor:top" coordsize="7876,1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" adj="0,,0" path="m764,l,,,168r764,l764,xm7876,l2069,r,168l7876,168,7876,xe" fillcolor="#1d437e" stroked="f">
              <v:stroke joinstyle="round"/>
              <v:formulas/>
              <v:path arrowok="t" o:connecttype="custom" o:connectlocs="764,0;0,0;0,168;764,168;764,0;7876,0;2069,0;2069,168;7876,168;7876,0" o:connectangles="0,0,0,0,0,0,0,0,0,0"/>
            </v:shape>
            <v:rect id="docshape5" o:spid="_x0000_s2052" style="position:absolute;left:3530;width:782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" fillcolor="#008995" stroked="f"/>
            <v:rect id="docshape6" o:spid="_x0000_s2053" style="position:absolute;left:3301;width:228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" fillcolor="#008995" stroked="f">
              <v:fill opacity="52428f"/>
            </v:rect>
            <v:rect id="docshape7" o:spid="_x0000_s2054" style="position:absolute;left:2284;width:253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" fillcolor="#008995" stroked="f"/>
            <v:rect id="docshape8" o:spid="_x0000_s2055" style="position:absolute;left:2052;width:234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" fillcolor="#008995" stroked="f">
              <v:fill opacity="52428f"/>
            </v:rect>
            <v:shape id="docshape9" o:spid="_x0000_s2056" style="position:absolute;width:1590;height:169;visibility:visible;mso-wrap-style:square;v-text-anchor:top" coordsize="1590,1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" adj="0,,0" path="m787,l,,,168r787,l787,xm1590,l1108,r,168l1590,168,1590,xe" fillcolor="#1d437e" stroked="f">
              <v:stroke joinstyle="round"/>
              <v:formulas/>
              <v:path arrowok="t" o:connecttype="custom" o:connectlocs="787,0;0,0;0,168;787,168;787,0;1590,0;1108,0;1108,168;1590,168;1590,0" o:connectangles="0,0,0,0,0,0,0,0,0,0"/>
            </v:shape>
            <v:rect id="docshape10" o:spid="_x0000_s2057" style="position:absolute;left:788;width:324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" fillcolor="#008995" stroked="f">
              <v:fill opacity="52428f"/>
            </v:rect>
            <v:shape id="docshape11" o:spid="_x0000_s2058" style="position:absolute;left:1587;width:3018;height:170;visibility:visible;mso-wrap-style:square;v-text-anchor:top" coordsize="3018,1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" adj="0,,0" path="m467,l,,,168r467,l467,xm3018,l2725,r,169l3018,169,3018,xe" fillcolor="#1390cf" stroked="f">
              <v:fill opacity="52428f"/>
              <v:stroke joinstyle="round"/>
              <v:formulas/>
              <v:path arrowok="t" o:connecttype="custom" o:connectlocs="467,0;0,0;0,168;467,168;467,0;3018,0;2725,0;2725,169;3018,169;3018,0" o:connectangles="0,0,0,0,0,0,0,0,0,0"/>
            </v:shape>
            <w10:anchorlock/>
          </v:group>
        </w:pict>
      </w:r>
    </w:p>
    <w:p w14:paraId="50F6F5F7" w14:textId="77777777" w:rsidR="00153018" w:rsidRDefault="00153018" w:rsidP="00691331">
      <w:pPr>
        <w:pStyle w:val="BodyText"/>
        <w:spacing w:before="7"/>
        <w:jc w:val="center"/>
        <w:rPr>
          <w:b/>
          <w:sz w:val="27"/>
        </w:rPr>
      </w:pPr>
    </w:p>
    <w:p w14:paraId="4305DD88" w14:textId="5D70F714" w:rsidR="00691331" w:rsidRDefault="00691331" w:rsidP="0060724D">
      <w:pPr>
        <w:pStyle w:val="Title"/>
        <w:ind w:left="0" w:firstLine="0"/>
        <w:jc w:val="center"/>
        <w:rPr>
          <w:color w:val="3E4975"/>
          <w:spacing w:val="-13"/>
        </w:rPr>
      </w:pPr>
      <w:bookmarkStart w:id="0" w:name="PL_REFORMS_CONSULTATION_PAPER_3(B)_–_PAT"/>
      <w:bookmarkStart w:id="1" w:name="_Hlk121822677"/>
      <w:bookmarkStart w:id="2" w:name="_Hlk121822485"/>
      <w:bookmarkEnd w:id="0"/>
      <w:r>
        <w:rPr>
          <w:color w:val="3E4975"/>
          <w:spacing w:val="-4"/>
        </w:rPr>
        <w:t>PROSTHESES LIST COMPLIANCE STRATEGY</w:t>
      </w:r>
    </w:p>
    <w:p w14:paraId="2D46DF52" w14:textId="26FFEBCD" w:rsidR="00153018" w:rsidRPr="00691331" w:rsidRDefault="00071376" w:rsidP="0060724D">
      <w:pPr>
        <w:pStyle w:val="Title"/>
        <w:ind w:left="0" w:firstLine="0"/>
        <w:jc w:val="center"/>
        <w:rPr>
          <w:color w:val="3E4975"/>
          <w:spacing w:val="-4"/>
        </w:rPr>
      </w:pPr>
      <w:r>
        <w:rPr>
          <w:color w:val="3E4975"/>
        </w:rPr>
        <w:t>SUBMISSION</w:t>
      </w:r>
      <w:r w:rsidR="00691331">
        <w:rPr>
          <w:color w:val="3E4975"/>
        </w:rPr>
        <w:t xml:space="preserve"> </w:t>
      </w:r>
      <w:r>
        <w:rPr>
          <w:color w:val="3E4975"/>
        </w:rPr>
        <w:t>RESPONSES ANALYSIS</w:t>
      </w:r>
    </w:p>
    <w:p w14:paraId="12F2176C" w14:textId="77777777" w:rsidR="00153018" w:rsidRDefault="00071376" w:rsidP="001573D6">
      <w:pPr>
        <w:pStyle w:val="Heading1"/>
        <w:spacing w:before="181"/>
        <w:ind w:left="0"/>
      </w:pPr>
      <w:bookmarkStart w:id="3" w:name="Introduction"/>
      <w:bookmarkEnd w:id="3"/>
      <w:r>
        <w:rPr>
          <w:color w:val="358188"/>
          <w:spacing w:val="-2"/>
        </w:rPr>
        <w:t>Introduction</w:t>
      </w:r>
    </w:p>
    <w:p w14:paraId="36D83594" w14:textId="448EFFEB" w:rsidR="000F5E7D" w:rsidRPr="006126BC" w:rsidRDefault="00071376" w:rsidP="00D86353">
      <w:pPr>
        <w:pStyle w:val="BodyText"/>
        <w:spacing w:before="120" w:after="120"/>
        <w:ind w:right="530"/>
      </w:pPr>
      <w:r>
        <w:t>The</w:t>
      </w:r>
      <w:r w:rsidRPr="007D1713">
        <w:t xml:space="preserve"> </w:t>
      </w:r>
      <w:r>
        <w:t>purpose</w:t>
      </w:r>
      <w:r w:rsidRPr="007D1713">
        <w:t xml:space="preserve"> </w:t>
      </w:r>
      <w:r>
        <w:t>of</w:t>
      </w:r>
      <w:r w:rsidRPr="007D1713">
        <w:t xml:space="preserve"> </w:t>
      </w:r>
      <w:r>
        <w:t>this</w:t>
      </w:r>
      <w:r w:rsidRPr="007D1713">
        <w:t xml:space="preserve"> </w:t>
      </w:r>
      <w:r>
        <w:t>report</w:t>
      </w:r>
      <w:r w:rsidRPr="007D1713">
        <w:t xml:space="preserve"> </w:t>
      </w:r>
      <w:r>
        <w:t>is</w:t>
      </w:r>
      <w:r w:rsidRPr="007D1713">
        <w:t xml:space="preserve"> </w:t>
      </w:r>
      <w:r>
        <w:t>to</w:t>
      </w:r>
      <w:r w:rsidRPr="007D1713">
        <w:t xml:space="preserve"> </w:t>
      </w:r>
      <w:r>
        <w:t>provide</w:t>
      </w:r>
      <w:r w:rsidRPr="007D1713">
        <w:t xml:space="preserve"> </w:t>
      </w:r>
      <w:r>
        <w:t>an</w:t>
      </w:r>
      <w:r w:rsidRPr="007D1713">
        <w:t xml:space="preserve"> </w:t>
      </w:r>
      <w:r>
        <w:t>analysis</w:t>
      </w:r>
      <w:r w:rsidRPr="007D1713">
        <w:t xml:space="preserve"> </w:t>
      </w:r>
      <w:r>
        <w:t>of</w:t>
      </w:r>
      <w:r w:rsidRPr="007D1713">
        <w:t xml:space="preserve"> </w:t>
      </w:r>
      <w:r>
        <w:t>stakeholder</w:t>
      </w:r>
      <w:r w:rsidRPr="007D1713">
        <w:t xml:space="preserve"> </w:t>
      </w:r>
      <w:r>
        <w:t>feedback</w:t>
      </w:r>
      <w:r w:rsidRPr="007D1713">
        <w:t xml:space="preserve"> </w:t>
      </w:r>
      <w:r>
        <w:t>received</w:t>
      </w:r>
      <w:r w:rsidRPr="007D1713">
        <w:t xml:space="preserve"> </w:t>
      </w:r>
      <w:r>
        <w:t>in</w:t>
      </w:r>
      <w:r w:rsidRPr="007D1713">
        <w:t xml:space="preserve"> </w:t>
      </w:r>
      <w:r>
        <w:t>response</w:t>
      </w:r>
      <w:r w:rsidRPr="007D1713">
        <w:t xml:space="preserve"> </w:t>
      </w:r>
      <w:r>
        <w:t>to</w:t>
      </w:r>
      <w:r w:rsidRPr="007D1713">
        <w:t xml:space="preserve"> </w:t>
      </w:r>
      <w:r>
        <w:t xml:space="preserve">the </w:t>
      </w:r>
      <w:r w:rsidR="007D1713">
        <w:t xml:space="preserve">proposed </w:t>
      </w:r>
      <w:r>
        <w:t xml:space="preserve">Prostheses List </w:t>
      </w:r>
      <w:r w:rsidR="00691331" w:rsidRPr="007D1713">
        <w:t>Compliance Strategy (the Strategy).</w:t>
      </w:r>
      <w:r w:rsidR="00691331">
        <w:t xml:space="preserve"> The</w:t>
      </w:r>
      <w:r>
        <w:t xml:space="preserve"> submission period for responses to this </w:t>
      </w:r>
      <w:r w:rsidR="00691331">
        <w:t>Strategy</w:t>
      </w:r>
      <w:r>
        <w:t xml:space="preserve"> occurred between 1</w:t>
      </w:r>
      <w:r w:rsidR="00691331">
        <w:t>4</w:t>
      </w:r>
      <w:r>
        <w:t xml:space="preserve"> September and 2</w:t>
      </w:r>
      <w:r w:rsidR="000A7A9B">
        <w:t>1</w:t>
      </w:r>
      <w:r>
        <w:t xml:space="preserve"> October 2022. A total of </w:t>
      </w:r>
      <w:r w:rsidR="000A7A9B">
        <w:t>21</w:t>
      </w:r>
      <w:r w:rsidR="00DF5241">
        <w:t> </w:t>
      </w:r>
      <w:r>
        <w:t xml:space="preserve">submissions were received and accepted by the submission </w:t>
      </w:r>
      <w:r w:rsidRPr="00071B2E">
        <w:t>deadline (Figure 1)</w:t>
      </w:r>
      <w:r w:rsidR="00586708" w:rsidRPr="00071B2E">
        <w:t>.</w:t>
      </w:r>
      <w:r w:rsidR="000F5E7D" w:rsidRPr="00D068AA">
        <w:t xml:space="preserve"> </w:t>
      </w:r>
      <w:r w:rsidR="00586708">
        <w:t xml:space="preserve">The submissions </w:t>
      </w:r>
      <w:r w:rsidR="000F5E7D" w:rsidRPr="00D068AA">
        <w:t>represent</w:t>
      </w:r>
      <w:r w:rsidR="00586708">
        <w:t>ed</w:t>
      </w:r>
      <w:r w:rsidR="000F5E7D" w:rsidRPr="00D068AA">
        <w:t xml:space="preserve"> the medical technology sector, private hospitals, private health insurers, clinical </w:t>
      </w:r>
      <w:proofErr w:type="gramStart"/>
      <w:r w:rsidR="00586708">
        <w:t>experts</w:t>
      </w:r>
      <w:proofErr w:type="gramEnd"/>
      <w:r w:rsidR="00586708">
        <w:t xml:space="preserve"> </w:t>
      </w:r>
      <w:r w:rsidR="000F5E7D" w:rsidRPr="006126BC">
        <w:t>and individual consultants.</w:t>
      </w:r>
    </w:p>
    <w:p w14:paraId="01C2C67C" w14:textId="2912571A" w:rsidR="00153018" w:rsidRDefault="00586708" w:rsidP="00586708">
      <w:pPr>
        <w:pStyle w:val="BodyText"/>
        <w:spacing w:before="120" w:after="120"/>
        <w:ind w:right="6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EC4474" wp14:editId="75E2F4A1">
            <wp:simplePos x="0" y="0"/>
            <wp:positionH relativeFrom="margin">
              <wp:align>center</wp:align>
            </wp:positionH>
            <wp:positionV relativeFrom="paragraph">
              <wp:posOffset>810895</wp:posOffset>
            </wp:positionV>
            <wp:extent cx="4298315" cy="2476500"/>
            <wp:effectExtent l="0" t="0" r="698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79"/>
                    <a:stretch/>
                  </pic:blipFill>
                  <pic:spPr bwMode="auto">
                    <a:xfrm>
                      <a:off x="0" y="0"/>
                      <a:ext cx="4298315" cy="2476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376" w:rsidRPr="00D068AA">
        <w:t>Evaluation of</w:t>
      </w:r>
      <w:r w:rsidR="00071376" w:rsidRPr="006126BC">
        <w:t xml:space="preserve"> the submissions considered </w:t>
      </w:r>
      <w:r>
        <w:t xml:space="preserve">feedback about the </w:t>
      </w:r>
      <w:r w:rsidR="00071376" w:rsidRPr="006126BC">
        <w:t xml:space="preserve">proposed </w:t>
      </w:r>
      <w:r w:rsidR="000F5E7D" w:rsidRPr="006126BC">
        <w:t>Strategy, specifically regarding the Prostheses List (PL) compliance obligations, compliance activities</w:t>
      </w:r>
      <w:r>
        <w:t xml:space="preserve">, types of </w:t>
      </w:r>
      <w:r w:rsidR="000F5E7D" w:rsidRPr="006126BC">
        <w:t xml:space="preserve">practices and behaviours </w:t>
      </w:r>
      <w:r>
        <w:t xml:space="preserve">that constitute </w:t>
      </w:r>
      <w:r w:rsidR="000F5E7D" w:rsidRPr="006126BC">
        <w:t>non-compliance</w:t>
      </w:r>
      <w:r w:rsidR="009E3E0A" w:rsidRPr="006126BC">
        <w:t>,</w:t>
      </w:r>
      <w:r w:rsidR="000F5E7D" w:rsidRPr="006126BC">
        <w:t xml:space="preserve"> </w:t>
      </w:r>
      <w:r w:rsidR="009C316B">
        <w:t>and the</w:t>
      </w:r>
      <w:r w:rsidR="000F5E7D" w:rsidRPr="006126BC">
        <w:t xml:space="preserve"> legislative instruments applicable to the PL</w:t>
      </w:r>
      <w:r w:rsidR="009745FC">
        <w:t xml:space="preserve"> </w:t>
      </w:r>
      <w:r w:rsidR="000F5E7D" w:rsidRPr="006126BC">
        <w:t>program.</w:t>
      </w:r>
    </w:p>
    <w:p w14:paraId="737B869C" w14:textId="2F46FE49" w:rsidR="00586708" w:rsidRPr="006126BC" w:rsidRDefault="00586708" w:rsidP="00D86353">
      <w:pPr>
        <w:pStyle w:val="BodyText"/>
        <w:spacing w:before="120" w:after="120"/>
        <w:ind w:right="6"/>
      </w:pPr>
    </w:p>
    <w:p w14:paraId="2DF776C9" w14:textId="2F03F0B3" w:rsidR="00D068AA" w:rsidRPr="00EC056C" w:rsidRDefault="00071376" w:rsidP="00D86353">
      <w:pPr>
        <w:spacing w:before="120" w:after="120"/>
        <w:rPr>
          <w:b/>
          <w:spacing w:val="-2"/>
          <w:sz w:val="21"/>
        </w:rPr>
      </w:pPr>
      <w:r w:rsidRPr="00EC056C">
        <w:rPr>
          <w:b/>
          <w:sz w:val="21"/>
        </w:rPr>
        <w:t>Figure</w:t>
      </w:r>
      <w:r w:rsidRPr="00EC056C">
        <w:rPr>
          <w:b/>
          <w:spacing w:val="-8"/>
          <w:sz w:val="21"/>
        </w:rPr>
        <w:t xml:space="preserve"> </w:t>
      </w:r>
      <w:r w:rsidRPr="00EC056C">
        <w:rPr>
          <w:b/>
          <w:sz w:val="21"/>
        </w:rPr>
        <w:t>1:</w:t>
      </w:r>
      <w:r w:rsidRPr="00EC056C">
        <w:rPr>
          <w:b/>
          <w:spacing w:val="-6"/>
          <w:sz w:val="21"/>
        </w:rPr>
        <w:t xml:space="preserve"> </w:t>
      </w:r>
      <w:r w:rsidRPr="00EC056C">
        <w:rPr>
          <w:b/>
          <w:sz w:val="21"/>
        </w:rPr>
        <w:t>Number</w:t>
      </w:r>
      <w:r w:rsidRPr="00EC056C">
        <w:rPr>
          <w:b/>
          <w:spacing w:val="-7"/>
          <w:sz w:val="21"/>
        </w:rPr>
        <w:t xml:space="preserve"> </w:t>
      </w:r>
      <w:r w:rsidRPr="00EC056C">
        <w:rPr>
          <w:b/>
          <w:sz w:val="21"/>
        </w:rPr>
        <w:t>and</w:t>
      </w:r>
      <w:r w:rsidRPr="00EC056C">
        <w:rPr>
          <w:b/>
          <w:spacing w:val="-5"/>
          <w:sz w:val="21"/>
        </w:rPr>
        <w:t xml:space="preserve"> </w:t>
      </w:r>
      <w:r w:rsidRPr="00EC056C">
        <w:rPr>
          <w:b/>
          <w:sz w:val="21"/>
        </w:rPr>
        <w:t>type</w:t>
      </w:r>
      <w:r w:rsidRPr="00EC056C">
        <w:rPr>
          <w:b/>
          <w:spacing w:val="-6"/>
          <w:sz w:val="21"/>
        </w:rPr>
        <w:t xml:space="preserve"> </w:t>
      </w:r>
      <w:r w:rsidRPr="00EC056C">
        <w:rPr>
          <w:b/>
          <w:sz w:val="21"/>
        </w:rPr>
        <w:t>of</w:t>
      </w:r>
      <w:r w:rsidRPr="00EC056C">
        <w:rPr>
          <w:b/>
          <w:spacing w:val="-6"/>
          <w:sz w:val="21"/>
        </w:rPr>
        <w:t xml:space="preserve"> </w:t>
      </w:r>
      <w:r w:rsidRPr="00EC056C">
        <w:rPr>
          <w:b/>
          <w:sz w:val="21"/>
        </w:rPr>
        <w:t>respondents</w:t>
      </w:r>
      <w:r w:rsidRPr="00EC056C">
        <w:rPr>
          <w:b/>
          <w:spacing w:val="-7"/>
          <w:sz w:val="21"/>
        </w:rPr>
        <w:t xml:space="preserve"> </w:t>
      </w:r>
      <w:r w:rsidRPr="00EC056C">
        <w:rPr>
          <w:b/>
          <w:sz w:val="21"/>
        </w:rPr>
        <w:t>to</w:t>
      </w:r>
      <w:r w:rsidRPr="00EC056C">
        <w:rPr>
          <w:b/>
          <w:spacing w:val="-5"/>
          <w:sz w:val="21"/>
        </w:rPr>
        <w:t xml:space="preserve"> </w:t>
      </w:r>
      <w:r w:rsidRPr="00EC056C">
        <w:rPr>
          <w:b/>
          <w:sz w:val="21"/>
        </w:rPr>
        <w:t>Prostheses</w:t>
      </w:r>
      <w:r w:rsidRPr="00EC056C">
        <w:rPr>
          <w:b/>
          <w:spacing w:val="-6"/>
          <w:sz w:val="21"/>
        </w:rPr>
        <w:t xml:space="preserve"> </w:t>
      </w:r>
      <w:r w:rsidRPr="00EC056C">
        <w:rPr>
          <w:b/>
          <w:sz w:val="21"/>
        </w:rPr>
        <w:t>List</w:t>
      </w:r>
      <w:r w:rsidRPr="00EC056C">
        <w:rPr>
          <w:b/>
          <w:spacing w:val="-6"/>
          <w:sz w:val="21"/>
        </w:rPr>
        <w:t xml:space="preserve"> </w:t>
      </w:r>
      <w:r w:rsidR="000F5E7D" w:rsidRPr="00EC056C">
        <w:rPr>
          <w:b/>
          <w:sz w:val="21"/>
        </w:rPr>
        <w:t>Compliance Strategy.</w:t>
      </w:r>
    </w:p>
    <w:p w14:paraId="4368B25E" w14:textId="19BE6854" w:rsidR="00153018" w:rsidRDefault="00071376" w:rsidP="00D86353">
      <w:pPr>
        <w:pStyle w:val="Heading1"/>
        <w:spacing w:before="120" w:after="120"/>
        <w:ind w:left="0"/>
      </w:pPr>
      <w:bookmarkStart w:id="4" w:name="Key_concerns_raised_on_pathways"/>
      <w:bookmarkEnd w:id="4"/>
      <w:r>
        <w:rPr>
          <w:color w:val="358188"/>
        </w:rPr>
        <w:t>Key</w:t>
      </w:r>
      <w:r>
        <w:rPr>
          <w:color w:val="358188"/>
          <w:spacing w:val="-4"/>
        </w:rPr>
        <w:t xml:space="preserve"> </w:t>
      </w:r>
      <w:r w:rsidR="00AD27DE">
        <w:rPr>
          <w:color w:val="358188"/>
        </w:rPr>
        <w:t>feedback</w:t>
      </w:r>
    </w:p>
    <w:p w14:paraId="31563F61" w14:textId="2C23F279" w:rsidR="001573D6" w:rsidRDefault="001573D6" w:rsidP="00757176">
      <w:pPr>
        <w:pStyle w:val="BodyText"/>
        <w:spacing w:before="58"/>
      </w:pPr>
      <w:r>
        <w:t>Most PL stakeholders acknowledged and supported the proposed Strategy</w:t>
      </w:r>
      <w:r w:rsidR="00F07356">
        <w:t xml:space="preserve">. Key </w:t>
      </w:r>
      <w:r>
        <w:t>recommendations</w:t>
      </w:r>
      <w:r w:rsidR="00757176">
        <w:t xml:space="preserve"> </w:t>
      </w:r>
      <w:r w:rsidR="00F07356">
        <w:t>were about the need for:</w:t>
      </w:r>
    </w:p>
    <w:p w14:paraId="54CA301F" w14:textId="18E74696" w:rsidR="001573D6" w:rsidRDefault="002737D8" w:rsidP="00A12E2A">
      <w:pPr>
        <w:pStyle w:val="Paragraphtext"/>
        <w:numPr>
          <w:ilvl w:val="0"/>
          <w:numId w:val="7"/>
        </w:numPr>
        <w:rPr>
          <w:szCs w:val="21"/>
        </w:rPr>
      </w:pPr>
      <w:r>
        <w:rPr>
          <w:szCs w:val="21"/>
        </w:rPr>
        <w:t>Clarification of</w:t>
      </w:r>
      <w:r w:rsidR="00F32B6B" w:rsidRPr="00F32B6B">
        <w:rPr>
          <w:szCs w:val="21"/>
        </w:rPr>
        <w:t xml:space="preserve"> expectations or obligations for PL stakeholder</w:t>
      </w:r>
      <w:r w:rsidR="005C5731">
        <w:rPr>
          <w:szCs w:val="21"/>
        </w:rPr>
        <w:t>s</w:t>
      </w:r>
      <w:r w:rsidR="00F32B6B" w:rsidRPr="00F32B6B">
        <w:rPr>
          <w:szCs w:val="21"/>
        </w:rPr>
        <w:t xml:space="preserve"> including hospitals and insurers</w:t>
      </w:r>
    </w:p>
    <w:p w14:paraId="742A4194" w14:textId="3B1AAEFE" w:rsidR="00F32B6B" w:rsidRDefault="002737D8" w:rsidP="00A12E2A">
      <w:pPr>
        <w:pStyle w:val="Paragraphtext"/>
        <w:numPr>
          <w:ilvl w:val="0"/>
          <w:numId w:val="7"/>
        </w:numPr>
        <w:rPr>
          <w:szCs w:val="21"/>
        </w:rPr>
      </w:pPr>
      <w:r>
        <w:rPr>
          <w:szCs w:val="21"/>
        </w:rPr>
        <w:t>Clarification of</w:t>
      </w:r>
      <w:r w:rsidR="00F32B6B">
        <w:rPr>
          <w:szCs w:val="21"/>
        </w:rPr>
        <w:t xml:space="preserve"> </w:t>
      </w:r>
      <w:r w:rsidR="00F32B6B" w:rsidRPr="00F32B6B">
        <w:rPr>
          <w:szCs w:val="21"/>
        </w:rPr>
        <w:t>PL compliance enforcement activities with possible case studies</w:t>
      </w:r>
    </w:p>
    <w:p w14:paraId="6C373590" w14:textId="55C52D53" w:rsidR="007E2CC9" w:rsidRDefault="002737D8" w:rsidP="00C15807">
      <w:pPr>
        <w:pStyle w:val="Paragraphtext"/>
        <w:numPr>
          <w:ilvl w:val="0"/>
          <w:numId w:val="7"/>
        </w:numPr>
        <w:spacing w:after="240"/>
        <w:ind w:left="714" w:hanging="357"/>
        <w:rPr>
          <w:szCs w:val="21"/>
        </w:rPr>
      </w:pPr>
      <w:r>
        <w:rPr>
          <w:szCs w:val="21"/>
        </w:rPr>
        <w:t>Inclusion of</w:t>
      </w:r>
      <w:r w:rsidR="007E2CC9">
        <w:rPr>
          <w:szCs w:val="21"/>
        </w:rPr>
        <w:t xml:space="preserve"> additional</w:t>
      </w:r>
      <w:r w:rsidR="00F07356">
        <w:rPr>
          <w:szCs w:val="21"/>
        </w:rPr>
        <w:t xml:space="preserve"> types of non-compliant </w:t>
      </w:r>
      <w:r w:rsidR="007E2CC9">
        <w:rPr>
          <w:szCs w:val="21"/>
        </w:rPr>
        <w:t>practices that need to be addressed</w:t>
      </w:r>
      <w:r w:rsidR="00F07356">
        <w:rPr>
          <w:szCs w:val="21"/>
        </w:rPr>
        <w:t>.</w:t>
      </w:r>
    </w:p>
    <w:p w14:paraId="74A64131" w14:textId="299DB489" w:rsidR="00314D49" w:rsidRDefault="00314D49" w:rsidP="00657243">
      <w:pPr>
        <w:pStyle w:val="Paragraphtext"/>
        <w:rPr>
          <w:szCs w:val="21"/>
        </w:rPr>
      </w:pPr>
      <w:r>
        <w:rPr>
          <w:szCs w:val="21"/>
        </w:rPr>
        <w:t xml:space="preserve">While stakeholders </w:t>
      </w:r>
      <w:r w:rsidR="009F4735">
        <w:rPr>
          <w:szCs w:val="21"/>
        </w:rPr>
        <w:t xml:space="preserve">indicated a general </w:t>
      </w:r>
      <w:r>
        <w:rPr>
          <w:szCs w:val="21"/>
        </w:rPr>
        <w:t>underst</w:t>
      </w:r>
      <w:r w:rsidR="009F4735">
        <w:rPr>
          <w:szCs w:val="21"/>
        </w:rPr>
        <w:t>anding of</w:t>
      </w:r>
      <w:r>
        <w:rPr>
          <w:szCs w:val="21"/>
        </w:rPr>
        <w:t xml:space="preserve"> the legislative instruments, there were requests for additional education and training </w:t>
      </w:r>
      <w:r w:rsidR="009F4735">
        <w:rPr>
          <w:szCs w:val="21"/>
        </w:rPr>
        <w:t xml:space="preserve">specifically aimed at </w:t>
      </w:r>
      <w:r>
        <w:rPr>
          <w:szCs w:val="21"/>
        </w:rPr>
        <w:t xml:space="preserve">those who administer and interact </w:t>
      </w:r>
      <w:r w:rsidR="009F4735">
        <w:rPr>
          <w:szCs w:val="21"/>
        </w:rPr>
        <w:t xml:space="preserve">directly </w:t>
      </w:r>
      <w:r>
        <w:rPr>
          <w:szCs w:val="21"/>
        </w:rPr>
        <w:t>with the PL.</w:t>
      </w:r>
    </w:p>
    <w:p w14:paraId="4AC4B093" w14:textId="66402720" w:rsidR="00F07356" w:rsidRDefault="00F07356">
      <w:pPr>
        <w:rPr>
          <w:sz w:val="28"/>
          <w:szCs w:val="21"/>
        </w:rPr>
      </w:pPr>
      <w:r>
        <w:rPr>
          <w:szCs w:val="21"/>
        </w:rPr>
        <w:br w:type="page"/>
      </w:r>
    </w:p>
    <w:p w14:paraId="7DB14FF6" w14:textId="1DEE927A" w:rsidR="005A204D" w:rsidRPr="00C15807" w:rsidRDefault="005A204D" w:rsidP="00C15807">
      <w:pPr>
        <w:pStyle w:val="Heading1"/>
        <w:spacing w:before="181"/>
        <w:ind w:left="0"/>
        <w:rPr>
          <w:color w:val="358188"/>
        </w:rPr>
      </w:pPr>
      <w:r w:rsidRPr="00C15807">
        <w:rPr>
          <w:color w:val="358188"/>
        </w:rPr>
        <w:lastRenderedPageBreak/>
        <w:t>Key concerns</w:t>
      </w:r>
    </w:p>
    <w:p w14:paraId="3BADB1DD" w14:textId="56CF7BD9" w:rsidR="004C6123" w:rsidRPr="00C15807" w:rsidRDefault="004C6123" w:rsidP="00D86353">
      <w:pPr>
        <w:pStyle w:val="BodyText"/>
        <w:spacing w:before="120" w:after="120"/>
        <w:rPr>
          <w:szCs w:val="20"/>
        </w:rPr>
      </w:pPr>
      <w:r w:rsidRPr="00283FA9">
        <w:rPr>
          <w:szCs w:val="20"/>
        </w:rPr>
        <w:t xml:space="preserve">Some </w:t>
      </w:r>
      <w:r w:rsidR="002325B7" w:rsidRPr="00283FA9">
        <w:rPr>
          <w:szCs w:val="20"/>
        </w:rPr>
        <w:t xml:space="preserve">of the </w:t>
      </w:r>
      <w:r w:rsidRPr="00DA7414">
        <w:rPr>
          <w:szCs w:val="20"/>
        </w:rPr>
        <w:t xml:space="preserve">concerns raised </w:t>
      </w:r>
      <w:r w:rsidRPr="00C15807">
        <w:rPr>
          <w:szCs w:val="20"/>
        </w:rPr>
        <w:t>by stakeholders about the Strategy</w:t>
      </w:r>
      <w:r w:rsidR="002325B7" w:rsidRPr="00C15807">
        <w:rPr>
          <w:szCs w:val="20"/>
        </w:rPr>
        <w:t xml:space="preserve"> include</w:t>
      </w:r>
      <w:r w:rsidRPr="00C15807">
        <w:rPr>
          <w:szCs w:val="20"/>
        </w:rPr>
        <w:t>:</w:t>
      </w:r>
    </w:p>
    <w:p w14:paraId="1CF3FB1D" w14:textId="4F445BA8" w:rsidR="004C6123" w:rsidRPr="00C15807" w:rsidRDefault="004C6123" w:rsidP="00D86353">
      <w:pPr>
        <w:pStyle w:val="Paragraphtext"/>
        <w:numPr>
          <w:ilvl w:val="0"/>
          <w:numId w:val="7"/>
        </w:numPr>
        <w:spacing w:after="120"/>
        <w:rPr>
          <w:szCs w:val="20"/>
        </w:rPr>
      </w:pPr>
      <w:r w:rsidRPr="00C15807">
        <w:rPr>
          <w:szCs w:val="20"/>
        </w:rPr>
        <w:t>Enforcement measures must be not only timely, but consistent and sufficiently robust to act as a deterrent of deliberate non-compliant activity</w:t>
      </w:r>
    </w:p>
    <w:p w14:paraId="417F82C6" w14:textId="5B5789BC" w:rsidR="005A204D" w:rsidRPr="005668AB" w:rsidRDefault="001D118A" w:rsidP="00D86353">
      <w:pPr>
        <w:pStyle w:val="Paragraphtext"/>
        <w:numPr>
          <w:ilvl w:val="0"/>
          <w:numId w:val="7"/>
        </w:numPr>
        <w:spacing w:after="120"/>
        <w:rPr>
          <w:szCs w:val="21"/>
        </w:rPr>
      </w:pPr>
      <w:r w:rsidRPr="005668AB">
        <w:rPr>
          <w:szCs w:val="20"/>
        </w:rPr>
        <w:t xml:space="preserve">With </w:t>
      </w:r>
      <w:r w:rsidR="00C34C26" w:rsidRPr="005668AB">
        <w:rPr>
          <w:szCs w:val="20"/>
        </w:rPr>
        <w:t xml:space="preserve">the establishment of a formal compliance model, there </w:t>
      </w:r>
      <w:r w:rsidR="009F4735">
        <w:rPr>
          <w:szCs w:val="20"/>
        </w:rPr>
        <w:t xml:space="preserve">needs to </w:t>
      </w:r>
      <w:r w:rsidR="00C34C26" w:rsidRPr="005668AB">
        <w:rPr>
          <w:szCs w:val="20"/>
        </w:rPr>
        <w:t>be an appropriate way to appeal decisions</w:t>
      </w:r>
      <w:r w:rsidR="009F4735">
        <w:rPr>
          <w:szCs w:val="20"/>
        </w:rPr>
        <w:t xml:space="preserve"> and actions taken </w:t>
      </w:r>
      <w:r w:rsidR="00C34C26" w:rsidRPr="005668AB">
        <w:rPr>
          <w:szCs w:val="20"/>
        </w:rPr>
        <w:t>by the Department</w:t>
      </w:r>
      <w:r w:rsidR="005668AB" w:rsidRPr="005668AB">
        <w:rPr>
          <w:szCs w:val="20"/>
        </w:rPr>
        <w:t>.</w:t>
      </w:r>
    </w:p>
    <w:p w14:paraId="50CA15EF" w14:textId="64195EDE" w:rsidR="00153018" w:rsidRPr="0060724D" w:rsidRDefault="00071376" w:rsidP="00D86353">
      <w:pPr>
        <w:spacing w:before="120" w:after="120"/>
        <w:rPr>
          <w:sz w:val="21"/>
          <w:szCs w:val="21"/>
        </w:rPr>
      </w:pPr>
      <w:bookmarkStart w:id="5" w:name="Key_feedback_from_cost_recovery_proposal"/>
      <w:bookmarkStart w:id="6" w:name="_Hlk121822756"/>
      <w:bookmarkEnd w:id="1"/>
      <w:bookmarkEnd w:id="5"/>
      <w:r w:rsidRPr="0060724D">
        <w:rPr>
          <w:sz w:val="21"/>
          <w:szCs w:val="21"/>
        </w:rPr>
        <w:t>An overview of stakeholder</w:t>
      </w:r>
      <w:r w:rsidR="00953B80">
        <w:rPr>
          <w:sz w:val="21"/>
          <w:szCs w:val="21"/>
        </w:rPr>
        <w:t>'</w:t>
      </w:r>
      <w:r w:rsidRPr="0060724D">
        <w:rPr>
          <w:sz w:val="21"/>
          <w:szCs w:val="21"/>
        </w:rPr>
        <w:t xml:space="preserve">s feedback on the </w:t>
      </w:r>
      <w:r w:rsidR="007D1713" w:rsidRPr="0060724D">
        <w:rPr>
          <w:sz w:val="21"/>
          <w:szCs w:val="21"/>
        </w:rPr>
        <w:t>Strategy</w:t>
      </w:r>
      <w:r w:rsidRPr="0060724D">
        <w:rPr>
          <w:sz w:val="21"/>
          <w:szCs w:val="21"/>
        </w:rPr>
        <w:t xml:space="preserve">, as well as the Department’s response to the feedback is summarised </w:t>
      </w:r>
      <w:r w:rsidRPr="00071B2E">
        <w:rPr>
          <w:sz w:val="21"/>
          <w:szCs w:val="21"/>
        </w:rPr>
        <w:t>in Table 1.</w:t>
      </w:r>
    </w:p>
    <w:p w14:paraId="18B5D353" w14:textId="77777777" w:rsidR="00153018" w:rsidRDefault="00071376" w:rsidP="007D1713">
      <w:pPr>
        <w:pStyle w:val="Heading1"/>
        <w:spacing w:before="181"/>
        <w:ind w:left="0"/>
      </w:pPr>
      <w:bookmarkStart w:id="7" w:name="Outside_the_scope"/>
      <w:bookmarkEnd w:id="7"/>
      <w:r>
        <w:rPr>
          <w:color w:val="358188"/>
        </w:rPr>
        <w:t>Outside</w:t>
      </w:r>
      <w:r>
        <w:rPr>
          <w:color w:val="358188"/>
          <w:spacing w:val="-4"/>
        </w:rPr>
        <w:t xml:space="preserve"> </w:t>
      </w:r>
      <w:r>
        <w:rPr>
          <w:color w:val="358188"/>
        </w:rPr>
        <w:t>the</w:t>
      </w:r>
      <w:r>
        <w:rPr>
          <w:color w:val="358188"/>
          <w:spacing w:val="-5"/>
        </w:rPr>
        <w:t xml:space="preserve"> </w:t>
      </w:r>
      <w:r>
        <w:rPr>
          <w:color w:val="358188"/>
          <w:spacing w:val="-2"/>
        </w:rPr>
        <w:t>scope</w:t>
      </w:r>
    </w:p>
    <w:p w14:paraId="705D58D1" w14:textId="3C59569F" w:rsidR="00153018" w:rsidRDefault="00071376" w:rsidP="00D86353">
      <w:pPr>
        <w:pStyle w:val="BodyText"/>
        <w:spacing w:before="120" w:after="120"/>
        <w:ind w:right="530"/>
      </w:pPr>
      <w:r>
        <w:t>Several</w:t>
      </w:r>
      <w:r>
        <w:rPr>
          <w:spacing w:val="-4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raised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stakeholders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 w:rsidR="009E3E0A">
        <w:t>the Strategy</w:t>
      </w:r>
      <w:r>
        <w:rPr>
          <w:spacing w:val="-3"/>
        </w:rPr>
        <w:t xml:space="preserve"> </w:t>
      </w:r>
      <w:r>
        <w:t xml:space="preserve">and </w:t>
      </w:r>
      <w:r w:rsidR="009F4735">
        <w:t xml:space="preserve">these </w:t>
      </w:r>
      <w:r>
        <w:t xml:space="preserve">were </w:t>
      </w:r>
      <w:r w:rsidR="009F4735">
        <w:t xml:space="preserve">therefore </w:t>
      </w:r>
      <w:r>
        <w:t xml:space="preserve">not included in the analysis. These included </w:t>
      </w:r>
      <w:r w:rsidR="009E3E0A">
        <w:t xml:space="preserve">insights on the </w:t>
      </w:r>
      <w:r w:rsidR="005F3164">
        <w:t xml:space="preserve">broader </w:t>
      </w:r>
      <w:r w:rsidR="009E3E0A">
        <w:t>PL program</w:t>
      </w:r>
      <w:r w:rsidR="005F3164">
        <w:t xml:space="preserve"> rather than compliance related matters</w:t>
      </w:r>
      <w:r w:rsidR="009E3E0A">
        <w:t>, such as m</w:t>
      </w:r>
      <w:r w:rsidR="009E3E0A" w:rsidRPr="009E3E0A">
        <w:t>onitoring comparative international market</w:t>
      </w:r>
      <w:r w:rsidR="00F07E53">
        <w:t>s</w:t>
      </w:r>
      <w:r w:rsidR="009E3E0A" w:rsidRPr="002F6233">
        <w:t xml:space="preserve">, reference pricing and </w:t>
      </w:r>
      <w:r w:rsidR="009F4735">
        <w:t xml:space="preserve">the revised </w:t>
      </w:r>
      <w:r w:rsidR="009E3E0A" w:rsidRPr="002F6233">
        <w:t>cost-recovery model</w:t>
      </w:r>
      <w:r w:rsidR="007D1713" w:rsidRPr="002F6233">
        <w:t>.</w:t>
      </w:r>
    </w:p>
    <w:p w14:paraId="4DB05C6F" w14:textId="684EB58F" w:rsidR="00153018" w:rsidRDefault="00071376" w:rsidP="00D86353">
      <w:pPr>
        <w:pStyle w:val="BodyText"/>
        <w:spacing w:before="120" w:after="120"/>
      </w:pPr>
      <w:r>
        <w:t>These</w:t>
      </w:r>
      <w:r>
        <w:rPr>
          <w:spacing w:val="-7"/>
        </w:rPr>
        <w:t xml:space="preserve"> </w:t>
      </w:r>
      <w:r>
        <w:t>issues</w:t>
      </w:r>
      <w:r>
        <w:rPr>
          <w:spacing w:val="-7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considered</w:t>
      </w:r>
      <w:r>
        <w:rPr>
          <w:spacing w:val="-4"/>
        </w:rPr>
        <w:t xml:space="preserve"> </w:t>
      </w:r>
      <w:r w:rsidR="002A07F0">
        <w:t xml:space="preserve">separately </w:t>
      </w:r>
      <w:r w:rsidR="009F4735">
        <w:t xml:space="preserve">as part of the </w:t>
      </w:r>
      <w:r w:rsidR="002A07F0">
        <w:t>PL Reform</w:t>
      </w:r>
      <w:r>
        <w:rPr>
          <w:spacing w:val="-2"/>
        </w:rPr>
        <w:t>.</w:t>
      </w:r>
    </w:p>
    <w:bookmarkEnd w:id="6"/>
    <w:p w14:paraId="01D6FCFF" w14:textId="77777777" w:rsidR="00153018" w:rsidRDefault="00153018">
      <w:pPr>
        <w:sectPr w:rsidR="00153018" w:rsidSect="00757176">
          <w:footerReference w:type="default" r:id="rId13"/>
          <w:type w:val="nextColumn"/>
          <w:pgSz w:w="11910" w:h="16840"/>
          <w:pgMar w:top="709" w:right="1134" w:bottom="851" w:left="1134" w:header="0" w:footer="822" w:gutter="0"/>
          <w:cols w:space="720"/>
        </w:sectPr>
      </w:pPr>
    </w:p>
    <w:p w14:paraId="2FB480FA" w14:textId="4E796770" w:rsidR="00153018" w:rsidRDefault="00071376">
      <w:pPr>
        <w:spacing w:before="129"/>
        <w:ind w:left="112" w:right="1234"/>
        <w:rPr>
          <w:b/>
          <w:sz w:val="21"/>
        </w:rPr>
      </w:pPr>
      <w:r>
        <w:rPr>
          <w:b/>
          <w:sz w:val="21"/>
        </w:rPr>
        <w:lastRenderedPageBreak/>
        <w:t>Table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1: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Key</w:t>
      </w:r>
      <w:r>
        <w:rPr>
          <w:b/>
          <w:spacing w:val="-4"/>
          <w:sz w:val="21"/>
        </w:rPr>
        <w:t xml:space="preserve"> </w:t>
      </w:r>
      <w:r w:rsidR="002325B7">
        <w:rPr>
          <w:b/>
          <w:spacing w:val="-4"/>
          <w:sz w:val="21"/>
        </w:rPr>
        <w:t xml:space="preserve">feedback and </w:t>
      </w:r>
      <w:r>
        <w:rPr>
          <w:b/>
          <w:sz w:val="21"/>
        </w:rPr>
        <w:t>concerns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about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2"/>
          <w:sz w:val="21"/>
        </w:rPr>
        <w:t xml:space="preserve"> </w:t>
      </w:r>
      <w:r w:rsidR="007D1713">
        <w:rPr>
          <w:b/>
          <w:sz w:val="21"/>
        </w:rPr>
        <w:t>proposed Prostheses List Compliance Strategy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raised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by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stakeholders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Department’s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accompanying response to address stakeholder concern.</w:t>
      </w:r>
    </w:p>
    <w:p w14:paraId="3AC4D575" w14:textId="77777777" w:rsidR="00153018" w:rsidRDefault="00153018">
      <w:pPr>
        <w:pStyle w:val="BodyText"/>
        <w:spacing w:before="7"/>
        <w:rPr>
          <w:b/>
          <w:sz w:val="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007"/>
        <w:gridCol w:w="9"/>
        <w:gridCol w:w="5569"/>
        <w:gridCol w:w="6101"/>
      </w:tblGrid>
      <w:tr w:rsidR="00153018" w14:paraId="2950AD8A" w14:textId="77777777" w:rsidTr="00D86353">
        <w:trPr>
          <w:trHeight w:val="394"/>
          <w:tblHeader/>
        </w:trPr>
        <w:tc>
          <w:tcPr>
            <w:tcW w:w="1027" w:type="pct"/>
            <w:gridSpan w:val="2"/>
            <w:shd w:val="clear" w:color="auto" w:fill="D9D9D9"/>
          </w:tcPr>
          <w:p w14:paraId="2C3DC3CB" w14:textId="77777777" w:rsidR="00153018" w:rsidRDefault="00071376" w:rsidP="00D86353">
            <w:pPr>
              <w:pStyle w:val="TableParagraph"/>
              <w:spacing w:before="120" w:after="120"/>
              <w:ind w:left="1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Issue</w:t>
            </w:r>
          </w:p>
        </w:tc>
        <w:tc>
          <w:tcPr>
            <w:tcW w:w="1896" w:type="pct"/>
            <w:shd w:val="clear" w:color="auto" w:fill="D9D9D9"/>
          </w:tcPr>
          <w:p w14:paraId="588D17DD" w14:textId="77777777" w:rsidR="00153018" w:rsidRDefault="00071376" w:rsidP="00D86353">
            <w:pPr>
              <w:pStyle w:val="TableParagraph"/>
              <w:spacing w:before="120" w:after="12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Stakeholder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feedback</w:t>
            </w:r>
          </w:p>
        </w:tc>
        <w:tc>
          <w:tcPr>
            <w:tcW w:w="2077" w:type="pct"/>
            <w:shd w:val="clear" w:color="auto" w:fill="D9D9D9"/>
          </w:tcPr>
          <w:p w14:paraId="37D96050" w14:textId="77777777" w:rsidR="00153018" w:rsidRDefault="00071376" w:rsidP="00D86353">
            <w:pPr>
              <w:pStyle w:val="TableParagraph"/>
              <w:spacing w:before="120" w:after="120"/>
              <w:rPr>
                <w:b/>
                <w:sz w:val="21"/>
              </w:rPr>
            </w:pPr>
            <w:r>
              <w:rPr>
                <w:b/>
                <w:sz w:val="21"/>
              </w:rPr>
              <w:t>Department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response</w:t>
            </w:r>
          </w:p>
        </w:tc>
      </w:tr>
      <w:tr w:rsidR="00773451" w14:paraId="37B57981" w14:textId="77777777" w:rsidTr="00D86353">
        <w:trPr>
          <w:trHeight w:val="394"/>
        </w:trPr>
        <w:tc>
          <w:tcPr>
            <w:tcW w:w="1027" w:type="pct"/>
            <w:gridSpan w:val="2"/>
            <w:shd w:val="clear" w:color="auto" w:fill="FFFFFF" w:themeFill="background1"/>
          </w:tcPr>
          <w:p w14:paraId="57941332" w14:textId="304548C3" w:rsidR="00773451" w:rsidRPr="00071B2E" w:rsidRDefault="00773451" w:rsidP="00D86353">
            <w:pPr>
              <w:pStyle w:val="TableParagraph"/>
              <w:spacing w:before="120" w:after="120"/>
              <w:ind w:left="107"/>
              <w:rPr>
                <w:b/>
                <w:i/>
                <w:iCs/>
                <w:spacing w:val="-2"/>
                <w:sz w:val="21"/>
              </w:rPr>
            </w:pPr>
            <w:r w:rsidRPr="00071B2E">
              <w:rPr>
                <w:b/>
                <w:i/>
                <w:iCs/>
                <w:spacing w:val="-2"/>
                <w:sz w:val="21"/>
              </w:rPr>
              <w:t xml:space="preserve">Clarity </w:t>
            </w:r>
            <w:r w:rsidR="00663F9C" w:rsidRPr="00071B2E">
              <w:rPr>
                <w:b/>
                <w:i/>
                <w:iCs/>
                <w:spacing w:val="-2"/>
                <w:sz w:val="21"/>
              </w:rPr>
              <w:t xml:space="preserve">about </w:t>
            </w:r>
            <w:r w:rsidRPr="00071B2E">
              <w:rPr>
                <w:b/>
                <w:i/>
                <w:iCs/>
                <w:spacing w:val="-2"/>
                <w:sz w:val="21"/>
              </w:rPr>
              <w:t>the responsibilities of stakeholders</w:t>
            </w:r>
          </w:p>
        </w:tc>
        <w:tc>
          <w:tcPr>
            <w:tcW w:w="1896" w:type="pct"/>
            <w:shd w:val="clear" w:color="auto" w:fill="FFFFFF" w:themeFill="background1"/>
          </w:tcPr>
          <w:p w14:paraId="66B141D9" w14:textId="7D5E5231" w:rsidR="00DE13D9" w:rsidRPr="00864A24" w:rsidRDefault="00773451" w:rsidP="00D86353">
            <w:pPr>
              <w:pStyle w:val="TableParagraph"/>
              <w:spacing w:before="120" w:after="120"/>
              <w:ind w:left="107"/>
              <w:rPr>
                <w:bCs/>
                <w:sz w:val="21"/>
              </w:rPr>
            </w:pPr>
            <w:r w:rsidRPr="00864A24">
              <w:rPr>
                <w:bCs/>
                <w:sz w:val="21"/>
              </w:rPr>
              <w:t xml:space="preserve">Many stakeholders raised concerns about the lack of </w:t>
            </w:r>
            <w:r w:rsidR="001C3A2E" w:rsidRPr="00864A24">
              <w:rPr>
                <w:bCs/>
                <w:sz w:val="21"/>
              </w:rPr>
              <w:t xml:space="preserve">clear understanding of </w:t>
            </w:r>
            <w:r w:rsidRPr="00864A24">
              <w:rPr>
                <w:bCs/>
                <w:sz w:val="21"/>
              </w:rPr>
              <w:t>responsibilities</w:t>
            </w:r>
            <w:r w:rsidR="00EC056C">
              <w:rPr>
                <w:bCs/>
                <w:sz w:val="21"/>
              </w:rPr>
              <w:t>/measures</w:t>
            </w:r>
            <w:r w:rsidRPr="00864A24">
              <w:rPr>
                <w:bCs/>
                <w:sz w:val="21"/>
              </w:rPr>
              <w:t xml:space="preserve"> </w:t>
            </w:r>
            <w:r w:rsidR="001C3A2E" w:rsidRPr="00864A24">
              <w:rPr>
                <w:bCs/>
                <w:sz w:val="21"/>
              </w:rPr>
              <w:t>applicable to each</w:t>
            </w:r>
            <w:r w:rsidRPr="00864A24">
              <w:rPr>
                <w:bCs/>
                <w:sz w:val="21"/>
              </w:rPr>
              <w:t xml:space="preserve"> PL stakeholder</w:t>
            </w:r>
            <w:r w:rsidR="00663F9C">
              <w:rPr>
                <w:bCs/>
                <w:sz w:val="21"/>
              </w:rPr>
              <w:t xml:space="preserve"> group</w:t>
            </w:r>
            <w:r w:rsidR="009F4735">
              <w:rPr>
                <w:bCs/>
                <w:sz w:val="21"/>
              </w:rPr>
              <w:t>.</w:t>
            </w:r>
          </w:p>
        </w:tc>
        <w:tc>
          <w:tcPr>
            <w:tcW w:w="2077" w:type="pct"/>
            <w:shd w:val="clear" w:color="auto" w:fill="FFFFFF" w:themeFill="background1"/>
          </w:tcPr>
          <w:p w14:paraId="3938161F" w14:textId="30D28967" w:rsidR="00773451" w:rsidRPr="00C15807" w:rsidRDefault="00EC056C" w:rsidP="00D86353">
            <w:pPr>
              <w:pStyle w:val="TableParagraph"/>
              <w:spacing w:before="120" w:after="120"/>
              <w:rPr>
                <w:bCs/>
                <w:sz w:val="21"/>
                <w:szCs w:val="21"/>
              </w:rPr>
            </w:pPr>
            <w:r w:rsidRPr="00283FA9">
              <w:rPr>
                <w:bCs/>
                <w:sz w:val="21"/>
                <w:szCs w:val="21"/>
              </w:rPr>
              <w:t>The Department acknowledges the feedback provided by stakeholders.</w:t>
            </w:r>
            <w:r w:rsidRPr="00DA7414">
              <w:rPr>
                <w:bCs/>
                <w:sz w:val="21"/>
                <w:szCs w:val="21"/>
              </w:rPr>
              <w:t xml:space="preserve"> </w:t>
            </w:r>
            <w:r w:rsidR="00D50235">
              <w:rPr>
                <w:bCs/>
                <w:sz w:val="21"/>
                <w:szCs w:val="21"/>
              </w:rPr>
              <w:t xml:space="preserve">The </w:t>
            </w:r>
            <w:r w:rsidRPr="00DA7414">
              <w:rPr>
                <w:bCs/>
                <w:sz w:val="21"/>
                <w:szCs w:val="21"/>
              </w:rPr>
              <w:t xml:space="preserve">list </w:t>
            </w:r>
            <w:r w:rsidRPr="00C15807">
              <w:rPr>
                <w:bCs/>
                <w:sz w:val="21"/>
                <w:szCs w:val="21"/>
              </w:rPr>
              <w:t xml:space="preserve">of obligations </w:t>
            </w:r>
            <w:r w:rsidR="00D50235">
              <w:rPr>
                <w:bCs/>
                <w:sz w:val="21"/>
                <w:szCs w:val="21"/>
              </w:rPr>
              <w:t xml:space="preserve">and </w:t>
            </w:r>
            <w:r w:rsidRPr="00C15807">
              <w:rPr>
                <w:bCs/>
                <w:sz w:val="21"/>
                <w:szCs w:val="21"/>
              </w:rPr>
              <w:t xml:space="preserve">simple measures </w:t>
            </w:r>
            <w:r w:rsidR="00663F9C">
              <w:rPr>
                <w:bCs/>
                <w:sz w:val="21"/>
                <w:szCs w:val="21"/>
              </w:rPr>
              <w:t xml:space="preserve">is not intended to be </w:t>
            </w:r>
            <w:r w:rsidRPr="00C15807">
              <w:rPr>
                <w:bCs/>
                <w:sz w:val="21"/>
                <w:szCs w:val="21"/>
              </w:rPr>
              <w:t>exhaustive</w:t>
            </w:r>
            <w:r w:rsidR="00D50235">
              <w:rPr>
                <w:bCs/>
                <w:sz w:val="21"/>
                <w:szCs w:val="21"/>
              </w:rPr>
              <w:t xml:space="preserve"> but would benefit from clarifying those that are applicable to the different stakeholder groups.</w:t>
            </w:r>
            <w:r w:rsidR="00FE1AB3">
              <w:rPr>
                <w:bCs/>
                <w:sz w:val="21"/>
                <w:szCs w:val="21"/>
              </w:rPr>
              <w:t xml:space="preserve"> Additional descriptions have been added to the Strategy.</w:t>
            </w:r>
          </w:p>
        </w:tc>
      </w:tr>
      <w:tr w:rsidR="00153018" w14:paraId="34B461CF" w14:textId="77777777" w:rsidTr="00D86353">
        <w:trPr>
          <w:trHeight w:val="1559"/>
        </w:trPr>
        <w:tc>
          <w:tcPr>
            <w:tcW w:w="1027" w:type="pct"/>
            <w:gridSpan w:val="2"/>
          </w:tcPr>
          <w:p w14:paraId="171E3DC2" w14:textId="3CF3E90F" w:rsidR="00153018" w:rsidRDefault="00423D3E" w:rsidP="00D86353">
            <w:pPr>
              <w:pStyle w:val="TableParagraph"/>
              <w:spacing w:before="120" w:after="120"/>
              <w:ind w:left="107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Clarity a</w:t>
            </w:r>
            <w:r w:rsidR="00663F9C">
              <w:rPr>
                <w:b/>
                <w:i/>
                <w:sz w:val="21"/>
              </w:rPr>
              <w:t>bout</w:t>
            </w:r>
            <w:r>
              <w:rPr>
                <w:b/>
                <w:i/>
                <w:sz w:val="21"/>
              </w:rPr>
              <w:t xml:space="preserve"> compliance enforcement activities</w:t>
            </w:r>
          </w:p>
        </w:tc>
        <w:tc>
          <w:tcPr>
            <w:tcW w:w="1896" w:type="pct"/>
          </w:tcPr>
          <w:p w14:paraId="7E33FEE9" w14:textId="4AE54597" w:rsidR="00153018" w:rsidRPr="00C278F6" w:rsidRDefault="00071376" w:rsidP="00D86353">
            <w:pPr>
              <w:pStyle w:val="TableParagraph"/>
              <w:spacing w:before="120" w:after="120"/>
              <w:ind w:left="107"/>
              <w:rPr>
                <w:sz w:val="21"/>
                <w:szCs w:val="21"/>
              </w:rPr>
            </w:pPr>
            <w:r w:rsidRPr="00C278F6">
              <w:rPr>
                <w:sz w:val="21"/>
                <w:szCs w:val="21"/>
              </w:rPr>
              <w:t xml:space="preserve">Some stakeholders raised their concerns regarding a lack of </w:t>
            </w:r>
            <w:r w:rsidR="00423D3E" w:rsidRPr="00C278F6">
              <w:rPr>
                <w:sz w:val="21"/>
                <w:szCs w:val="21"/>
              </w:rPr>
              <w:t xml:space="preserve">clarity around the exact nature of compliance enforcement activities in the PL Compliance Enforcement Model. Feedback </w:t>
            </w:r>
            <w:r w:rsidR="00D50235">
              <w:rPr>
                <w:sz w:val="21"/>
                <w:szCs w:val="21"/>
              </w:rPr>
              <w:t>indicated a need for mo</w:t>
            </w:r>
            <w:r w:rsidR="003C686E">
              <w:rPr>
                <w:sz w:val="21"/>
                <w:szCs w:val="21"/>
              </w:rPr>
              <w:t>re details</w:t>
            </w:r>
            <w:r w:rsidR="00C25F96">
              <w:rPr>
                <w:sz w:val="21"/>
                <w:szCs w:val="21"/>
              </w:rPr>
              <w:t xml:space="preserve"> </w:t>
            </w:r>
            <w:r w:rsidR="00D50235">
              <w:rPr>
                <w:sz w:val="21"/>
                <w:szCs w:val="21"/>
              </w:rPr>
              <w:t xml:space="preserve">about </w:t>
            </w:r>
            <w:r w:rsidR="003C686E">
              <w:rPr>
                <w:sz w:val="21"/>
                <w:szCs w:val="21"/>
              </w:rPr>
              <w:t>the strategies and the method of implementation</w:t>
            </w:r>
            <w:r w:rsidR="009F4735">
              <w:rPr>
                <w:sz w:val="21"/>
                <w:szCs w:val="21"/>
              </w:rPr>
              <w:t>.</w:t>
            </w:r>
          </w:p>
        </w:tc>
        <w:tc>
          <w:tcPr>
            <w:tcW w:w="2077" w:type="pct"/>
          </w:tcPr>
          <w:p w14:paraId="7525582B" w14:textId="40608FAA" w:rsidR="00153018" w:rsidRPr="00DE13D9" w:rsidRDefault="00A86492" w:rsidP="00D86353">
            <w:pPr>
              <w:pStyle w:val="TableParagraph"/>
              <w:spacing w:before="120" w:after="120"/>
              <w:ind w:right="171"/>
              <w:rPr>
                <w:bCs/>
                <w:sz w:val="21"/>
                <w:szCs w:val="21"/>
              </w:rPr>
            </w:pPr>
            <w:r w:rsidRPr="00DE13D9">
              <w:rPr>
                <w:sz w:val="21"/>
                <w:szCs w:val="21"/>
              </w:rPr>
              <w:t xml:space="preserve">The Department notes that more information has been requested by respondents regarding the PL compliance enforcement model and the method of implementation. The Department </w:t>
            </w:r>
            <w:r w:rsidR="00D50235">
              <w:rPr>
                <w:sz w:val="21"/>
                <w:szCs w:val="21"/>
              </w:rPr>
              <w:t>plans to</w:t>
            </w:r>
            <w:r w:rsidR="00FE1AB3">
              <w:rPr>
                <w:sz w:val="21"/>
                <w:szCs w:val="21"/>
              </w:rPr>
              <w:t xml:space="preserve"> use</w:t>
            </w:r>
            <w:r w:rsidR="00D50235">
              <w:rPr>
                <w:sz w:val="21"/>
                <w:szCs w:val="21"/>
              </w:rPr>
              <w:t xml:space="preserve"> </w:t>
            </w:r>
            <w:r w:rsidR="00FE1AB3">
              <w:rPr>
                <w:sz w:val="21"/>
                <w:szCs w:val="21"/>
              </w:rPr>
              <w:t>hypothetical scenarios as case</w:t>
            </w:r>
            <w:r w:rsidR="00D50235">
              <w:rPr>
                <w:sz w:val="21"/>
                <w:szCs w:val="21"/>
              </w:rPr>
              <w:t xml:space="preserve"> </w:t>
            </w:r>
            <w:r w:rsidRPr="00DE13D9">
              <w:rPr>
                <w:sz w:val="21"/>
                <w:szCs w:val="21"/>
              </w:rPr>
              <w:t xml:space="preserve">studies to </w:t>
            </w:r>
            <w:r w:rsidR="00D50235">
              <w:rPr>
                <w:sz w:val="21"/>
                <w:szCs w:val="21"/>
              </w:rPr>
              <w:t xml:space="preserve">help communicate and build </w:t>
            </w:r>
            <w:r w:rsidRPr="00DE13D9">
              <w:rPr>
                <w:sz w:val="21"/>
                <w:szCs w:val="21"/>
              </w:rPr>
              <w:t>understand</w:t>
            </w:r>
            <w:r w:rsidR="00D50235">
              <w:rPr>
                <w:sz w:val="21"/>
                <w:szCs w:val="21"/>
              </w:rPr>
              <w:t xml:space="preserve">ing of </w:t>
            </w:r>
            <w:r w:rsidRPr="00DE13D9">
              <w:rPr>
                <w:sz w:val="21"/>
                <w:szCs w:val="21"/>
              </w:rPr>
              <w:t xml:space="preserve">the new </w:t>
            </w:r>
            <w:r w:rsidR="00D50235">
              <w:rPr>
                <w:sz w:val="21"/>
                <w:szCs w:val="21"/>
              </w:rPr>
              <w:t>activities.</w:t>
            </w:r>
          </w:p>
        </w:tc>
      </w:tr>
      <w:tr w:rsidR="00423D3E" w:rsidRPr="00423D3E" w14:paraId="63C4EA5A" w14:textId="77777777" w:rsidTr="00D86353">
        <w:trPr>
          <w:trHeight w:val="974"/>
        </w:trPr>
        <w:tc>
          <w:tcPr>
            <w:tcW w:w="1027" w:type="pct"/>
            <w:gridSpan w:val="2"/>
          </w:tcPr>
          <w:p w14:paraId="0719032A" w14:textId="0CE0FA4C" w:rsidR="00153018" w:rsidRPr="00842B12" w:rsidRDefault="00842B12" w:rsidP="00D86353">
            <w:pPr>
              <w:pStyle w:val="TableParagraph"/>
              <w:spacing w:before="120" w:after="120"/>
              <w:ind w:left="107"/>
              <w:rPr>
                <w:b/>
                <w:i/>
                <w:sz w:val="21"/>
              </w:rPr>
            </w:pPr>
            <w:r w:rsidRPr="00842B12">
              <w:rPr>
                <w:b/>
                <w:i/>
                <w:sz w:val="21"/>
              </w:rPr>
              <w:t xml:space="preserve">Timings </w:t>
            </w:r>
          </w:p>
        </w:tc>
        <w:tc>
          <w:tcPr>
            <w:tcW w:w="1896" w:type="pct"/>
          </w:tcPr>
          <w:p w14:paraId="659B283D" w14:textId="2ED17798" w:rsidR="00153018" w:rsidRPr="00C278F6" w:rsidRDefault="00071376" w:rsidP="00D86353">
            <w:pPr>
              <w:pStyle w:val="TableParagraph"/>
              <w:spacing w:before="120" w:after="120"/>
              <w:ind w:left="107"/>
              <w:rPr>
                <w:sz w:val="21"/>
                <w:szCs w:val="21"/>
              </w:rPr>
            </w:pPr>
            <w:r w:rsidRPr="00C278F6">
              <w:rPr>
                <w:sz w:val="21"/>
                <w:szCs w:val="21"/>
              </w:rPr>
              <w:t xml:space="preserve">Some stakeholders expressed </w:t>
            </w:r>
            <w:r w:rsidR="00842B12" w:rsidRPr="00C278F6">
              <w:rPr>
                <w:sz w:val="21"/>
                <w:szCs w:val="21"/>
              </w:rPr>
              <w:t xml:space="preserve">the urgency for errors to be corrected more promptly </w:t>
            </w:r>
            <w:r w:rsidR="00D50235">
              <w:rPr>
                <w:sz w:val="21"/>
                <w:szCs w:val="21"/>
              </w:rPr>
              <w:t>on the basis that d</w:t>
            </w:r>
            <w:r w:rsidR="00F22D61" w:rsidRPr="00C278F6">
              <w:rPr>
                <w:sz w:val="21"/>
                <w:szCs w:val="21"/>
              </w:rPr>
              <w:t>elays caus</w:t>
            </w:r>
            <w:r w:rsidR="00D50235">
              <w:rPr>
                <w:sz w:val="21"/>
                <w:szCs w:val="21"/>
              </w:rPr>
              <w:t>e</w:t>
            </w:r>
            <w:r w:rsidR="00F22D61" w:rsidRPr="00C278F6">
              <w:rPr>
                <w:sz w:val="21"/>
                <w:szCs w:val="21"/>
              </w:rPr>
              <w:t xml:space="preserve"> </w:t>
            </w:r>
            <w:r w:rsidR="00D50235">
              <w:rPr>
                <w:sz w:val="21"/>
                <w:szCs w:val="21"/>
              </w:rPr>
              <w:t xml:space="preserve">unnecessary </w:t>
            </w:r>
            <w:r w:rsidR="00F22D61" w:rsidRPr="00C278F6">
              <w:rPr>
                <w:sz w:val="21"/>
                <w:szCs w:val="21"/>
              </w:rPr>
              <w:t xml:space="preserve">financial burden </w:t>
            </w:r>
            <w:r w:rsidR="00D50235">
              <w:rPr>
                <w:sz w:val="21"/>
                <w:szCs w:val="21"/>
              </w:rPr>
              <w:t>for</w:t>
            </w:r>
            <w:r w:rsidR="00F22D61" w:rsidRPr="00C278F6">
              <w:rPr>
                <w:sz w:val="21"/>
                <w:szCs w:val="21"/>
              </w:rPr>
              <w:t xml:space="preserve"> consumers.</w:t>
            </w:r>
          </w:p>
        </w:tc>
        <w:tc>
          <w:tcPr>
            <w:tcW w:w="2077" w:type="pct"/>
          </w:tcPr>
          <w:p w14:paraId="4C7D0C70" w14:textId="000636AE" w:rsidR="00153018" w:rsidRDefault="00D50235" w:rsidP="00323699">
            <w:pPr>
              <w:pStyle w:val="TableParagraph"/>
              <w:spacing w:before="120" w:after="12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A key </w:t>
            </w:r>
            <w:r w:rsidR="00A86492" w:rsidRPr="00B43B2B">
              <w:rPr>
                <w:bCs/>
                <w:sz w:val="21"/>
                <w:szCs w:val="21"/>
              </w:rPr>
              <w:t>principle</w:t>
            </w:r>
            <w:r>
              <w:rPr>
                <w:bCs/>
                <w:sz w:val="21"/>
                <w:szCs w:val="21"/>
              </w:rPr>
              <w:t xml:space="preserve"> that</w:t>
            </w:r>
            <w:r w:rsidR="00A86492" w:rsidRPr="00B43B2B">
              <w:rPr>
                <w:bCs/>
                <w:sz w:val="21"/>
                <w:szCs w:val="21"/>
              </w:rPr>
              <w:t xml:space="preserve"> underpin</w:t>
            </w:r>
            <w:r>
              <w:rPr>
                <w:bCs/>
                <w:sz w:val="21"/>
                <w:szCs w:val="21"/>
              </w:rPr>
              <w:t xml:space="preserve">s </w:t>
            </w:r>
            <w:r w:rsidR="00A86492" w:rsidRPr="00B43B2B">
              <w:rPr>
                <w:bCs/>
                <w:sz w:val="21"/>
                <w:szCs w:val="21"/>
              </w:rPr>
              <w:t xml:space="preserve">the </w:t>
            </w:r>
            <w:r>
              <w:rPr>
                <w:bCs/>
                <w:sz w:val="21"/>
                <w:szCs w:val="21"/>
              </w:rPr>
              <w:t xml:space="preserve">PL approach to </w:t>
            </w:r>
            <w:r w:rsidR="00A86492" w:rsidRPr="00B43B2B">
              <w:rPr>
                <w:bCs/>
                <w:sz w:val="21"/>
                <w:szCs w:val="21"/>
              </w:rPr>
              <w:t xml:space="preserve">compliance is </w:t>
            </w:r>
            <w:r>
              <w:rPr>
                <w:bCs/>
                <w:sz w:val="21"/>
                <w:szCs w:val="21"/>
              </w:rPr>
              <w:t xml:space="preserve">that decisions are </w:t>
            </w:r>
            <w:r w:rsidR="00A86492" w:rsidRPr="00B43B2B">
              <w:rPr>
                <w:bCs/>
                <w:sz w:val="21"/>
                <w:szCs w:val="21"/>
              </w:rPr>
              <w:t>risk</w:t>
            </w:r>
            <w:r>
              <w:rPr>
                <w:bCs/>
                <w:sz w:val="21"/>
                <w:szCs w:val="21"/>
              </w:rPr>
              <w:t xml:space="preserve"> and evidence </w:t>
            </w:r>
            <w:r w:rsidR="00A86492" w:rsidRPr="00B43B2B">
              <w:rPr>
                <w:bCs/>
                <w:sz w:val="21"/>
                <w:szCs w:val="21"/>
              </w:rPr>
              <w:t>based</w:t>
            </w:r>
            <w:r>
              <w:rPr>
                <w:bCs/>
                <w:sz w:val="21"/>
                <w:szCs w:val="21"/>
              </w:rPr>
              <w:t>. The</w:t>
            </w:r>
            <w:r w:rsidR="00A86492" w:rsidRPr="00B43B2B">
              <w:rPr>
                <w:bCs/>
                <w:sz w:val="21"/>
                <w:szCs w:val="21"/>
              </w:rPr>
              <w:t xml:space="preserve"> Department will act </w:t>
            </w:r>
            <w:r>
              <w:rPr>
                <w:bCs/>
                <w:sz w:val="21"/>
                <w:szCs w:val="21"/>
              </w:rPr>
              <w:t xml:space="preserve">responsively </w:t>
            </w:r>
            <w:r w:rsidR="00A86492" w:rsidRPr="00B43B2B">
              <w:rPr>
                <w:bCs/>
                <w:sz w:val="21"/>
                <w:szCs w:val="21"/>
              </w:rPr>
              <w:t>whe</w:t>
            </w:r>
            <w:r>
              <w:rPr>
                <w:bCs/>
                <w:sz w:val="21"/>
                <w:szCs w:val="21"/>
              </w:rPr>
              <w:t xml:space="preserve">re </w:t>
            </w:r>
            <w:r w:rsidR="00A86492" w:rsidRPr="00B43B2B">
              <w:rPr>
                <w:bCs/>
                <w:sz w:val="21"/>
                <w:szCs w:val="21"/>
              </w:rPr>
              <w:t>there is a risk to patient safety</w:t>
            </w:r>
            <w:r w:rsidR="00B57A37">
              <w:rPr>
                <w:bCs/>
                <w:sz w:val="21"/>
                <w:szCs w:val="21"/>
              </w:rPr>
              <w:t>. Additionally, res</w:t>
            </w:r>
            <w:r w:rsidR="000E7D9C" w:rsidRPr="00B43B2B">
              <w:rPr>
                <w:bCs/>
                <w:sz w:val="21"/>
                <w:szCs w:val="21"/>
              </w:rPr>
              <w:t xml:space="preserve">ources and effort </w:t>
            </w:r>
            <w:r w:rsidR="00B57A37">
              <w:rPr>
                <w:bCs/>
                <w:sz w:val="21"/>
                <w:szCs w:val="21"/>
              </w:rPr>
              <w:t xml:space="preserve">will be </w:t>
            </w:r>
            <w:r w:rsidR="000E7D9C" w:rsidRPr="00B43B2B">
              <w:rPr>
                <w:bCs/>
                <w:sz w:val="21"/>
                <w:szCs w:val="21"/>
              </w:rPr>
              <w:t xml:space="preserve">prioritised </w:t>
            </w:r>
            <w:r w:rsidR="00B57A37">
              <w:rPr>
                <w:bCs/>
                <w:sz w:val="21"/>
                <w:szCs w:val="21"/>
              </w:rPr>
              <w:t xml:space="preserve">according to the likelihood and consequence of the </w:t>
            </w:r>
            <w:r w:rsidR="000E7D9C" w:rsidRPr="00B43B2B">
              <w:rPr>
                <w:bCs/>
                <w:sz w:val="21"/>
                <w:szCs w:val="21"/>
              </w:rPr>
              <w:t>compliance concerns.</w:t>
            </w:r>
          </w:p>
          <w:p w14:paraId="64D8947A" w14:textId="2F9896E5" w:rsidR="00B57A37" w:rsidRPr="00B43B2B" w:rsidRDefault="00B57A37" w:rsidP="00D86353">
            <w:pPr>
              <w:pStyle w:val="TableParagraph"/>
              <w:spacing w:before="120" w:after="12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Errors that are administrative in nature (</w:t>
            </w:r>
            <w:proofErr w:type="gramStart"/>
            <w:r>
              <w:rPr>
                <w:bCs/>
                <w:sz w:val="21"/>
                <w:szCs w:val="21"/>
              </w:rPr>
              <w:t>i.e.</w:t>
            </w:r>
            <w:proofErr w:type="gramEnd"/>
            <w:r>
              <w:rPr>
                <w:bCs/>
                <w:sz w:val="21"/>
                <w:szCs w:val="21"/>
              </w:rPr>
              <w:t xml:space="preserve"> not a matter of non-compliance) will be addressed as soon as is practicable i.e. next PL update following the identification of the matter.</w:t>
            </w:r>
          </w:p>
        </w:tc>
      </w:tr>
      <w:tr w:rsidR="00423D3E" w:rsidRPr="00423D3E" w14:paraId="02E7C7CD" w14:textId="77777777" w:rsidTr="00D86353">
        <w:trPr>
          <w:trHeight w:val="2045"/>
        </w:trPr>
        <w:tc>
          <w:tcPr>
            <w:tcW w:w="1024" w:type="pct"/>
          </w:tcPr>
          <w:p w14:paraId="2E57B1F2" w14:textId="4E36A1A2" w:rsidR="00153018" w:rsidRPr="00842B12" w:rsidRDefault="00414D85" w:rsidP="00D86353">
            <w:pPr>
              <w:pStyle w:val="TableParagraph"/>
              <w:spacing w:before="120" w:after="120"/>
              <w:ind w:left="107"/>
              <w:rPr>
                <w:b/>
                <w:i/>
                <w:sz w:val="21"/>
              </w:rPr>
            </w:pPr>
            <w:r>
              <w:rPr>
                <w:b/>
                <w:i/>
                <w:spacing w:val="-2"/>
                <w:sz w:val="21"/>
              </w:rPr>
              <w:lastRenderedPageBreak/>
              <w:t>Improve PL listing controls</w:t>
            </w:r>
          </w:p>
        </w:tc>
        <w:tc>
          <w:tcPr>
            <w:tcW w:w="1899" w:type="pct"/>
            <w:gridSpan w:val="2"/>
          </w:tcPr>
          <w:p w14:paraId="75524DC1" w14:textId="2CFC4344" w:rsidR="00F22D61" w:rsidRPr="00C278F6" w:rsidRDefault="000A457E" w:rsidP="00D86353">
            <w:pPr>
              <w:pStyle w:val="TableParagraph"/>
              <w:spacing w:before="120" w:after="120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Feedback </w:t>
            </w:r>
            <w:r w:rsidR="00EE2AF4">
              <w:rPr>
                <w:sz w:val="21"/>
                <w:szCs w:val="21"/>
              </w:rPr>
              <w:t>suggested</w:t>
            </w:r>
            <w:r w:rsidR="00842B12" w:rsidRPr="00C278F6">
              <w:rPr>
                <w:sz w:val="21"/>
                <w:szCs w:val="21"/>
              </w:rPr>
              <w:t xml:space="preserve"> </w:t>
            </w:r>
            <w:r w:rsidR="00617E02">
              <w:rPr>
                <w:sz w:val="21"/>
                <w:szCs w:val="21"/>
              </w:rPr>
              <w:t xml:space="preserve">introduction of </w:t>
            </w:r>
            <w:r w:rsidR="00842B12" w:rsidRPr="00C278F6">
              <w:rPr>
                <w:sz w:val="21"/>
                <w:szCs w:val="21"/>
              </w:rPr>
              <w:t xml:space="preserve">additional </w:t>
            </w:r>
            <w:r w:rsidR="00F22D61" w:rsidRPr="00C278F6">
              <w:rPr>
                <w:sz w:val="21"/>
                <w:szCs w:val="21"/>
              </w:rPr>
              <w:t xml:space="preserve">listing </w:t>
            </w:r>
            <w:r w:rsidR="00414D85">
              <w:rPr>
                <w:sz w:val="21"/>
                <w:szCs w:val="21"/>
              </w:rPr>
              <w:t>controls</w:t>
            </w:r>
            <w:r w:rsidR="00842B12" w:rsidRPr="00C278F6">
              <w:rPr>
                <w:sz w:val="21"/>
                <w:szCs w:val="21"/>
              </w:rPr>
              <w:t xml:space="preserve">, such as </w:t>
            </w:r>
            <w:r w:rsidR="00414D85">
              <w:rPr>
                <w:sz w:val="21"/>
                <w:szCs w:val="21"/>
              </w:rPr>
              <w:t>linking billing codes</w:t>
            </w:r>
            <w:r w:rsidR="00414D85" w:rsidRPr="00C278F6">
              <w:rPr>
                <w:sz w:val="21"/>
                <w:szCs w:val="21"/>
              </w:rPr>
              <w:t xml:space="preserve"> </w:t>
            </w:r>
            <w:r w:rsidR="00842B12" w:rsidRPr="00C278F6">
              <w:rPr>
                <w:sz w:val="21"/>
                <w:szCs w:val="21"/>
              </w:rPr>
              <w:t xml:space="preserve">to specific Medicare Benefits Schedule (MBS) and International Classification of Diseases (ICD) codes to ensure </w:t>
            </w:r>
            <w:r w:rsidR="00617E02">
              <w:rPr>
                <w:sz w:val="21"/>
                <w:szCs w:val="21"/>
              </w:rPr>
              <w:t>usage</w:t>
            </w:r>
            <w:r w:rsidR="00842B12" w:rsidRPr="00C278F6">
              <w:rPr>
                <w:sz w:val="21"/>
                <w:szCs w:val="21"/>
              </w:rPr>
              <w:t xml:space="preserve"> is clinically </w:t>
            </w:r>
            <w:r w:rsidR="00F22D61" w:rsidRPr="00C278F6">
              <w:rPr>
                <w:sz w:val="21"/>
                <w:szCs w:val="21"/>
              </w:rPr>
              <w:t>appropriate. This also includes conditions on listing where the benefit is automatically payable only for the MBS items (or ICD codes).</w:t>
            </w:r>
          </w:p>
        </w:tc>
        <w:tc>
          <w:tcPr>
            <w:tcW w:w="2077" w:type="pct"/>
          </w:tcPr>
          <w:p w14:paraId="717DD1D5" w14:textId="3836676F" w:rsidR="00153018" w:rsidRPr="00B43B2B" w:rsidRDefault="00B57A37" w:rsidP="00D86353">
            <w:pPr>
              <w:pStyle w:val="TableParagraph"/>
              <w:spacing w:before="120" w:after="120"/>
              <w:ind w:right="171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These measures are currently available as risk-based controls and will continue to be used where appropriate.</w:t>
            </w:r>
          </w:p>
        </w:tc>
      </w:tr>
      <w:tr w:rsidR="00B9561C" w:rsidRPr="00423D3E" w14:paraId="6AD556BA" w14:textId="77777777" w:rsidTr="00D86353">
        <w:trPr>
          <w:trHeight w:val="416"/>
        </w:trPr>
        <w:tc>
          <w:tcPr>
            <w:tcW w:w="1024" w:type="pct"/>
          </w:tcPr>
          <w:p w14:paraId="33D2EBFE" w14:textId="6DC69ABA" w:rsidR="00B9561C" w:rsidRDefault="00B9561C" w:rsidP="00D86353">
            <w:pPr>
              <w:pStyle w:val="TableParagraph"/>
              <w:spacing w:before="120" w:after="120"/>
              <w:ind w:left="107"/>
              <w:rPr>
                <w:b/>
                <w:i/>
                <w:spacing w:val="-2"/>
                <w:sz w:val="21"/>
              </w:rPr>
            </w:pPr>
            <w:r>
              <w:rPr>
                <w:b/>
                <w:i/>
                <w:spacing w:val="-2"/>
                <w:sz w:val="21"/>
              </w:rPr>
              <w:t>U</w:t>
            </w:r>
            <w:r w:rsidRPr="00B9561C">
              <w:rPr>
                <w:b/>
                <w:i/>
                <w:spacing w:val="-2"/>
                <w:sz w:val="21"/>
              </w:rPr>
              <w:t>tilisation</w:t>
            </w:r>
          </w:p>
        </w:tc>
        <w:tc>
          <w:tcPr>
            <w:tcW w:w="1899" w:type="pct"/>
            <w:gridSpan w:val="2"/>
          </w:tcPr>
          <w:p w14:paraId="552BCE3B" w14:textId="64AD5F98" w:rsidR="00B9561C" w:rsidRPr="00DE13D9" w:rsidRDefault="00B9561C" w:rsidP="00D86353">
            <w:pPr>
              <w:pStyle w:val="TableParagraph"/>
              <w:spacing w:before="120" w:after="120"/>
              <w:ind w:left="107"/>
              <w:rPr>
                <w:sz w:val="21"/>
                <w:szCs w:val="21"/>
              </w:rPr>
            </w:pPr>
            <w:r w:rsidRPr="00C278F6">
              <w:rPr>
                <w:sz w:val="21"/>
                <w:szCs w:val="21"/>
              </w:rPr>
              <w:t>Stakeholders raised concern</w:t>
            </w:r>
            <w:r w:rsidR="00522F0C">
              <w:rPr>
                <w:sz w:val="21"/>
                <w:szCs w:val="21"/>
              </w:rPr>
              <w:t>s</w:t>
            </w:r>
            <w:r w:rsidR="00CB3267">
              <w:rPr>
                <w:sz w:val="21"/>
                <w:szCs w:val="21"/>
              </w:rPr>
              <w:t xml:space="preserve"> about </w:t>
            </w:r>
            <w:r w:rsidRPr="00C278F6">
              <w:rPr>
                <w:sz w:val="21"/>
                <w:szCs w:val="21"/>
              </w:rPr>
              <w:t xml:space="preserve">the need for </w:t>
            </w:r>
            <w:r w:rsidRPr="00DE13D9">
              <w:rPr>
                <w:sz w:val="21"/>
                <w:szCs w:val="21"/>
              </w:rPr>
              <w:t>prostheses utili</w:t>
            </w:r>
            <w:r w:rsidR="00813529" w:rsidRPr="00DE13D9">
              <w:rPr>
                <w:sz w:val="21"/>
                <w:szCs w:val="21"/>
              </w:rPr>
              <w:t>s</w:t>
            </w:r>
            <w:r w:rsidRPr="00DE13D9">
              <w:rPr>
                <w:sz w:val="21"/>
                <w:szCs w:val="21"/>
              </w:rPr>
              <w:t>ation to consider changes in clinical practice, funding and contractual arrangements between insurers and hospitals.</w:t>
            </w:r>
          </w:p>
          <w:p w14:paraId="3DB4352F" w14:textId="523E7011" w:rsidR="00414D85" w:rsidRPr="00C278F6" w:rsidRDefault="00414D85" w:rsidP="00D86353">
            <w:pPr>
              <w:pStyle w:val="TableParagraph"/>
              <w:spacing w:before="120" w:after="120"/>
              <w:ind w:left="107"/>
              <w:rPr>
                <w:sz w:val="21"/>
                <w:szCs w:val="21"/>
              </w:rPr>
            </w:pPr>
            <w:r w:rsidRPr="00C15807">
              <w:rPr>
                <w:sz w:val="21"/>
                <w:szCs w:val="21"/>
              </w:rPr>
              <w:t>The Department’s “significant increases” terminology needs to have a quantifiable metric or threshold to trigger a review.</w:t>
            </w:r>
          </w:p>
        </w:tc>
        <w:tc>
          <w:tcPr>
            <w:tcW w:w="2077" w:type="pct"/>
          </w:tcPr>
          <w:p w14:paraId="4569119C" w14:textId="09432344" w:rsidR="00B9561C" w:rsidRPr="00B43B2B" w:rsidRDefault="00CB3267" w:rsidP="00D86353">
            <w:pPr>
              <w:pStyle w:val="TableParagraph"/>
              <w:spacing w:before="120" w:after="120"/>
              <w:ind w:right="171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The Department will consider </w:t>
            </w:r>
            <w:r w:rsidR="00B87467">
              <w:rPr>
                <w:bCs/>
                <w:sz w:val="21"/>
                <w:szCs w:val="21"/>
              </w:rPr>
              <w:t xml:space="preserve">including these factors in the </w:t>
            </w:r>
            <w:r w:rsidR="004140E4">
              <w:rPr>
                <w:bCs/>
                <w:sz w:val="21"/>
                <w:szCs w:val="21"/>
              </w:rPr>
              <w:t xml:space="preserve">utilisation </w:t>
            </w:r>
            <w:r w:rsidR="00B87467">
              <w:rPr>
                <w:bCs/>
                <w:sz w:val="21"/>
                <w:szCs w:val="21"/>
              </w:rPr>
              <w:t xml:space="preserve">analysis undertaken </w:t>
            </w:r>
            <w:r w:rsidR="00CC7E0D">
              <w:rPr>
                <w:bCs/>
                <w:sz w:val="21"/>
                <w:szCs w:val="21"/>
              </w:rPr>
              <w:t xml:space="preserve">when assessing suspected non-compliance </w:t>
            </w:r>
            <w:proofErr w:type="gramStart"/>
            <w:r w:rsidR="00CC7E0D">
              <w:rPr>
                <w:bCs/>
                <w:sz w:val="21"/>
                <w:szCs w:val="21"/>
              </w:rPr>
              <w:t>i.e.</w:t>
            </w:r>
            <w:proofErr w:type="gramEnd"/>
            <w:r w:rsidR="00CC7E0D">
              <w:rPr>
                <w:bCs/>
                <w:sz w:val="21"/>
                <w:szCs w:val="21"/>
              </w:rPr>
              <w:t xml:space="preserve"> in Post-</w:t>
            </w:r>
            <w:r w:rsidR="00411944">
              <w:rPr>
                <w:bCs/>
                <w:sz w:val="21"/>
                <w:szCs w:val="21"/>
              </w:rPr>
              <w:t>l</w:t>
            </w:r>
            <w:r w:rsidR="00CC7E0D">
              <w:rPr>
                <w:bCs/>
                <w:sz w:val="21"/>
                <w:szCs w:val="21"/>
              </w:rPr>
              <w:t xml:space="preserve">isting </w:t>
            </w:r>
            <w:r w:rsidR="00411944">
              <w:rPr>
                <w:bCs/>
                <w:sz w:val="21"/>
                <w:szCs w:val="21"/>
              </w:rPr>
              <w:t>r</w:t>
            </w:r>
            <w:r w:rsidR="00CC7E0D">
              <w:rPr>
                <w:bCs/>
                <w:sz w:val="21"/>
                <w:szCs w:val="21"/>
              </w:rPr>
              <w:t>eview</w:t>
            </w:r>
            <w:r w:rsidR="00796DA7">
              <w:rPr>
                <w:bCs/>
                <w:sz w:val="21"/>
                <w:szCs w:val="21"/>
              </w:rPr>
              <w:t>s and other monitoring activities.</w:t>
            </w:r>
          </w:p>
        </w:tc>
      </w:tr>
      <w:tr w:rsidR="0022235D" w:rsidRPr="00423D3E" w14:paraId="46EA2BB5" w14:textId="77777777" w:rsidTr="00D86353">
        <w:trPr>
          <w:trHeight w:val="1692"/>
        </w:trPr>
        <w:tc>
          <w:tcPr>
            <w:tcW w:w="1024" w:type="pct"/>
          </w:tcPr>
          <w:p w14:paraId="10E8BAD9" w14:textId="3AB12FA4" w:rsidR="0022235D" w:rsidRPr="00423D3E" w:rsidRDefault="00B9561C" w:rsidP="00D86353">
            <w:pPr>
              <w:pStyle w:val="TableParagraph"/>
              <w:spacing w:before="120" w:after="120"/>
              <w:ind w:left="107"/>
              <w:rPr>
                <w:b/>
                <w:i/>
                <w:color w:val="FF0000"/>
                <w:sz w:val="21"/>
              </w:rPr>
            </w:pPr>
            <w:r w:rsidRPr="00B9561C">
              <w:rPr>
                <w:b/>
                <w:i/>
                <w:spacing w:val="-2"/>
                <w:sz w:val="21"/>
              </w:rPr>
              <w:t xml:space="preserve">Identifying and </w:t>
            </w:r>
            <w:r w:rsidR="00C278F6">
              <w:rPr>
                <w:b/>
                <w:i/>
                <w:spacing w:val="-2"/>
                <w:sz w:val="21"/>
              </w:rPr>
              <w:t>r</w:t>
            </w:r>
            <w:r w:rsidRPr="00B9561C">
              <w:rPr>
                <w:b/>
                <w:i/>
                <w:spacing w:val="-2"/>
                <w:sz w:val="21"/>
              </w:rPr>
              <w:t xml:space="preserve">eporting </w:t>
            </w:r>
            <w:r w:rsidR="00C278F6">
              <w:rPr>
                <w:b/>
                <w:i/>
                <w:spacing w:val="-2"/>
                <w:sz w:val="21"/>
              </w:rPr>
              <w:t>n</w:t>
            </w:r>
            <w:r w:rsidRPr="00B9561C">
              <w:rPr>
                <w:b/>
                <w:i/>
                <w:spacing w:val="-2"/>
                <w:sz w:val="21"/>
              </w:rPr>
              <w:t>on-</w:t>
            </w:r>
            <w:r w:rsidR="00C278F6">
              <w:rPr>
                <w:b/>
                <w:i/>
                <w:spacing w:val="-2"/>
                <w:sz w:val="21"/>
              </w:rPr>
              <w:t>c</w:t>
            </w:r>
            <w:r w:rsidRPr="00B9561C">
              <w:rPr>
                <w:b/>
                <w:i/>
                <w:spacing w:val="-2"/>
                <w:sz w:val="21"/>
              </w:rPr>
              <w:t>ompliance</w:t>
            </w:r>
          </w:p>
        </w:tc>
        <w:tc>
          <w:tcPr>
            <w:tcW w:w="1899" w:type="pct"/>
            <w:gridSpan w:val="2"/>
          </w:tcPr>
          <w:p w14:paraId="4B54D33A" w14:textId="5595960B" w:rsidR="0022235D" w:rsidRPr="00C278F6" w:rsidRDefault="00B9561C" w:rsidP="00D86353">
            <w:pPr>
              <w:pStyle w:val="TableParagraph"/>
              <w:spacing w:before="120" w:after="120"/>
              <w:ind w:left="107" w:right="171"/>
              <w:rPr>
                <w:color w:val="FF0000"/>
                <w:sz w:val="21"/>
                <w:szCs w:val="21"/>
              </w:rPr>
            </w:pPr>
            <w:r w:rsidRPr="00C278F6">
              <w:rPr>
                <w:sz w:val="21"/>
                <w:szCs w:val="21"/>
              </w:rPr>
              <w:t xml:space="preserve">Feedback suggests a formal framework </w:t>
            </w:r>
            <w:r w:rsidR="0026457B">
              <w:rPr>
                <w:sz w:val="21"/>
                <w:szCs w:val="21"/>
              </w:rPr>
              <w:t>be</w:t>
            </w:r>
            <w:r w:rsidRPr="00C278F6">
              <w:rPr>
                <w:sz w:val="21"/>
                <w:szCs w:val="21"/>
              </w:rPr>
              <w:t xml:space="preserve"> implemented for the identification and reporting of non-compliance. Stakeholders recommended a ‘reporting portal’ be included in either the Department’s webpage or as a function within the HPP.</w:t>
            </w:r>
          </w:p>
        </w:tc>
        <w:tc>
          <w:tcPr>
            <w:tcW w:w="2077" w:type="pct"/>
          </w:tcPr>
          <w:p w14:paraId="56E26930" w14:textId="096C60B8" w:rsidR="0022235D" w:rsidRPr="00B43B2B" w:rsidRDefault="00055161" w:rsidP="00D86353">
            <w:pPr>
              <w:pStyle w:val="TableParagraph"/>
              <w:spacing w:before="120" w:after="1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The Department has established a ‘tip line’ mechanism using a dedicated ‘inbox’ for </w:t>
            </w:r>
            <w:r w:rsidR="0006157D">
              <w:rPr>
                <w:sz w:val="21"/>
                <w:szCs w:val="21"/>
              </w:rPr>
              <w:t>the reporting of suspected non-compliant activities/behaviours.</w:t>
            </w:r>
          </w:p>
        </w:tc>
      </w:tr>
      <w:tr w:rsidR="003C686E" w:rsidRPr="00423D3E" w14:paraId="278E9E4A" w14:textId="77777777" w:rsidTr="00D86353">
        <w:trPr>
          <w:trHeight w:val="1692"/>
        </w:trPr>
        <w:tc>
          <w:tcPr>
            <w:tcW w:w="1024" w:type="pct"/>
          </w:tcPr>
          <w:p w14:paraId="1D9974ED" w14:textId="5E094046" w:rsidR="003C686E" w:rsidRPr="00B9561C" w:rsidRDefault="003C686E" w:rsidP="00D86353">
            <w:pPr>
              <w:pStyle w:val="TableParagraph"/>
              <w:spacing w:before="120" w:after="120"/>
              <w:ind w:left="107"/>
              <w:rPr>
                <w:b/>
                <w:i/>
                <w:spacing w:val="-2"/>
                <w:sz w:val="21"/>
              </w:rPr>
            </w:pPr>
            <w:r>
              <w:rPr>
                <w:b/>
                <w:i/>
                <w:spacing w:val="-2"/>
                <w:sz w:val="21"/>
              </w:rPr>
              <w:t xml:space="preserve">Transparency </w:t>
            </w:r>
          </w:p>
        </w:tc>
        <w:tc>
          <w:tcPr>
            <w:tcW w:w="1899" w:type="pct"/>
            <w:gridSpan w:val="2"/>
          </w:tcPr>
          <w:p w14:paraId="232772E1" w14:textId="062B82D0" w:rsidR="00773451" w:rsidRPr="00C278F6" w:rsidRDefault="003C686E" w:rsidP="00D86353">
            <w:pPr>
              <w:spacing w:before="120" w:after="120"/>
              <w:ind w:left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  <w:r w:rsidRPr="003C686E">
              <w:rPr>
                <w:sz w:val="21"/>
                <w:szCs w:val="21"/>
              </w:rPr>
              <w:t xml:space="preserve">he process needs to adopt, including legislatively, all elements of procedural fairness </w:t>
            </w:r>
            <w:r w:rsidR="00116222">
              <w:rPr>
                <w:sz w:val="21"/>
                <w:szCs w:val="21"/>
              </w:rPr>
              <w:t xml:space="preserve">such as </w:t>
            </w:r>
            <w:r w:rsidRPr="003C686E">
              <w:rPr>
                <w:sz w:val="21"/>
                <w:szCs w:val="21"/>
              </w:rPr>
              <w:t>consultation, reviews and appeals.</w:t>
            </w:r>
          </w:p>
        </w:tc>
        <w:tc>
          <w:tcPr>
            <w:tcW w:w="2077" w:type="pct"/>
          </w:tcPr>
          <w:p w14:paraId="0ADBC5CE" w14:textId="4C7582C6" w:rsidR="003C686E" w:rsidRPr="00B43B2B" w:rsidRDefault="0074771B" w:rsidP="00D86353">
            <w:pPr>
              <w:pStyle w:val="TableParagraph"/>
              <w:spacing w:before="120"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  <w:r w:rsidR="008C0F95" w:rsidRPr="00B43B2B">
              <w:rPr>
                <w:sz w:val="21"/>
                <w:szCs w:val="21"/>
              </w:rPr>
              <w:t xml:space="preserve">he Department has obligations to ensure the PL program is performing effectively in meeting the policy objectives. </w:t>
            </w:r>
            <w:r>
              <w:rPr>
                <w:sz w:val="21"/>
                <w:szCs w:val="21"/>
              </w:rPr>
              <w:t xml:space="preserve">The Department is </w:t>
            </w:r>
            <w:r w:rsidR="00F51FA9">
              <w:rPr>
                <w:sz w:val="21"/>
                <w:szCs w:val="21"/>
              </w:rPr>
              <w:t xml:space="preserve">expected to ensure </w:t>
            </w:r>
            <w:r w:rsidR="008C0F95" w:rsidRPr="00B43B2B">
              <w:rPr>
                <w:sz w:val="21"/>
                <w:szCs w:val="21"/>
              </w:rPr>
              <w:t xml:space="preserve">actions are risk-based and proportionate and that </w:t>
            </w:r>
            <w:r w:rsidR="00F51FA9">
              <w:rPr>
                <w:sz w:val="21"/>
                <w:szCs w:val="21"/>
              </w:rPr>
              <w:t>a</w:t>
            </w:r>
            <w:r w:rsidR="008C0F95" w:rsidRPr="00B43B2B">
              <w:rPr>
                <w:sz w:val="21"/>
                <w:szCs w:val="21"/>
              </w:rPr>
              <w:t>ct</w:t>
            </w:r>
            <w:r w:rsidR="00F51FA9">
              <w:rPr>
                <w:sz w:val="21"/>
                <w:szCs w:val="21"/>
              </w:rPr>
              <w:t xml:space="preserve">ions are </w:t>
            </w:r>
            <w:r w:rsidR="008C0F95" w:rsidRPr="00B43B2B">
              <w:rPr>
                <w:sz w:val="21"/>
                <w:szCs w:val="21"/>
              </w:rPr>
              <w:t>timely to minimise harmful impacts, maximise deterrence and provide certainty.</w:t>
            </w:r>
          </w:p>
          <w:p w14:paraId="3B6EDFDB" w14:textId="41F56747" w:rsidR="008C0F95" w:rsidRPr="00B43B2B" w:rsidRDefault="008D5BAB" w:rsidP="00D86353">
            <w:pPr>
              <w:pStyle w:val="TableParagraph"/>
              <w:spacing w:before="120"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  <w:r w:rsidR="008C0F95" w:rsidRPr="00B43B2B">
              <w:rPr>
                <w:sz w:val="21"/>
                <w:szCs w:val="21"/>
              </w:rPr>
              <w:t>onsult</w:t>
            </w:r>
            <w:r>
              <w:rPr>
                <w:sz w:val="21"/>
                <w:szCs w:val="21"/>
              </w:rPr>
              <w:t xml:space="preserve">ation </w:t>
            </w:r>
            <w:r w:rsidR="008C0F95" w:rsidRPr="00B43B2B">
              <w:rPr>
                <w:sz w:val="21"/>
                <w:szCs w:val="21"/>
              </w:rPr>
              <w:t xml:space="preserve">with relevant stakeholders </w:t>
            </w:r>
            <w:r>
              <w:rPr>
                <w:sz w:val="21"/>
                <w:szCs w:val="21"/>
              </w:rPr>
              <w:t xml:space="preserve">will continue </w:t>
            </w:r>
            <w:r w:rsidR="006A5B5A">
              <w:rPr>
                <w:sz w:val="21"/>
                <w:szCs w:val="21"/>
              </w:rPr>
              <w:t xml:space="preserve">to feature as a key activity </w:t>
            </w:r>
            <w:r w:rsidR="00085791">
              <w:rPr>
                <w:sz w:val="21"/>
                <w:szCs w:val="21"/>
              </w:rPr>
              <w:t>to provide opportunit</w:t>
            </w:r>
            <w:r w:rsidR="008D25DC">
              <w:rPr>
                <w:sz w:val="21"/>
                <w:szCs w:val="21"/>
              </w:rPr>
              <w:t>ies</w:t>
            </w:r>
            <w:r w:rsidR="00085791">
              <w:rPr>
                <w:sz w:val="21"/>
                <w:szCs w:val="21"/>
              </w:rPr>
              <w:t xml:space="preserve"> </w:t>
            </w:r>
            <w:r w:rsidR="008D25DC">
              <w:rPr>
                <w:sz w:val="21"/>
                <w:szCs w:val="21"/>
              </w:rPr>
              <w:t>for input and feedback.</w:t>
            </w:r>
          </w:p>
        </w:tc>
      </w:tr>
      <w:tr w:rsidR="00414D85" w:rsidRPr="00423D3E" w14:paraId="5CB12CDB" w14:textId="77777777" w:rsidTr="00D86353">
        <w:trPr>
          <w:trHeight w:val="1692"/>
        </w:trPr>
        <w:tc>
          <w:tcPr>
            <w:tcW w:w="1024" w:type="pct"/>
          </w:tcPr>
          <w:p w14:paraId="340EDABC" w14:textId="77614452" w:rsidR="00414D85" w:rsidRDefault="00414D85" w:rsidP="00D86353">
            <w:pPr>
              <w:pStyle w:val="TableParagraph"/>
              <w:spacing w:before="120" w:after="120"/>
              <w:ind w:left="107"/>
              <w:rPr>
                <w:b/>
                <w:i/>
                <w:spacing w:val="-2"/>
                <w:sz w:val="21"/>
              </w:rPr>
            </w:pPr>
            <w:r>
              <w:rPr>
                <w:b/>
                <w:i/>
                <w:spacing w:val="-2"/>
                <w:sz w:val="21"/>
              </w:rPr>
              <w:lastRenderedPageBreak/>
              <w:t xml:space="preserve">Removal of billing codes </w:t>
            </w:r>
          </w:p>
        </w:tc>
        <w:tc>
          <w:tcPr>
            <w:tcW w:w="1899" w:type="pct"/>
            <w:gridSpan w:val="2"/>
          </w:tcPr>
          <w:p w14:paraId="38EA3F54" w14:textId="405E2AD8" w:rsidR="00414D85" w:rsidRDefault="004E43CD" w:rsidP="00D86353">
            <w:pPr>
              <w:pStyle w:val="TableParagraph"/>
              <w:spacing w:before="120" w:after="120"/>
              <w:ind w:left="107" w:right="17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Stakeholders emphasi</w:t>
            </w:r>
            <w:r w:rsidR="000E7D9C">
              <w:rPr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ed that t</w:t>
            </w:r>
            <w:r w:rsidR="00414D85" w:rsidRPr="00414D85">
              <w:rPr>
                <w:sz w:val="21"/>
                <w:szCs w:val="21"/>
              </w:rPr>
              <w:t>he removal of dormant or sleeper billing codes, is a critical compliance step</w:t>
            </w:r>
            <w:r>
              <w:rPr>
                <w:sz w:val="21"/>
                <w:szCs w:val="21"/>
              </w:rPr>
              <w:t>. T</w:t>
            </w:r>
            <w:r w:rsidR="00414D85" w:rsidRPr="00414D85">
              <w:rPr>
                <w:sz w:val="21"/>
                <w:szCs w:val="21"/>
              </w:rPr>
              <w:t xml:space="preserve">he mere retention of old codes with a low annual re-listing fee, </w:t>
            </w:r>
            <w:r>
              <w:rPr>
                <w:sz w:val="21"/>
                <w:szCs w:val="21"/>
              </w:rPr>
              <w:t>and</w:t>
            </w:r>
            <w:r w:rsidR="00414D85" w:rsidRPr="00414D85">
              <w:rPr>
                <w:sz w:val="21"/>
                <w:szCs w:val="21"/>
              </w:rPr>
              <w:t xml:space="preserve"> no valid ARTG, </w:t>
            </w:r>
            <w:r>
              <w:rPr>
                <w:sz w:val="21"/>
                <w:szCs w:val="21"/>
              </w:rPr>
              <w:t>are being</w:t>
            </w:r>
            <w:r w:rsidR="00414D85" w:rsidRPr="00414D85">
              <w:rPr>
                <w:sz w:val="21"/>
                <w:szCs w:val="21"/>
              </w:rPr>
              <w:t xml:space="preserve"> used as a “comparator” often for vastly different technology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077" w:type="pct"/>
          </w:tcPr>
          <w:p w14:paraId="0D8C5BFA" w14:textId="2228A967" w:rsidR="00414D85" w:rsidRPr="00B43B2B" w:rsidRDefault="00746F4C" w:rsidP="00D86353">
            <w:pPr>
              <w:pStyle w:val="TableParagraph"/>
              <w:spacing w:before="120"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The Department will address </w:t>
            </w:r>
            <w:r w:rsidR="00267AC1">
              <w:rPr>
                <w:sz w:val="21"/>
                <w:szCs w:val="21"/>
              </w:rPr>
              <w:t xml:space="preserve">matters of suspected non-compliance on a </w:t>
            </w:r>
            <w:proofErr w:type="gramStart"/>
            <w:r w:rsidR="00267AC1">
              <w:rPr>
                <w:sz w:val="21"/>
                <w:szCs w:val="21"/>
              </w:rPr>
              <w:t>case by case</w:t>
            </w:r>
            <w:proofErr w:type="gramEnd"/>
            <w:r w:rsidR="00267AC1">
              <w:rPr>
                <w:sz w:val="21"/>
                <w:szCs w:val="21"/>
              </w:rPr>
              <w:t xml:space="preserve"> basis. Where stakeholders have specific concerns, they are encouraged to co</w:t>
            </w:r>
            <w:r w:rsidR="006C5F52">
              <w:rPr>
                <w:sz w:val="21"/>
                <w:szCs w:val="21"/>
              </w:rPr>
              <w:t>ntact the Department and provide all relevant information to support further consideration.</w:t>
            </w:r>
          </w:p>
        </w:tc>
      </w:tr>
      <w:tr w:rsidR="003C686E" w:rsidRPr="00423D3E" w14:paraId="76E82582" w14:textId="77777777" w:rsidTr="00D86353">
        <w:trPr>
          <w:trHeight w:val="1833"/>
        </w:trPr>
        <w:tc>
          <w:tcPr>
            <w:tcW w:w="1024" w:type="pct"/>
          </w:tcPr>
          <w:p w14:paraId="67551271" w14:textId="29144968" w:rsidR="003C686E" w:rsidRDefault="003C686E" w:rsidP="00D86353">
            <w:pPr>
              <w:pStyle w:val="TableParagraph"/>
              <w:spacing w:before="120" w:after="120"/>
              <w:rPr>
                <w:b/>
                <w:i/>
                <w:spacing w:val="-2"/>
                <w:sz w:val="21"/>
              </w:rPr>
            </w:pPr>
            <w:r>
              <w:rPr>
                <w:b/>
                <w:i/>
                <w:spacing w:val="-2"/>
                <w:sz w:val="21"/>
              </w:rPr>
              <w:t xml:space="preserve">Guidance and education </w:t>
            </w:r>
          </w:p>
        </w:tc>
        <w:tc>
          <w:tcPr>
            <w:tcW w:w="1899" w:type="pct"/>
            <w:gridSpan w:val="2"/>
          </w:tcPr>
          <w:p w14:paraId="3DF08184" w14:textId="7E87DFC9" w:rsidR="003C686E" w:rsidRPr="00C15807" w:rsidRDefault="003C686E" w:rsidP="00D86353">
            <w:pPr>
              <w:pStyle w:val="TableParagraph"/>
              <w:spacing w:before="120" w:after="120"/>
              <w:ind w:left="107" w:right="171"/>
              <w:rPr>
                <w:sz w:val="21"/>
                <w:szCs w:val="21"/>
              </w:rPr>
            </w:pPr>
            <w:r w:rsidRPr="00DE13D9">
              <w:rPr>
                <w:sz w:val="21"/>
                <w:szCs w:val="21"/>
              </w:rPr>
              <w:t xml:space="preserve">Stakeholders requested to have </w:t>
            </w:r>
            <w:r w:rsidRPr="00C15807">
              <w:rPr>
                <w:sz w:val="21"/>
                <w:szCs w:val="21"/>
              </w:rPr>
              <w:t>comprehensive education and training for all those who administer and interact with the PL.</w:t>
            </w:r>
          </w:p>
          <w:p w14:paraId="45B16D31" w14:textId="3DA12FC9" w:rsidR="00773451" w:rsidRPr="00C278F6" w:rsidRDefault="00773451" w:rsidP="00D86353">
            <w:pPr>
              <w:pStyle w:val="TableParagraph"/>
              <w:spacing w:before="120" w:after="120"/>
              <w:ind w:left="107" w:right="171"/>
              <w:rPr>
                <w:sz w:val="21"/>
                <w:szCs w:val="21"/>
              </w:rPr>
            </w:pPr>
            <w:r w:rsidRPr="00C15807">
              <w:rPr>
                <w:sz w:val="21"/>
                <w:szCs w:val="21"/>
              </w:rPr>
              <w:t>It would be beneficial to clearly lay out how legislative instruments are applicable in terms of compliance obligations.</w:t>
            </w:r>
          </w:p>
        </w:tc>
        <w:tc>
          <w:tcPr>
            <w:tcW w:w="2077" w:type="pct"/>
          </w:tcPr>
          <w:p w14:paraId="42B6B91B" w14:textId="310433C4" w:rsidR="003C686E" w:rsidRPr="00B43B2B" w:rsidRDefault="00FD4320" w:rsidP="00D86353">
            <w:pPr>
              <w:pStyle w:val="TableParagraph"/>
              <w:spacing w:before="120" w:after="120"/>
              <w:rPr>
                <w:sz w:val="21"/>
                <w:szCs w:val="21"/>
              </w:rPr>
            </w:pPr>
            <w:r w:rsidRPr="00B43B2B">
              <w:rPr>
                <w:sz w:val="21"/>
                <w:szCs w:val="21"/>
              </w:rPr>
              <w:t xml:space="preserve">The Department will provide stakeholders with education and guidance notices to understand the new compliance functions and activities. We will also provide case studies </w:t>
            </w:r>
            <w:r w:rsidR="006C5F52">
              <w:rPr>
                <w:sz w:val="21"/>
                <w:szCs w:val="21"/>
              </w:rPr>
              <w:t>about</w:t>
            </w:r>
            <w:r w:rsidRPr="00B43B2B">
              <w:rPr>
                <w:sz w:val="21"/>
                <w:szCs w:val="21"/>
              </w:rPr>
              <w:t xml:space="preserve"> compliance related matters as an education</w:t>
            </w:r>
            <w:r w:rsidR="00601CD6" w:rsidRPr="00B43B2B">
              <w:rPr>
                <w:sz w:val="21"/>
                <w:szCs w:val="21"/>
              </w:rPr>
              <w:t xml:space="preserve"> tool</w:t>
            </w:r>
            <w:r w:rsidRPr="00B43B2B">
              <w:rPr>
                <w:sz w:val="21"/>
                <w:szCs w:val="21"/>
              </w:rPr>
              <w:t xml:space="preserve"> </w:t>
            </w:r>
            <w:r w:rsidR="006C5F52">
              <w:rPr>
                <w:sz w:val="21"/>
                <w:szCs w:val="21"/>
              </w:rPr>
              <w:t xml:space="preserve">aimed at </w:t>
            </w:r>
            <w:r w:rsidRPr="00B43B2B">
              <w:rPr>
                <w:sz w:val="21"/>
                <w:szCs w:val="21"/>
              </w:rPr>
              <w:t>encourag</w:t>
            </w:r>
            <w:r w:rsidR="006C5F52">
              <w:rPr>
                <w:sz w:val="21"/>
                <w:szCs w:val="21"/>
              </w:rPr>
              <w:t>ing</w:t>
            </w:r>
            <w:r w:rsidRPr="00B43B2B">
              <w:rPr>
                <w:sz w:val="21"/>
                <w:szCs w:val="21"/>
              </w:rPr>
              <w:t xml:space="preserve"> voluntary compliance.</w:t>
            </w:r>
          </w:p>
        </w:tc>
      </w:tr>
      <w:tr w:rsidR="00454B3A" w:rsidRPr="00423D3E" w14:paraId="3A7391D1" w14:textId="77777777" w:rsidTr="00D86353">
        <w:trPr>
          <w:trHeight w:val="1205"/>
        </w:trPr>
        <w:tc>
          <w:tcPr>
            <w:tcW w:w="1024" w:type="pct"/>
          </w:tcPr>
          <w:p w14:paraId="06186283" w14:textId="0942A1A0" w:rsidR="00454B3A" w:rsidRDefault="00454B3A" w:rsidP="00D86353">
            <w:pPr>
              <w:pStyle w:val="TableParagraph"/>
              <w:spacing w:before="120" w:after="120"/>
              <w:rPr>
                <w:b/>
                <w:i/>
                <w:spacing w:val="-2"/>
                <w:sz w:val="21"/>
              </w:rPr>
            </w:pPr>
            <w:r>
              <w:rPr>
                <w:b/>
                <w:i/>
                <w:spacing w:val="-2"/>
                <w:sz w:val="21"/>
              </w:rPr>
              <w:t>Additional</w:t>
            </w:r>
            <w:r w:rsidR="00663F9C">
              <w:rPr>
                <w:b/>
                <w:i/>
                <w:spacing w:val="-2"/>
                <w:sz w:val="21"/>
              </w:rPr>
              <w:t xml:space="preserve"> types of non-compliant</w:t>
            </w:r>
            <w:r>
              <w:rPr>
                <w:b/>
                <w:i/>
                <w:spacing w:val="-2"/>
                <w:sz w:val="21"/>
              </w:rPr>
              <w:t xml:space="preserve"> practices to be addressed</w:t>
            </w:r>
          </w:p>
        </w:tc>
        <w:tc>
          <w:tcPr>
            <w:tcW w:w="1899" w:type="pct"/>
            <w:gridSpan w:val="2"/>
          </w:tcPr>
          <w:p w14:paraId="7087FD26" w14:textId="16E1F505" w:rsidR="00454B3A" w:rsidRDefault="00454B3A" w:rsidP="00D86353">
            <w:pPr>
              <w:pStyle w:val="TableParagraph"/>
              <w:spacing w:before="120" w:after="120"/>
              <w:ind w:left="107" w:right="17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Stakeholders raised concerns about </w:t>
            </w:r>
            <w:proofErr w:type="gramStart"/>
            <w:r>
              <w:rPr>
                <w:sz w:val="21"/>
                <w:szCs w:val="21"/>
              </w:rPr>
              <w:t>a number of</w:t>
            </w:r>
            <w:proofErr w:type="gramEnd"/>
            <w:r>
              <w:rPr>
                <w:sz w:val="21"/>
                <w:szCs w:val="21"/>
              </w:rPr>
              <w:t xml:space="preserve"> different </w:t>
            </w:r>
            <w:r w:rsidR="006C5F52">
              <w:rPr>
                <w:sz w:val="21"/>
                <w:szCs w:val="21"/>
              </w:rPr>
              <w:t xml:space="preserve">types of non-compliant </w:t>
            </w:r>
            <w:r>
              <w:rPr>
                <w:sz w:val="21"/>
                <w:szCs w:val="21"/>
              </w:rPr>
              <w:t xml:space="preserve">practices that some insurers, hospitals, sponsors and clinicians were undertaking in their </w:t>
            </w:r>
            <w:r w:rsidR="0081363F">
              <w:rPr>
                <w:sz w:val="21"/>
                <w:szCs w:val="21"/>
              </w:rPr>
              <w:t>dealings</w:t>
            </w:r>
            <w:r>
              <w:rPr>
                <w:sz w:val="21"/>
                <w:szCs w:val="21"/>
              </w:rPr>
              <w:t xml:space="preserve"> with the PL.</w:t>
            </w:r>
          </w:p>
        </w:tc>
        <w:tc>
          <w:tcPr>
            <w:tcW w:w="2077" w:type="pct"/>
          </w:tcPr>
          <w:p w14:paraId="2C079889" w14:textId="758176E9" w:rsidR="0081363F" w:rsidRPr="00B43B2B" w:rsidRDefault="0081363F" w:rsidP="00D86353">
            <w:pPr>
              <w:pStyle w:val="TableParagraph"/>
              <w:spacing w:before="120" w:after="120"/>
              <w:rPr>
                <w:sz w:val="21"/>
                <w:szCs w:val="21"/>
              </w:rPr>
            </w:pPr>
            <w:r w:rsidRPr="00B43B2B">
              <w:rPr>
                <w:sz w:val="21"/>
                <w:szCs w:val="21"/>
              </w:rPr>
              <w:t xml:space="preserve">The Department will assess each of these concerns and where </w:t>
            </w:r>
            <w:r w:rsidR="00892F69" w:rsidRPr="00B43B2B">
              <w:rPr>
                <w:sz w:val="21"/>
                <w:szCs w:val="21"/>
              </w:rPr>
              <w:t xml:space="preserve">the issue is </w:t>
            </w:r>
            <w:r w:rsidR="00DE13D9" w:rsidRPr="00B43B2B">
              <w:rPr>
                <w:sz w:val="21"/>
                <w:szCs w:val="21"/>
              </w:rPr>
              <w:t>within the scope</w:t>
            </w:r>
            <w:r w:rsidR="006C5F52">
              <w:rPr>
                <w:sz w:val="21"/>
                <w:szCs w:val="21"/>
              </w:rPr>
              <w:t xml:space="preserve"> of the PL</w:t>
            </w:r>
            <w:r w:rsidRPr="00B43B2B">
              <w:rPr>
                <w:sz w:val="21"/>
                <w:szCs w:val="21"/>
              </w:rPr>
              <w:t xml:space="preserve">, will </w:t>
            </w:r>
            <w:r w:rsidR="00C83CD1" w:rsidRPr="00B43B2B">
              <w:rPr>
                <w:sz w:val="21"/>
                <w:szCs w:val="21"/>
              </w:rPr>
              <w:t>look at ways these concerns can be addressed.</w:t>
            </w:r>
          </w:p>
        </w:tc>
      </w:tr>
      <w:tr w:rsidR="00894A7B" w:rsidRPr="00423D3E" w14:paraId="75933913" w14:textId="77777777" w:rsidTr="00D86353">
        <w:trPr>
          <w:trHeight w:val="1226"/>
        </w:trPr>
        <w:tc>
          <w:tcPr>
            <w:tcW w:w="1024" w:type="pct"/>
          </w:tcPr>
          <w:p w14:paraId="3C679C3C" w14:textId="502E30AE" w:rsidR="00894A7B" w:rsidRDefault="00894A7B" w:rsidP="00D86353">
            <w:pPr>
              <w:pStyle w:val="TableParagraph"/>
              <w:spacing w:before="120" w:after="120"/>
              <w:rPr>
                <w:b/>
                <w:i/>
                <w:spacing w:val="-2"/>
                <w:sz w:val="21"/>
              </w:rPr>
            </w:pPr>
            <w:r>
              <w:rPr>
                <w:b/>
                <w:i/>
                <w:spacing w:val="-2"/>
                <w:sz w:val="21"/>
              </w:rPr>
              <w:t>Non-compliance categories</w:t>
            </w:r>
          </w:p>
        </w:tc>
        <w:tc>
          <w:tcPr>
            <w:tcW w:w="1899" w:type="pct"/>
            <w:gridSpan w:val="2"/>
          </w:tcPr>
          <w:p w14:paraId="6DE18E7F" w14:textId="615A43C9" w:rsidR="00894A7B" w:rsidRDefault="00894A7B" w:rsidP="00D86353">
            <w:pPr>
              <w:pStyle w:val="TableParagraph"/>
              <w:spacing w:before="120" w:after="120"/>
              <w:ind w:left="107" w:right="17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Stakeholders </w:t>
            </w:r>
            <w:r w:rsidR="00454B3A">
              <w:rPr>
                <w:sz w:val="21"/>
                <w:szCs w:val="21"/>
              </w:rPr>
              <w:t>stated</w:t>
            </w:r>
            <w:r>
              <w:rPr>
                <w:sz w:val="21"/>
                <w:szCs w:val="21"/>
              </w:rPr>
              <w:t xml:space="preserve"> that it was hard to differentiate between the ‘Minimal non-compliance’ and ‘Minor non-compliance’ tiers on the PL compliance enforcement model.</w:t>
            </w:r>
          </w:p>
        </w:tc>
        <w:tc>
          <w:tcPr>
            <w:tcW w:w="2077" w:type="pct"/>
          </w:tcPr>
          <w:p w14:paraId="0124A323" w14:textId="0D352F78" w:rsidR="00894A7B" w:rsidRPr="00B43B2B" w:rsidRDefault="00894A7B" w:rsidP="00D86353">
            <w:pPr>
              <w:pStyle w:val="TableParagraph"/>
              <w:spacing w:before="120" w:after="120"/>
              <w:rPr>
                <w:sz w:val="21"/>
                <w:szCs w:val="21"/>
              </w:rPr>
            </w:pPr>
            <w:r w:rsidRPr="00B43B2B">
              <w:rPr>
                <w:sz w:val="21"/>
                <w:szCs w:val="21"/>
              </w:rPr>
              <w:t>The Department acknowledges that there are very little differences between the minimal and minor non-compliance categories and will consolidate these into ‘Minor non-compliance’.</w:t>
            </w:r>
          </w:p>
        </w:tc>
      </w:tr>
      <w:bookmarkEnd w:id="2"/>
    </w:tbl>
    <w:p w14:paraId="2F67FD29" w14:textId="77777777" w:rsidR="004B261F" w:rsidRPr="00423D3E" w:rsidRDefault="004B261F">
      <w:pPr>
        <w:rPr>
          <w:color w:val="FF0000"/>
        </w:rPr>
      </w:pPr>
    </w:p>
    <w:sectPr w:rsidR="004B261F" w:rsidRPr="00423D3E" w:rsidSect="001573D6">
      <w:headerReference w:type="default" r:id="rId14"/>
      <w:footerReference w:type="default" r:id="rId15"/>
      <w:type w:val="nextColumn"/>
      <w:pgSz w:w="16840" w:h="11910" w:orient="landscape"/>
      <w:pgMar w:top="1843" w:right="1134" w:bottom="851" w:left="1134" w:header="392" w:footer="8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0AFDA" w14:textId="77777777" w:rsidR="00C6013C" w:rsidRDefault="00C6013C">
      <w:r>
        <w:separator/>
      </w:r>
    </w:p>
  </w:endnote>
  <w:endnote w:type="continuationSeparator" w:id="0">
    <w:p w14:paraId="453C6384" w14:textId="77777777" w:rsidR="00C6013C" w:rsidRDefault="00C6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7CAF9" w14:textId="4E6FEF0E" w:rsidR="00153018" w:rsidRDefault="00C6013C">
    <w:pPr>
      <w:pStyle w:val="BodyText"/>
      <w:spacing w:line="14" w:lineRule="auto"/>
      <w:rPr>
        <w:sz w:val="20"/>
      </w:rPr>
    </w:pPr>
    <w:r>
      <w:rPr>
        <w:noProof/>
      </w:rPr>
      <w:pict w14:anchorId="62A77CE9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37" type="#_x0000_t202" style="position:absolute;margin-left:55.7pt;margin-top:801.5pt;width:312.35pt;height:17.65pt;z-index:-15884800;visibility:visibl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" filled="f" stroked="f">
          <v:textbox inset="0,0,0,0">
            <w:txbxContent>
              <w:p w14:paraId="1FA008EA" w14:textId="7FC0C39F" w:rsidR="00153018" w:rsidRDefault="009745FC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Prostheses List Compliance Strategy Submission Responses Analysis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35DF0D75">
        <v:shape id="docshape1" o:spid="_x0000_s1036" type="#_x0000_t202" style="position:absolute;margin-left:538.3pt;margin-top:803.4pt;width:12.55pt;height:13.15pt;z-index:-158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" filled="f" stroked="f">
          <v:textbox inset="0,0,0,0">
            <w:txbxContent>
              <w:p w14:paraId="68605966" w14:textId="77777777" w:rsidR="00153018" w:rsidRDefault="00071376">
                <w:pPr>
                  <w:spacing w:before="12"/>
                  <w:ind w:left="6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rPr>
                    <w:w w:val="99"/>
                    <w:sz w:val="20"/>
                  </w:rPr>
                  <w:fldChar w:fldCharType="separate"/>
                </w:r>
                <w:r>
                  <w:rPr>
                    <w:w w:val="99"/>
                    <w:sz w:val="20"/>
                  </w:rPr>
                  <w:t>1</w:t>
                </w:r>
                <w:r>
                  <w:rPr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F096" w14:textId="124D09C4" w:rsidR="00153018" w:rsidRDefault="00C6013C">
    <w:pPr>
      <w:pStyle w:val="BodyText"/>
      <w:spacing w:line="14" w:lineRule="auto"/>
      <w:rPr>
        <w:sz w:val="20"/>
      </w:rPr>
    </w:pPr>
    <w:r>
      <w:rPr>
        <w:noProof/>
      </w:rPr>
      <w:pict w14:anchorId="7102C503">
        <v:shapetype id="_x0000_t202" coordsize="21600,21600" o:spt="202" path="m,l,21600r21600,l21600,xe">
          <v:stroke joinstyle="miter"/>
          <v:path gradientshapeok="t" o:connecttype="rect"/>
        </v:shapetype>
        <v:shape id="docshape40" o:spid="_x0000_s1026" type="#_x0000_t202" style="position:absolute;margin-left:41.45pt;margin-top:554.95pt;width:317.6pt;height:19pt;z-index:-15882752;visibility:visibl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" filled="f" stroked="f">
          <v:textbox inset="0,0,0,0">
            <w:txbxContent>
              <w:p w14:paraId="2B030AFE" w14:textId="77777777" w:rsidR="009745FC" w:rsidRDefault="009745FC" w:rsidP="009745FC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Prostheses List Compliance Strategy Submission Responses Analysis</w:t>
                </w:r>
              </w:p>
              <w:p w14:paraId="041D76DB" w14:textId="42149774" w:rsidR="00153018" w:rsidRDefault="00153018">
                <w:pPr>
                  <w:spacing w:before="12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 w14:anchorId="5DBF3F07">
        <v:shape id="docshape39" o:spid="_x0000_s1025" type="#_x0000_t202" style="position:absolute;margin-left:773.2pt;margin-top:558.3pt;width:12.55pt;height:13.15pt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" filled="f" stroked="f">
          <v:textbox inset="0,0,0,0">
            <w:txbxContent>
              <w:p w14:paraId="087E3BED" w14:textId="77777777" w:rsidR="00153018" w:rsidRDefault="00071376">
                <w:pPr>
                  <w:spacing w:before="12"/>
                  <w:ind w:left="6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rPr>
                    <w:w w:val="99"/>
                    <w:sz w:val="20"/>
                  </w:rPr>
                  <w:fldChar w:fldCharType="separate"/>
                </w:r>
                <w:r>
                  <w:rPr>
                    <w:w w:val="99"/>
                    <w:sz w:val="20"/>
                  </w:rPr>
                  <w:t>3</w:t>
                </w:r>
                <w:r>
                  <w:rPr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4D4A3" w14:textId="77777777" w:rsidR="00C6013C" w:rsidRDefault="00C6013C">
      <w:r>
        <w:separator/>
      </w:r>
    </w:p>
  </w:footnote>
  <w:footnote w:type="continuationSeparator" w:id="0">
    <w:p w14:paraId="75B4EDFB" w14:textId="77777777" w:rsidR="00C6013C" w:rsidRDefault="00C60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76C80" w14:textId="71C63501" w:rsidR="00153018" w:rsidRDefault="00C6013C">
    <w:pPr>
      <w:pStyle w:val="BodyText"/>
      <w:spacing w:line="14" w:lineRule="auto"/>
      <w:rPr>
        <w:sz w:val="20"/>
      </w:rPr>
    </w:pPr>
    <w:r>
      <w:rPr>
        <w:noProof/>
      </w:rPr>
      <w:pict w14:anchorId="1D3412E9">
        <v:group id="docshapegroup30" o:spid="_x0000_s1027" style="position:absolute;margin-left:42.55pt;margin-top:62.35pt;width:764.5pt;height:9.2pt;z-index:-15883776;mso-position-horizontal-relative:page;mso-position-vertical-relative:page" coordorigin="851,1247" coordsize="15545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">
          <v:shape id="docshape31" o:spid="_x0000_s1028" style="position:absolute;left:4639;top:1247;width:11757;height:184;visibility:visible;mso-wrap-style:square;v-text-anchor:top" coordsize="11757,1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" adj="0,,0" path="m1140,l,,,183r1140,l1140,xm11757,l3088,r,183l11757,183r,-183xe" fillcolor="#1d437e" stroked="f">
            <v:stroke joinstyle="round"/>
            <v:formulas/>
            <v:path arrowok="t" o:connecttype="custom" o:connectlocs="1140,1247;0,1247;0,1430;1140,1430;1140,1247;11757,1247;3088,1247;3088,1430;11757,1430;11757,1247" o:connectangles="0,0,0,0,0,0,0,0,0,0"/>
          </v:shape>
          <v:rect id="docshape32" o:spid="_x0000_s1029" style="position:absolute;left:6120;top:1247;width:1167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" fillcolor="#008995" stroked="f"/>
          <v:rect id="docshape33" o:spid="_x0000_s1030" style="position:absolute;left:5780;top:1247;width:341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" fillcolor="#008995" stroked="f">
            <v:fill opacity="52428f"/>
          </v:rect>
          <v:rect id="docshape34" o:spid="_x0000_s1031" style="position:absolute;left:4261;top:1247;width:378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" fillcolor="#008995" stroked="f"/>
          <v:rect id="docshape35" o:spid="_x0000_s1032" style="position:absolute;left:3915;top:1247;width:349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" fillcolor="#008995" stroked="f">
            <v:fill opacity="52428f"/>
          </v:rect>
          <v:shape id="docshape36" o:spid="_x0000_s1033" style="position:absolute;left:851;top:1247;width:2374;height:184;visibility:visible;mso-wrap-style:square;v-text-anchor:top" coordsize="2374,1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" adj="0,,0" path="m1175,l,,,183r1175,l1175,xm2373,l1654,r,183l2373,183,2373,xe" fillcolor="#1d437e" stroked="f">
            <v:stroke joinstyle="round"/>
            <v:formulas/>
            <v:path arrowok="t" o:connecttype="custom" o:connectlocs="1175,1247;0,1247;0,1430;1175,1430;1175,1247;2373,1247;1654,1247;1654,1430;2373,1430;2373,1247" o:connectangles="0,0,0,0,0,0,0,0,0,0"/>
          </v:shape>
          <v:rect id="docshape37" o:spid="_x0000_s1034" style="position:absolute;left:2027;top:1247;width:48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" fillcolor="#008995" stroked="f">
            <v:fill opacity="52428f"/>
          </v:rect>
          <v:shape id="docshape38" o:spid="_x0000_s1035" style="position:absolute;left:3221;top:1247;width:4505;height:184;visibility:visible;mso-wrap-style:square;v-text-anchor:top" coordsize="4505,1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" adj="0,,0" path="m696,l,,,183r696,l696,xm4504,l4067,r,184l4504,184,4504,xe" fillcolor="#1390cf" stroked="f">
            <v:fill opacity="52428f"/>
            <v:stroke joinstyle="round"/>
            <v:formulas/>
            <v:path arrowok="t" o:connecttype="custom" o:connectlocs="696,1247;0,1247;0,1430;696,1430;696,1247;4504,1247;4067,1247;4067,1431;4504,1431;4504,1247" o:connectangles="0,0,0,0,0,0,0,0,0,0"/>
          </v:shape>
          <w10:wrap anchorx="page" anchory="page"/>
        </v:group>
      </w:pict>
    </w:r>
    <w:r w:rsidR="00071376">
      <w:rPr>
        <w:noProof/>
      </w:rPr>
      <w:drawing>
        <wp:anchor distT="0" distB="0" distL="0" distR="0" simplePos="0" relativeHeight="251659264" behindDoc="1" locked="0" layoutInCell="1" allowOverlap="1" wp14:anchorId="1D4DD6B3" wp14:editId="4E3253DD">
          <wp:simplePos x="0" y="0"/>
          <wp:positionH relativeFrom="page">
            <wp:posOffset>540385</wp:posOffset>
          </wp:positionH>
          <wp:positionV relativeFrom="page">
            <wp:posOffset>248921</wp:posOffset>
          </wp:positionV>
          <wp:extent cx="2263139" cy="415288"/>
          <wp:effectExtent l="0" t="0" r="0" b="0"/>
          <wp:wrapNone/>
          <wp:docPr id="3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63139" cy="415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E0DC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58F6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487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7292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BCD9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9CB1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ACC3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E27A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022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3AC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6734D"/>
    <w:multiLevelType w:val="hybridMultilevel"/>
    <w:tmpl w:val="61CE88B0"/>
    <w:lvl w:ilvl="0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137B1B88"/>
    <w:multiLevelType w:val="hybridMultilevel"/>
    <w:tmpl w:val="B682275A"/>
    <w:lvl w:ilvl="0" w:tplc="0A7EF8A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0E21552">
      <w:numFmt w:val="bullet"/>
      <w:lvlText w:val="•"/>
      <w:lvlJc w:val="left"/>
      <w:pPr>
        <w:ind w:left="1356" w:hanging="360"/>
      </w:pPr>
      <w:rPr>
        <w:rFonts w:hint="default"/>
        <w:lang w:val="en-US" w:eastAsia="en-US" w:bidi="ar-SA"/>
      </w:rPr>
    </w:lvl>
    <w:lvl w:ilvl="2" w:tplc="3AC62AC0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3" w:tplc="571E8870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4" w:tplc="D318E120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5" w:tplc="04CAF862"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SA"/>
      </w:rPr>
    </w:lvl>
    <w:lvl w:ilvl="6" w:tplc="6BF030AE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7" w:tplc="0360EA52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8" w:tplc="CDD047BE"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4F2164E"/>
    <w:multiLevelType w:val="hybridMultilevel"/>
    <w:tmpl w:val="D66EF72A"/>
    <w:lvl w:ilvl="0" w:tplc="C8AE568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A8C393E">
      <w:numFmt w:val="bullet"/>
      <w:lvlText w:val="•"/>
      <w:lvlJc w:val="left"/>
      <w:pPr>
        <w:ind w:left="1356" w:hanging="360"/>
      </w:pPr>
      <w:rPr>
        <w:rFonts w:hint="default"/>
        <w:lang w:val="en-US" w:eastAsia="en-US" w:bidi="ar-SA"/>
      </w:rPr>
    </w:lvl>
    <w:lvl w:ilvl="2" w:tplc="74BCB0A8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3" w:tplc="9BC8CFD4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4" w:tplc="96888374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5" w:tplc="5C48C5D2"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SA"/>
      </w:rPr>
    </w:lvl>
    <w:lvl w:ilvl="6" w:tplc="A7BAF6C8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7" w:tplc="07BE685C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8" w:tplc="F404F3CA"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8512F49"/>
    <w:multiLevelType w:val="hybridMultilevel"/>
    <w:tmpl w:val="97D07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D6031"/>
    <w:multiLevelType w:val="hybridMultilevel"/>
    <w:tmpl w:val="058E9998"/>
    <w:lvl w:ilvl="0" w:tplc="F74A67C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FD4D020">
      <w:numFmt w:val="bullet"/>
      <w:lvlText w:val="•"/>
      <w:lvlJc w:val="left"/>
      <w:pPr>
        <w:ind w:left="1356" w:hanging="360"/>
      </w:pPr>
      <w:rPr>
        <w:rFonts w:hint="default"/>
        <w:lang w:val="en-US" w:eastAsia="en-US" w:bidi="ar-SA"/>
      </w:rPr>
    </w:lvl>
    <w:lvl w:ilvl="2" w:tplc="132E4504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3" w:tplc="359ADC96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4" w:tplc="F07A2C0E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5" w:tplc="99D61F10"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SA"/>
      </w:rPr>
    </w:lvl>
    <w:lvl w:ilvl="6" w:tplc="1AA0D0E2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7" w:tplc="2CD66BC0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8" w:tplc="03BEFA96"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FA62CC6"/>
    <w:multiLevelType w:val="hybridMultilevel"/>
    <w:tmpl w:val="BAA628EC"/>
    <w:lvl w:ilvl="0" w:tplc="40FEDEE6">
      <w:numFmt w:val="bullet"/>
      <w:lvlText w:val=""/>
      <w:lvlJc w:val="left"/>
      <w:pPr>
        <w:ind w:left="105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C0065C8E">
      <w:numFmt w:val="bullet"/>
      <w:lvlText w:val="•"/>
      <w:lvlJc w:val="left"/>
      <w:pPr>
        <w:ind w:left="2002" w:hanging="361"/>
      </w:pPr>
      <w:rPr>
        <w:rFonts w:hint="default"/>
        <w:lang w:val="en-US" w:eastAsia="en-US" w:bidi="ar-SA"/>
      </w:rPr>
    </w:lvl>
    <w:lvl w:ilvl="2" w:tplc="28B04A6C">
      <w:numFmt w:val="bullet"/>
      <w:lvlText w:val="•"/>
      <w:lvlJc w:val="left"/>
      <w:pPr>
        <w:ind w:left="2945" w:hanging="361"/>
      </w:pPr>
      <w:rPr>
        <w:rFonts w:hint="default"/>
        <w:lang w:val="en-US" w:eastAsia="en-US" w:bidi="ar-SA"/>
      </w:rPr>
    </w:lvl>
    <w:lvl w:ilvl="3" w:tplc="5F5CCADC">
      <w:numFmt w:val="bullet"/>
      <w:lvlText w:val="•"/>
      <w:lvlJc w:val="left"/>
      <w:pPr>
        <w:ind w:left="3887" w:hanging="361"/>
      </w:pPr>
      <w:rPr>
        <w:rFonts w:hint="default"/>
        <w:lang w:val="en-US" w:eastAsia="en-US" w:bidi="ar-SA"/>
      </w:rPr>
    </w:lvl>
    <w:lvl w:ilvl="4" w:tplc="FD565B92">
      <w:numFmt w:val="bullet"/>
      <w:lvlText w:val="•"/>
      <w:lvlJc w:val="left"/>
      <w:pPr>
        <w:ind w:left="4830" w:hanging="361"/>
      </w:pPr>
      <w:rPr>
        <w:rFonts w:hint="default"/>
        <w:lang w:val="en-US" w:eastAsia="en-US" w:bidi="ar-SA"/>
      </w:rPr>
    </w:lvl>
    <w:lvl w:ilvl="5" w:tplc="7AD828F0">
      <w:numFmt w:val="bullet"/>
      <w:lvlText w:val="•"/>
      <w:lvlJc w:val="left"/>
      <w:pPr>
        <w:ind w:left="5773" w:hanging="361"/>
      </w:pPr>
      <w:rPr>
        <w:rFonts w:hint="default"/>
        <w:lang w:val="en-US" w:eastAsia="en-US" w:bidi="ar-SA"/>
      </w:rPr>
    </w:lvl>
    <w:lvl w:ilvl="6" w:tplc="0BE0D692">
      <w:numFmt w:val="bullet"/>
      <w:lvlText w:val="•"/>
      <w:lvlJc w:val="left"/>
      <w:pPr>
        <w:ind w:left="6715" w:hanging="361"/>
      </w:pPr>
      <w:rPr>
        <w:rFonts w:hint="default"/>
        <w:lang w:val="en-US" w:eastAsia="en-US" w:bidi="ar-SA"/>
      </w:rPr>
    </w:lvl>
    <w:lvl w:ilvl="7" w:tplc="2548B51E">
      <w:numFmt w:val="bullet"/>
      <w:lvlText w:val="•"/>
      <w:lvlJc w:val="left"/>
      <w:pPr>
        <w:ind w:left="7658" w:hanging="361"/>
      </w:pPr>
      <w:rPr>
        <w:rFonts w:hint="default"/>
        <w:lang w:val="en-US" w:eastAsia="en-US" w:bidi="ar-SA"/>
      </w:rPr>
    </w:lvl>
    <w:lvl w:ilvl="8" w:tplc="EEF247FE">
      <w:numFmt w:val="bullet"/>
      <w:lvlText w:val="•"/>
      <w:lvlJc w:val="left"/>
      <w:pPr>
        <w:ind w:left="8601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652E7537"/>
    <w:multiLevelType w:val="hybridMultilevel"/>
    <w:tmpl w:val="1A78B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56BA6"/>
    <w:multiLevelType w:val="hybridMultilevel"/>
    <w:tmpl w:val="00643DF8"/>
    <w:lvl w:ilvl="0" w:tplc="C3AAD3C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CCCC778">
      <w:numFmt w:val="bullet"/>
      <w:lvlText w:val="•"/>
      <w:lvlJc w:val="left"/>
      <w:pPr>
        <w:ind w:left="1356" w:hanging="360"/>
      </w:pPr>
      <w:rPr>
        <w:rFonts w:hint="default"/>
        <w:lang w:val="en-US" w:eastAsia="en-US" w:bidi="ar-SA"/>
      </w:rPr>
    </w:lvl>
    <w:lvl w:ilvl="2" w:tplc="D7208112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3" w:tplc="18DCFD96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4" w:tplc="0F047BAA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5" w:tplc="B4AE2C64"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SA"/>
      </w:rPr>
    </w:lvl>
    <w:lvl w:ilvl="6" w:tplc="47062256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7" w:tplc="84B0D0EC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8" w:tplc="91D07C9E"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7ED12D0"/>
    <w:multiLevelType w:val="hybridMultilevel"/>
    <w:tmpl w:val="7E061D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11"/>
  </w:num>
  <w:num w:numId="5">
    <w:abstractNumId w:val="15"/>
  </w:num>
  <w:num w:numId="6">
    <w:abstractNumId w:val="10"/>
  </w:num>
  <w:num w:numId="7">
    <w:abstractNumId w:val="16"/>
  </w:num>
  <w:num w:numId="8">
    <w:abstractNumId w:val="13"/>
  </w:num>
  <w:num w:numId="9">
    <w:abstractNumId w:val="1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3018"/>
    <w:rsid w:val="000471E4"/>
    <w:rsid w:val="00055161"/>
    <w:rsid w:val="000566B0"/>
    <w:rsid w:val="0006157D"/>
    <w:rsid w:val="00071376"/>
    <w:rsid w:val="00071B2E"/>
    <w:rsid w:val="00085791"/>
    <w:rsid w:val="000A457E"/>
    <w:rsid w:val="000A7A9B"/>
    <w:rsid w:val="000D1C9E"/>
    <w:rsid w:val="000E0E9D"/>
    <w:rsid w:val="000E7D9C"/>
    <w:rsid w:val="000F5E7D"/>
    <w:rsid w:val="00116222"/>
    <w:rsid w:val="00123E2F"/>
    <w:rsid w:val="00153018"/>
    <w:rsid w:val="001573D6"/>
    <w:rsid w:val="00183747"/>
    <w:rsid w:val="001C3A2E"/>
    <w:rsid w:val="001D118A"/>
    <w:rsid w:val="0022235D"/>
    <w:rsid w:val="00232175"/>
    <w:rsid w:val="002325B7"/>
    <w:rsid w:val="00250AE1"/>
    <w:rsid w:val="00261EFE"/>
    <w:rsid w:val="0026457B"/>
    <w:rsid w:val="00267AC1"/>
    <w:rsid w:val="00271B57"/>
    <w:rsid w:val="002737D8"/>
    <w:rsid w:val="00283FA9"/>
    <w:rsid w:val="002A07F0"/>
    <w:rsid w:val="002A4BEB"/>
    <w:rsid w:val="002A70F7"/>
    <w:rsid w:val="002F5163"/>
    <w:rsid w:val="002F6233"/>
    <w:rsid w:val="00314D49"/>
    <w:rsid w:val="003203B5"/>
    <w:rsid w:val="00323699"/>
    <w:rsid w:val="00333705"/>
    <w:rsid w:val="003813B3"/>
    <w:rsid w:val="003C686E"/>
    <w:rsid w:val="003D460B"/>
    <w:rsid w:val="00411944"/>
    <w:rsid w:val="004140E4"/>
    <w:rsid w:val="00414D85"/>
    <w:rsid w:val="00420849"/>
    <w:rsid w:val="00423D3E"/>
    <w:rsid w:val="00445CEC"/>
    <w:rsid w:val="00451744"/>
    <w:rsid w:val="00454B3A"/>
    <w:rsid w:val="00471709"/>
    <w:rsid w:val="004B261F"/>
    <w:rsid w:val="004C6123"/>
    <w:rsid w:val="004D6E6B"/>
    <w:rsid w:val="004E43CD"/>
    <w:rsid w:val="004E65A8"/>
    <w:rsid w:val="004F7B99"/>
    <w:rsid w:val="005074D9"/>
    <w:rsid w:val="00522F0C"/>
    <w:rsid w:val="005465C3"/>
    <w:rsid w:val="00566401"/>
    <w:rsid w:val="005668AB"/>
    <w:rsid w:val="00586708"/>
    <w:rsid w:val="005A204D"/>
    <w:rsid w:val="005C5731"/>
    <w:rsid w:val="005F3164"/>
    <w:rsid w:val="00601CD6"/>
    <w:rsid w:val="0060724D"/>
    <w:rsid w:val="00610B12"/>
    <w:rsid w:val="006126BC"/>
    <w:rsid w:val="00617E02"/>
    <w:rsid w:val="0062347D"/>
    <w:rsid w:val="00657243"/>
    <w:rsid w:val="00663F9C"/>
    <w:rsid w:val="00691331"/>
    <w:rsid w:val="0069489F"/>
    <w:rsid w:val="006A5B5A"/>
    <w:rsid w:val="006B0000"/>
    <w:rsid w:val="006C5F52"/>
    <w:rsid w:val="00746F4C"/>
    <w:rsid w:val="0074771B"/>
    <w:rsid w:val="00757176"/>
    <w:rsid w:val="0075746E"/>
    <w:rsid w:val="00773451"/>
    <w:rsid w:val="00780A8A"/>
    <w:rsid w:val="00794CCB"/>
    <w:rsid w:val="00796DA7"/>
    <w:rsid w:val="007D1713"/>
    <w:rsid w:val="007E2CC9"/>
    <w:rsid w:val="007F5103"/>
    <w:rsid w:val="007F5416"/>
    <w:rsid w:val="00801C63"/>
    <w:rsid w:val="00813529"/>
    <w:rsid w:val="0081363F"/>
    <w:rsid w:val="00842B12"/>
    <w:rsid w:val="00864A24"/>
    <w:rsid w:val="0088609E"/>
    <w:rsid w:val="00892F69"/>
    <w:rsid w:val="00894A7B"/>
    <w:rsid w:val="00895D2B"/>
    <w:rsid w:val="008C0F95"/>
    <w:rsid w:val="008D25DC"/>
    <w:rsid w:val="008D5BAB"/>
    <w:rsid w:val="00917911"/>
    <w:rsid w:val="00953B80"/>
    <w:rsid w:val="009745FC"/>
    <w:rsid w:val="009C316B"/>
    <w:rsid w:val="009E3E0A"/>
    <w:rsid w:val="009F4735"/>
    <w:rsid w:val="009F5D22"/>
    <w:rsid w:val="00A100DC"/>
    <w:rsid w:val="00A12E2A"/>
    <w:rsid w:val="00A86492"/>
    <w:rsid w:val="00A8766E"/>
    <w:rsid w:val="00AD109F"/>
    <w:rsid w:val="00AD27DE"/>
    <w:rsid w:val="00AE4444"/>
    <w:rsid w:val="00B07CEE"/>
    <w:rsid w:val="00B43B2B"/>
    <w:rsid w:val="00B45087"/>
    <w:rsid w:val="00B57A37"/>
    <w:rsid w:val="00B87467"/>
    <w:rsid w:val="00B9561C"/>
    <w:rsid w:val="00C15807"/>
    <w:rsid w:val="00C25F96"/>
    <w:rsid w:val="00C278F6"/>
    <w:rsid w:val="00C34C26"/>
    <w:rsid w:val="00C6013C"/>
    <w:rsid w:val="00C81DF7"/>
    <w:rsid w:val="00C83CD1"/>
    <w:rsid w:val="00CB3267"/>
    <w:rsid w:val="00CC2A02"/>
    <w:rsid w:val="00CC47C6"/>
    <w:rsid w:val="00CC7E0D"/>
    <w:rsid w:val="00CE7E88"/>
    <w:rsid w:val="00D068AA"/>
    <w:rsid w:val="00D50235"/>
    <w:rsid w:val="00D612DF"/>
    <w:rsid w:val="00D86353"/>
    <w:rsid w:val="00DA7414"/>
    <w:rsid w:val="00DB4A99"/>
    <w:rsid w:val="00DE13D9"/>
    <w:rsid w:val="00DF5241"/>
    <w:rsid w:val="00EB3638"/>
    <w:rsid w:val="00EC056C"/>
    <w:rsid w:val="00ED5FEC"/>
    <w:rsid w:val="00EE2AF4"/>
    <w:rsid w:val="00EF684A"/>
    <w:rsid w:val="00F07356"/>
    <w:rsid w:val="00F07E53"/>
    <w:rsid w:val="00F22D61"/>
    <w:rsid w:val="00F32B6B"/>
    <w:rsid w:val="00F51FA9"/>
    <w:rsid w:val="00FC3E92"/>
    <w:rsid w:val="00FD4320"/>
    <w:rsid w:val="00FE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1546FC41"/>
  <w15:docId w15:val="{411B252D-4CBF-40A3-B85D-6B354B98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32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88"/>
      <w:ind w:left="1943" w:hanging="1577"/>
    </w:pPr>
    <w:rPr>
      <w:sz w:val="36"/>
      <w:szCs w:val="36"/>
    </w:rPr>
  </w:style>
  <w:style w:type="paragraph" w:styleId="ListParagraph">
    <w:name w:val="List Paragraph"/>
    <w:basedOn w:val="Normal"/>
    <w:uiPriority w:val="34"/>
    <w:qFormat/>
    <w:pPr>
      <w:spacing w:line="256" w:lineRule="exact"/>
      <w:ind w:left="1052" w:hanging="361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04"/>
    </w:pPr>
  </w:style>
  <w:style w:type="character" w:styleId="Emphasis">
    <w:name w:val="Emphasis"/>
    <w:basedOn w:val="DefaultParagraphFont"/>
    <w:rsid w:val="001573D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571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17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571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176"/>
    <w:rPr>
      <w:rFonts w:ascii="Arial" w:eastAsia="Arial" w:hAnsi="Arial" w:cs="Arial"/>
    </w:rPr>
  </w:style>
  <w:style w:type="paragraph" w:customStyle="1" w:styleId="Paragraphtext">
    <w:name w:val="Paragraph text"/>
    <w:basedOn w:val="Normal"/>
    <w:qFormat/>
    <w:rsid w:val="00A12E2A"/>
    <w:pPr>
      <w:widowControl/>
      <w:autoSpaceDE/>
      <w:autoSpaceDN/>
      <w:spacing w:before="120" w:after="60"/>
    </w:pPr>
    <w:rPr>
      <w:rFonts w:eastAsia="Times New Roman" w:cs="Times New Roman"/>
      <w:color w:val="000000" w:themeColor="text1"/>
      <w:sz w:val="21"/>
      <w:szCs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D27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7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7D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7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7DE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D27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7D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204D"/>
    <w:pPr>
      <w:widowControl/>
      <w:autoSpaceDE/>
      <w:autoSpaceDN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F07356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728B9DB528C449A04428641949F0A" ma:contentTypeVersion="4" ma:contentTypeDescription="Create a new document." ma:contentTypeScope="" ma:versionID="2f4bca967f4df7938bb078e86ee1ae27">
  <xsd:schema xmlns:xsd="http://www.w3.org/2001/XMLSchema" xmlns:xs="http://www.w3.org/2001/XMLSchema" xmlns:p="http://schemas.microsoft.com/office/2006/metadata/properties" xmlns:ns3="58efcaf7-88ec-4eee-a429-c06134de2200" targetNamespace="http://schemas.microsoft.com/office/2006/metadata/properties" ma:root="true" ma:fieldsID="b7c58dfa45f61356e53f5d263f3f5c76" ns3:_="">
    <xsd:import namespace="58efcaf7-88ec-4eee-a429-c06134de22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fcaf7-88ec-4eee-a429-c06134de2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4F8F2B-A7FF-44F7-A4B6-548F398AB9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F96F86-A3A6-4FE0-9DD2-E58FB2A20A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1BE137-43C8-47FA-8018-FBE80C55CE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B7D7FD-EA32-4E1E-B0EE-1D79071B0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fcaf7-88ec-4eee-a429-c06134de22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ALIM, Marcus</dc:creator>
  <cp:keywords/>
  <dc:description/>
  <cp:lastModifiedBy>PHILLIPS, Scott</cp:lastModifiedBy>
  <cp:revision>13</cp:revision>
  <dcterms:created xsi:type="dcterms:W3CDTF">2023-04-03T03:34:00Z</dcterms:created>
  <dcterms:modified xsi:type="dcterms:W3CDTF">2023-05-03T11:18:00Z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0x010100AC7728B9DB528C449A04428641949F0A</vt:lpwstr>
  </property>
  <property fmtid="{D5CDD505-2E9C-101B-9397-08002B2CF9AE}" pid="3" name="Created">
    <vt:filetime>2022-11-16T00:00:00Z</vt:filetime>
  </property>
  <property fmtid="{D5CDD505-2E9C-101B-9397-08002B2CF9AE}" pid="4" name="Creator">
    <vt:lpwstr>Acrobat PDFMaker 22 for Word</vt:lpwstr>
  </property>
  <property fmtid="{D5CDD505-2E9C-101B-9397-08002B2CF9AE}" pid="5" name="File Structure">
    <vt:lpwstr>169;#Style Guide|aa9bcad4-d3b7-4fe1-b475-a8e6573a6ad1</vt:lpwstr>
  </property>
  <property fmtid="{D5CDD505-2E9C-101B-9397-08002B2CF9AE}" pid="6" name="LastSaved">
    <vt:filetime>2022-12-12T00:00:00Z</vt:filetime>
  </property>
  <property fmtid="{D5CDD505-2E9C-101B-9397-08002B2CF9AE}" pid="7" name="Producer">
    <vt:lpwstr>Adobe PDF Library 22.3.39</vt:lpwstr>
  </property>
  <property fmtid="{D5CDD505-2E9C-101B-9397-08002B2CF9AE}" pid="8" name="Project">
    <vt:lpwstr>170;#Style Guide|fae42d66-6622-4466-b060-a03a1a4f59f8</vt:lpwstr>
  </property>
  <property fmtid="{D5CDD505-2E9C-101B-9397-08002B2CF9AE}" pid="9" name="SourceModified">
    <vt:lpwstr>D:20221116044048</vt:lpwstr>
  </property>
</Properties>
</file>