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1D777" w14:textId="77777777" w:rsidR="00766EDF" w:rsidRDefault="00766EDF" w:rsidP="00B53987">
      <w:pPr>
        <w:rPr>
          <w:rFonts w:eastAsiaTheme="majorEastAsia" w:cstheme="majorBidi"/>
          <w:b/>
          <w:color w:val="3F4A75"/>
          <w:kern w:val="28"/>
          <w:sz w:val="32"/>
          <w:szCs w:val="36"/>
        </w:rPr>
      </w:pPr>
      <w:r w:rsidRPr="00766EDF">
        <w:rPr>
          <w:rFonts w:eastAsiaTheme="majorEastAsia" w:cstheme="majorBidi"/>
          <w:b/>
          <w:color w:val="3F4A75"/>
          <w:kern w:val="28"/>
          <w:sz w:val="32"/>
          <w:szCs w:val="36"/>
        </w:rPr>
        <w:t xml:space="preserve">Fact Sheet: Strengthening Medicare – General Practice (GP) Grants Program </w:t>
      </w:r>
    </w:p>
    <w:p w14:paraId="0243ED71" w14:textId="39B2B7D4" w:rsidR="00B53987" w:rsidRDefault="00D23620" w:rsidP="00B53987">
      <w:r>
        <w:t xml:space="preserve">May </w:t>
      </w:r>
      <w:r w:rsidR="000C08F3">
        <w:t>2023</w:t>
      </w:r>
    </w:p>
    <w:p w14:paraId="02F8A940" w14:textId="77777777" w:rsidR="00766EDF" w:rsidRPr="00766EDF" w:rsidRDefault="00766EDF" w:rsidP="00766EDF">
      <w:pPr>
        <w:pStyle w:val="Subtitle"/>
        <w:rPr>
          <w:sz w:val="22"/>
          <w:szCs w:val="14"/>
        </w:rPr>
      </w:pPr>
      <w:r w:rsidRPr="00766EDF">
        <w:rPr>
          <w:sz w:val="22"/>
          <w:szCs w:val="14"/>
        </w:rPr>
        <w:t>This fact sheet provides information on the Strengthening Medicare – General Practice (GP) Grants Program</w:t>
      </w:r>
      <w:r>
        <w:rPr>
          <w:sz w:val="22"/>
          <w:szCs w:val="14"/>
        </w:rPr>
        <w:t>.</w:t>
      </w:r>
    </w:p>
    <w:p w14:paraId="18819B47" w14:textId="77777777" w:rsidR="00FA02BB" w:rsidRPr="00766EDF" w:rsidRDefault="00766EDF" w:rsidP="00FA02BB">
      <w:pPr>
        <w:pStyle w:val="Heading1"/>
        <w:rPr>
          <w:sz w:val="22"/>
          <w:szCs w:val="22"/>
        </w:rPr>
      </w:pPr>
      <w:r w:rsidRPr="00766EDF">
        <w:rPr>
          <w:sz w:val="22"/>
          <w:szCs w:val="22"/>
        </w:rPr>
        <w:t>Background</w:t>
      </w:r>
    </w:p>
    <w:p w14:paraId="3F2E9E8C" w14:textId="58B15B27" w:rsidR="00766EDF" w:rsidRDefault="00582BBC" w:rsidP="00E25B1F">
      <w:r>
        <w:t>T</w:t>
      </w:r>
      <w:r w:rsidR="00766EDF" w:rsidRPr="00766EDF">
        <w:t>he Australian Government is investing $220 million</w:t>
      </w:r>
      <w:r w:rsidR="002F3F9A">
        <w:t xml:space="preserve"> in grants, </w:t>
      </w:r>
      <w:r w:rsidR="00766EDF" w:rsidRPr="00766EDF">
        <w:t>over two years from 2022-23 to 2023-24</w:t>
      </w:r>
      <w:r w:rsidR="002F3F9A">
        <w:t>,</w:t>
      </w:r>
      <w:r w:rsidR="00766EDF" w:rsidRPr="00766EDF">
        <w:t xml:space="preserve"> through the Strengthening Medicare – GP Grants Program (the Program)</w:t>
      </w:r>
      <w:r w:rsidR="002F3F9A">
        <w:t>,</w:t>
      </w:r>
      <w:r w:rsidR="002C75C6">
        <w:t xml:space="preserve"> to support </w:t>
      </w:r>
      <w:r w:rsidR="002C75C6" w:rsidRPr="00766EDF">
        <w:t>general practices</w:t>
      </w:r>
      <w:r w:rsidR="002C75C6">
        <w:t xml:space="preserve"> </w:t>
      </w:r>
      <w:r w:rsidR="002C75C6" w:rsidRPr="0075494C">
        <w:rPr>
          <w:color w:val="auto"/>
        </w:rPr>
        <w:t xml:space="preserve">and </w:t>
      </w:r>
      <w:r w:rsidR="002C75C6">
        <w:rPr>
          <w:color w:val="auto"/>
        </w:rPr>
        <w:t xml:space="preserve">eligible </w:t>
      </w:r>
      <w:r w:rsidR="002C75C6" w:rsidRPr="00766EDF">
        <w:t xml:space="preserve">Aboriginal Community Controlled Health </w:t>
      </w:r>
      <w:r w:rsidR="002C75C6">
        <w:t>Organisations</w:t>
      </w:r>
      <w:r w:rsidR="002C75C6" w:rsidRPr="00766EDF">
        <w:t xml:space="preserve"> (ACCH</w:t>
      </w:r>
      <w:r w:rsidR="002C75C6">
        <w:t>Os</w:t>
      </w:r>
      <w:r w:rsidR="002C75C6" w:rsidRPr="00766EDF">
        <w:t>)</w:t>
      </w:r>
      <w:r w:rsidR="00621CFE">
        <w:t>.</w:t>
      </w:r>
    </w:p>
    <w:p w14:paraId="7A853611" w14:textId="77777777" w:rsidR="00766EDF" w:rsidRPr="00766EDF" w:rsidRDefault="00766EDF" w:rsidP="00766EDF">
      <w:pPr>
        <w:pStyle w:val="Heading2"/>
        <w:rPr>
          <w:sz w:val="22"/>
          <w:szCs w:val="22"/>
        </w:rPr>
      </w:pPr>
      <w:r w:rsidRPr="00766EDF">
        <w:rPr>
          <w:sz w:val="22"/>
          <w:szCs w:val="22"/>
        </w:rPr>
        <w:t>What is the purpose of the Program?</w:t>
      </w:r>
    </w:p>
    <w:p w14:paraId="04F8C70E" w14:textId="32485DA8" w:rsidR="002717C7" w:rsidRDefault="00766EDF" w:rsidP="002717C7">
      <w:pPr>
        <w:rPr>
          <w:szCs w:val="22"/>
        </w:rPr>
      </w:pPr>
      <w:bookmarkStart w:id="0" w:name="_Hlk128571538"/>
      <w:bookmarkStart w:id="1" w:name="_Hlk132187131"/>
      <w:r w:rsidRPr="00766EDF">
        <w:rPr>
          <w:szCs w:val="22"/>
        </w:rPr>
        <w:t xml:space="preserve">To </w:t>
      </w:r>
      <w:r w:rsidR="00C46412">
        <w:rPr>
          <w:szCs w:val="22"/>
        </w:rPr>
        <w:t xml:space="preserve">provide </w:t>
      </w:r>
      <w:r w:rsidR="002C75C6" w:rsidRPr="00766EDF">
        <w:rPr>
          <w:szCs w:val="22"/>
        </w:rPr>
        <w:t>funding</w:t>
      </w:r>
      <w:r w:rsidR="00C46412">
        <w:rPr>
          <w:szCs w:val="22"/>
        </w:rPr>
        <w:t xml:space="preserve"> to</w:t>
      </w:r>
      <w:r w:rsidRPr="00766EDF">
        <w:rPr>
          <w:szCs w:val="22"/>
        </w:rPr>
        <w:t xml:space="preserve"> general practices</w:t>
      </w:r>
      <w:r w:rsidRPr="00AC32D7">
        <w:rPr>
          <w:color w:val="FF0000"/>
          <w:szCs w:val="22"/>
        </w:rPr>
        <w:t xml:space="preserve"> </w:t>
      </w:r>
      <w:r w:rsidR="00995630" w:rsidRPr="0075494C">
        <w:rPr>
          <w:color w:val="auto"/>
          <w:szCs w:val="22"/>
        </w:rPr>
        <w:t>and</w:t>
      </w:r>
      <w:r w:rsidR="00995630" w:rsidRPr="00512C3C">
        <w:rPr>
          <w:color w:val="auto"/>
          <w:szCs w:val="22"/>
        </w:rPr>
        <w:t xml:space="preserve"> </w:t>
      </w:r>
      <w:r w:rsidR="00C46412" w:rsidRPr="00512C3C">
        <w:rPr>
          <w:color w:val="auto"/>
          <w:szCs w:val="22"/>
        </w:rPr>
        <w:t xml:space="preserve">eligible </w:t>
      </w:r>
      <w:r w:rsidRPr="00766EDF">
        <w:rPr>
          <w:szCs w:val="22"/>
        </w:rPr>
        <w:t>ACCH</w:t>
      </w:r>
      <w:r w:rsidR="00583F8E">
        <w:rPr>
          <w:szCs w:val="22"/>
        </w:rPr>
        <w:t>Os</w:t>
      </w:r>
      <w:r w:rsidRPr="00766EDF">
        <w:rPr>
          <w:szCs w:val="22"/>
        </w:rPr>
        <w:t xml:space="preserve"> to make improvements to their practices</w:t>
      </w:r>
      <w:r w:rsidR="00621CFE">
        <w:rPr>
          <w:szCs w:val="22"/>
        </w:rPr>
        <w:t xml:space="preserve"> </w:t>
      </w:r>
      <w:r w:rsidR="00031D61">
        <w:rPr>
          <w:szCs w:val="22"/>
        </w:rPr>
        <w:t>to</w:t>
      </w:r>
      <w:r w:rsidR="00621CFE">
        <w:rPr>
          <w:szCs w:val="22"/>
        </w:rPr>
        <w:t xml:space="preserve"> </w:t>
      </w:r>
      <w:r w:rsidR="00621CFE" w:rsidRPr="00C46412">
        <w:rPr>
          <w:szCs w:val="22"/>
        </w:rPr>
        <w:t>expand patient access and support safe, and accessible, quality primary care.</w:t>
      </w:r>
      <w:r w:rsidR="002717C7">
        <w:rPr>
          <w:szCs w:val="22"/>
        </w:rPr>
        <w:t xml:space="preserve"> </w:t>
      </w:r>
    </w:p>
    <w:bookmarkEnd w:id="0"/>
    <w:bookmarkEnd w:id="1"/>
    <w:p w14:paraId="15D607C7" w14:textId="27DE5320" w:rsidR="00766EDF" w:rsidRPr="00512C3C" w:rsidRDefault="00766EDF" w:rsidP="00766EDF">
      <w:pPr>
        <w:pStyle w:val="Heading2"/>
        <w:rPr>
          <w:sz w:val="22"/>
          <w:szCs w:val="22"/>
        </w:rPr>
      </w:pPr>
      <w:r w:rsidRPr="00512C3C">
        <w:rPr>
          <w:sz w:val="22"/>
          <w:szCs w:val="22"/>
        </w:rPr>
        <w:t xml:space="preserve">Who </w:t>
      </w:r>
      <w:r w:rsidR="00AB09FD">
        <w:rPr>
          <w:sz w:val="22"/>
          <w:szCs w:val="22"/>
        </w:rPr>
        <w:t>is</w:t>
      </w:r>
      <w:r w:rsidRPr="00512C3C">
        <w:rPr>
          <w:sz w:val="22"/>
          <w:szCs w:val="22"/>
        </w:rPr>
        <w:t xml:space="preserve"> eligible to apply for grants under the Program?</w:t>
      </w:r>
    </w:p>
    <w:p w14:paraId="590346D0" w14:textId="19984D9D" w:rsidR="00C64C27" w:rsidRPr="00512C3C" w:rsidRDefault="00EF3A50" w:rsidP="00512C3C">
      <w:pPr>
        <w:pStyle w:val="ListParagraph"/>
        <w:numPr>
          <w:ilvl w:val="0"/>
          <w:numId w:val="30"/>
        </w:numPr>
        <w:rPr>
          <w:color w:val="auto"/>
          <w:szCs w:val="22"/>
        </w:rPr>
      </w:pPr>
      <w:r w:rsidRPr="00512C3C">
        <w:rPr>
          <w:color w:val="auto"/>
          <w:szCs w:val="22"/>
        </w:rPr>
        <w:t>G</w:t>
      </w:r>
      <w:r w:rsidR="00766EDF" w:rsidRPr="00512C3C">
        <w:rPr>
          <w:color w:val="auto"/>
          <w:szCs w:val="22"/>
        </w:rPr>
        <w:t>eneral practices</w:t>
      </w:r>
      <w:r w:rsidR="002717C7" w:rsidRPr="00512C3C">
        <w:rPr>
          <w:color w:val="auto"/>
          <w:szCs w:val="22"/>
        </w:rPr>
        <w:t xml:space="preserve"> (see definition below)</w:t>
      </w:r>
      <w:r w:rsidR="00C64C27" w:rsidRPr="00512C3C">
        <w:rPr>
          <w:color w:val="auto"/>
          <w:szCs w:val="22"/>
        </w:rPr>
        <w:t>; and</w:t>
      </w:r>
    </w:p>
    <w:p w14:paraId="499D4947" w14:textId="02E6480C" w:rsidR="00995630" w:rsidRPr="00512C3C" w:rsidRDefault="007F386A">
      <w:pPr>
        <w:pStyle w:val="ListParagraph"/>
        <w:numPr>
          <w:ilvl w:val="0"/>
          <w:numId w:val="30"/>
        </w:numPr>
        <w:rPr>
          <w:color w:val="auto"/>
        </w:rPr>
      </w:pPr>
      <w:r w:rsidRPr="00512C3C">
        <w:rPr>
          <w:color w:val="auto"/>
        </w:rPr>
        <w:t>ACCH</w:t>
      </w:r>
      <w:r w:rsidR="00583F8E" w:rsidRPr="00512C3C">
        <w:rPr>
          <w:color w:val="auto"/>
        </w:rPr>
        <w:t>Os</w:t>
      </w:r>
      <w:r w:rsidRPr="00512C3C">
        <w:rPr>
          <w:color w:val="auto"/>
        </w:rPr>
        <w:t xml:space="preserve"> that deliver general practice services and are not owned or operated by a state, territory or local government agency or body.</w:t>
      </w:r>
    </w:p>
    <w:p w14:paraId="08D6872D" w14:textId="77777777" w:rsidR="002717C7" w:rsidRPr="00512C3C" w:rsidRDefault="002717C7" w:rsidP="002717C7">
      <w:pPr>
        <w:rPr>
          <w:sz w:val="20"/>
          <w:szCs w:val="20"/>
          <w:u w:val="single"/>
        </w:rPr>
      </w:pPr>
      <w:r w:rsidRPr="00512C3C">
        <w:rPr>
          <w:sz w:val="20"/>
          <w:szCs w:val="20"/>
          <w:u w:val="single"/>
        </w:rPr>
        <w:t>Definition of ‘general practice’:</w:t>
      </w:r>
    </w:p>
    <w:p w14:paraId="3E815A98" w14:textId="1727C25A" w:rsidR="002717C7" w:rsidRPr="00512C3C" w:rsidRDefault="002717C7" w:rsidP="002717C7">
      <w:pPr>
        <w:rPr>
          <w:sz w:val="20"/>
          <w:szCs w:val="20"/>
        </w:rPr>
      </w:pPr>
      <w:r w:rsidRPr="00512C3C">
        <w:rPr>
          <w:sz w:val="20"/>
          <w:szCs w:val="20"/>
        </w:rPr>
        <w:t xml:space="preserve">An </w:t>
      </w:r>
      <w:r w:rsidRPr="00512C3C">
        <w:rPr>
          <w:color w:val="auto"/>
          <w:sz w:val="20"/>
          <w:szCs w:val="20"/>
        </w:rPr>
        <w:t xml:space="preserve">open and operating </w:t>
      </w:r>
      <w:r w:rsidRPr="00512C3C">
        <w:rPr>
          <w:b/>
          <w:bCs/>
          <w:sz w:val="20"/>
          <w:szCs w:val="20"/>
        </w:rPr>
        <w:t>general practice</w:t>
      </w:r>
      <w:r w:rsidRPr="00512C3C">
        <w:rPr>
          <w:sz w:val="20"/>
          <w:szCs w:val="20"/>
        </w:rPr>
        <w:t xml:space="preserve"> as per the RACGP definition for the purposes of practice accreditation against the </w:t>
      </w:r>
      <w:hyperlink r:id="rId8" w:history="1">
        <w:r w:rsidRPr="00512C3C">
          <w:rPr>
            <w:rStyle w:val="Hyperlink"/>
            <w:rFonts w:cs="Arial"/>
            <w:color w:val="auto"/>
            <w:sz w:val="20"/>
            <w:szCs w:val="20"/>
            <w:u w:val="none"/>
            <w:lang w:val="en-GB"/>
          </w:rPr>
          <w:t>Standards for General Practice</w:t>
        </w:r>
      </w:hyperlink>
      <w:r w:rsidRPr="00512C3C">
        <w:rPr>
          <w:rStyle w:val="Hyperlink"/>
          <w:rFonts w:cs="Arial"/>
          <w:color w:val="auto"/>
          <w:sz w:val="20"/>
          <w:szCs w:val="20"/>
          <w:u w:val="none"/>
          <w:lang w:val="en-GB"/>
        </w:rPr>
        <w:t>s (5</w:t>
      </w:r>
      <w:r w:rsidRPr="00512C3C">
        <w:rPr>
          <w:rStyle w:val="Hyperlink"/>
          <w:rFonts w:cs="Arial"/>
          <w:color w:val="auto"/>
          <w:sz w:val="20"/>
          <w:szCs w:val="20"/>
          <w:u w:val="none"/>
          <w:vertAlign w:val="superscript"/>
          <w:lang w:val="en-GB"/>
        </w:rPr>
        <w:t>th</w:t>
      </w:r>
      <w:r w:rsidRPr="00512C3C">
        <w:rPr>
          <w:rStyle w:val="Hyperlink"/>
          <w:rFonts w:cs="Arial"/>
          <w:color w:val="auto"/>
          <w:sz w:val="20"/>
          <w:szCs w:val="20"/>
          <w:u w:val="none"/>
          <w:lang w:val="en-GB"/>
        </w:rPr>
        <w:t xml:space="preserve"> edition),</w:t>
      </w:r>
      <w:r w:rsidRPr="00512C3C">
        <w:rPr>
          <w:color w:val="auto"/>
          <w:sz w:val="20"/>
          <w:szCs w:val="20"/>
        </w:rPr>
        <w:t xml:space="preserve"> that </w:t>
      </w:r>
      <w:r w:rsidRPr="00512C3C">
        <w:rPr>
          <w:sz w:val="20"/>
          <w:szCs w:val="20"/>
        </w:rPr>
        <w:t>meets all the following criteria:</w:t>
      </w:r>
    </w:p>
    <w:p w14:paraId="037D3E9B" w14:textId="0A2170F5" w:rsidR="002717C7" w:rsidRPr="00512C3C" w:rsidRDefault="002717C7" w:rsidP="002717C7">
      <w:pPr>
        <w:pStyle w:val="ListParagraph"/>
        <w:numPr>
          <w:ilvl w:val="0"/>
          <w:numId w:val="39"/>
        </w:numPr>
        <w:rPr>
          <w:sz w:val="20"/>
          <w:szCs w:val="20"/>
        </w:rPr>
      </w:pPr>
      <w:r w:rsidRPr="00512C3C">
        <w:rPr>
          <w:sz w:val="20"/>
          <w:szCs w:val="20"/>
        </w:rPr>
        <w:t xml:space="preserve">the practice operates within the model of general practice described in the </w:t>
      </w:r>
      <w:hyperlink r:id="rId9" w:history="1">
        <w:r w:rsidR="00865BEB" w:rsidRPr="00865BEB">
          <w:rPr>
            <w:rStyle w:val="Hyperlink"/>
            <w:sz w:val="20"/>
            <w:szCs w:val="20"/>
          </w:rPr>
          <w:t>RACGP's definition of general practice</w:t>
        </w:r>
      </w:hyperlink>
      <w:r w:rsidR="00865BEB" w:rsidRPr="00865BEB">
        <w:rPr>
          <w:sz w:val="20"/>
          <w:szCs w:val="20"/>
        </w:rPr>
        <w:t>.</w:t>
      </w:r>
    </w:p>
    <w:p w14:paraId="76D77B6D" w14:textId="77777777" w:rsidR="002717C7" w:rsidRPr="00512C3C" w:rsidRDefault="002717C7" w:rsidP="002717C7">
      <w:pPr>
        <w:pStyle w:val="ListParagraph"/>
        <w:numPr>
          <w:ilvl w:val="0"/>
          <w:numId w:val="39"/>
        </w:numPr>
        <w:rPr>
          <w:sz w:val="20"/>
          <w:szCs w:val="20"/>
        </w:rPr>
      </w:pPr>
      <w:r w:rsidRPr="00512C3C">
        <w:rPr>
          <w:sz w:val="20"/>
          <w:szCs w:val="20"/>
        </w:rPr>
        <w:t>general practitioner (GP) services are predominantly* of a general practice nature</w:t>
      </w:r>
    </w:p>
    <w:p w14:paraId="43A6EA80" w14:textId="12606659" w:rsidR="002717C7" w:rsidRPr="00512C3C" w:rsidRDefault="002717C7" w:rsidP="002717C7">
      <w:pPr>
        <w:pStyle w:val="ListParagraph"/>
        <w:numPr>
          <w:ilvl w:val="0"/>
          <w:numId w:val="39"/>
        </w:numPr>
        <w:rPr>
          <w:sz w:val="20"/>
          <w:szCs w:val="20"/>
        </w:rPr>
      </w:pPr>
      <w:r w:rsidRPr="00512C3C">
        <w:rPr>
          <w:sz w:val="20"/>
          <w:szCs w:val="20"/>
        </w:rPr>
        <w:t xml:space="preserve">the practice is capable of meeting all mandatory indicators in the </w:t>
      </w:r>
      <w:r w:rsidRPr="00512C3C">
        <w:rPr>
          <w:color w:val="auto"/>
          <w:sz w:val="20"/>
          <w:szCs w:val="20"/>
        </w:rPr>
        <w:t xml:space="preserve">RACGP </w:t>
      </w:r>
      <w:hyperlink r:id="rId10" w:history="1">
        <w:r w:rsidRPr="00512C3C">
          <w:rPr>
            <w:rStyle w:val="Hyperlink"/>
            <w:rFonts w:cs="Arial"/>
            <w:color w:val="auto"/>
            <w:sz w:val="20"/>
            <w:szCs w:val="20"/>
            <w:u w:val="none"/>
            <w:lang w:val="en-GB"/>
          </w:rPr>
          <w:t>Standards for General Practice</w:t>
        </w:r>
      </w:hyperlink>
      <w:r w:rsidRPr="00512C3C">
        <w:rPr>
          <w:rStyle w:val="Hyperlink"/>
          <w:rFonts w:cs="Arial"/>
          <w:color w:val="auto"/>
          <w:sz w:val="20"/>
          <w:szCs w:val="20"/>
          <w:u w:val="none"/>
          <w:lang w:val="en-GB"/>
        </w:rPr>
        <w:t>s (5</w:t>
      </w:r>
      <w:r w:rsidRPr="00512C3C">
        <w:rPr>
          <w:rStyle w:val="Hyperlink"/>
          <w:rFonts w:cs="Arial"/>
          <w:color w:val="auto"/>
          <w:sz w:val="20"/>
          <w:szCs w:val="20"/>
          <w:u w:val="none"/>
          <w:vertAlign w:val="superscript"/>
          <w:lang w:val="en-GB"/>
        </w:rPr>
        <w:t>th </w:t>
      </w:r>
      <w:r w:rsidRPr="00512C3C">
        <w:rPr>
          <w:rStyle w:val="Hyperlink"/>
          <w:rFonts w:cs="Arial"/>
          <w:color w:val="auto"/>
          <w:sz w:val="20"/>
          <w:szCs w:val="20"/>
          <w:u w:val="none"/>
          <w:lang w:val="en-GB"/>
        </w:rPr>
        <w:t>edition)</w:t>
      </w:r>
      <w:r w:rsidRPr="00512C3C">
        <w:rPr>
          <w:color w:val="auto"/>
          <w:sz w:val="20"/>
          <w:szCs w:val="20"/>
        </w:rPr>
        <w:t xml:space="preserve">. </w:t>
      </w:r>
    </w:p>
    <w:p w14:paraId="757F0B89" w14:textId="77777777" w:rsidR="002717C7" w:rsidRPr="00512C3C" w:rsidRDefault="002717C7" w:rsidP="002717C7">
      <w:pPr>
        <w:rPr>
          <w:sz w:val="20"/>
          <w:szCs w:val="20"/>
        </w:rPr>
      </w:pPr>
      <w:r w:rsidRPr="00512C3C">
        <w:rPr>
          <w:sz w:val="20"/>
          <w:szCs w:val="20"/>
        </w:rPr>
        <w:t xml:space="preserve">*‘Predominantly’ is defined by the Health Insurance Regulations 2018 (made under the </w:t>
      </w:r>
      <w:r w:rsidRPr="00512C3C">
        <w:rPr>
          <w:i/>
          <w:iCs/>
          <w:sz w:val="20"/>
          <w:szCs w:val="20"/>
        </w:rPr>
        <w:t>Health Insurance Act 1973</w:t>
      </w:r>
      <w:r w:rsidRPr="00512C3C">
        <w:rPr>
          <w:sz w:val="20"/>
          <w:szCs w:val="20"/>
        </w:rPr>
        <w:t>) as ‘more than 50% of the practitioner’s clinical time, and more than 50% of the services for which Medicare benefits are claimed, are in general practice.’</w:t>
      </w:r>
    </w:p>
    <w:p w14:paraId="25EA7B36" w14:textId="77777777" w:rsidR="002717C7" w:rsidRPr="00512C3C" w:rsidRDefault="002717C7" w:rsidP="002717C7">
      <w:pPr>
        <w:rPr>
          <w:sz w:val="20"/>
          <w:szCs w:val="20"/>
        </w:rPr>
      </w:pPr>
      <w:r w:rsidRPr="00512C3C">
        <w:rPr>
          <w:sz w:val="20"/>
          <w:szCs w:val="20"/>
        </w:rPr>
        <w:t xml:space="preserve">Please refer to the RACGP </w:t>
      </w:r>
      <w:hyperlink r:id="rId11" w:history="1">
        <w:r w:rsidRPr="00512C3C">
          <w:rPr>
            <w:rStyle w:val="Hyperlink"/>
            <w:sz w:val="20"/>
            <w:szCs w:val="20"/>
          </w:rPr>
          <w:t>fact sheet</w:t>
        </w:r>
      </w:hyperlink>
      <w:r w:rsidRPr="00512C3C">
        <w:rPr>
          <w:sz w:val="20"/>
          <w:szCs w:val="20"/>
        </w:rPr>
        <w:t xml:space="preserve"> to assist in determining whether a health service meets the definition of a general practice. </w:t>
      </w:r>
    </w:p>
    <w:p w14:paraId="7504A676" w14:textId="77777777" w:rsidR="007C6683" w:rsidRPr="00766EDF" w:rsidRDefault="007C6683" w:rsidP="007C6683">
      <w:pPr>
        <w:pStyle w:val="Heading2"/>
        <w:rPr>
          <w:sz w:val="22"/>
          <w:szCs w:val="22"/>
        </w:rPr>
      </w:pPr>
      <w:r w:rsidRPr="00512C3C">
        <w:rPr>
          <w:sz w:val="22"/>
          <w:szCs w:val="22"/>
        </w:rPr>
        <w:t xml:space="preserve">When does the General Practice Grants Program open and how can general practices </w:t>
      </w:r>
      <w:r>
        <w:rPr>
          <w:sz w:val="22"/>
          <w:szCs w:val="22"/>
        </w:rPr>
        <w:t>and eligible ACCHOs participate</w:t>
      </w:r>
      <w:r w:rsidRPr="00512C3C">
        <w:rPr>
          <w:sz w:val="22"/>
          <w:szCs w:val="22"/>
        </w:rPr>
        <w:t>?</w:t>
      </w:r>
    </w:p>
    <w:p w14:paraId="4E72E671" w14:textId="18432133" w:rsidR="007C6683" w:rsidRPr="00512C3C" w:rsidRDefault="007C6683" w:rsidP="007C6683">
      <w:pPr>
        <w:rPr>
          <w:szCs w:val="22"/>
        </w:rPr>
      </w:pPr>
      <w:r w:rsidRPr="007C6683">
        <w:rPr>
          <w:szCs w:val="22"/>
        </w:rPr>
        <w:t xml:space="preserve">The Program </w:t>
      </w:r>
      <w:r w:rsidR="00D23620">
        <w:rPr>
          <w:szCs w:val="22"/>
        </w:rPr>
        <w:t xml:space="preserve">was announced by the Minister for Health and Aged Care on </w:t>
      </w:r>
      <w:hyperlink r:id="rId12" w:history="1">
        <w:r w:rsidR="00D23620" w:rsidRPr="00D23620">
          <w:rPr>
            <w:rStyle w:val="Hyperlink"/>
            <w:szCs w:val="22"/>
          </w:rPr>
          <w:t>20 April 2023</w:t>
        </w:r>
      </w:hyperlink>
      <w:r w:rsidR="00D23620">
        <w:rPr>
          <w:szCs w:val="22"/>
        </w:rPr>
        <w:t xml:space="preserve"> and </w:t>
      </w:r>
      <w:r w:rsidRPr="007C6683">
        <w:rPr>
          <w:szCs w:val="22"/>
        </w:rPr>
        <w:t>open</w:t>
      </w:r>
      <w:r w:rsidR="00D23620">
        <w:rPr>
          <w:szCs w:val="22"/>
        </w:rPr>
        <w:t>ed</w:t>
      </w:r>
      <w:r w:rsidRPr="007C6683">
        <w:rPr>
          <w:szCs w:val="22"/>
        </w:rPr>
        <w:t xml:space="preserve"> from 21 April 2023.</w:t>
      </w:r>
      <w:r w:rsidRPr="00512C3C">
        <w:rPr>
          <w:szCs w:val="22"/>
        </w:rPr>
        <w:t xml:space="preserve"> The Program is being implemented in partnership with Primary Health Networks (PHNs) and National Aboriginal Community Controlled Health Organisation (NACCHO), who will administer and manage the Program in relation to general practices and ACCHOs, respectively.</w:t>
      </w:r>
    </w:p>
    <w:p w14:paraId="28FF5458" w14:textId="28F5F9A7" w:rsidR="007C6683" w:rsidRDefault="007C6683" w:rsidP="007C6683">
      <w:pPr>
        <w:rPr>
          <w:szCs w:val="22"/>
        </w:rPr>
      </w:pPr>
      <w:r w:rsidRPr="00512C3C">
        <w:rPr>
          <w:szCs w:val="22"/>
        </w:rPr>
        <w:lastRenderedPageBreak/>
        <w:t xml:space="preserve">PHNs and NACCHO </w:t>
      </w:r>
      <w:r w:rsidR="00D23620">
        <w:rPr>
          <w:szCs w:val="22"/>
        </w:rPr>
        <w:t>are</w:t>
      </w:r>
      <w:r w:rsidRPr="00512C3C">
        <w:rPr>
          <w:szCs w:val="22"/>
        </w:rPr>
        <w:t xml:space="preserve"> sending </w:t>
      </w:r>
      <w:r w:rsidR="00F46345">
        <w:rPr>
          <w:szCs w:val="22"/>
        </w:rPr>
        <w:t>correspondence (</w:t>
      </w:r>
      <w:r w:rsidRPr="00F46345">
        <w:rPr>
          <w:szCs w:val="22"/>
        </w:rPr>
        <w:t xml:space="preserve">including </w:t>
      </w:r>
      <w:r w:rsidR="00F46345">
        <w:rPr>
          <w:szCs w:val="22"/>
        </w:rPr>
        <w:t>a</w:t>
      </w:r>
      <w:r w:rsidRPr="00F46345">
        <w:rPr>
          <w:szCs w:val="22"/>
        </w:rPr>
        <w:t xml:space="preserve"> grant agreement form</w:t>
      </w:r>
      <w:r w:rsidR="00F46345">
        <w:rPr>
          <w:szCs w:val="22"/>
        </w:rPr>
        <w:t>)</w:t>
      </w:r>
      <w:r>
        <w:rPr>
          <w:szCs w:val="22"/>
        </w:rPr>
        <w:t xml:space="preserve"> </w:t>
      </w:r>
      <w:r w:rsidRPr="00512C3C">
        <w:rPr>
          <w:szCs w:val="22"/>
        </w:rPr>
        <w:t xml:space="preserve">directly to general practices and eligible ACCHOs, inviting their participation in the Program. </w:t>
      </w:r>
    </w:p>
    <w:p w14:paraId="66537EE5" w14:textId="23C4A737" w:rsidR="007C6683" w:rsidRDefault="007C6683" w:rsidP="007C6683">
      <w:pPr>
        <w:rPr>
          <w:szCs w:val="22"/>
        </w:rPr>
      </w:pPr>
      <w:r w:rsidRPr="00512C3C">
        <w:rPr>
          <w:szCs w:val="22"/>
        </w:rPr>
        <w:t xml:space="preserve">The correspondence </w:t>
      </w:r>
      <w:r w:rsidR="00D23620">
        <w:rPr>
          <w:szCs w:val="22"/>
        </w:rPr>
        <w:t xml:space="preserve">from </w:t>
      </w:r>
      <w:r w:rsidRPr="00512C3C">
        <w:rPr>
          <w:szCs w:val="22"/>
        </w:rPr>
        <w:t>PHNs and NACCHO advise</w:t>
      </w:r>
      <w:r w:rsidR="00D23620">
        <w:rPr>
          <w:szCs w:val="22"/>
        </w:rPr>
        <w:t>s</w:t>
      </w:r>
      <w:r w:rsidRPr="00512C3C">
        <w:rPr>
          <w:szCs w:val="22"/>
        </w:rPr>
        <w:t xml:space="preserve"> each practice and ACCHO of the grant amount</w:t>
      </w:r>
      <w:r w:rsidR="00724FFC">
        <w:rPr>
          <w:szCs w:val="22"/>
        </w:rPr>
        <w:t xml:space="preserve"> (between </w:t>
      </w:r>
      <w:r w:rsidR="00724FFC" w:rsidRPr="00512C3C">
        <w:rPr>
          <w:szCs w:val="22"/>
        </w:rPr>
        <w:t>$25,000</w:t>
      </w:r>
      <w:r w:rsidR="00724FFC">
        <w:rPr>
          <w:szCs w:val="22"/>
        </w:rPr>
        <w:t xml:space="preserve"> and </w:t>
      </w:r>
      <w:r w:rsidR="00724FFC" w:rsidRPr="00512C3C">
        <w:rPr>
          <w:szCs w:val="22"/>
        </w:rPr>
        <w:t>$50,000</w:t>
      </w:r>
      <w:r w:rsidR="00724FFC">
        <w:rPr>
          <w:szCs w:val="22"/>
        </w:rPr>
        <w:t>)</w:t>
      </w:r>
      <w:r w:rsidRPr="00512C3C">
        <w:rPr>
          <w:szCs w:val="22"/>
        </w:rPr>
        <w:t xml:space="preserve"> applicable to them</w:t>
      </w:r>
      <w:r w:rsidR="00724FFC">
        <w:rPr>
          <w:szCs w:val="22"/>
        </w:rPr>
        <w:t>.</w:t>
      </w:r>
      <w:r w:rsidRPr="00512C3C">
        <w:rPr>
          <w:szCs w:val="22"/>
        </w:rPr>
        <w:t xml:space="preserve"> </w:t>
      </w:r>
    </w:p>
    <w:p w14:paraId="2C38099C" w14:textId="38519202" w:rsidR="007C6683" w:rsidRPr="00512C3C" w:rsidRDefault="007C6683" w:rsidP="007C6683">
      <w:r w:rsidRPr="00512C3C">
        <w:rPr>
          <w:szCs w:val="22"/>
        </w:rPr>
        <w:t>Organisations wishing to participate will need to complete the</w:t>
      </w:r>
      <w:r>
        <w:rPr>
          <w:szCs w:val="22"/>
        </w:rPr>
        <w:t xml:space="preserve"> grant</w:t>
      </w:r>
      <w:r w:rsidRPr="00512C3C">
        <w:rPr>
          <w:szCs w:val="22"/>
        </w:rPr>
        <w:t xml:space="preserve"> agreement form and send back to their PHN (for general practices) or NACCHO (for ACCHOs)</w:t>
      </w:r>
      <w:r w:rsidR="00D23620">
        <w:rPr>
          <w:szCs w:val="22"/>
        </w:rPr>
        <w:t>, by 15 June 2023</w:t>
      </w:r>
      <w:r w:rsidRPr="00512C3C">
        <w:rPr>
          <w:szCs w:val="22"/>
        </w:rPr>
        <w:t>.</w:t>
      </w:r>
    </w:p>
    <w:p w14:paraId="2DBEA2A4" w14:textId="77777777" w:rsidR="00766EDF" w:rsidRPr="00766EDF" w:rsidRDefault="00766EDF" w:rsidP="00766EDF">
      <w:pPr>
        <w:pStyle w:val="Heading2"/>
        <w:rPr>
          <w:sz w:val="22"/>
          <w:szCs w:val="22"/>
        </w:rPr>
      </w:pPr>
      <w:r w:rsidRPr="00766EDF">
        <w:rPr>
          <w:sz w:val="22"/>
          <w:szCs w:val="22"/>
        </w:rPr>
        <w:t>What can the grants be used for?</w:t>
      </w:r>
    </w:p>
    <w:p w14:paraId="0572379C" w14:textId="461F8D52" w:rsidR="00766EDF" w:rsidRPr="00766EDF" w:rsidRDefault="00582BBC" w:rsidP="00766EDF">
      <w:pPr>
        <w:rPr>
          <w:szCs w:val="22"/>
        </w:rPr>
      </w:pPr>
      <w:r>
        <w:rPr>
          <w:szCs w:val="22"/>
        </w:rPr>
        <w:t>A s</w:t>
      </w:r>
      <w:r w:rsidR="00031D61">
        <w:rPr>
          <w:szCs w:val="22"/>
        </w:rPr>
        <w:t xml:space="preserve">ingle </w:t>
      </w:r>
      <w:r w:rsidR="00EF3A50">
        <w:rPr>
          <w:szCs w:val="22"/>
        </w:rPr>
        <w:t>one-off</w:t>
      </w:r>
      <w:r w:rsidR="00766EDF" w:rsidRPr="00766EDF">
        <w:rPr>
          <w:szCs w:val="22"/>
        </w:rPr>
        <w:t xml:space="preserve"> grant</w:t>
      </w:r>
      <w:r>
        <w:rPr>
          <w:szCs w:val="22"/>
        </w:rPr>
        <w:t xml:space="preserve"> will be available to</w:t>
      </w:r>
      <w:r w:rsidR="002717C7">
        <w:rPr>
          <w:szCs w:val="22"/>
        </w:rPr>
        <w:t xml:space="preserve"> each</w:t>
      </w:r>
      <w:r>
        <w:rPr>
          <w:szCs w:val="22"/>
        </w:rPr>
        <w:t xml:space="preserve"> participating </w:t>
      </w:r>
      <w:r w:rsidR="00766EDF" w:rsidRPr="00766EDF">
        <w:rPr>
          <w:szCs w:val="22"/>
        </w:rPr>
        <w:t>general practice</w:t>
      </w:r>
      <w:r w:rsidR="00766EDF" w:rsidRPr="00AC32D7">
        <w:rPr>
          <w:color w:val="FF0000"/>
          <w:szCs w:val="22"/>
        </w:rPr>
        <w:t xml:space="preserve"> </w:t>
      </w:r>
      <w:r w:rsidR="00995630" w:rsidRPr="0075494C">
        <w:rPr>
          <w:color w:val="auto"/>
          <w:szCs w:val="22"/>
        </w:rPr>
        <w:t>and</w:t>
      </w:r>
      <w:r w:rsidR="00766EDF" w:rsidRPr="0075494C">
        <w:rPr>
          <w:color w:val="auto"/>
          <w:szCs w:val="22"/>
        </w:rPr>
        <w:t xml:space="preserve"> </w:t>
      </w:r>
      <w:r>
        <w:rPr>
          <w:color w:val="auto"/>
          <w:szCs w:val="22"/>
        </w:rPr>
        <w:t xml:space="preserve">eligible </w:t>
      </w:r>
      <w:r w:rsidR="00766EDF" w:rsidRPr="00766EDF">
        <w:rPr>
          <w:szCs w:val="22"/>
        </w:rPr>
        <w:t>ACCH</w:t>
      </w:r>
      <w:r w:rsidR="00583F8E">
        <w:rPr>
          <w:szCs w:val="22"/>
        </w:rPr>
        <w:t>Os</w:t>
      </w:r>
      <w:r w:rsidR="00766EDF" w:rsidRPr="00766EDF">
        <w:rPr>
          <w:szCs w:val="22"/>
        </w:rPr>
        <w:t xml:space="preserve"> to invest in innovation, training, equipment, and minor capital works in</w:t>
      </w:r>
      <w:r w:rsidR="00512C3C">
        <w:rPr>
          <w:szCs w:val="22"/>
        </w:rPr>
        <w:t xml:space="preserve"> </w:t>
      </w:r>
      <w:r w:rsidR="00512C3C" w:rsidRPr="00512C3C">
        <w:rPr>
          <w:b/>
          <w:bCs/>
          <w:szCs w:val="22"/>
        </w:rPr>
        <w:t>any one</w:t>
      </w:r>
      <w:r w:rsidR="00766EDF" w:rsidRPr="000207FA">
        <w:rPr>
          <w:b/>
          <w:bCs/>
          <w:szCs w:val="22"/>
        </w:rPr>
        <w:t xml:space="preserve"> or more</w:t>
      </w:r>
      <w:r w:rsidR="00766EDF" w:rsidRPr="00766EDF">
        <w:rPr>
          <w:szCs w:val="22"/>
        </w:rPr>
        <w:t xml:space="preserve"> of the three investment streams below: </w:t>
      </w:r>
    </w:p>
    <w:p w14:paraId="09CC20D6" w14:textId="437D67A5" w:rsidR="00766EDF" w:rsidRPr="00766EDF" w:rsidRDefault="00766EDF" w:rsidP="00766EDF">
      <w:pPr>
        <w:pStyle w:val="ListParagraph"/>
        <w:numPr>
          <w:ilvl w:val="0"/>
          <w:numId w:val="28"/>
        </w:numPr>
        <w:rPr>
          <w:szCs w:val="22"/>
        </w:rPr>
      </w:pPr>
      <w:r w:rsidRPr="00766EDF">
        <w:rPr>
          <w:b/>
          <w:bCs/>
          <w:szCs w:val="22"/>
        </w:rPr>
        <w:t>enhanc</w:t>
      </w:r>
      <w:r w:rsidR="00031D61">
        <w:rPr>
          <w:b/>
          <w:bCs/>
          <w:szCs w:val="22"/>
        </w:rPr>
        <w:t>ing</w:t>
      </w:r>
      <w:r w:rsidRPr="00766EDF">
        <w:rPr>
          <w:b/>
          <w:bCs/>
          <w:szCs w:val="22"/>
        </w:rPr>
        <w:t xml:space="preserve"> digital health capability</w:t>
      </w:r>
      <w:r w:rsidRPr="00766EDF">
        <w:rPr>
          <w:szCs w:val="22"/>
        </w:rPr>
        <w:t xml:space="preserve"> – to fast-track the benefits of a more connected healthcare system in readiness to meet future </w:t>
      </w:r>
      <w:proofErr w:type="gramStart"/>
      <w:r w:rsidRPr="00766EDF">
        <w:rPr>
          <w:szCs w:val="22"/>
        </w:rPr>
        <w:t>standards;</w:t>
      </w:r>
      <w:proofErr w:type="gramEnd"/>
    </w:p>
    <w:p w14:paraId="736139EB" w14:textId="3CFDEB26" w:rsidR="00EF3A50" w:rsidRPr="00EF3A50" w:rsidRDefault="00766EDF" w:rsidP="00EF3A50">
      <w:pPr>
        <w:pStyle w:val="ListParagraph"/>
        <w:numPr>
          <w:ilvl w:val="0"/>
          <w:numId w:val="28"/>
        </w:numPr>
        <w:rPr>
          <w:szCs w:val="22"/>
        </w:rPr>
      </w:pPr>
      <w:r w:rsidRPr="00EF3A50">
        <w:rPr>
          <w:b/>
          <w:bCs/>
          <w:szCs w:val="22"/>
        </w:rPr>
        <w:t>upgrad</w:t>
      </w:r>
      <w:r w:rsidR="00031D61">
        <w:rPr>
          <w:b/>
          <w:bCs/>
          <w:szCs w:val="22"/>
        </w:rPr>
        <w:t>ing</w:t>
      </w:r>
      <w:r w:rsidRPr="00EF3A50">
        <w:rPr>
          <w:b/>
          <w:bCs/>
          <w:szCs w:val="22"/>
        </w:rPr>
        <w:t xml:space="preserve"> infection prevention and control arrangements</w:t>
      </w:r>
      <w:r w:rsidRPr="00EF3A50">
        <w:rPr>
          <w:szCs w:val="22"/>
        </w:rPr>
        <w:t xml:space="preserve"> – </w:t>
      </w:r>
      <w:r w:rsidR="00EF3A50" w:rsidRPr="00EF3A50">
        <w:rPr>
          <w:szCs w:val="22"/>
        </w:rPr>
        <w:t>to support the safe, face to face assessment of patients with symptoms of potentially infectious respiratory diseases (</w:t>
      </w:r>
      <w:proofErr w:type="gramStart"/>
      <w:r w:rsidR="00EF3A50" w:rsidRPr="00EF3A50">
        <w:rPr>
          <w:szCs w:val="22"/>
        </w:rPr>
        <w:t>e.g.</w:t>
      </w:r>
      <w:proofErr w:type="gramEnd"/>
      <w:r w:rsidR="00EF3A50" w:rsidRPr="00EF3A50">
        <w:rPr>
          <w:szCs w:val="22"/>
        </w:rPr>
        <w:t xml:space="preserve"> COVID, influenza); </w:t>
      </w:r>
    </w:p>
    <w:p w14:paraId="627F1DE8" w14:textId="74ED6074" w:rsidR="00766EDF" w:rsidRPr="00EF3A50" w:rsidRDefault="00766EDF" w:rsidP="00611788">
      <w:pPr>
        <w:pStyle w:val="ListParagraph"/>
        <w:numPr>
          <w:ilvl w:val="0"/>
          <w:numId w:val="28"/>
        </w:numPr>
        <w:rPr>
          <w:szCs w:val="22"/>
        </w:rPr>
      </w:pPr>
      <w:r w:rsidRPr="00EF3A50">
        <w:rPr>
          <w:b/>
          <w:bCs/>
          <w:szCs w:val="22"/>
        </w:rPr>
        <w:t>maintain</w:t>
      </w:r>
      <w:r w:rsidR="00031D61">
        <w:rPr>
          <w:b/>
          <w:bCs/>
          <w:szCs w:val="22"/>
        </w:rPr>
        <w:t>ing</w:t>
      </w:r>
      <w:r w:rsidRPr="00EF3A50">
        <w:rPr>
          <w:b/>
          <w:bCs/>
          <w:szCs w:val="22"/>
        </w:rPr>
        <w:t xml:space="preserve"> or achiev</w:t>
      </w:r>
      <w:r w:rsidR="00031D61">
        <w:rPr>
          <w:b/>
          <w:bCs/>
          <w:szCs w:val="22"/>
        </w:rPr>
        <w:t>ing</w:t>
      </w:r>
      <w:r w:rsidRPr="00EF3A50">
        <w:rPr>
          <w:b/>
          <w:bCs/>
          <w:szCs w:val="22"/>
        </w:rPr>
        <w:t xml:space="preserve"> accreditation </w:t>
      </w:r>
      <w:r w:rsidRPr="00EF3A50">
        <w:rPr>
          <w:szCs w:val="22"/>
        </w:rPr>
        <w:t xml:space="preserve">against the Royal Australian College of General Practitioners (RACGP) </w:t>
      </w:r>
      <w:hyperlink r:id="rId13" w:history="1">
        <w:r w:rsidRPr="00EF3A50">
          <w:rPr>
            <w:rStyle w:val="Hyperlink"/>
            <w:szCs w:val="22"/>
          </w:rPr>
          <w:t>Standards for General Practice</w:t>
        </w:r>
      </w:hyperlink>
      <w:r w:rsidR="0072478D">
        <w:rPr>
          <w:rStyle w:val="Hyperlink"/>
          <w:szCs w:val="22"/>
        </w:rPr>
        <w:t xml:space="preserve"> (5</w:t>
      </w:r>
      <w:r w:rsidR="0072478D" w:rsidRPr="00512C3C">
        <w:rPr>
          <w:rStyle w:val="Hyperlink"/>
          <w:szCs w:val="22"/>
          <w:vertAlign w:val="superscript"/>
        </w:rPr>
        <w:t>th</w:t>
      </w:r>
      <w:r w:rsidR="0072478D">
        <w:rPr>
          <w:rStyle w:val="Hyperlink"/>
          <w:szCs w:val="22"/>
        </w:rPr>
        <w:t xml:space="preserve"> Edition)</w:t>
      </w:r>
      <w:r w:rsidRPr="00EF3A50">
        <w:rPr>
          <w:szCs w:val="22"/>
        </w:rPr>
        <w:t xml:space="preserve">, under the General Practice Accreditation Scheme – to promote quality and safety in general practice. </w:t>
      </w:r>
    </w:p>
    <w:p w14:paraId="2FE7E878" w14:textId="2A27BDE6" w:rsidR="002717C7" w:rsidRPr="00512C3C" w:rsidRDefault="002717C7" w:rsidP="00512C3C">
      <w:pPr>
        <w:spacing w:before="0" w:after="160" w:line="252" w:lineRule="auto"/>
        <w:rPr>
          <w:szCs w:val="22"/>
        </w:rPr>
      </w:pPr>
      <w:r w:rsidRPr="00512C3C">
        <w:rPr>
          <w:szCs w:val="22"/>
        </w:rPr>
        <w:t xml:space="preserve">The Program provides the flexibility for general practices and eligible ACCHOs to fund activities within the three investment streams to best address their needs. </w:t>
      </w:r>
    </w:p>
    <w:p w14:paraId="41AB2745" w14:textId="40643154" w:rsidR="00766EDF" w:rsidRPr="00766EDF" w:rsidRDefault="00766EDF" w:rsidP="00766EDF">
      <w:pPr>
        <w:pStyle w:val="Heading2"/>
        <w:rPr>
          <w:sz w:val="22"/>
          <w:szCs w:val="22"/>
        </w:rPr>
      </w:pPr>
      <w:r w:rsidRPr="00766EDF">
        <w:rPr>
          <w:sz w:val="22"/>
          <w:szCs w:val="22"/>
        </w:rPr>
        <w:t>How much funding is available under the Program?</w:t>
      </w:r>
    </w:p>
    <w:p w14:paraId="5E0E61AC" w14:textId="1A339978" w:rsidR="00766EDF" w:rsidRPr="0075494C" w:rsidRDefault="00766EDF" w:rsidP="00766EDF">
      <w:pPr>
        <w:rPr>
          <w:color w:val="auto"/>
          <w:szCs w:val="22"/>
        </w:rPr>
      </w:pPr>
      <w:r w:rsidRPr="00766EDF">
        <w:rPr>
          <w:szCs w:val="22"/>
        </w:rPr>
        <w:t xml:space="preserve">The Program has a budget of $220 million available to be distributed to general </w:t>
      </w:r>
      <w:r w:rsidRPr="0075494C">
        <w:rPr>
          <w:color w:val="auto"/>
          <w:szCs w:val="22"/>
        </w:rPr>
        <w:t xml:space="preserve">practices </w:t>
      </w:r>
      <w:r w:rsidR="00995630" w:rsidRPr="0075494C">
        <w:rPr>
          <w:color w:val="auto"/>
          <w:szCs w:val="22"/>
        </w:rPr>
        <w:t xml:space="preserve">and </w:t>
      </w:r>
      <w:r w:rsidR="00031D61">
        <w:rPr>
          <w:color w:val="auto"/>
          <w:szCs w:val="22"/>
        </w:rPr>
        <w:t xml:space="preserve">eligible </w:t>
      </w:r>
      <w:r w:rsidRPr="00766EDF">
        <w:rPr>
          <w:szCs w:val="22"/>
        </w:rPr>
        <w:t>ACCH</w:t>
      </w:r>
      <w:r w:rsidR="00583F8E">
        <w:rPr>
          <w:szCs w:val="22"/>
        </w:rPr>
        <w:t>Os</w:t>
      </w:r>
      <w:r w:rsidRPr="00766EDF">
        <w:rPr>
          <w:szCs w:val="22"/>
        </w:rPr>
        <w:t xml:space="preserve"> across Australia. </w:t>
      </w:r>
      <w:r w:rsidR="008A1CAF" w:rsidRPr="008A1CAF">
        <w:rPr>
          <w:szCs w:val="22"/>
        </w:rPr>
        <w:t xml:space="preserve">A one-off grant </w:t>
      </w:r>
      <w:r w:rsidR="00724FFC">
        <w:rPr>
          <w:szCs w:val="22"/>
        </w:rPr>
        <w:t>between</w:t>
      </w:r>
      <w:r w:rsidR="008A1CAF" w:rsidRPr="008A1CAF">
        <w:rPr>
          <w:szCs w:val="22"/>
        </w:rPr>
        <w:t xml:space="preserve"> $25,000</w:t>
      </w:r>
      <w:r w:rsidR="00724FFC">
        <w:rPr>
          <w:szCs w:val="22"/>
        </w:rPr>
        <w:t xml:space="preserve"> and</w:t>
      </w:r>
      <w:r w:rsidR="008A1CAF" w:rsidRPr="008A1CAF">
        <w:rPr>
          <w:szCs w:val="22"/>
        </w:rPr>
        <w:t xml:space="preserve"> $50,000 will be available to each participating general practice and eligible ACCHO.</w:t>
      </w:r>
    </w:p>
    <w:p w14:paraId="68C5FAFE" w14:textId="669278B7" w:rsidR="00766EDF" w:rsidRPr="00766EDF" w:rsidRDefault="00766EDF" w:rsidP="00766EDF">
      <w:pPr>
        <w:pStyle w:val="Heading2"/>
        <w:rPr>
          <w:sz w:val="22"/>
          <w:szCs w:val="22"/>
        </w:rPr>
      </w:pPr>
      <w:r w:rsidRPr="00766EDF">
        <w:rPr>
          <w:sz w:val="22"/>
          <w:szCs w:val="22"/>
        </w:rPr>
        <w:t xml:space="preserve">How will </w:t>
      </w:r>
      <w:r w:rsidR="002717C7">
        <w:rPr>
          <w:sz w:val="22"/>
          <w:szCs w:val="22"/>
        </w:rPr>
        <w:t xml:space="preserve">the grant amount for </w:t>
      </w:r>
      <w:r w:rsidR="009E5326">
        <w:rPr>
          <w:sz w:val="22"/>
          <w:szCs w:val="22"/>
        </w:rPr>
        <w:t xml:space="preserve">each general practice and eligible </w:t>
      </w:r>
      <w:r w:rsidR="002717C7">
        <w:rPr>
          <w:sz w:val="22"/>
          <w:szCs w:val="22"/>
        </w:rPr>
        <w:t>ACCHO</w:t>
      </w:r>
      <w:r w:rsidR="00621CFE">
        <w:rPr>
          <w:sz w:val="22"/>
          <w:szCs w:val="22"/>
        </w:rPr>
        <w:t xml:space="preserve"> </w:t>
      </w:r>
      <w:r w:rsidRPr="00766EDF">
        <w:rPr>
          <w:sz w:val="22"/>
          <w:szCs w:val="22"/>
        </w:rPr>
        <w:t>be determined?</w:t>
      </w:r>
    </w:p>
    <w:p w14:paraId="0C9A69CE" w14:textId="77777777" w:rsidR="009E5326" w:rsidRDefault="00621CFE" w:rsidP="00766EDF">
      <w:pPr>
        <w:rPr>
          <w:szCs w:val="22"/>
        </w:rPr>
      </w:pPr>
      <w:r w:rsidRPr="00512C3C">
        <w:rPr>
          <w:szCs w:val="22"/>
        </w:rPr>
        <w:t>A general practice</w:t>
      </w:r>
      <w:r w:rsidR="00031D61" w:rsidRPr="00512C3C">
        <w:rPr>
          <w:szCs w:val="22"/>
        </w:rPr>
        <w:t xml:space="preserve"> and ACCHO’s</w:t>
      </w:r>
      <w:r w:rsidRPr="00512C3C">
        <w:rPr>
          <w:szCs w:val="22"/>
        </w:rPr>
        <w:t xml:space="preserve"> grant allocation </w:t>
      </w:r>
      <w:proofErr w:type="gramStart"/>
      <w:r w:rsidRPr="00512C3C">
        <w:rPr>
          <w:szCs w:val="22"/>
        </w:rPr>
        <w:t>is</w:t>
      </w:r>
      <w:proofErr w:type="gramEnd"/>
      <w:r w:rsidRPr="00512C3C">
        <w:rPr>
          <w:szCs w:val="22"/>
        </w:rPr>
        <w:t xml:space="preserve"> based on their</w:t>
      </w:r>
      <w:r w:rsidR="009E5326">
        <w:rPr>
          <w:szCs w:val="22"/>
        </w:rPr>
        <w:t>:</w:t>
      </w:r>
    </w:p>
    <w:p w14:paraId="07DD21D9" w14:textId="7A93CA25" w:rsidR="009E5326" w:rsidRDefault="00621CFE" w:rsidP="00512C3C">
      <w:pPr>
        <w:pStyle w:val="ListParagraph"/>
        <w:numPr>
          <w:ilvl w:val="0"/>
          <w:numId w:val="36"/>
        </w:numPr>
        <w:rPr>
          <w:szCs w:val="22"/>
        </w:rPr>
      </w:pPr>
      <w:r w:rsidRPr="00512C3C">
        <w:rPr>
          <w:szCs w:val="22"/>
        </w:rPr>
        <w:t>accreditation status</w:t>
      </w:r>
      <w:r w:rsidR="009E5326">
        <w:rPr>
          <w:szCs w:val="22"/>
        </w:rPr>
        <w:t xml:space="preserve">, </w:t>
      </w:r>
      <w:r w:rsidRPr="00512C3C">
        <w:rPr>
          <w:szCs w:val="22"/>
        </w:rPr>
        <w:t>against the RACGP Standards for General Practices</w:t>
      </w:r>
      <w:r w:rsidR="009E5326">
        <w:rPr>
          <w:szCs w:val="22"/>
        </w:rPr>
        <w:t xml:space="preserve">; </w:t>
      </w:r>
      <w:r w:rsidRPr="00512C3C">
        <w:rPr>
          <w:szCs w:val="22"/>
        </w:rPr>
        <w:t xml:space="preserve">and </w:t>
      </w:r>
    </w:p>
    <w:p w14:paraId="5464817E" w14:textId="0243E63C" w:rsidR="00621CFE" w:rsidRPr="00512C3C" w:rsidRDefault="00621CFE" w:rsidP="00512C3C">
      <w:pPr>
        <w:pStyle w:val="ListParagraph"/>
        <w:numPr>
          <w:ilvl w:val="0"/>
          <w:numId w:val="36"/>
        </w:numPr>
        <w:rPr>
          <w:szCs w:val="22"/>
        </w:rPr>
      </w:pPr>
      <w:r w:rsidRPr="00512C3C">
        <w:rPr>
          <w:szCs w:val="22"/>
        </w:rPr>
        <w:t>practice size</w:t>
      </w:r>
      <w:r w:rsidR="009E5326">
        <w:rPr>
          <w:szCs w:val="22"/>
        </w:rPr>
        <w:t>,</w:t>
      </w:r>
      <w:r w:rsidRPr="00512C3C">
        <w:rPr>
          <w:szCs w:val="22"/>
        </w:rPr>
        <w:t xml:space="preserve"> as determined by the Department of Health and Aged Care’s (the Department) Medicare GPFTE 2021-22 financial year (FY) data</w:t>
      </w:r>
      <w:r w:rsidR="00031D61" w:rsidRPr="00512C3C">
        <w:rPr>
          <w:szCs w:val="22"/>
        </w:rPr>
        <w:t>.</w:t>
      </w:r>
    </w:p>
    <w:p w14:paraId="28459483" w14:textId="12BEE45B" w:rsidR="009E5326" w:rsidRDefault="00621CFE" w:rsidP="004237B1">
      <w:pPr>
        <w:spacing w:before="60" w:after="60"/>
        <w:rPr>
          <w:szCs w:val="22"/>
        </w:rPr>
      </w:pPr>
      <w:r w:rsidRPr="00512C3C">
        <w:rPr>
          <w:szCs w:val="22"/>
        </w:rPr>
        <w:t>Medicare GPFTE is a statistical methodology used by the Department</w:t>
      </w:r>
      <w:r w:rsidR="002F3F9A" w:rsidRPr="00512C3C">
        <w:rPr>
          <w:szCs w:val="22"/>
        </w:rPr>
        <w:t xml:space="preserve"> </w:t>
      </w:r>
      <w:r w:rsidRPr="00512C3C">
        <w:rPr>
          <w:szCs w:val="22"/>
        </w:rPr>
        <w:t xml:space="preserve">that aims to estimate the entire time that General Practitioners (GPs) spend delivering primary care services. </w:t>
      </w:r>
      <w:r w:rsidR="009E5326" w:rsidRPr="009E5326">
        <w:rPr>
          <w:szCs w:val="22"/>
        </w:rPr>
        <w:t>It is not simply the standard hours worked by employed GPs in the general practice, nor a headcount of GPs.</w:t>
      </w:r>
    </w:p>
    <w:p w14:paraId="20D955B5" w14:textId="404B34BA" w:rsidR="00621CFE" w:rsidRPr="00512C3C" w:rsidRDefault="00621CFE" w:rsidP="004237B1">
      <w:pPr>
        <w:spacing w:before="60" w:after="60"/>
        <w:rPr>
          <w:rFonts w:cs="Arial"/>
          <w:color w:val="000000"/>
          <w:szCs w:val="22"/>
          <w:lang w:val="en" w:eastAsia="en-AU"/>
        </w:rPr>
      </w:pPr>
      <w:r w:rsidRPr="00512C3C">
        <w:rPr>
          <w:rFonts w:cs="Arial"/>
          <w:color w:val="000000"/>
          <w:szCs w:val="22"/>
          <w:lang w:val="en" w:eastAsia="en-AU"/>
        </w:rPr>
        <w:t>The method calculates a GP’s primary care workload based on Medicare Benefits Schedule items claimed within a GP’s scope of practice. For each GP, the measure provides an estimate of the billable time, non-billable time, and non-clinical time.</w:t>
      </w:r>
    </w:p>
    <w:p w14:paraId="30DAFBB0" w14:textId="7D06813A" w:rsidR="00BA1FE0" w:rsidRPr="00512C3C" w:rsidRDefault="00031D61" w:rsidP="0015642B">
      <w:r w:rsidRPr="00512C3C">
        <w:rPr>
          <w:szCs w:val="22"/>
        </w:rPr>
        <w:t xml:space="preserve">For more information on how GPFTE is derived, see </w:t>
      </w:r>
      <w:hyperlink r:id="rId14" w:history="1">
        <w:r w:rsidRPr="00512C3C">
          <w:rPr>
            <w:rStyle w:val="Hyperlink"/>
            <w:szCs w:val="22"/>
          </w:rPr>
          <w:t>Method Paper: General Practice Full Time Equivalent (GPFTE) – Workforce</w:t>
        </w:r>
      </w:hyperlink>
      <w:r w:rsidRPr="00512C3C">
        <w:rPr>
          <w:szCs w:val="22"/>
        </w:rPr>
        <w:t>.</w:t>
      </w:r>
    </w:p>
    <w:sectPr w:rsidR="00BA1FE0" w:rsidRPr="00512C3C" w:rsidSect="00B53987">
      <w:headerReference w:type="default" r:id="rId15"/>
      <w:footerReference w:type="default" r:id="rId16"/>
      <w:headerReference w:type="first" r:id="rId17"/>
      <w:footerReference w:type="first" r:id="rId18"/>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76F04" w14:textId="77777777" w:rsidR="009976F5" w:rsidRDefault="009976F5" w:rsidP="006B56BB">
      <w:r>
        <w:separator/>
      </w:r>
    </w:p>
    <w:p w14:paraId="646AC5EA" w14:textId="77777777" w:rsidR="009976F5" w:rsidRDefault="009976F5"/>
  </w:endnote>
  <w:endnote w:type="continuationSeparator" w:id="0">
    <w:p w14:paraId="43A48B4F" w14:textId="77777777" w:rsidR="009976F5" w:rsidRDefault="009976F5" w:rsidP="006B56BB">
      <w:r>
        <w:continuationSeparator/>
      </w:r>
    </w:p>
    <w:p w14:paraId="1A81220E" w14:textId="77777777" w:rsidR="009976F5" w:rsidRDefault="009976F5"/>
  </w:endnote>
  <w:endnote w:type="continuationNotice" w:id="1">
    <w:p w14:paraId="25CF4DE8" w14:textId="77777777" w:rsidR="009976F5" w:rsidRDefault="00997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311C" w14:textId="08018DB6" w:rsidR="00B53987" w:rsidRDefault="00D6388B" w:rsidP="00963EB3">
    <w:pPr>
      <w:pStyle w:val="Footer"/>
      <w:jc w:val="left"/>
    </w:pPr>
    <w:r>
      <w:t xml:space="preserve">Department of Health and Aged Care – </w:t>
    </w:r>
    <w:r w:rsidRPr="00766EDF">
      <w:t>Fact Sheet: Strengthening Medicare – General Practice (GP) Grants Program</w:t>
    </w:r>
    <w:r>
      <w:t xml:space="preserv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C883" w14:textId="77777777" w:rsidR="00B53987" w:rsidRDefault="00B53987" w:rsidP="00766EDF">
    <w:pPr>
      <w:pStyle w:val="Footer"/>
      <w:jc w:val="left"/>
    </w:pPr>
    <w:r>
      <w:t xml:space="preserve">Department of Health </w:t>
    </w:r>
    <w:r w:rsidR="004C1BCD">
      <w:t xml:space="preserve">and Aged Care </w:t>
    </w:r>
    <w:r>
      <w:t>–</w:t>
    </w:r>
    <w:r w:rsidR="00766EDF">
      <w:t xml:space="preserve"> </w:t>
    </w:r>
    <w:r w:rsidR="00766EDF" w:rsidRPr="00766EDF">
      <w:t>Fact Sheet: Strengthening Medicare – General Practice (GP) Grants Program</w:t>
    </w:r>
    <w:r>
      <w:t xml:space="preserve"> </w:t>
    </w:r>
    <w:sdt>
      <w:sdtPr>
        <w:id w:val="-178737789"/>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3103" w14:textId="77777777" w:rsidR="009976F5" w:rsidRDefault="009976F5" w:rsidP="006B56BB">
      <w:r>
        <w:separator/>
      </w:r>
    </w:p>
    <w:p w14:paraId="60593E31" w14:textId="77777777" w:rsidR="009976F5" w:rsidRDefault="009976F5"/>
  </w:footnote>
  <w:footnote w:type="continuationSeparator" w:id="0">
    <w:p w14:paraId="3FA3B1B1" w14:textId="77777777" w:rsidR="009976F5" w:rsidRDefault="009976F5" w:rsidP="006B56BB">
      <w:r>
        <w:continuationSeparator/>
      </w:r>
    </w:p>
    <w:p w14:paraId="05E4B948" w14:textId="77777777" w:rsidR="009976F5" w:rsidRDefault="009976F5"/>
  </w:footnote>
  <w:footnote w:type="continuationNotice" w:id="1">
    <w:p w14:paraId="749F146D" w14:textId="77777777" w:rsidR="009976F5" w:rsidRDefault="00997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2D80"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F35F" w14:textId="77777777" w:rsidR="00B53987" w:rsidRDefault="00B53987">
    <w:pPr>
      <w:pStyle w:val="Header"/>
    </w:pPr>
    <w:r>
      <w:rPr>
        <w:noProof/>
        <w:lang w:eastAsia="en-AU"/>
      </w:rPr>
      <w:drawing>
        <wp:inline distT="0" distB="0" distL="0" distR="0" wp14:anchorId="25730AF5" wp14:editId="497828E1">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FF68D0"/>
    <w:multiLevelType w:val="hybridMultilevel"/>
    <w:tmpl w:val="D6EC9F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D52592"/>
    <w:multiLevelType w:val="hybridMultilevel"/>
    <w:tmpl w:val="2288F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D92CCF"/>
    <w:multiLevelType w:val="hybridMultilevel"/>
    <w:tmpl w:val="9D2E588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FC52E4"/>
    <w:multiLevelType w:val="hybridMultilevel"/>
    <w:tmpl w:val="90C8C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6F4B91"/>
    <w:multiLevelType w:val="hybridMultilevel"/>
    <w:tmpl w:val="EA324164"/>
    <w:lvl w:ilvl="0" w:tplc="0C090017">
      <w:start w:val="1"/>
      <w:numFmt w:val="lowerLetter"/>
      <w:lvlText w:val="%1)"/>
      <w:lvlJc w:val="left"/>
      <w:pPr>
        <w:ind w:left="720" w:hanging="360"/>
      </w:pPr>
      <w:rPr>
        <w:rFonts w:hint="default"/>
      </w:rPr>
    </w:lvl>
    <w:lvl w:ilvl="1" w:tplc="0C09000F">
      <w:start w:val="1"/>
      <w:numFmt w:val="decimal"/>
      <w:lvlText w:val="%2."/>
      <w:lvlJc w:val="left"/>
      <w:pPr>
        <w:ind w:left="1650" w:hanging="570"/>
      </w:pPr>
      <w:rPr>
        <w:rFonts w:hint="default"/>
      </w:rPr>
    </w:lvl>
    <w:lvl w:ilvl="2" w:tplc="3E34BB06">
      <w:numFmt w:val="bullet"/>
      <w:lvlText w:val="•"/>
      <w:lvlJc w:val="left"/>
      <w:pPr>
        <w:ind w:left="2520" w:hanging="720"/>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170F84"/>
    <w:multiLevelType w:val="hybridMultilevel"/>
    <w:tmpl w:val="6DE8B9D0"/>
    <w:lvl w:ilvl="0" w:tplc="AC4C636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E173577"/>
    <w:multiLevelType w:val="hybridMultilevel"/>
    <w:tmpl w:val="D6AE6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96159E0"/>
    <w:multiLevelType w:val="hybridMultilevel"/>
    <w:tmpl w:val="78328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4C78AD"/>
    <w:multiLevelType w:val="hybridMultilevel"/>
    <w:tmpl w:val="A62A4B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6DC709C"/>
    <w:multiLevelType w:val="hybridMultilevel"/>
    <w:tmpl w:val="A0BE4C02"/>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9909C4"/>
    <w:multiLevelType w:val="hybridMultilevel"/>
    <w:tmpl w:val="A71A0B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16221A"/>
    <w:multiLevelType w:val="hybridMultilevel"/>
    <w:tmpl w:val="DFC29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7F2751CF"/>
    <w:multiLevelType w:val="hybridMultilevel"/>
    <w:tmpl w:val="4DFE7E28"/>
    <w:lvl w:ilvl="0" w:tplc="6F4644D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23"/>
  </w:num>
  <w:num w:numId="3">
    <w:abstractNumId w:val="28"/>
  </w:num>
  <w:num w:numId="4">
    <w:abstractNumId w:val="8"/>
  </w:num>
  <w:num w:numId="5">
    <w:abstractNumId w:val="8"/>
    <w:lvlOverride w:ilvl="0">
      <w:startOverride w:val="1"/>
    </w:lvlOverride>
  </w:num>
  <w:num w:numId="6">
    <w:abstractNumId w:val="10"/>
  </w:num>
  <w:num w:numId="7">
    <w:abstractNumId w:val="20"/>
  </w:num>
  <w:num w:numId="8">
    <w:abstractNumId w:val="2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0"/>
  </w:num>
  <w:num w:numId="17">
    <w:abstractNumId w:val="12"/>
  </w:num>
  <w:num w:numId="18">
    <w:abstractNumId w:val="14"/>
  </w:num>
  <w:num w:numId="19">
    <w:abstractNumId w:val="16"/>
  </w:num>
  <w:num w:numId="20">
    <w:abstractNumId w:val="12"/>
  </w:num>
  <w:num w:numId="21">
    <w:abstractNumId w:val="16"/>
  </w:num>
  <w:num w:numId="22">
    <w:abstractNumId w:val="30"/>
  </w:num>
  <w:num w:numId="23">
    <w:abstractNumId w:val="23"/>
  </w:num>
  <w:num w:numId="24">
    <w:abstractNumId w:val="28"/>
  </w:num>
  <w:num w:numId="25">
    <w:abstractNumId w:val="8"/>
  </w:num>
  <w:num w:numId="26">
    <w:abstractNumId w:val="22"/>
  </w:num>
  <w:num w:numId="27">
    <w:abstractNumId w:val="26"/>
  </w:num>
  <w:num w:numId="28">
    <w:abstractNumId w:val="18"/>
  </w:num>
  <w:num w:numId="29">
    <w:abstractNumId w:val="29"/>
  </w:num>
  <w:num w:numId="30">
    <w:abstractNumId w:val="11"/>
  </w:num>
  <w:num w:numId="31">
    <w:abstractNumId w:val="15"/>
  </w:num>
  <w:num w:numId="32">
    <w:abstractNumId w:val="31"/>
  </w:num>
  <w:num w:numId="33">
    <w:abstractNumId w:val="9"/>
  </w:num>
  <w:num w:numId="34">
    <w:abstractNumId w:val="25"/>
  </w:num>
  <w:num w:numId="35">
    <w:abstractNumId w:val="24"/>
  </w:num>
  <w:num w:numId="36">
    <w:abstractNumId w:val="13"/>
  </w:num>
  <w:num w:numId="37">
    <w:abstractNumId w:val="19"/>
  </w:num>
  <w:num w:numId="38">
    <w:abstractNumId w:val="2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99"/>
    <w:rsid w:val="00003743"/>
    <w:rsid w:val="000047B4"/>
    <w:rsid w:val="00005712"/>
    <w:rsid w:val="00007FD8"/>
    <w:rsid w:val="000117F8"/>
    <w:rsid w:val="0001460F"/>
    <w:rsid w:val="000207FA"/>
    <w:rsid w:val="00022629"/>
    <w:rsid w:val="00026139"/>
    <w:rsid w:val="00027601"/>
    <w:rsid w:val="00031D61"/>
    <w:rsid w:val="00033321"/>
    <w:rsid w:val="000338E5"/>
    <w:rsid w:val="00033ECC"/>
    <w:rsid w:val="0003422F"/>
    <w:rsid w:val="00046A25"/>
    <w:rsid w:val="00046FF0"/>
    <w:rsid w:val="00050176"/>
    <w:rsid w:val="00050342"/>
    <w:rsid w:val="00057B18"/>
    <w:rsid w:val="00067456"/>
    <w:rsid w:val="00071506"/>
    <w:rsid w:val="0007154F"/>
    <w:rsid w:val="00081AB1"/>
    <w:rsid w:val="00090316"/>
    <w:rsid w:val="00093981"/>
    <w:rsid w:val="000B067A"/>
    <w:rsid w:val="000B1540"/>
    <w:rsid w:val="000B1E53"/>
    <w:rsid w:val="000B33FD"/>
    <w:rsid w:val="000B4ABA"/>
    <w:rsid w:val="000C08F3"/>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42B"/>
    <w:rsid w:val="00156D96"/>
    <w:rsid w:val="001571C7"/>
    <w:rsid w:val="00161094"/>
    <w:rsid w:val="001677B1"/>
    <w:rsid w:val="0017665C"/>
    <w:rsid w:val="00177AD2"/>
    <w:rsid w:val="001815A8"/>
    <w:rsid w:val="001840FA"/>
    <w:rsid w:val="00190079"/>
    <w:rsid w:val="0019622E"/>
    <w:rsid w:val="001966A7"/>
    <w:rsid w:val="00196F31"/>
    <w:rsid w:val="001A4627"/>
    <w:rsid w:val="001A4979"/>
    <w:rsid w:val="001B15D3"/>
    <w:rsid w:val="001B3443"/>
    <w:rsid w:val="001C0326"/>
    <w:rsid w:val="001C192F"/>
    <w:rsid w:val="001C3C42"/>
    <w:rsid w:val="001D7869"/>
    <w:rsid w:val="00201F53"/>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7C7"/>
    <w:rsid w:val="002719FA"/>
    <w:rsid w:val="00272668"/>
    <w:rsid w:val="0027330B"/>
    <w:rsid w:val="002803AD"/>
    <w:rsid w:val="00282052"/>
    <w:rsid w:val="002831A3"/>
    <w:rsid w:val="0028519E"/>
    <w:rsid w:val="002856A5"/>
    <w:rsid w:val="002872ED"/>
    <w:rsid w:val="002905C2"/>
    <w:rsid w:val="00295AF2"/>
    <w:rsid w:val="00295C91"/>
    <w:rsid w:val="00296582"/>
    <w:rsid w:val="00297151"/>
    <w:rsid w:val="002B20E6"/>
    <w:rsid w:val="002B42A3"/>
    <w:rsid w:val="002C0CDD"/>
    <w:rsid w:val="002C38C4"/>
    <w:rsid w:val="002C75C6"/>
    <w:rsid w:val="002E1A1D"/>
    <w:rsid w:val="002E4081"/>
    <w:rsid w:val="002E5B78"/>
    <w:rsid w:val="002F3AE3"/>
    <w:rsid w:val="002F3F9A"/>
    <w:rsid w:val="0030464B"/>
    <w:rsid w:val="0030786C"/>
    <w:rsid w:val="00315999"/>
    <w:rsid w:val="003233DE"/>
    <w:rsid w:val="0032466B"/>
    <w:rsid w:val="00324EB0"/>
    <w:rsid w:val="003330EB"/>
    <w:rsid w:val="00337220"/>
    <w:rsid w:val="003415FD"/>
    <w:rsid w:val="003429F0"/>
    <w:rsid w:val="00345A82"/>
    <w:rsid w:val="0035097A"/>
    <w:rsid w:val="003540A4"/>
    <w:rsid w:val="00357BCC"/>
    <w:rsid w:val="00360E4E"/>
    <w:rsid w:val="00365B49"/>
    <w:rsid w:val="00370AAA"/>
    <w:rsid w:val="00375F77"/>
    <w:rsid w:val="00381BBE"/>
    <w:rsid w:val="00382903"/>
    <w:rsid w:val="003846FF"/>
    <w:rsid w:val="003857D4"/>
    <w:rsid w:val="00385AD4"/>
    <w:rsid w:val="00386532"/>
    <w:rsid w:val="00387924"/>
    <w:rsid w:val="0039384D"/>
    <w:rsid w:val="00395C23"/>
    <w:rsid w:val="003A2E4F"/>
    <w:rsid w:val="003A4438"/>
    <w:rsid w:val="003A5013"/>
    <w:rsid w:val="003A5078"/>
    <w:rsid w:val="003A62DD"/>
    <w:rsid w:val="003A775A"/>
    <w:rsid w:val="003B213A"/>
    <w:rsid w:val="003B2328"/>
    <w:rsid w:val="003B43AD"/>
    <w:rsid w:val="003C0FEC"/>
    <w:rsid w:val="003C2AC8"/>
    <w:rsid w:val="003C736C"/>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21DB"/>
    <w:rsid w:val="00415C81"/>
    <w:rsid w:val="004237B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00DC"/>
    <w:rsid w:val="00501C94"/>
    <w:rsid w:val="00506432"/>
    <w:rsid w:val="00506E82"/>
    <w:rsid w:val="00512C3C"/>
    <w:rsid w:val="0052051D"/>
    <w:rsid w:val="00545EE6"/>
    <w:rsid w:val="00546367"/>
    <w:rsid w:val="005550E7"/>
    <w:rsid w:val="005564FB"/>
    <w:rsid w:val="005572C7"/>
    <w:rsid w:val="005650ED"/>
    <w:rsid w:val="00575336"/>
    <w:rsid w:val="00575754"/>
    <w:rsid w:val="00581FBA"/>
    <w:rsid w:val="00582BBC"/>
    <w:rsid w:val="00583F8E"/>
    <w:rsid w:val="00591E20"/>
    <w:rsid w:val="00595408"/>
    <w:rsid w:val="00595E84"/>
    <w:rsid w:val="005A0C59"/>
    <w:rsid w:val="005A48EB"/>
    <w:rsid w:val="005A6CFB"/>
    <w:rsid w:val="005C5AEB"/>
    <w:rsid w:val="005E0A3F"/>
    <w:rsid w:val="005E6883"/>
    <w:rsid w:val="005E772F"/>
    <w:rsid w:val="005F4ECA"/>
    <w:rsid w:val="006041BE"/>
    <w:rsid w:val="006043C7"/>
    <w:rsid w:val="00621CFE"/>
    <w:rsid w:val="00624B52"/>
    <w:rsid w:val="00630794"/>
    <w:rsid w:val="00631DF4"/>
    <w:rsid w:val="00634175"/>
    <w:rsid w:val="006408AC"/>
    <w:rsid w:val="00647C33"/>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478D"/>
    <w:rsid w:val="00724FFC"/>
    <w:rsid w:val="007263B9"/>
    <w:rsid w:val="007309F7"/>
    <w:rsid w:val="007334F8"/>
    <w:rsid w:val="007339CD"/>
    <w:rsid w:val="007359D8"/>
    <w:rsid w:val="007362D4"/>
    <w:rsid w:val="00737F31"/>
    <w:rsid w:val="0075494C"/>
    <w:rsid w:val="0076672A"/>
    <w:rsid w:val="00766EDF"/>
    <w:rsid w:val="00775E45"/>
    <w:rsid w:val="00776E74"/>
    <w:rsid w:val="00785169"/>
    <w:rsid w:val="007954AB"/>
    <w:rsid w:val="007A14C5"/>
    <w:rsid w:val="007A4A10"/>
    <w:rsid w:val="007B1760"/>
    <w:rsid w:val="007B3BF8"/>
    <w:rsid w:val="007C1FDC"/>
    <w:rsid w:val="007C6683"/>
    <w:rsid w:val="007C6D9C"/>
    <w:rsid w:val="007C7DDB"/>
    <w:rsid w:val="007D2CC7"/>
    <w:rsid w:val="007D673D"/>
    <w:rsid w:val="007E0FB8"/>
    <w:rsid w:val="007E4D09"/>
    <w:rsid w:val="007F2220"/>
    <w:rsid w:val="007F256B"/>
    <w:rsid w:val="007F386A"/>
    <w:rsid w:val="007F4B3E"/>
    <w:rsid w:val="00804E54"/>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BEB"/>
    <w:rsid w:val="00865DDB"/>
    <w:rsid w:val="00867538"/>
    <w:rsid w:val="00870F23"/>
    <w:rsid w:val="00873D90"/>
    <w:rsid w:val="00873FC8"/>
    <w:rsid w:val="00884C63"/>
    <w:rsid w:val="00885908"/>
    <w:rsid w:val="008864B7"/>
    <w:rsid w:val="0089677E"/>
    <w:rsid w:val="008A1CAF"/>
    <w:rsid w:val="008A7438"/>
    <w:rsid w:val="008B1334"/>
    <w:rsid w:val="008B25C7"/>
    <w:rsid w:val="008B49B5"/>
    <w:rsid w:val="008C0278"/>
    <w:rsid w:val="008C0784"/>
    <w:rsid w:val="008C24E9"/>
    <w:rsid w:val="008C31AE"/>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63EB3"/>
    <w:rsid w:val="00974B59"/>
    <w:rsid w:val="0098340B"/>
    <w:rsid w:val="00986830"/>
    <w:rsid w:val="009924C3"/>
    <w:rsid w:val="00993102"/>
    <w:rsid w:val="00995630"/>
    <w:rsid w:val="009976F5"/>
    <w:rsid w:val="009B1570"/>
    <w:rsid w:val="009C6F10"/>
    <w:rsid w:val="009D148F"/>
    <w:rsid w:val="009D3D70"/>
    <w:rsid w:val="009E5326"/>
    <w:rsid w:val="009E6F7E"/>
    <w:rsid w:val="009E7A57"/>
    <w:rsid w:val="009F4803"/>
    <w:rsid w:val="009F4F6A"/>
    <w:rsid w:val="00A051DE"/>
    <w:rsid w:val="00A10887"/>
    <w:rsid w:val="00A13EB5"/>
    <w:rsid w:val="00A16E36"/>
    <w:rsid w:val="00A24961"/>
    <w:rsid w:val="00A24B10"/>
    <w:rsid w:val="00A277EF"/>
    <w:rsid w:val="00A30E9B"/>
    <w:rsid w:val="00A40D3A"/>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09FD"/>
    <w:rsid w:val="00AB1EE7"/>
    <w:rsid w:val="00AB4B37"/>
    <w:rsid w:val="00AB5762"/>
    <w:rsid w:val="00AC2679"/>
    <w:rsid w:val="00AC32D7"/>
    <w:rsid w:val="00AC4BE4"/>
    <w:rsid w:val="00AD05E6"/>
    <w:rsid w:val="00AD0D3F"/>
    <w:rsid w:val="00AE1D7D"/>
    <w:rsid w:val="00AE2A8B"/>
    <w:rsid w:val="00AE3F64"/>
    <w:rsid w:val="00AF060E"/>
    <w:rsid w:val="00AF7386"/>
    <w:rsid w:val="00AF7934"/>
    <w:rsid w:val="00B00B81"/>
    <w:rsid w:val="00B04580"/>
    <w:rsid w:val="00B04B09"/>
    <w:rsid w:val="00B16A51"/>
    <w:rsid w:val="00B23DF6"/>
    <w:rsid w:val="00B32222"/>
    <w:rsid w:val="00B3618D"/>
    <w:rsid w:val="00B36233"/>
    <w:rsid w:val="00B42851"/>
    <w:rsid w:val="00B45AC7"/>
    <w:rsid w:val="00B5372F"/>
    <w:rsid w:val="00B53987"/>
    <w:rsid w:val="00B61129"/>
    <w:rsid w:val="00B67E7F"/>
    <w:rsid w:val="00B839B2"/>
    <w:rsid w:val="00B94252"/>
    <w:rsid w:val="00B9715A"/>
    <w:rsid w:val="00BA14BE"/>
    <w:rsid w:val="00BA1FE0"/>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7068"/>
    <w:rsid w:val="00C00930"/>
    <w:rsid w:val="00C02978"/>
    <w:rsid w:val="00C060AD"/>
    <w:rsid w:val="00C113BF"/>
    <w:rsid w:val="00C2176E"/>
    <w:rsid w:val="00C23430"/>
    <w:rsid w:val="00C27D67"/>
    <w:rsid w:val="00C4631F"/>
    <w:rsid w:val="00C46412"/>
    <w:rsid w:val="00C47CDE"/>
    <w:rsid w:val="00C50E16"/>
    <w:rsid w:val="00C55258"/>
    <w:rsid w:val="00C64C27"/>
    <w:rsid w:val="00C82EEB"/>
    <w:rsid w:val="00C90D2B"/>
    <w:rsid w:val="00C971DC"/>
    <w:rsid w:val="00CA16B7"/>
    <w:rsid w:val="00CA58C4"/>
    <w:rsid w:val="00CA62AE"/>
    <w:rsid w:val="00CB3501"/>
    <w:rsid w:val="00CB5B1A"/>
    <w:rsid w:val="00CC220B"/>
    <w:rsid w:val="00CC5C43"/>
    <w:rsid w:val="00CD02AE"/>
    <w:rsid w:val="00CD2A4F"/>
    <w:rsid w:val="00CD2E47"/>
    <w:rsid w:val="00CE03CA"/>
    <w:rsid w:val="00CE22F1"/>
    <w:rsid w:val="00CE50F2"/>
    <w:rsid w:val="00CE6502"/>
    <w:rsid w:val="00CF7D3C"/>
    <w:rsid w:val="00D01F09"/>
    <w:rsid w:val="00D147EB"/>
    <w:rsid w:val="00D23620"/>
    <w:rsid w:val="00D34667"/>
    <w:rsid w:val="00D401E1"/>
    <w:rsid w:val="00D408B4"/>
    <w:rsid w:val="00D44330"/>
    <w:rsid w:val="00D524C8"/>
    <w:rsid w:val="00D6388B"/>
    <w:rsid w:val="00D70E24"/>
    <w:rsid w:val="00D72B61"/>
    <w:rsid w:val="00DA3D1D"/>
    <w:rsid w:val="00DB6286"/>
    <w:rsid w:val="00DB645F"/>
    <w:rsid w:val="00DB76E9"/>
    <w:rsid w:val="00DC0A67"/>
    <w:rsid w:val="00DC1D5E"/>
    <w:rsid w:val="00DC5220"/>
    <w:rsid w:val="00DD2061"/>
    <w:rsid w:val="00DD7DAB"/>
    <w:rsid w:val="00DE3355"/>
    <w:rsid w:val="00DF0C60"/>
    <w:rsid w:val="00DF466C"/>
    <w:rsid w:val="00DF486F"/>
    <w:rsid w:val="00DF5B5B"/>
    <w:rsid w:val="00DF7619"/>
    <w:rsid w:val="00E042D8"/>
    <w:rsid w:val="00E07EE7"/>
    <w:rsid w:val="00E1103B"/>
    <w:rsid w:val="00E16EDD"/>
    <w:rsid w:val="00E17B44"/>
    <w:rsid w:val="00E20F27"/>
    <w:rsid w:val="00E22443"/>
    <w:rsid w:val="00E25B1F"/>
    <w:rsid w:val="00E27FEA"/>
    <w:rsid w:val="00E316DE"/>
    <w:rsid w:val="00E35318"/>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B57B3"/>
    <w:rsid w:val="00EC213A"/>
    <w:rsid w:val="00EC7744"/>
    <w:rsid w:val="00ED0DAD"/>
    <w:rsid w:val="00ED0F46"/>
    <w:rsid w:val="00ED2373"/>
    <w:rsid w:val="00EE3E8A"/>
    <w:rsid w:val="00EF3A50"/>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6345"/>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50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7F256B"/>
    <w:rPr>
      <w:color w:val="605E5C"/>
      <w:shd w:val="clear" w:color="auto" w:fill="E1DFDD"/>
    </w:rPr>
  </w:style>
  <w:style w:type="character" w:styleId="CommentReference">
    <w:name w:val="annotation reference"/>
    <w:basedOn w:val="DefaultParagraphFont"/>
    <w:semiHidden/>
    <w:unhideWhenUsed/>
    <w:rsid w:val="00AC32D7"/>
    <w:rPr>
      <w:sz w:val="16"/>
      <w:szCs w:val="16"/>
    </w:rPr>
  </w:style>
  <w:style w:type="paragraph" w:styleId="CommentText">
    <w:name w:val="annotation text"/>
    <w:basedOn w:val="Normal"/>
    <w:link w:val="CommentTextChar"/>
    <w:semiHidden/>
    <w:unhideWhenUsed/>
    <w:rsid w:val="00AC32D7"/>
    <w:pPr>
      <w:spacing w:line="240" w:lineRule="auto"/>
    </w:pPr>
    <w:rPr>
      <w:sz w:val="20"/>
      <w:szCs w:val="20"/>
    </w:rPr>
  </w:style>
  <w:style w:type="character" w:customStyle="1" w:styleId="CommentTextChar">
    <w:name w:val="Comment Text Char"/>
    <w:basedOn w:val="DefaultParagraphFont"/>
    <w:link w:val="CommentText"/>
    <w:semiHidden/>
    <w:rsid w:val="00AC32D7"/>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AC32D7"/>
    <w:rPr>
      <w:b/>
      <w:bCs/>
    </w:rPr>
  </w:style>
  <w:style w:type="character" w:customStyle="1" w:styleId="CommentSubjectChar">
    <w:name w:val="Comment Subject Char"/>
    <w:basedOn w:val="CommentTextChar"/>
    <w:link w:val="CommentSubject"/>
    <w:semiHidden/>
    <w:rsid w:val="00AC32D7"/>
    <w:rPr>
      <w:rFonts w:ascii="Arial" w:hAnsi="Arial"/>
      <w:b/>
      <w:bCs/>
      <w:color w:val="000000" w:themeColor="text1"/>
      <w:lang w:eastAsia="en-US"/>
    </w:rPr>
  </w:style>
  <w:style w:type="character" w:styleId="FollowedHyperlink">
    <w:name w:val="FollowedHyperlink"/>
    <w:basedOn w:val="DefaultParagraphFont"/>
    <w:semiHidden/>
    <w:unhideWhenUsed/>
    <w:rsid w:val="0072478D"/>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qFormat/>
    <w:locked/>
    <w:rsid w:val="00BA1FE0"/>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74963641">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94696911">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8997577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7164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cgp.org.au/running-a-practice/practice-standards/standards-5th-edition/standards-for-general-practices-5th-ed/table-of-contents" TargetMode="External"/><Relationship Id="rId13" Type="http://schemas.openxmlformats.org/officeDocument/2006/relationships/hyperlink" Target="https://www.racgp.org.au/running-a-practice/practice-standards/standards-5th-edition/standards-for-general-practices-5th-ed/table-of-conten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gov.au/ministers/the-hon-mark-butler-mp/media/strengthening-medicare-with-220m-in-gp-grants?language=en"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gp.org.au/FSDEDEV/media/documents/Running%20a%20practice/Practice%20standards/5th%20edition/Definition-of-general-practice-factshee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acgp.org.au/running-a-practice/practice-standards/standards-5th-edition/standards-for-general-practices-5th-ed/table-of-cont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acgp.org.au/education/students/a-career-in-general-practice/what-is-general-practice" TargetMode="External"/><Relationship Id="rId14" Type="http://schemas.openxmlformats.org/officeDocument/2006/relationships/hyperlink" Target="https://hwd.health.gov.au/resources/information/methods-gp-full-time-equivalent.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5437</Characters>
  <Application>Microsoft Office Word</Application>
  <DocSecurity>0</DocSecurity>
  <Lines>92</Lines>
  <Paragraphs>53</Paragraphs>
  <ScaleCrop>false</ScaleCrop>
  <HeadingPairs>
    <vt:vector size="2" baseType="variant">
      <vt:variant>
        <vt:lpstr>Title</vt:lpstr>
      </vt:variant>
      <vt:variant>
        <vt:i4>1</vt:i4>
      </vt:variant>
    </vt:vector>
  </HeadingPairs>
  <TitlesOfParts>
    <vt:vector size="1" baseType="lpstr">
      <vt:lpstr>Strengthening Medicare General Practice Grants Program</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Medicare General Practice Grants Program</dc:title>
  <dc:subject>General practice</dc:subject>
  <dc:creator/>
  <cp:keywords>General practice; Aboriginal Community Controlled Health Services; Primary care; Medicare</cp:keywords>
  <cp:lastModifiedBy/>
  <cp:revision>1</cp:revision>
  <dcterms:created xsi:type="dcterms:W3CDTF">2023-05-01T05:34:00Z</dcterms:created>
  <dcterms:modified xsi:type="dcterms:W3CDTF">2023-05-02T04:28:00Z</dcterms:modified>
</cp:coreProperties>
</file>