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18C9" w14:textId="71E115BD" w:rsidR="005F1827" w:rsidRPr="009222B2" w:rsidRDefault="00926040" w:rsidP="00926040">
      <w:pPr>
        <w:pStyle w:val="Title"/>
      </w:pPr>
      <w:bookmarkStart w:id="0" w:name="_Hlk128472839"/>
      <w:r w:rsidRPr="009222B2">
        <w:t>ATAGI</w:t>
      </w:r>
      <w:r w:rsidR="006F0A75" w:rsidRPr="009222B2">
        <w:t xml:space="preserve"> 202</w:t>
      </w:r>
      <w:r w:rsidR="00A71072" w:rsidRPr="009222B2">
        <w:t>3</w:t>
      </w:r>
      <w:r w:rsidRPr="009222B2">
        <w:t xml:space="preserve"> annual statement on immunisation</w:t>
      </w:r>
    </w:p>
    <w:p w14:paraId="784DCA75" w14:textId="329AE599" w:rsidR="00926040" w:rsidRPr="009222B2" w:rsidRDefault="00E67520" w:rsidP="00926040">
      <w:pPr>
        <w:pStyle w:val="ReportDate"/>
      </w:pPr>
      <w:r w:rsidRPr="009222B2">
        <w:t>March</w:t>
      </w:r>
      <w:r w:rsidR="00061435" w:rsidRPr="009222B2">
        <w:t xml:space="preserve"> </w:t>
      </w:r>
      <w:r w:rsidR="00926040" w:rsidRPr="009222B2">
        <w:t>202</w:t>
      </w:r>
      <w:r w:rsidR="00A71072" w:rsidRPr="009222B2">
        <w:t>3</w:t>
      </w:r>
    </w:p>
    <w:p w14:paraId="77F49C3F" w14:textId="1737CBAF" w:rsidR="002F5FC4" w:rsidRDefault="0070564E">
      <w:pPr>
        <w:pStyle w:val="TOC1"/>
        <w:rPr>
          <w:rFonts w:asciiTheme="minorHAnsi" w:eastAsiaTheme="minorEastAsia" w:hAnsiTheme="minorHAnsi" w:cstheme="minorBidi"/>
          <w:b w:val="0"/>
          <w:bCs w:val="0"/>
          <w:color w:val="auto"/>
          <w:szCs w:val="22"/>
          <w:lang w:eastAsia="en-AU"/>
        </w:rPr>
      </w:pPr>
      <w:r w:rsidRPr="009222B2">
        <w:rPr>
          <w:noProof w:val="0"/>
        </w:rPr>
        <w:fldChar w:fldCharType="begin"/>
      </w:r>
      <w:r w:rsidRPr="009222B2">
        <w:rPr>
          <w:noProof w:val="0"/>
        </w:rPr>
        <w:instrText xml:space="preserve"> TOC \o "1-2" \h \z \u </w:instrText>
      </w:r>
      <w:r w:rsidRPr="009222B2">
        <w:rPr>
          <w:noProof w:val="0"/>
        </w:rPr>
        <w:fldChar w:fldCharType="separate"/>
      </w:r>
      <w:hyperlink w:anchor="_Toc128991495" w:history="1">
        <w:r w:rsidR="002F5FC4" w:rsidRPr="0041307C">
          <w:rPr>
            <w:rStyle w:val="Hyperlink"/>
          </w:rPr>
          <w:t>About ATAGI</w:t>
        </w:r>
        <w:r w:rsidR="002F5FC4">
          <w:rPr>
            <w:webHidden/>
          </w:rPr>
          <w:tab/>
        </w:r>
        <w:r w:rsidR="002F5FC4">
          <w:rPr>
            <w:webHidden/>
          </w:rPr>
          <w:fldChar w:fldCharType="begin"/>
        </w:r>
        <w:r w:rsidR="002F5FC4">
          <w:rPr>
            <w:webHidden/>
          </w:rPr>
          <w:instrText xml:space="preserve"> PAGEREF _Toc128991495 \h </w:instrText>
        </w:r>
        <w:r w:rsidR="002F5FC4">
          <w:rPr>
            <w:webHidden/>
          </w:rPr>
        </w:r>
        <w:r w:rsidR="002F5FC4">
          <w:rPr>
            <w:webHidden/>
          </w:rPr>
          <w:fldChar w:fldCharType="separate"/>
        </w:r>
        <w:r w:rsidR="002F5FC4">
          <w:rPr>
            <w:webHidden/>
          </w:rPr>
          <w:t>2</w:t>
        </w:r>
        <w:r w:rsidR="002F5FC4">
          <w:rPr>
            <w:webHidden/>
          </w:rPr>
          <w:fldChar w:fldCharType="end"/>
        </w:r>
      </w:hyperlink>
    </w:p>
    <w:p w14:paraId="7E1B0AA7" w14:textId="2800E838" w:rsidR="002F5FC4" w:rsidRDefault="00F662CF">
      <w:pPr>
        <w:pStyle w:val="TOC1"/>
        <w:rPr>
          <w:rFonts w:asciiTheme="minorHAnsi" w:eastAsiaTheme="minorEastAsia" w:hAnsiTheme="minorHAnsi" w:cstheme="minorBidi"/>
          <w:b w:val="0"/>
          <w:bCs w:val="0"/>
          <w:color w:val="auto"/>
          <w:szCs w:val="22"/>
          <w:lang w:eastAsia="en-AU"/>
        </w:rPr>
      </w:pPr>
      <w:hyperlink w:anchor="_Toc128991496" w:history="1">
        <w:r w:rsidR="002F5FC4" w:rsidRPr="0041307C">
          <w:rPr>
            <w:rStyle w:val="Hyperlink"/>
          </w:rPr>
          <w:t>Summary</w:t>
        </w:r>
        <w:r w:rsidR="002F5FC4">
          <w:rPr>
            <w:webHidden/>
          </w:rPr>
          <w:tab/>
        </w:r>
        <w:r w:rsidR="002F5FC4">
          <w:rPr>
            <w:webHidden/>
          </w:rPr>
          <w:fldChar w:fldCharType="begin"/>
        </w:r>
        <w:r w:rsidR="002F5FC4">
          <w:rPr>
            <w:webHidden/>
          </w:rPr>
          <w:instrText xml:space="preserve"> PAGEREF _Toc128991496 \h </w:instrText>
        </w:r>
        <w:r w:rsidR="002F5FC4">
          <w:rPr>
            <w:webHidden/>
          </w:rPr>
        </w:r>
        <w:r w:rsidR="002F5FC4">
          <w:rPr>
            <w:webHidden/>
          </w:rPr>
          <w:fldChar w:fldCharType="separate"/>
        </w:r>
        <w:r w:rsidR="002F5FC4">
          <w:rPr>
            <w:webHidden/>
          </w:rPr>
          <w:t>3</w:t>
        </w:r>
        <w:r w:rsidR="002F5FC4">
          <w:rPr>
            <w:webHidden/>
          </w:rPr>
          <w:fldChar w:fldCharType="end"/>
        </w:r>
      </w:hyperlink>
    </w:p>
    <w:p w14:paraId="6E74ACEA" w14:textId="55B9825A" w:rsidR="002F5FC4" w:rsidRDefault="00F662CF">
      <w:pPr>
        <w:pStyle w:val="TOC2"/>
        <w:rPr>
          <w:rFonts w:asciiTheme="minorHAnsi" w:eastAsiaTheme="minorEastAsia" w:hAnsiTheme="minorHAnsi" w:cstheme="minorBidi"/>
          <w:noProof/>
          <w:color w:val="auto"/>
          <w:szCs w:val="22"/>
          <w:lang w:eastAsia="en-AU"/>
        </w:rPr>
      </w:pPr>
      <w:hyperlink w:anchor="_Toc128991497" w:history="1">
        <w:r w:rsidR="002F5FC4" w:rsidRPr="0041307C">
          <w:rPr>
            <w:rStyle w:val="Hyperlink"/>
            <w:noProof/>
          </w:rPr>
          <w:t>Key highlights in immunisation in 2022</w:t>
        </w:r>
        <w:r w:rsidR="002F5FC4">
          <w:rPr>
            <w:noProof/>
            <w:webHidden/>
          </w:rPr>
          <w:tab/>
        </w:r>
        <w:r w:rsidR="002F5FC4">
          <w:rPr>
            <w:noProof/>
            <w:webHidden/>
          </w:rPr>
          <w:fldChar w:fldCharType="begin"/>
        </w:r>
        <w:r w:rsidR="002F5FC4">
          <w:rPr>
            <w:noProof/>
            <w:webHidden/>
          </w:rPr>
          <w:instrText xml:space="preserve"> PAGEREF _Toc128991497 \h </w:instrText>
        </w:r>
        <w:r w:rsidR="002F5FC4">
          <w:rPr>
            <w:noProof/>
            <w:webHidden/>
          </w:rPr>
        </w:r>
        <w:r w:rsidR="002F5FC4">
          <w:rPr>
            <w:noProof/>
            <w:webHidden/>
          </w:rPr>
          <w:fldChar w:fldCharType="separate"/>
        </w:r>
        <w:r w:rsidR="002F5FC4">
          <w:rPr>
            <w:noProof/>
            <w:webHidden/>
          </w:rPr>
          <w:t>3</w:t>
        </w:r>
        <w:r w:rsidR="002F5FC4">
          <w:rPr>
            <w:noProof/>
            <w:webHidden/>
          </w:rPr>
          <w:fldChar w:fldCharType="end"/>
        </w:r>
      </w:hyperlink>
    </w:p>
    <w:p w14:paraId="0D1A7DC7" w14:textId="7CDA5E49" w:rsidR="002F5FC4" w:rsidRDefault="00F662CF">
      <w:pPr>
        <w:pStyle w:val="TOC2"/>
        <w:rPr>
          <w:rFonts w:asciiTheme="minorHAnsi" w:eastAsiaTheme="minorEastAsia" w:hAnsiTheme="minorHAnsi" w:cstheme="minorBidi"/>
          <w:noProof/>
          <w:color w:val="auto"/>
          <w:szCs w:val="22"/>
          <w:lang w:eastAsia="en-AU"/>
        </w:rPr>
      </w:pPr>
      <w:hyperlink w:anchor="_Toc128991498" w:history="1">
        <w:r w:rsidR="002F5FC4" w:rsidRPr="0041307C">
          <w:rPr>
            <w:rStyle w:val="Hyperlink"/>
            <w:noProof/>
          </w:rPr>
          <w:t>Key challenges, priorities and strategies in the immunisation landscape in Australia in 2023 and beyond</w:t>
        </w:r>
        <w:r w:rsidR="002F5FC4">
          <w:rPr>
            <w:noProof/>
            <w:webHidden/>
          </w:rPr>
          <w:tab/>
        </w:r>
        <w:r w:rsidR="002F5FC4">
          <w:rPr>
            <w:noProof/>
            <w:webHidden/>
          </w:rPr>
          <w:fldChar w:fldCharType="begin"/>
        </w:r>
        <w:r w:rsidR="002F5FC4">
          <w:rPr>
            <w:noProof/>
            <w:webHidden/>
          </w:rPr>
          <w:instrText xml:space="preserve"> PAGEREF _Toc128991498 \h </w:instrText>
        </w:r>
        <w:r w:rsidR="002F5FC4">
          <w:rPr>
            <w:noProof/>
            <w:webHidden/>
          </w:rPr>
        </w:r>
        <w:r w:rsidR="002F5FC4">
          <w:rPr>
            <w:noProof/>
            <w:webHidden/>
          </w:rPr>
          <w:fldChar w:fldCharType="separate"/>
        </w:r>
        <w:r w:rsidR="002F5FC4">
          <w:rPr>
            <w:noProof/>
            <w:webHidden/>
          </w:rPr>
          <w:t>3</w:t>
        </w:r>
        <w:r w:rsidR="002F5FC4">
          <w:rPr>
            <w:noProof/>
            <w:webHidden/>
          </w:rPr>
          <w:fldChar w:fldCharType="end"/>
        </w:r>
      </w:hyperlink>
    </w:p>
    <w:p w14:paraId="4C57FD01" w14:textId="61EAC809" w:rsidR="002F5FC4" w:rsidRDefault="00F662CF">
      <w:pPr>
        <w:pStyle w:val="TOC1"/>
        <w:rPr>
          <w:rFonts w:asciiTheme="minorHAnsi" w:eastAsiaTheme="minorEastAsia" w:hAnsiTheme="minorHAnsi" w:cstheme="minorBidi"/>
          <w:b w:val="0"/>
          <w:bCs w:val="0"/>
          <w:color w:val="auto"/>
          <w:szCs w:val="22"/>
          <w:lang w:eastAsia="en-AU"/>
        </w:rPr>
      </w:pPr>
      <w:hyperlink w:anchor="_Toc128991499" w:history="1">
        <w:r w:rsidR="002F5FC4" w:rsidRPr="0041307C">
          <w:rPr>
            <w:rStyle w:val="Hyperlink"/>
          </w:rPr>
          <w:t>Immunisation issues in Australia in 2022</w:t>
        </w:r>
        <w:r w:rsidR="002F5FC4">
          <w:rPr>
            <w:webHidden/>
          </w:rPr>
          <w:tab/>
        </w:r>
        <w:r w:rsidR="002F5FC4">
          <w:rPr>
            <w:webHidden/>
          </w:rPr>
          <w:fldChar w:fldCharType="begin"/>
        </w:r>
        <w:r w:rsidR="002F5FC4">
          <w:rPr>
            <w:webHidden/>
          </w:rPr>
          <w:instrText xml:space="preserve"> PAGEREF _Toc128991499 \h </w:instrText>
        </w:r>
        <w:r w:rsidR="002F5FC4">
          <w:rPr>
            <w:webHidden/>
          </w:rPr>
        </w:r>
        <w:r w:rsidR="002F5FC4">
          <w:rPr>
            <w:webHidden/>
          </w:rPr>
          <w:fldChar w:fldCharType="separate"/>
        </w:r>
        <w:r w:rsidR="002F5FC4">
          <w:rPr>
            <w:webHidden/>
          </w:rPr>
          <w:t>4</w:t>
        </w:r>
        <w:r w:rsidR="002F5FC4">
          <w:rPr>
            <w:webHidden/>
          </w:rPr>
          <w:fldChar w:fldCharType="end"/>
        </w:r>
      </w:hyperlink>
    </w:p>
    <w:p w14:paraId="6691F4AA" w14:textId="384980B4" w:rsidR="002F5FC4" w:rsidRDefault="00F662CF">
      <w:pPr>
        <w:pStyle w:val="TOC2"/>
        <w:rPr>
          <w:rFonts w:asciiTheme="minorHAnsi" w:eastAsiaTheme="minorEastAsia" w:hAnsiTheme="minorHAnsi" w:cstheme="minorBidi"/>
          <w:noProof/>
          <w:color w:val="auto"/>
          <w:szCs w:val="22"/>
          <w:lang w:eastAsia="en-AU"/>
        </w:rPr>
      </w:pPr>
      <w:hyperlink w:anchor="_Toc128991500" w:history="1">
        <w:r w:rsidR="002F5FC4" w:rsidRPr="0041307C">
          <w:rPr>
            <w:rStyle w:val="Hyperlink"/>
            <w:noProof/>
          </w:rPr>
          <w:t>Emerging and re-emerging vaccine-preventable diseases in 2022</w:t>
        </w:r>
        <w:r w:rsidR="002F5FC4">
          <w:rPr>
            <w:noProof/>
            <w:webHidden/>
          </w:rPr>
          <w:tab/>
        </w:r>
        <w:r w:rsidR="002F5FC4">
          <w:rPr>
            <w:noProof/>
            <w:webHidden/>
          </w:rPr>
          <w:fldChar w:fldCharType="begin"/>
        </w:r>
        <w:r w:rsidR="002F5FC4">
          <w:rPr>
            <w:noProof/>
            <w:webHidden/>
          </w:rPr>
          <w:instrText xml:space="preserve"> PAGEREF _Toc128991500 \h </w:instrText>
        </w:r>
        <w:r w:rsidR="002F5FC4">
          <w:rPr>
            <w:noProof/>
            <w:webHidden/>
          </w:rPr>
        </w:r>
        <w:r w:rsidR="002F5FC4">
          <w:rPr>
            <w:noProof/>
            <w:webHidden/>
          </w:rPr>
          <w:fldChar w:fldCharType="separate"/>
        </w:r>
        <w:r w:rsidR="002F5FC4">
          <w:rPr>
            <w:noProof/>
            <w:webHidden/>
          </w:rPr>
          <w:t>4</w:t>
        </w:r>
        <w:r w:rsidR="002F5FC4">
          <w:rPr>
            <w:noProof/>
            <w:webHidden/>
          </w:rPr>
          <w:fldChar w:fldCharType="end"/>
        </w:r>
      </w:hyperlink>
    </w:p>
    <w:p w14:paraId="08640DC8" w14:textId="7E62FC65" w:rsidR="002F5FC4" w:rsidRDefault="00F662CF">
      <w:pPr>
        <w:pStyle w:val="TOC2"/>
        <w:rPr>
          <w:rFonts w:asciiTheme="minorHAnsi" w:eastAsiaTheme="minorEastAsia" w:hAnsiTheme="minorHAnsi" w:cstheme="minorBidi"/>
          <w:noProof/>
          <w:color w:val="auto"/>
          <w:szCs w:val="22"/>
          <w:lang w:eastAsia="en-AU"/>
        </w:rPr>
      </w:pPr>
      <w:hyperlink w:anchor="_Toc128991501" w:history="1">
        <w:r w:rsidR="002F5FC4" w:rsidRPr="0041307C">
          <w:rPr>
            <w:rStyle w:val="Hyperlink"/>
            <w:noProof/>
          </w:rPr>
          <w:t>COVID</w:t>
        </w:r>
        <w:r w:rsidR="002F5FC4" w:rsidRPr="0041307C">
          <w:rPr>
            <w:rStyle w:val="Hyperlink"/>
            <w:noProof/>
          </w:rPr>
          <w:noBreakHyphen/>
          <w:t>19 vaccination</w:t>
        </w:r>
        <w:r w:rsidR="002F5FC4">
          <w:rPr>
            <w:noProof/>
            <w:webHidden/>
          </w:rPr>
          <w:tab/>
        </w:r>
        <w:r w:rsidR="002F5FC4">
          <w:rPr>
            <w:noProof/>
            <w:webHidden/>
          </w:rPr>
          <w:fldChar w:fldCharType="begin"/>
        </w:r>
        <w:r w:rsidR="002F5FC4">
          <w:rPr>
            <w:noProof/>
            <w:webHidden/>
          </w:rPr>
          <w:instrText xml:space="preserve"> PAGEREF _Toc128991501 \h </w:instrText>
        </w:r>
        <w:r w:rsidR="002F5FC4">
          <w:rPr>
            <w:noProof/>
            <w:webHidden/>
          </w:rPr>
        </w:r>
        <w:r w:rsidR="002F5FC4">
          <w:rPr>
            <w:noProof/>
            <w:webHidden/>
          </w:rPr>
          <w:fldChar w:fldCharType="separate"/>
        </w:r>
        <w:r w:rsidR="002F5FC4">
          <w:rPr>
            <w:noProof/>
            <w:webHidden/>
          </w:rPr>
          <w:t>5</w:t>
        </w:r>
        <w:r w:rsidR="002F5FC4">
          <w:rPr>
            <w:noProof/>
            <w:webHidden/>
          </w:rPr>
          <w:fldChar w:fldCharType="end"/>
        </w:r>
      </w:hyperlink>
    </w:p>
    <w:p w14:paraId="017153FA" w14:textId="39CD7D58" w:rsidR="002F5FC4" w:rsidRDefault="00F662CF">
      <w:pPr>
        <w:pStyle w:val="TOC2"/>
        <w:rPr>
          <w:rFonts w:asciiTheme="minorHAnsi" w:eastAsiaTheme="minorEastAsia" w:hAnsiTheme="minorHAnsi" w:cstheme="minorBidi"/>
          <w:noProof/>
          <w:color w:val="auto"/>
          <w:szCs w:val="22"/>
          <w:lang w:eastAsia="en-AU"/>
        </w:rPr>
      </w:pPr>
      <w:hyperlink w:anchor="_Toc128991502" w:history="1">
        <w:r w:rsidR="002F5FC4" w:rsidRPr="0041307C">
          <w:rPr>
            <w:rStyle w:val="Hyperlink"/>
            <w:noProof/>
          </w:rPr>
          <w:t>Prevention and control of other vaccine-preventable diseases</w:t>
        </w:r>
        <w:r w:rsidR="002F5FC4">
          <w:rPr>
            <w:noProof/>
            <w:webHidden/>
          </w:rPr>
          <w:tab/>
        </w:r>
        <w:r w:rsidR="002F5FC4">
          <w:rPr>
            <w:noProof/>
            <w:webHidden/>
          </w:rPr>
          <w:fldChar w:fldCharType="begin"/>
        </w:r>
        <w:r w:rsidR="002F5FC4">
          <w:rPr>
            <w:noProof/>
            <w:webHidden/>
          </w:rPr>
          <w:instrText xml:space="preserve"> PAGEREF _Toc128991502 \h </w:instrText>
        </w:r>
        <w:r w:rsidR="002F5FC4">
          <w:rPr>
            <w:noProof/>
            <w:webHidden/>
          </w:rPr>
        </w:r>
        <w:r w:rsidR="002F5FC4">
          <w:rPr>
            <w:noProof/>
            <w:webHidden/>
          </w:rPr>
          <w:fldChar w:fldCharType="separate"/>
        </w:r>
        <w:r w:rsidR="002F5FC4">
          <w:rPr>
            <w:noProof/>
            <w:webHidden/>
          </w:rPr>
          <w:t>9</w:t>
        </w:r>
        <w:r w:rsidR="002F5FC4">
          <w:rPr>
            <w:noProof/>
            <w:webHidden/>
          </w:rPr>
          <w:fldChar w:fldCharType="end"/>
        </w:r>
      </w:hyperlink>
    </w:p>
    <w:p w14:paraId="73AF58A3" w14:textId="299FF8C7" w:rsidR="002F5FC4" w:rsidRDefault="00F662CF">
      <w:pPr>
        <w:pStyle w:val="TOC2"/>
        <w:rPr>
          <w:rFonts w:asciiTheme="minorHAnsi" w:eastAsiaTheme="minorEastAsia" w:hAnsiTheme="minorHAnsi" w:cstheme="minorBidi"/>
          <w:noProof/>
          <w:color w:val="auto"/>
          <w:szCs w:val="22"/>
          <w:lang w:eastAsia="en-AU"/>
        </w:rPr>
      </w:pPr>
      <w:hyperlink w:anchor="_Toc128991503" w:history="1">
        <w:r w:rsidR="002F5FC4" w:rsidRPr="0041307C">
          <w:rPr>
            <w:rStyle w:val="Hyperlink"/>
            <w:noProof/>
          </w:rPr>
          <w:t>New vaccines</w:t>
        </w:r>
        <w:r w:rsidR="002F5FC4">
          <w:rPr>
            <w:noProof/>
            <w:webHidden/>
          </w:rPr>
          <w:tab/>
        </w:r>
        <w:r w:rsidR="002F5FC4">
          <w:rPr>
            <w:noProof/>
            <w:webHidden/>
          </w:rPr>
          <w:fldChar w:fldCharType="begin"/>
        </w:r>
        <w:r w:rsidR="002F5FC4">
          <w:rPr>
            <w:noProof/>
            <w:webHidden/>
          </w:rPr>
          <w:instrText xml:space="preserve"> PAGEREF _Toc128991503 \h </w:instrText>
        </w:r>
        <w:r w:rsidR="002F5FC4">
          <w:rPr>
            <w:noProof/>
            <w:webHidden/>
          </w:rPr>
        </w:r>
        <w:r w:rsidR="002F5FC4">
          <w:rPr>
            <w:noProof/>
            <w:webHidden/>
          </w:rPr>
          <w:fldChar w:fldCharType="separate"/>
        </w:r>
        <w:r w:rsidR="002F5FC4">
          <w:rPr>
            <w:noProof/>
            <w:webHidden/>
          </w:rPr>
          <w:t>13</w:t>
        </w:r>
        <w:r w:rsidR="002F5FC4">
          <w:rPr>
            <w:noProof/>
            <w:webHidden/>
          </w:rPr>
          <w:fldChar w:fldCharType="end"/>
        </w:r>
      </w:hyperlink>
    </w:p>
    <w:p w14:paraId="28E8559C" w14:textId="0903CE76" w:rsidR="002F5FC4" w:rsidRDefault="00F662CF">
      <w:pPr>
        <w:pStyle w:val="TOC2"/>
        <w:rPr>
          <w:rFonts w:asciiTheme="minorHAnsi" w:eastAsiaTheme="minorEastAsia" w:hAnsiTheme="minorHAnsi" w:cstheme="minorBidi"/>
          <w:noProof/>
          <w:color w:val="auto"/>
          <w:szCs w:val="22"/>
          <w:lang w:eastAsia="en-AU"/>
        </w:rPr>
      </w:pPr>
      <w:hyperlink w:anchor="_Toc128991504" w:history="1">
        <w:r w:rsidR="002F5FC4" w:rsidRPr="0041307C">
          <w:rPr>
            <w:rStyle w:val="Hyperlink"/>
            <w:noProof/>
          </w:rPr>
          <w:t>Vaccine safety</w:t>
        </w:r>
        <w:r w:rsidR="002F5FC4">
          <w:rPr>
            <w:noProof/>
            <w:webHidden/>
          </w:rPr>
          <w:tab/>
        </w:r>
        <w:r w:rsidR="002F5FC4">
          <w:rPr>
            <w:noProof/>
            <w:webHidden/>
          </w:rPr>
          <w:fldChar w:fldCharType="begin"/>
        </w:r>
        <w:r w:rsidR="002F5FC4">
          <w:rPr>
            <w:noProof/>
            <w:webHidden/>
          </w:rPr>
          <w:instrText xml:space="preserve"> PAGEREF _Toc128991504 \h </w:instrText>
        </w:r>
        <w:r w:rsidR="002F5FC4">
          <w:rPr>
            <w:noProof/>
            <w:webHidden/>
          </w:rPr>
        </w:r>
        <w:r w:rsidR="002F5FC4">
          <w:rPr>
            <w:noProof/>
            <w:webHidden/>
          </w:rPr>
          <w:fldChar w:fldCharType="separate"/>
        </w:r>
        <w:r w:rsidR="002F5FC4">
          <w:rPr>
            <w:noProof/>
            <w:webHidden/>
          </w:rPr>
          <w:t>13</w:t>
        </w:r>
        <w:r w:rsidR="002F5FC4">
          <w:rPr>
            <w:noProof/>
            <w:webHidden/>
          </w:rPr>
          <w:fldChar w:fldCharType="end"/>
        </w:r>
      </w:hyperlink>
    </w:p>
    <w:p w14:paraId="7429125E" w14:textId="7AFF08F8" w:rsidR="002F5FC4" w:rsidRDefault="00F662CF">
      <w:pPr>
        <w:pStyle w:val="TOC1"/>
        <w:rPr>
          <w:rFonts w:asciiTheme="minorHAnsi" w:eastAsiaTheme="minorEastAsia" w:hAnsiTheme="minorHAnsi" w:cstheme="minorBidi"/>
          <w:b w:val="0"/>
          <w:bCs w:val="0"/>
          <w:color w:val="auto"/>
          <w:szCs w:val="22"/>
          <w:lang w:eastAsia="en-AU"/>
        </w:rPr>
      </w:pPr>
      <w:hyperlink w:anchor="_Toc128991505" w:history="1">
        <w:r w:rsidR="002F5FC4" w:rsidRPr="0041307C">
          <w:rPr>
            <w:rStyle w:val="Hyperlink"/>
          </w:rPr>
          <w:t>Challenges and priorities for immunisation in Australia in 2023 and beyond</w:t>
        </w:r>
        <w:r w:rsidR="002F5FC4">
          <w:rPr>
            <w:webHidden/>
          </w:rPr>
          <w:tab/>
        </w:r>
        <w:r w:rsidR="002F5FC4">
          <w:rPr>
            <w:webHidden/>
          </w:rPr>
          <w:fldChar w:fldCharType="begin"/>
        </w:r>
        <w:r w:rsidR="002F5FC4">
          <w:rPr>
            <w:webHidden/>
          </w:rPr>
          <w:instrText xml:space="preserve"> PAGEREF _Toc128991505 \h </w:instrText>
        </w:r>
        <w:r w:rsidR="002F5FC4">
          <w:rPr>
            <w:webHidden/>
          </w:rPr>
        </w:r>
        <w:r w:rsidR="002F5FC4">
          <w:rPr>
            <w:webHidden/>
          </w:rPr>
          <w:fldChar w:fldCharType="separate"/>
        </w:r>
        <w:r w:rsidR="002F5FC4">
          <w:rPr>
            <w:webHidden/>
          </w:rPr>
          <w:t>15</w:t>
        </w:r>
        <w:r w:rsidR="002F5FC4">
          <w:rPr>
            <w:webHidden/>
          </w:rPr>
          <w:fldChar w:fldCharType="end"/>
        </w:r>
      </w:hyperlink>
    </w:p>
    <w:p w14:paraId="66B2920A" w14:textId="26DA33F0" w:rsidR="002F5FC4" w:rsidRDefault="00F662CF">
      <w:pPr>
        <w:pStyle w:val="TOC2"/>
        <w:rPr>
          <w:rFonts w:asciiTheme="minorHAnsi" w:eastAsiaTheme="minorEastAsia" w:hAnsiTheme="minorHAnsi" w:cstheme="minorBidi"/>
          <w:noProof/>
          <w:color w:val="auto"/>
          <w:szCs w:val="22"/>
          <w:lang w:eastAsia="en-AU"/>
        </w:rPr>
      </w:pPr>
      <w:hyperlink w:anchor="_Toc128991506" w:history="1">
        <w:r w:rsidR="002F5FC4" w:rsidRPr="0041307C">
          <w:rPr>
            <w:rStyle w:val="Hyperlink"/>
            <w:noProof/>
          </w:rPr>
          <w:t>Key challenges for prevention and control of vaccine-preventable diseases through immunisation</w:t>
        </w:r>
        <w:r w:rsidR="002F5FC4">
          <w:rPr>
            <w:noProof/>
            <w:webHidden/>
          </w:rPr>
          <w:tab/>
        </w:r>
        <w:r w:rsidR="002F5FC4">
          <w:rPr>
            <w:noProof/>
            <w:webHidden/>
          </w:rPr>
          <w:fldChar w:fldCharType="begin"/>
        </w:r>
        <w:r w:rsidR="002F5FC4">
          <w:rPr>
            <w:noProof/>
            <w:webHidden/>
          </w:rPr>
          <w:instrText xml:space="preserve"> PAGEREF _Toc128991506 \h </w:instrText>
        </w:r>
        <w:r w:rsidR="002F5FC4">
          <w:rPr>
            <w:noProof/>
            <w:webHidden/>
          </w:rPr>
        </w:r>
        <w:r w:rsidR="002F5FC4">
          <w:rPr>
            <w:noProof/>
            <w:webHidden/>
          </w:rPr>
          <w:fldChar w:fldCharType="separate"/>
        </w:r>
        <w:r w:rsidR="002F5FC4">
          <w:rPr>
            <w:noProof/>
            <w:webHidden/>
          </w:rPr>
          <w:t>15</w:t>
        </w:r>
        <w:r w:rsidR="002F5FC4">
          <w:rPr>
            <w:noProof/>
            <w:webHidden/>
          </w:rPr>
          <w:fldChar w:fldCharType="end"/>
        </w:r>
      </w:hyperlink>
    </w:p>
    <w:p w14:paraId="6B996711" w14:textId="0A8A9B45" w:rsidR="002F5FC4" w:rsidRDefault="00F662CF">
      <w:pPr>
        <w:pStyle w:val="TOC2"/>
        <w:rPr>
          <w:rFonts w:asciiTheme="minorHAnsi" w:eastAsiaTheme="minorEastAsia" w:hAnsiTheme="minorHAnsi" w:cstheme="minorBidi"/>
          <w:noProof/>
          <w:color w:val="auto"/>
          <w:szCs w:val="22"/>
          <w:lang w:eastAsia="en-AU"/>
        </w:rPr>
      </w:pPr>
      <w:hyperlink w:anchor="_Toc128991507" w:history="1">
        <w:r w:rsidR="002F5FC4" w:rsidRPr="0041307C">
          <w:rPr>
            <w:rStyle w:val="Hyperlink"/>
            <w:noProof/>
          </w:rPr>
          <w:t>ATAGI’s priority actions for 2023</w:t>
        </w:r>
        <w:r w:rsidR="002F5FC4">
          <w:rPr>
            <w:noProof/>
            <w:webHidden/>
          </w:rPr>
          <w:tab/>
        </w:r>
        <w:r w:rsidR="002F5FC4">
          <w:rPr>
            <w:noProof/>
            <w:webHidden/>
          </w:rPr>
          <w:fldChar w:fldCharType="begin"/>
        </w:r>
        <w:r w:rsidR="002F5FC4">
          <w:rPr>
            <w:noProof/>
            <w:webHidden/>
          </w:rPr>
          <w:instrText xml:space="preserve"> PAGEREF _Toc128991507 \h </w:instrText>
        </w:r>
        <w:r w:rsidR="002F5FC4">
          <w:rPr>
            <w:noProof/>
            <w:webHidden/>
          </w:rPr>
        </w:r>
        <w:r w:rsidR="002F5FC4">
          <w:rPr>
            <w:noProof/>
            <w:webHidden/>
          </w:rPr>
          <w:fldChar w:fldCharType="separate"/>
        </w:r>
        <w:r w:rsidR="002F5FC4">
          <w:rPr>
            <w:noProof/>
            <w:webHidden/>
          </w:rPr>
          <w:t>15</w:t>
        </w:r>
        <w:r w:rsidR="002F5FC4">
          <w:rPr>
            <w:noProof/>
            <w:webHidden/>
          </w:rPr>
          <w:fldChar w:fldCharType="end"/>
        </w:r>
      </w:hyperlink>
    </w:p>
    <w:p w14:paraId="4885DF08" w14:textId="7713E46B" w:rsidR="00926040" w:rsidRPr="009222B2" w:rsidRDefault="0070564E">
      <w:pPr>
        <w:spacing w:after="0"/>
      </w:pPr>
      <w:r w:rsidRPr="009222B2">
        <w:rPr>
          <w:b/>
          <w:bCs/>
        </w:rPr>
        <w:fldChar w:fldCharType="end"/>
      </w:r>
      <w:r w:rsidR="00926040" w:rsidRPr="009222B2">
        <w:br w:type="page"/>
      </w:r>
    </w:p>
    <w:p w14:paraId="3706456F" w14:textId="77777777" w:rsidR="004D5E2A" w:rsidRPr="009222B2" w:rsidRDefault="004D5E2A" w:rsidP="004D5E2A">
      <w:pPr>
        <w:pStyle w:val="Heading1"/>
      </w:pPr>
      <w:bookmarkStart w:id="1" w:name="_Toc72165377"/>
      <w:bookmarkStart w:id="2" w:name="_Toc128991495"/>
      <w:r w:rsidRPr="009222B2">
        <w:lastRenderedPageBreak/>
        <w:t>About ATAGI</w:t>
      </w:r>
      <w:bookmarkEnd w:id="1"/>
      <w:bookmarkEnd w:id="2"/>
    </w:p>
    <w:p w14:paraId="06A27C62" w14:textId="5862564A" w:rsidR="004D5E2A" w:rsidRPr="009222B2" w:rsidRDefault="004D5E2A" w:rsidP="004D5E2A">
      <w:r w:rsidRPr="009222B2">
        <w:t xml:space="preserve">The </w:t>
      </w:r>
      <w:hyperlink r:id="rId11" w:history="1">
        <w:r w:rsidRPr="009222B2">
          <w:rPr>
            <w:rStyle w:val="Hyperlink"/>
          </w:rPr>
          <w:t>Australian Technical Advisory Group on Immunisation (ATAGI)</w:t>
        </w:r>
      </w:hyperlink>
      <w:r w:rsidRPr="009222B2">
        <w:t xml:space="preserve"> advises the Minister for Health on the National Immunisation Program</w:t>
      </w:r>
      <w:r w:rsidR="008D3FD5" w:rsidRPr="009222B2">
        <w:t xml:space="preserve"> </w:t>
      </w:r>
      <w:r w:rsidR="003275FA" w:rsidRPr="009222B2">
        <w:t xml:space="preserve">(NIP) </w:t>
      </w:r>
      <w:r w:rsidRPr="009222B2">
        <w:t>and other immunisation issues.</w:t>
      </w:r>
    </w:p>
    <w:p w14:paraId="228A72E7" w14:textId="7D821438" w:rsidR="004D5E2A" w:rsidRPr="009222B2" w:rsidRDefault="004D5E2A" w:rsidP="004D5E2A">
      <w:r w:rsidRPr="009222B2">
        <w:t>ATAGI’s vision is to protect the Australian population from vaccine-preventable diseases</w:t>
      </w:r>
      <w:r w:rsidR="00371C6C" w:rsidRPr="009222B2">
        <w:t xml:space="preserve"> (VPDs)</w:t>
      </w:r>
      <w:r w:rsidRPr="009222B2">
        <w:t xml:space="preserve">. This is shown in </w:t>
      </w:r>
      <w:hyperlink r:id="rId12" w:history="1">
        <w:r w:rsidRPr="009222B2">
          <w:rPr>
            <w:rStyle w:val="Hyperlink"/>
          </w:rPr>
          <w:t>ATAGI’s strategic intent</w:t>
        </w:r>
      </w:hyperlink>
      <w:r w:rsidRPr="009222B2">
        <w:t>.</w:t>
      </w:r>
    </w:p>
    <w:p w14:paraId="3466BD58" w14:textId="54750BCD" w:rsidR="004D5E2A" w:rsidRPr="009222B2" w:rsidRDefault="004D5E2A" w:rsidP="004D5E2A">
      <w:pPr>
        <w:pStyle w:val="NormalBeforeBullet"/>
      </w:pPr>
      <w:r w:rsidRPr="009222B2">
        <w:t>ATAGI’s purpose is to provide evidence-based advice to the Minister for Health and other key policymakers on:</w:t>
      </w:r>
    </w:p>
    <w:p w14:paraId="647AA000" w14:textId="77777777" w:rsidR="004D5E2A" w:rsidRPr="009222B2" w:rsidRDefault="004D5E2A" w:rsidP="004D5E2A">
      <w:pPr>
        <w:pStyle w:val="Bullet"/>
      </w:pPr>
      <w:r w:rsidRPr="009222B2">
        <w:t>immunisation policies</w:t>
      </w:r>
    </w:p>
    <w:p w14:paraId="4F590155" w14:textId="295296B5" w:rsidR="004D5E2A" w:rsidRPr="009222B2" w:rsidRDefault="004D5E2A" w:rsidP="004D5E2A">
      <w:pPr>
        <w:pStyle w:val="Bullet"/>
      </w:pPr>
      <w:r w:rsidRPr="009222B2">
        <w:t>immunisation programs</w:t>
      </w:r>
    </w:p>
    <w:p w14:paraId="2494F1D9" w14:textId="606C726C" w:rsidR="004D5E2A" w:rsidRPr="009222B2" w:rsidRDefault="004D5E2A" w:rsidP="004D5E2A">
      <w:pPr>
        <w:pStyle w:val="BulletLast"/>
      </w:pPr>
      <w:r w:rsidRPr="009222B2">
        <w:t>future research priorities.</w:t>
      </w:r>
    </w:p>
    <w:p w14:paraId="010ECEC1" w14:textId="3B6E7CD1" w:rsidR="004D5E2A" w:rsidRPr="009222B2" w:rsidRDefault="004D5E2A" w:rsidP="004D5E2A">
      <w:pPr>
        <w:pStyle w:val="NormalBeforeBullet"/>
      </w:pPr>
      <w:r w:rsidRPr="009222B2">
        <w:t>This includes identifying and prioritising gaps in the immunisation landscape to improve:</w:t>
      </w:r>
    </w:p>
    <w:p w14:paraId="301E6914" w14:textId="77777777" w:rsidR="004D5E2A" w:rsidRPr="009222B2" w:rsidRDefault="004D5E2A" w:rsidP="004D5E2A">
      <w:pPr>
        <w:pStyle w:val="Bullet"/>
      </w:pPr>
      <w:r w:rsidRPr="009222B2">
        <w:t>the impact of immunisation programs</w:t>
      </w:r>
    </w:p>
    <w:p w14:paraId="19B1E921" w14:textId="513B73D1" w:rsidR="004D5E2A" w:rsidRPr="009222B2" w:rsidRDefault="004D5E2A" w:rsidP="004D5E2A">
      <w:pPr>
        <w:pStyle w:val="Bullet"/>
      </w:pPr>
      <w:r w:rsidRPr="009222B2">
        <w:t xml:space="preserve">confidence in immunisation programs, as well as </w:t>
      </w:r>
      <w:r w:rsidR="009F4F2C" w:rsidRPr="009222B2">
        <w:t xml:space="preserve">in </w:t>
      </w:r>
      <w:r w:rsidRPr="009222B2">
        <w:t>the vaccines used in the programs</w:t>
      </w:r>
    </w:p>
    <w:p w14:paraId="59495331" w14:textId="0D239E22" w:rsidR="004D5E2A" w:rsidRPr="009222B2" w:rsidRDefault="004D5E2A" w:rsidP="004D5E2A">
      <w:pPr>
        <w:pStyle w:val="BulletLast"/>
      </w:pPr>
      <w:r w:rsidRPr="009222B2">
        <w:t>equity in access to</w:t>
      </w:r>
      <w:r w:rsidR="00CC4AB0" w:rsidRPr="009222B2">
        <w:t>,</w:t>
      </w:r>
      <w:r w:rsidRPr="009222B2">
        <w:t xml:space="preserve"> and outcomes of</w:t>
      </w:r>
      <w:r w:rsidR="00CC4AB0" w:rsidRPr="009222B2">
        <w:t>,</w:t>
      </w:r>
      <w:r w:rsidRPr="009222B2">
        <w:t xml:space="preserve"> immunisation programs.</w:t>
      </w:r>
    </w:p>
    <w:p w14:paraId="4063B40A" w14:textId="4E44D0FA" w:rsidR="000456F1" w:rsidRPr="009222B2" w:rsidRDefault="00A17F89" w:rsidP="004D5E2A">
      <w:r w:rsidRPr="009222B2">
        <w:t xml:space="preserve">The </w:t>
      </w:r>
      <w:r w:rsidR="00C60A33" w:rsidRPr="009222B2">
        <w:t>National Centre for Immunisation Research and Surveillance (NCIRS) provide</w:t>
      </w:r>
      <w:r w:rsidR="005F565F" w:rsidRPr="009222B2">
        <w:t>s</w:t>
      </w:r>
      <w:r w:rsidR="00C60A33" w:rsidRPr="009222B2">
        <w:t xml:space="preserve"> technical support to ATAGI and the Australian Government Department of Health</w:t>
      </w:r>
      <w:r w:rsidRPr="009222B2">
        <w:t xml:space="preserve"> and Aged Care. ATAGI works with NCIRS to</w:t>
      </w:r>
      <w:r w:rsidR="004D5E2A" w:rsidRPr="009222B2">
        <w:t xml:space="preserve"> develop and publish the </w:t>
      </w:r>
      <w:hyperlink r:id="rId13" w:history="1">
        <w:r w:rsidR="004D5E2A" w:rsidRPr="009222B2">
          <w:rPr>
            <w:rStyle w:val="Hyperlink"/>
          </w:rPr>
          <w:t>Australian Immunisation Handbook</w:t>
        </w:r>
      </w:hyperlink>
      <w:r w:rsidR="004D5E2A" w:rsidRPr="009222B2">
        <w:t>.</w:t>
      </w:r>
    </w:p>
    <w:p w14:paraId="76E260E0" w14:textId="7873D88F" w:rsidR="0070564E" w:rsidRPr="009222B2" w:rsidRDefault="00A71072" w:rsidP="00290AF1">
      <w:pPr>
        <w:pStyle w:val="BoxText"/>
      </w:pPr>
      <w:r w:rsidRPr="009222B2">
        <w:t>The ATAGI 2023</w:t>
      </w:r>
      <w:r w:rsidR="00290AF1" w:rsidRPr="009222B2">
        <w:t xml:space="preserve"> Annual Statement on Immunisation is the </w:t>
      </w:r>
      <w:r w:rsidR="00495DE6" w:rsidRPr="009222B2">
        <w:t xml:space="preserve">third </w:t>
      </w:r>
      <w:r w:rsidR="00290AF1" w:rsidRPr="009222B2">
        <w:t>publication in this series. It highlights the key successes, trends and challenges in the use of vaccines and cont</w:t>
      </w:r>
      <w:r w:rsidRPr="009222B2">
        <w:t>rol of VPDs in Australia in 2022</w:t>
      </w:r>
      <w:r w:rsidR="00290AF1" w:rsidRPr="009222B2">
        <w:t>. It also signals ATAGI’s priority</w:t>
      </w:r>
      <w:r w:rsidR="00B3711E" w:rsidRPr="009222B2">
        <w:t xml:space="preserve"> advice on</w:t>
      </w:r>
      <w:r w:rsidR="00290AF1" w:rsidRPr="009222B2">
        <w:t xml:space="preserve"> actions </w:t>
      </w:r>
      <w:r w:rsidR="00A17F89" w:rsidRPr="009222B2">
        <w:t>to address</w:t>
      </w:r>
      <w:r w:rsidRPr="009222B2">
        <w:t xml:space="preserve"> key issues for 2023</w:t>
      </w:r>
      <w:r w:rsidR="00290AF1" w:rsidRPr="009222B2">
        <w:t xml:space="preserve"> and beyond.</w:t>
      </w:r>
    </w:p>
    <w:p w14:paraId="1121AF60" w14:textId="5451ABBF" w:rsidR="0070564E" w:rsidRPr="009222B2" w:rsidRDefault="0070564E" w:rsidP="004D5E2A"/>
    <w:p w14:paraId="5C36AF3A" w14:textId="77777777" w:rsidR="0070564E" w:rsidRPr="009222B2" w:rsidRDefault="0070564E" w:rsidP="004D5E2A"/>
    <w:p w14:paraId="76CF12A6" w14:textId="780EA2C1" w:rsidR="0070564E" w:rsidRPr="009222B2" w:rsidRDefault="0070564E" w:rsidP="0070564E">
      <w:pPr>
        <w:pStyle w:val="ImprintText"/>
        <w:rPr>
          <w:b/>
          <w:bCs/>
        </w:rPr>
      </w:pPr>
      <w:r w:rsidRPr="009222B2">
        <w:rPr>
          <w:b/>
          <w:bCs/>
        </w:rPr>
        <w:t>Copyright</w:t>
      </w:r>
    </w:p>
    <w:p w14:paraId="010B61E5" w14:textId="23EE1EDF" w:rsidR="0070564E" w:rsidRPr="009222B2" w:rsidRDefault="00A71072" w:rsidP="0070564E">
      <w:pPr>
        <w:pStyle w:val="ImprintText"/>
        <w:rPr>
          <w:rFonts w:cs="Adelle Sans"/>
        </w:rPr>
      </w:pPr>
      <w:r w:rsidRPr="009222B2">
        <w:rPr>
          <w:rFonts w:cs="Adelle Sans"/>
        </w:rPr>
        <w:t>© 2023</w:t>
      </w:r>
      <w:r w:rsidR="0070564E" w:rsidRPr="009222B2">
        <w:rPr>
          <w:rFonts w:cs="Adelle Sans"/>
        </w:rPr>
        <w:t xml:space="preserve"> Commonwealth of Australia as represented by the Department of Health</w:t>
      </w:r>
      <w:r w:rsidR="00217C2C" w:rsidRPr="009222B2">
        <w:rPr>
          <w:rFonts w:cs="Adelle Sans"/>
        </w:rPr>
        <w:t xml:space="preserve"> and Aged Care</w:t>
      </w:r>
    </w:p>
    <w:p w14:paraId="2CB73DC6" w14:textId="6B03F230" w:rsidR="0070564E" w:rsidRPr="009222B2" w:rsidRDefault="0070564E" w:rsidP="000F2B25">
      <w:pPr>
        <w:pStyle w:val="NormalBeforeBullet"/>
        <w:rPr>
          <w:sz w:val="20"/>
          <w:szCs w:val="18"/>
        </w:rPr>
      </w:pPr>
      <w:r w:rsidRPr="009222B2">
        <w:rPr>
          <w:sz w:val="20"/>
          <w:szCs w:val="18"/>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CC99586" w14:textId="2224F1DB" w:rsidR="0070564E" w:rsidRPr="009222B2" w:rsidRDefault="0070564E" w:rsidP="000F2B25">
      <w:pPr>
        <w:pStyle w:val="Bullet"/>
        <w:rPr>
          <w:sz w:val="20"/>
          <w:szCs w:val="18"/>
        </w:rPr>
      </w:pPr>
      <w:r w:rsidRPr="009222B2">
        <w:rPr>
          <w:sz w:val="20"/>
          <w:szCs w:val="18"/>
        </w:rPr>
        <w:t>do not use the copy or reproduction for any commercial purpose; and</w:t>
      </w:r>
    </w:p>
    <w:p w14:paraId="5B390D8B" w14:textId="71869C7C" w:rsidR="0070564E" w:rsidRPr="009222B2" w:rsidRDefault="0070564E" w:rsidP="000F2B25">
      <w:pPr>
        <w:pStyle w:val="BulletLast"/>
        <w:rPr>
          <w:sz w:val="20"/>
          <w:szCs w:val="18"/>
        </w:rPr>
      </w:pPr>
      <w:r w:rsidRPr="009222B2">
        <w:rPr>
          <w:sz w:val="20"/>
          <w:szCs w:val="18"/>
        </w:rPr>
        <w:t>retain this copyright notice and all disclaimer notices as part of that copy or reproduction.</w:t>
      </w:r>
    </w:p>
    <w:p w14:paraId="36C97755" w14:textId="186B1E1A" w:rsidR="0070564E" w:rsidRPr="009222B2" w:rsidRDefault="0070564E" w:rsidP="0070564E">
      <w:pPr>
        <w:pStyle w:val="ImprintText"/>
        <w:rPr>
          <w:rFonts w:cs="Adelle Sans"/>
        </w:rPr>
      </w:pPr>
      <w:r w:rsidRPr="009222B2">
        <w:rPr>
          <w:rFonts w:cs="Adelle Sans"/>
        </w:rPr>
        <w:t xml:space="preserve">Apart from rights as permitted by the </w:t>
      </w:r>
      <w:r w:rsidRPr="009222B2">
        <w:rPr>
          <w:rStyle w:val="Emphasis"/>
        </w:rPr>
        <w:t>Copyright Act 1968</w:t>
      </w:r>
      <w:r w:rsidRPr="009222B2">
        <w:rPr>
          <w:rFonts w:cs="Adelle Sans"/>
          <w:i/>
          <w:iCs/>
        </w:rPr>
        <w:t xml:space="preserve"> </w:t>
      </w:r>
      <w:r w:rsidRPr="009222B2">
        <w:rPr>
          <w:rFonts w:cs="Adelle Sans"/>
        </w:rPr>
        <w:t>(</w:t>
      </w:r>
      <w:proofErr w:type="spellStart"/>
      <w:r w:rsidRPr="009222B2">
        <w:rPr>
          <w:rFonts w:cs="Adelle Sans"/>
        </w:rPr>
        <w:t>Cth</w:t>
      </w:r>
      <w:proofErr w:type="spellEnd"/>
      <w:r w:rsidRPr="009222B2">
        <w:rPr>
          <w:rFonts w:cs="Adelle Sans"/>
        </w:rPr>
        <w:t>) or allowed by this copyright notice, all other rights are reserved, including (but not limited to) all commercial rights.</w:t>
      </w:r>
    </w:p>
    <w:p w14:paraId="0B1997A3" w14:textId="1728F143" w:rsidR="004D5E2A" w:rsidRPr="009222B2" w:rsidRDefault="0070564E" w:rsidP="00E930E7">
      <w:pPr>
        <w:pStyle w:val="ImprintText"/>
      </w:pPr>
      <w:r w:rsidRPr="009222B2">
        <w:rPr>
          <w:rFonts w:cs="Adelle Sans"/>
        </w:rPr>
        <w:t>Requests and inquiries concerning reproduction and other rights to use are to be sent to the Communication Branch, Department of Health</w:t>
      </w:r>
      <w:r w:rsidR="00EA63D1" w:rsidRPr="009222B2">
        <w:rPr>
          <w:rFonts w:cs="Adelle Sans"/>
        </w:rPr>
        <w:t xml:space="preserve"> and Aged Care</w:t>
      </w:r>
      <w:r w:rsidRPr="009222B2">
        <w:rPr>
          <w:rFonts w:cs="Adelle Sans"/>
        </w:rPr>
        <w:t>, GPO</w:t>
      </w:r>
      <w:r w:rsidR="009F4F2C" w:rsidRPr="009222B2">
        <w:rPr>
          <w:rFonts w:cs="Adelle Sans"/>
        </w:rPr>
        <w:t> </w:t>
      </w:r>
      <w:r w:rsidRPr="009222B2">
        <w:rPr>
          <w:rFonts w:cs="Adelle Sans"/>
        </w:rPr>
        <w:t>Box</w:t>
      </w:r>
      <w:r w:rsidR="009F4F2C" w:rsidRPr="009222B2">
        <w:rPr>
          <w:rFonts w:cs="Adelle Sans"/>
        </w:rPr>
        <w:t> </w:t>
      </w:r>
      <w:r w:rsidRPr="009222B2">
        <w:rPr>
          <w:rFonts w:cs="Adelle Sans"/>
        </w:rPr>
        <w:t>9848, Canberra ACT</w:t>
      </w:r>
      <w:r w:rsidR="009F4F2C" w:rsidRPr="009222B2">
        <w:rPr>
          <w:rFonts w:cs="Adelle Sans"/>
        </w:rPr>
        <w:t> </w:t>
      </w:r>
      <w:r w:rsidRPr="009222B2">
        <w:rPr>
          <w:rFonts w:cs="Adelle Sans"/>
        </w:rPr>
        <w:t xml:space="preserve">2601, or via email to </w:t>
      </w:r>
      <w:hyperlink r:id="rId14" w:history="1">
        <w:r w:rsidR="00B3711E" w:rsidRPr="009222B2">
          <w:rPr>
            <w:rStyle w:val="Hyperlink"/>
            <w:rFonts w:cs="Adelle Sans"/>
          </w:rPr>
          <w:t>copyright@health.gov.au</w:t>
        </w:r>
      </w:hyperlink>
      <w:r w:rsidR="008B4F94" w:rsidRPr="009222B2">
        <w:rPr>
          <w:rFonts w:cs="Adelle Sans"/>
        </w:rPr>
        <w:t>.</w:t>
      </w:r>
    </w:p>
    <w:p w14:paraId="2C57E93C" w14:textId="220C9636" w:rsidR="00926040" w:rsidRPr="009222B2" w:rsidRDefault="00926040" w:rsidP="00926040">
      <w:pPr>
        <w:pStyle w:val="Heading1"/>
      </w:pPr>
      <w:bookmarkStart w:id="3" w:name="_Toc72165378"/>
      <w:bookmarkStart w:id="4" w:name="_Toc128991496"/>
      <w:r w:rsidRPr="009222B2">
        <w:lastRenderedPageBreak/>
        <w:t>Summary</w:t>
      </w:r>
      <w:bookmarkEnd w:id="3"/>
      <w:bookmarkEnd w:id="4"/>
    </w:p>
    <w:p w14:paraId="1CB2BF7B" w14:textId="64BE31A1" w:rsidR="009250DA" w:rsidRPr="009222B2" w:rsidRDefault="00A71072" w:rsidP="00926040">
      <w:r w:rsidRPr="009222B2">
        <w:t>In 2022</w:t>
      </w:r>
      <w:r w:rsidR="00290AF1" w:rsidRPr="009222B2">
        <w:t>,</w:t>
      </w:r>
      <w:r w:rsidR="00F06CE2" w:rsidRPr="009222B2">
        <w:t xml:space="preserve"> governments across Australia eased</w:t>
      </w:r>
      <w:r w:rsidR="00290AF1" w:rsidRPr="009222B2">
        <w:t xml:space="preserve"> </w:t>
      </w:r>
      <w:r w:rsidR="00C745B8" w:rsidRPr="009222B2">
        <w:t xml:space="preserve">COVID-19 </w:t>
      </w:r>
      <w:r w:rsidR="00B3711E" w:rsidRPr="009222B2">
        <w:t xml:space="preserve">pandemic-related </w:t>
      </w:r>
      <w:r w:rsidR="009F4413" w:rsidRPr="009222B2">
        <w:t>community</w:t>
      </w:r>
      <w:r w:rsidR="00C745B8" w:rsidRPr="009222B2">
        <w:t xml:space="preserve"> </w:t>
      </w:r>
      <w:r w:rsidR="009F4413" w:rsidRPr="009222B2">
        <w:t xml:space="preserve">and border control </w:t>
      </w:r>
      <w:r w:rsidR="00C745B8" w:rsidRPr="009222B2">
        <w:t>measures</w:t>
      </w:r>
      <w:r w:rsidR="00F06CE2" w:rsidRPr="009222B2">
        <w:t>.</w:t>
      </w:r>
      <w:r w:rsidR="00C745B8" w:rsidRPr="009222B2">
        <w:t xml:space="preserve"> </w:t>
      </w:r>
      <w:r w:rsidR="00F06CE2" w:rsidRPr="009222B2">
        <w:t xml:space="preserve">This </w:t>
      </w:r>
      <w:r w:rsidR="00B3711E" w:rsidRPr="009222B2">
        <w:t>was associated with</w:t>
      </w:r>
      <w:r w:rsidR="00F06CE2" w:rsidRPr="009222B2">
        <w:t xml:space="preserve"> </w:t>
      </w:r>
      <w:r w:rsidR="009F4413" w:rsidRPr="009222B2">
        <w:t>increased</w:t>
      </w:r>
      <w:r w:rsidR="00C745B8" w:rsidRPr="009222B2">
        <w:t xml:space="preserve"> rates of </w:t>
      </w:r>
      <w:r w:rsidR="009579F4" w:rsidRPr="009222B2">
        <w:t>some</w:t>
      </w:r>
      <w:r w:rsidR="00C745B8" w:rsidRPr="009222B2">
        <w:t xml:space="preserve"> </w:t>
      </w:r>
      <w:r w:rsidR="009F4413" w:rsidRPr="009222B2">
        <w:t xml:space="preserve">common </w:t>
      </w:r>
      <w:r w:rsidR="00C745B8" w:rsidRPr="009222B2">
        <w:t>vaccine</w:t>
      </w:r>
      <w:r w:rsidR="00B837E1" w:rsidRPr="009222B2">
        <w:t>-</w:t>
      </w:r>
      <w:r w:rsidR="00C745B8" w:rsidRPr="009222B2">
        <w:t>preventable diseases (VPDs</w:t>
      </w:r>
      <w:r w:rsidR="009F4413" w:rsidRPr="009222B2">
        <w:t>)</w:t>
      </w:r>
      <w:r w:rsidR="00F915FD" w:rsidRPr="009222B2">
        <w:t>,</w:t>
      </w:r>
      <w:r w:rsidR="00F06CE2" w:rsidRPr="009222B2">
        <w:t xml:space="preserve"> </w:t>
      </w:r>
      <w:r w:rsidR="001531C9" w:rsidRPr="009222B2">
        <w:t xml:space="preserve">in particular influenza, </w:t>
      </w:r>
      <w:r w:rsidR="00F06CE2" w:rsidRPr="009222B2">
        <w:t xml:space="preserve">as </w:t>
      </w:r>
      <w:r w:rsidR="00DF4603" w:rsidRPr="009222B2">
        <w:t>social interactions increased</w:t>
      </w:r>
      <w:r w:rsidR="00C745B8" w:rsidRPr="009222B2">
        <w:t xml:space="preserve">. </w:t>
      </w:r>
      <w:r w:rsidR="00F06CE2" w:rsidRPr="009222B2">
        <w:t>T</w:t>
      </w:r>
      <w:r w:rsidR="009F4413" w:rsidRPr="009222B2">
        <w:t xml:space="preserve">here were </w:t>
      </w:r>
      <w:r w:rsidR="00F06CE2" w:rsidRPr="009222B2">
        <w:t xml:space="preserve">also </w:t>
      </w:r>
      <w:r w:rsidR="009F4413" w:rsidRPr="009222B2">
        <w:t xml:space="preserve">significant outbreaks of </w:t>
      </w:r>
      <w:r w:rsidR="00F915FD" w:rsidRPr="009222B2">
        <w:t xml:space="preserve">2 </w:t>
      </w:r>
      <w:r w:rsidR="00A17F89" w:rsidRPr="009222B2">
        <w:t>newly emerged</w:t>
      </w:r>
      <w:r w:rsidR="009F4413" w:rsidRPr="009222B2">
        <w:t xml:space="preserve"> diseases, </w:t>
      </w:r>
      <w:r w:rsidR="00C745B8" w:rsidRPr="009222B2">
        <w:t xml:space="preserve">Japanese </w:t>
      </w:r>
      <w:r w:rsidR="009F4413" w:rsidRPr="009222B2">
        <w:t>e</w:t>
      </w:r>
      <w:r w:rsidR="00C745B8" w:rsidRPr="009222B2">
        <w:t>ncephalitis (JE) and</w:t>
      </w:r>
      <w:r w:rsidR="009F4413" w:rsidRPr="009222B2">
        <w:t xml:space="preserve"> </w:t>
      </w:r>
      <w:r w:rsidR="00AD5E87" w:rsidRPr="009222B2">
        <w:t>m</w:t>
      </w:r>
      <w:r w:rsidR="009F4413" w:rsidRPr="009222B2">
        <w:t>pox</w:t>
      </w:r>
      <w:r w:rsidR="00C745B8" w:rsidRPr="009222B2">
        <w:t xml:space="preserve"> (</w:t>
      </w:r>
      <w:r w:rsidR="00585266" w:rsidRPr="009222B2">
        <w:t>formerly known as monkeypox</w:t>
      </w:r>
      <w:r w:rsidR="00C745B8" w:rsidRPr="009222B2">
        <w:t>)</w:t>
      </w:r>
      <w:r w:rsidR="00F06CE2" w:rsidRPr="009222B2">
        <w:t xml:space="preserve">. </w:t>
      </w:r>
      <w:r w:rsidR="008A13CA" w:rsidRPr="009222B2">
        <w:t xml:space="preserve">The </w:t>
      </w:r>
      <w:r w:rsidR="00F06CE2" w:rsidRPr="009222B2">
        <w:t>respon</w:t>
      </w:r>
      <w:r w:rsidR="008A13CA" w:rsidRPr="009222B2">
        <w:t>se</w:t>
      </w:r>
      <w:r w:rsidR="0079515E" w:rsidRPr="009222B2">
        <w:t>s</w:t>
      </w:r>
      <w:r w:rsidR="00F06CE2" w:rsidRPr="009222B2">
        <w:t xml:space="preserve"> </w:t>
      </w:r>
      <w:r w:rsidR="00AE5FD1" w:rsidRPr="009222B2">
        <w:t>to these new Communicable Disease Incident</w:t>
      </w:r>
      <w:r w:rsidR="005F565F" w:rsidRPr="009222B2">
        <w:t>s</w:t>
      </w:r>
      <w:r w:rsidR="00AE5FD1" w:rsidRPr="009222B2">
        <w:t xml:space="preserve"> of National Significance (CDIN</w:t>
      </w:r>
      <w:r w:rsidR="005F565F" w:rsidRPr="009222B2">
        <w:t>S</w:t>
      </w:r>
      <w:r w:rsidR="00AE5FD1" w:rsidRPr="009222B2">
        <w:t>) included establishing</w:t>
      </w:r>
      <w:r w:rsidR="00F915FD" w:rsidRPr="009222B2">
        <w:t xml:space="preserve"> </w:t>
      </w:r>
      <w:r w:rsidR="009F4413" w:rsidRPr="009222B2">
        <w:t>vaccination programs</w:t>
      </w:r>
      <w:r w:rsidR="00F06CE2" w:rsidRPr="009222B2">
        <w:t xml:space="preserve"> against these diseases</w:t>
      </w:r>
      <w:r w:rsidR="009F4413" w:rsidRPr="009222B2">
        <w:t>.</w:t>
      </w:r>
    </w:p>
    <w:p w14:paraId="1CD66D4F" w14:textId="459222E9" w:rsidR="00D405A8" w:rsidRPr="009222B2" w:rsidRDefault="00D405A8" w:rsidP="00D405A8">
      <w:pPr>
        <w:pStyle w:val="Heading2"/>
      </w:pPr>
      <w:bookmarkStart w:id="5" w:name="_Toc72165379"/>
      <w:bookmarkStart w:id="6" w:name="_Toc128991497"/>
      <w:r w:rsidRPr="009222B2">
        <w:t xml:space="preserve">Key </w:t>
      </w:r>
      <w:r w:rsidR="00CC28D8" w:rsidRPr="009222B2">
        <w:t xml:space="preserve">highlights </w:t>
      </w:r>
      <w:r w:rsidRPr="009222B2">
        <w:t>in immunisation in 202</w:t>
      </w:r>
      <w:bookmarkEnd w:id="5"/>
      <w:r w:rsidR="00A71072" w:rsidRPr="009222B2">
        <w:t>2</w:t>
      </w:r>
      <w:bookmarkEnd w:id="6"/>
    </w:p>
    <w:p w14:paraId="2688F0A2" w14:textId="0E381B71" w:rsidR="00856783" w:rsidRPr="009222B2" w:rsidRDefault="00856783" w:rsidP="008D64BA">
      <w:pPr>
        <w:pStyle w:val="Bullet"/>
      </w:pPr>
      <w:r w:rsidRPr="009222B2">
        <w:t xml:space="preserve">The </w:t>
      </w:r>
      <w:r w:rsidR="008D64BA" w:rsidRPr="009222B2">
        <w:t xml:space="preserve">national </w:t>
      </w:r>
      <w:r w:rsidRPr="009222B2">
        <w:t>COVID-19 vaccination program continued throughout 2022</w:t>
      </w:r>
      <w:r w:rsidR="004A0813" w:rsidRPr="009222B2">
        <w:t xml:space="preserve">, including expanding vaccine eligibility to </w:t>
      </w:r>
      <w:r w:rsidR="00A17F89" w:rsidRPr="009222B2">
        <w:t xml:space="preserve">all children aged </w:t>
      </w:r>
      <w:r w:rsidR="003C6450" w:rsidRPr="009222B2">
        <w:t>5 </w:t>
      </w:r>
      <w:r w:rsidR="00A17F89" w:rsidRPr="009222B2">
        <w:t xml:space="preserve">years and over, and </w:t>
      </w:r>
      <w:r w:rsidR="00EF53B5" w:rsidRPr="009222B2">
        <w:t xml:space="preserve">some </w:t>
      </w:r>
      <w:r w:rsidR="00A17F89" w:rsidRPr="009222B2">
        <w:t>at-risk children aged 6 months to under 5</w:t>
      </w:r>
      <w:r w:rsidR="003C6450" w:rsidRPr="009222B2">
        <w:t> </w:t>
      </w:r>
      <w:r w:rsidR="00A17F89" w:rsidRPr="009222B2">
        <w:t>years. N</w:t>
      </w:r>
      <w:r w:rsidR="008D64BA" w:rsidRPr="009222B2">
        <w:t>ew variant-based COVID-19 vaccines</w:t>
      </w:r>
      <w:r w:rsidR="00A17F89" w:rsidRPr="009222B2">
        <w:t xml:space="preserve"> also came into use</w:t>
      </w:r>
      <w:r w:rsidRPr="009222B2">
        <w:t>.</w:t>
      </w:r>
    </w:p>
    <w:p w14:paraId="75CA4407" w14:textId="5F99BC9E" w:rsidR="008A7221" w:rsidRPr="009222B2" w:rsidRDefault="00F915FD" w:rsidP="008D64BA">
      <w:pPr>
        <w:pStyle w:val="Bullet"/>
      </w:pPr>
      <w:r w:rsidRPr="009222B2">
        <w:t xml:space="preserve">ATAGI recommended </w:t>
      </w:r>
      <w:r w:rsidR="009F4413" w:rsidRPr="009222B2">
        <w:t xml:space="preserve">booster </w:t>
      </w:r>
      <w:r w:rsidR="008A7221" w:rsidRPr="009222B2">
        <w:t xml:space="preserve">doses of COVID-19 vaccines </w:t>
      </w:r>
      <w:r w:rsidR="00B837E1" w:rsidRPr="009222B2">
        <w:t>for</w:t>
      </w:r>
      <w:r w:rsidR="008A7221" w:rsidRPr="009222B2">
        <w:t xml:space="preserve"> adults and adolescents in response to emerging evidence on COVID-19 vaccine effectiveness</w:t>
      </w:r>
      <w:r w:rsidR="008D64BA" w:rsidRPr="009222B2">
        <w:t xml:space="preserve"> and new variant epidemic waves</w:t>
      </w:r>
      <w:r w:rsidR="008A7221" w:rsidRPr="009222B2">
        <w:t xml:space="preserve">. </w:t>
      </w:r>
      <w:r w:rsidR="0068000F" w:rsidRPr="009222B2">
        <w:t xml:space="preserve">By the end of 2022, </w:t>
      </w:r>
      <w:r w:rsidR="006E0CB8" w:rsidRPr="009222B2">
        <w:t>69</w:t>
      </w:r>
      <w:r w:rsidR="008A7221" w:rsidRPr="009222B2">
        <w:t>% of people aged 16</w:t>
      </w:r>
      <w:r w:rsidR="003C6450" w:rsidRPr="009222B2">
        <w:t> </w:t>
      </w:r>
      <w:r w:rsidR="008A7221" w:rsidRPr="009222B2">
        <w:t xml:space="preserve">years and over </w:t>
      </w:r>
      <w:r w:rsidR="00160078" w:rsidRPr="009222B2">
        <w:t xml:space="preserve">had </w:t>
      </w:r>
      <w:r w:rsidR="008A7221" w:rsidRPr="009222B2">
        <w:t xml:space="preserve">received </w:t>
      </w:r>
      <w:r w:rsidR="004A0813" w:rsidRPr="009222B2">
        <w:t>3</w:t>
      </w:r>
      <w:r w:rsidR="003C6450" w:rsidRPr="009222B2">
        <w:t> </w:t>
      </w:r>
      <w:r w:rsidR="008A7221" w:rsidRPr="009222B2">
        <w:t>doses of a COVID-19 vaccine</w:t>
      </w:r>
      <w:r w:rsidR="00DF4603" w:rsidRPr="009222B2">
        <w:t xml:space="preserve">. </w:t>
      </w:r>
      <w:r w:rsidR="00482E16" w:rsidRPr="009222B2">
        <w:t xml:space="preserve">A first booster dose </w:t>
      </w:r>
      <w:r w:rsidR="008D64BA" w:rsidRPr="009222B2">
        <w:t>was</w:t>
      </w:r>
      <w:r w:rsidR="00482E16" w:rsidRPr="009222B2">
        <w:t xml:space="preserve"> recommended for all people aged 16</w:t>
      </w:r>
      <w:r w:rsidR="003C6450" w:rsidRPr="009222B2">
        <w:t> </w:t>
      </w:r>
      <w:r w:rsidR="00482E16" w:rsidRPr="009222B2">
        <w:t>years and over.</w:t>
      </w:r>
    </w:p>
    <w:p w14:paraId="7EC97DB6" w14:textId="2F66199D" w:rsidR="00813504" w:rsidRPr="009222B2" w:rsidRDefault="00813504" w:rsidP="00EF1163">
      <w:pPr>
        <w:pStyle w:val="Bullet"/>
      </w:pPr>
      <w:r w:rsidRPr="009222B2">
        <w:t>ATAGI</w:t>
      </w:r>
      <w:r w:rsidR="009F4413" w:rsidRPr="009222B2">
        <w:t xml:space="preserve"> worked alongside other key national, state and territory governing bodies to </w:t>
      </w:r>
      <w:r w:rsidRPr="009222B2">
        <w:t>respond</w:t>
      </w:r>
      <w:r w:rsidR="009F4413" w:rsidRPr="009222B2">
        <w:t xml:space="preserve"> </w:t>
      </w:r>
      <w:r w:rsidRPr="009222B2">
        <w:t xml:space="preserve">to outbreaks of influenza, JE and </w:t>
      </w:r>
      <w:r w:rsidR="007111C4" w:rsidRPr="009222B2">
        <w:t>m</w:t>
      </w:r>
      <w:r w:rsidR="00585266" w:rsidRPr="009222B2">
        <w:t>pox</w:t>
      </w:r>
      <w:r w:rsidR="003431BE" w:rsidRPr="009222B2">
        <w:t>.</w:t>
      </w:r>
      <w:r w:rsidR="004A0813" w:rsidRPr="009222B2">
        <w:t xml:space="preserve"> </w:t>
      </w:r>
      <w:r w:rsidRPr="009222B2">
        <w:t xml:space="preserve">ATAGI </w:t>
      </w:r>
      <w:r w:rsidR="00612A51" w:rsidRPr="009222B2">
        <w:t>developed</w:t>
      </w:r>
      <w:r w:rsidRPr="009222B2">
        <w:t xml:space="preserve"> and exp</w:t>
      </w:r>
      <w:r w:rsidR="00D35600" w:rsidRPr="009222B2">
        <w:t>a</w:t>
      </w:r>
      <w:r w:rsidRPr="009222B2">
        <w:t>nded vaccine recommendations for</w:t>
      </w:r>
      <w:r w:rsidR="009F4413" w:rsidRPr="009222B2">
        <w:t xml:space="preserve"> </w:t>
      </w:r>
      <w:r w:rsidRPr="009222B2">
        <w:t xml:space="preserve">JE and </w:t>
      </w:r>
      <w:r w:rsidR="007111C4" w:rsidRPr="009222B2">
        <w:t>m</w:t>
      </w:r>
      <w:r w:rsidR="00585266" w:rsidRPr="009222B2">
        <w:t>pox</w:t>
      </w:r>
      <w:r w:rsidR="004A0813" w:rsidRPr="009222B2">
        <w:t>, and governments delivered these s</w:t>
      </w:r>
      <w:r w:rsidRPr="009222B2">
        <w:t>afe and effective vaccines across Australia.</w:t>
      </w:r>
    </w:p>
    <w:p w14:paraId="7E55EE86" w14:textId="7AF163D0" w:rsidR="00382283" w:rsidRPr="009222B2" w:rsidRDefault="009F4413" w:rsidP="00BA03D1">
      <w:pPr>
        <w:pStyle w:val="BulletLast"/>
      </w:pPr>
      <w:r w:rsidRPr="009222B2">
        <w:t>The National Immunisation Program (NIP) maintained high levels of coverage</w:t>
      </w:r>
      <w:r w:rsidR="00B837E1" w:rsidRPr="009222B2">
        <w:t>, which is important to ensure continued protection against VPDs as COVID-19 restrictions are lifted</w:t>
      </w:r>
      <w:r w:rsidR="00320B6A" w:rsidRPr="009222B2">
        <w:t>.</w:t>
      </w:r>
    </w:p>
    <w:p w14:paraId="06896DC5" w14:textId="39C278C2" w:rsidR="002D5194" w:rsidRPr="009222B2" w:rsidRDefault="002D5194" w:rsidP="002D5194">
      <w:pPr>
        <w:pStyle w:val="BulletLast"/>
      </w:pPr>
      <w:r w:rsidRPr="009222B2">
        <w:t xml:space="preserve">ATAGI provided advice to the </w:t>
      </w:r>
      <w:r w:rsidR="00323382">
        <w:t xml:space="preserve">Australian </w:t>
      </w:r>
      <w:r w:rsidRPr="009222B2">
        <w:t>Government on the potential effectiveness and safety of moving from a 2-dose to a 1</w:t>
      </w:r>
      <w:r w:rsidR="001E5B32" w:rsidRPr="009222B2">
        <w:t>-</w:t>
      </w:r>
      <w:r w:rsidRPr="009222B2">
        <w:t>dose human papillomavirus (HPV) vaccine schedule under the NIP</w:t>
      </w:r>
      <w:r w:rsidR="00EF53B5" w:rsidRPr="009222B2">
        <w:t>. T</w:t>
      </w:r>
      <w:r w:rsidRPr="009222B2">
        <w:t xml:space="preserve">his underpinned changes to the program </w:t>
      </w:r>
      <w:r w:rsidR="00EF53B5" w:rsidRPr="009222B2">
        <w:t xml:space="preserve">that started in </w:t>
      </w:r>
      <w:r w:rsidRPr="009222B2">
        <w:t>February 2023.</w:t>
      </w:r>
    </w:p>
    <w:p w14:paraId="423A5126" w14:textId="0F834199" w:rsidR="00EF1163" w:rsidRPr="009222B2" w:rsidRDefault="00EF1163" w:rsidP="002D5194">
      <w:pPr>
        <w:pStyle w:val="BulletLast"/>
      </w:pPr>
      <w:r w:rsidRPr="009222B2">
        <w:t xml:space="preserve">ATAGI </w:t>
      </w:r>
      <w:r w:rsidR="00EF53B5" w:rsidRPr="009222B2">
        <w:t xml:space="preserve">began </w:t>
      </w:r>
      <w:r w:rsidRPr="009222B2">
        <w:t>work on recommendations for several other vaccines</w:t>
      </w:r>
      <w:r w:rsidR="005F565F" w:rsidRPr="009222B2">
        <w:t xml:space="preserve">, </w:t>
      </w:r>
      <w:r w:rsidRPr="009222B2">
        <w:t>including pneumococcal</w:t>
      </w:r>
      <w:r w:rsidR="00AB4196" w:rsidRPr="009222B2">
        <w:t xml:space="preserve"> and </w:t>
      </w:r>
      <w:r w:rsidRPr="009222B2">
        <w:t>zoster</w:t>
      </w:r>
      <w:r w:rsidR="005F565F" w:rsidRPr="009222B2">
        <w:t>.</w:t>
      </w:r>
    </w:p>
    <w:p w14:paraId="43FCB512" w14:textId="198F2338" w:rsidR="0007070D" w:rsidRPr="009222B2" w:rsidRDefault="0007070D" w:rsidP="0007070D">
      <w:pPr>
        <w:pStyle w:val="Heading2"/>
      </w:pPr>
      <w:bookmarkStart w:id="7" w:name="_Toc128991498"/>
      <w:r w:rsidRPr="009222B2">
        <w:t>Key challenges</w:t>
      </w:r>
      <w:r w:rsidR="00DF2C32" w:rsidRPr="009222B2">
        <w:t>,</w:t>
      </w:r>
      <w:r w:rsidRPr="009222B2">
        <w:t xml:space="preserve"> priorities </w:t>
      </w:r>
      <w:r w:rsidR="00DF2C32" w:rsidRPr="009222B2">
        <w:t xml:space="preserve">and strategies </w:t>
      </w:r>
      <w:r w:rsidR="002D5194" w:rsidRPr="009222B2">
        <w:t>in the</w:t>
      </w:r>
      <w:r w:rsidRPr="009222B2">
        <w:t xml:space="preserve"> immunisation</w:t>
      </w:r>
      <w:r w:rsidR="002D5194" w:rsidRPr="009222B2">
        <w:t xml:space="preserve"> landscape</w:t>
      </w:r>
      <w:r w:rsidRPr="009222B2">
        <w:t xml:space="preserve"> in Australia in 2023 and beyond</w:t>
      </w:r>
      <w:bookmarkEnd w:id="7"/>
    </w:p>
    <w:p w14:paraId="2E43FEE9" w14:textId="1F2FE6B2" w:rsidR="009F4413" w:rsidRPr="009222B2" w:rsidRDefault="009F4413" w:rsidP="00061435">
      <w:pPr>
        <w:pStyle w:val="Bullet"/>
      </w:pPr>
      <w:r w:rsidRPr="009222B2">
        <w:t>Responding to</w:t>
      </w:r>
      <w:r w:rsidR="00342154" w:rsidRPr="009222B2">
        <w:t xml:space="preserve"> emerging VPDs such as JE and mpox</w:t>
      </w:r>
      <w:r w:rsidR="002D5194" w:rsidRPr="009222B2">
        <w:t>, and planning response strategies for</w:t>
      </w:r>
      <w:r w:rsidRPr="009222B2">
        <w:t xml:space="preserve"> </w:t>
      </w:r>
      <w:r w:rsidR="003431BE" w:rsidRPr="009222B2">
        <w:t xml:space="preserve">re-emerging VPDs such as </w:t>
      </w:r>
      <w:r w:rsidR="001A2630" w:rsidRPr="009222B2">
        <w:t>measles and polio</w:t>
      </w:r>
      <w:r w:rsidR="00C509E6" w:rsidRPr="009222B2">
        <w:t>.</w:t>
      </w:r>
    </w:p>
    <w:p w14:paraId="155D57BB" w14:textId="79A6FA0E" w:rsidR="00305B7E" w:rsidRPr="009222B2" w:rsidRDefault="0062774A" w:rsidP="001A2630">
      <w:pPr>
        <w:pStyle w:val="Bullet"/>
      </w:pPr>
      <w:r>
        <w:t>Continuing to provide timely advice as the COVID-19 vaccination program integrates into a more routine national vaccination program</w:t>
      </w:r>
      <w:r w:rsidR="00B00F7B">
        <w:t>.</w:t>
      </w:r>
    </w:p>
    <w:p w14:paraId="34924C73" w14:textId="6DCCCCE3" w:rsidR="001A2630" w:rsidRPr="009222B2" w:rsidRDefault="00305B7E" w:rsidP="001A2630">
      <w:pPr>
        <w:pStyle w:val="Bullet"/>
      </w:pPr>
      <w:r w:rsidRPr="009222B2">
        <w:t>M</w:t>
      </w:r>
      <w:r w:rsidR="001A2630" w:rsidRPr="009222B2">
        <w:t>onitoring safety and effectiveness of new and established COVID-19 vaccine</w:t>
      </w:r>
      <w:r w:rsidR="206E610B" w:rsidRPr="009222B2">
        <w:t>s</w:t>
      </w:r>
      <w:r w:rsidR="00C509E6" w:rsidRPr="009222B2">
        <w:t>.</w:t>
      </w:r>
    </w:p>
    <w:p w14:paraId="65AF9F6F" w14:textId="3A01D902" w:rsidR="00B93EBA" w:rsidRPr="009222B2" w:rsidRDefault="001A2630" w:rsidP="001A2630">
      <w:pPr>
        <w:pStyle w:val="Bullet"/>
      </w:pPr>
      <w:r w:rsidRPr="009222B2">
        <w:t xml:space="preserve">Maintaining community confidence in </w:t>
      </w:r>
      <w:r w:rsidR="00DE37AC" w:rsidRPr="009222B2">
        <w:t>vaccin</w:t>
      </w:r>
      <w:r w:rsidR="001E5B32" w:rsidRPr="009222B2">
        <w:t xml:space="preserve">es delivered as part of </w:t>
      </w:r>
      <w:r w:rsidR="00DE37AC" w:rsidRPr="009222B2">
        <w:t xml:space="preserve">the NIP and </w:t>
      </w:r>
      <w:r w:rsidR="001E5B32" w:rsidRPr="009222B2">
        <w:t xml:space="preserve">in </w:t>
      </w:r>
      <w:r w:rsidR="004B0C67" w:rsidRPr="009222B2">
        <w:t>other recommended vaccines</w:t>
      </w:r>
      <w:r w:rsidR="00C509E6" w:rsidRPr="009222B2">
        <w:t>.</w:t>
      </w:r>
    </w:p>
    <w:p w14:paraId="104B7F73" w14:textId="45D7933E" w:rsidR="001A2630" w:rsidRPr="009222B2" w:rsidRDefault="00B93EBA" w:rsidP="001A2630">
      <w:pPr>
        <w:pStyle w:val="Bullet"/>
      </w:pPr>
      <w:r w:rsidRPr="009222B2">
        <w:t>I</w:t>
      </w:r>
      <w:r w:rsidR="001A2630" w:rsidRPr="009222B2">
        <w:t xml:space="preserve">ncreasing vaccination uptake for groups at higher risk </w:t>
      </w:r>
      <w:r w:rsidR="00CC4DE0" w:rsidRPr="009222B2">
        <w:t>of VPDs</w:t>
      </w:r>
      <w:r w:rsidR="002A3C10" w:rsidRPr="009222B2">
        <w:t>.</w:t>
      </w:r>
    </w:p>
    <w:p w14:paraId="7D63D30A" w14:textId="6DC6E7FA" w:rsidR="001A2630" w:rsidRPr="009222B2" w:rsidRDefault="001A2630" w:rsidP="001A2630">
      <w:pPr>
        <w:pStyle w:val="Bullet"/>
      </w:pPr>
      <w:r w:rsidRPr="009222B2">
        <w:t>Monitoring and evaluating new</w:t>
      </w:r>
      <w:r w:rsidR="004D2FF6" w:rsidRPr="009222B2">
        <w:t xml:space="preserve"> or </w:t>
      </w:r>
      <w:r w:rsidR="005464A4" w:rsidRPr="009222B2">
        <w:t>changed</w:t>
      </w:r>
      <w:r w:rsidRPr="009222B2">
        <w:t xml:space="preserve"> vaccin</w:t>
      </w:r>
      <w:r w:rsidR="00BA1F04" w:rsidRPr="009222B2">
        <w:t>ation</w:t>
      </w:r>
      <w:r w:rsidRPr="009222B2">
        <w:t xml:space="preserve"> programs including JE,</w:t>
      </w:r>
      <w:r w:rsidR="007111C4" w:rsidRPr="009222B2">
        <w:t xml:space="preserve"> m</w:t>
      </w:r>
      <w:r w:rsidR="00585266" w:rsidRPr="009222B2">
        <w:t>pox</w:t>
      </w:r>
      <w:r w:rsidRPr="009222B2">
        <w:t xml:space="preserve"> and</w:t>
      </w:r>
      <w:r w:rsidR="00331904" w:rsidRPr="009222B2">
        <w:t xml:space="preserve"> </w:t>
      </w:r>
      <w:r w:rsidRPr="009222B2">
        <w:t>HPV</w:t>
      </w:r>
      <w:r w:rsidR="008008AC" w:rsidRPr="009222B2">
        <w:t>.</w:t>
      </w:r>
    </w:p>
    <w:p w14:paraId="1A2F9CE8" w14:textId="02BE548A" w:rsidR="009F4413" w:rsidRPr="009222B2" w:rsidRDefault="009F4413" w:rsidP="00061435">
      <w:pPr>
        <w:pStyle w:val="Bullet"/>
      </w:pPr>
      <w:r w:rsidRPr="009222B2">
        <w:t xml:space="preserve">Maintaining </w:t>
      </w:r>
      <w:r w:rsidR="00107AFA" w:rsidRPr="009222B2">
        <w:t xml:space="preserve">high </w:t>
      </w:r>
      <w:r w:rsidR="00DE37AC" w:rsidRPr="009222B2">
        <w:t>1</w:t>
      </w:r>
      <w:r w:rsidR="00A4745B" w:rsidRPr="009222B2">
        <w:t>-</w:t>
      </w:r>
      <w:r w:rsidRPr="009222B2">
        <w:t>dose coverage of HPV vaccine</w:t>
      </w:r>
      <w:r w:rsidR="00CB70CE" w:rsidRPr="009222B2">
        <w:t xml:space="preserve"> for recommended population groups</w:t>
      </w:r>
      <w:r w:rsidR="008008AC" w:rsidRPr="009222B2">
        <w:t>.</w:t>
      </w:r>
    </w:p>
    <w:p w14:paraId="1343E4D4" w14:textId="65D27C22" w:rsidR="009F4413" w:rsidRPr="009222B2" w:rsidRDefault="009F4413" w:rsidP="00BA03D1">
      <w:pPr>
        <w:pStyle w:val="BulletLast"/>
      </w:pPr>
      <w:r w:rsidRPr="009222B2">
        <w:t xml:space="preserve">Planning for the introduction of new vaccines, </w:t>
      </w:r>
      <w:r w:rsidR="38DBCB72" w:rsidRPr="009222B2">
        <w:t>likely to include</w:t>
      </w:r>
      <w:r w:rsidRPr="009222B2">
        <w:t xml:space="preserve"> respiratory syncytial virus (RSV) vaccine</w:t>
      </w:r>
      <w:r w:rsidR="47E69B1B" w:rsidRPr="009222B2">
        <w:t xml:space="preserve"> and </w:t>
      </w:r>
      <w:r w:rsidR="00DE37AC" w:rsidRPr="009222B2">
        <w:t>higher-</w:t>
      </w:r>
      <w:r w:rsidR="47E69B1B" w:rsidRPr="009222B2">
        <w:t>valency pneumococcal vaccines</w:t>
      </w:r>
      <w:r w:rsidR="00DF4E4E" w:rsidRPr="009222B2">
        <w:t>.</w:t>
      </w:r>
    </w:p>
    <w:p w14:paraId="4866AF03" w14:textId="64CFD5B7" w:rsidR="00862550" w:rsidRPr="009222B2" w:rsidRDefault="00862550" w:rsidP="007200AD">
      <w:pPr>
        <w:pStyle w:val="Heading1"/>
        <w:ind w:left="0" w:firstLine="0"/>
      </w:pPr>
      <w:bookmarkStart w:id="8" w:name="_Toc72165381"/>
      <w:bookmarkStart w:id="9" w:name="_Toc128991499"/>
      <w:r w:rsidRPr="009222B2">
        <w:lastRenderedPageBreak/>
        <w:t xml:space="preserve">Immunisation issues in </w:t>
      </w:r>
      <w:r w:rsidR="007A3DD3" w:rsidRPr="009222B2">
        <w:t xml:space="preserve">Australia in </w:t>
      </w:r>
      <w:r w:rsidRPr="009222B2">
        <w:t>202</w:t>
      </w:r>
      <w:bookmarkEnd w:id="8"/>
      <w:r w:rsidR="00382283" w:rsidRPr="009222B2">
        <w:t>2</w:t>
      </w:r>
      <w:bookmarkEnd w:id="9"/>
    </w:p>
    <w:p w14:paraId="105097FC" w14:textId="64E76E28" w:rsidR="00320B6A" w:rsidRPr="009222B2" w:rsidRDefault="00320B6A" w:rsidP="00320B6A">
      <w:pPr>
        <w:pStyle w:val="Heading2"/>
      </w:pPr>
      <w:bookmarkStart w:id="10" w:name="_Toc128991500"/>
      <w:r w:rsidRPr="009222B2">
        <w:t>Emerging</w:t>
      </w:r>
      <w:r w:rsidR="007062E1" w:rsidRPr="009222B2">
        <w:t xml:space="preserve"> and re-emerging</w:t>
      </w:r>
      <w:r w:rsidRPr="009222B2">
        <w:t xml:space="preserve"> vaccine-preventable diseases in 2022</w:t>
      </w:r>
      <w:bookmarkEnd w:id="10"/>
    </w:p>
    <w:p w14:paraId="7EE3588A" w14:textId="6FB8CDA7" w:rsidR="00320B6A" w:rsidRPr="009222B2" w:rsidRDefault="00320B6A" w:rsidP="00320B6A">
      <w:r w:rsidRPr="009222B2">
        <w:t>In 2022, COVID-19 border control measures were largely removed</w:t>
      </w:r>
      <w:r w:rsidR="007062E1" w:rsidRPr="009222B2">
        <w:t xml:space="preserve">. This </w:t>
      </w:r>
      <w:r w:rsidRPr="009222B2">
        <w:t>increas</w:t>
      </w:r>
      <w:r w:rsidR="007062E1" w:rsidRPr="009222B2">
        <w:t>ed</w:t>
      </w:r>
      <w:r w:rsidRPr="009222B2">
        <w:t xml:space="preserve"> the risk of re-emerging VPDs</w:t>
      </w:r>
      <w:r w:rsidR="007062E1" w:rsidRPr="009222B2">
        <w:t>,</w:t>
      </w:r>
      <w:r w:rsidRPr="009222B2">
        <w:t xml:space="preserve"> </w:t>
      </w:r>
      <w:r w:rsidR="007062E1" w:rsidRPr="009222B2">
        <w:t xml:space="preserve">such as </w:t>
      </w:r>
      <w:r w:rsidRPr="009222B2">
        <w:t>measles and poliomyelitis</w:t>
      </w:r>
      <w:r w:rsidR="007062E1" w:rsidRPr="009222B2">
        <w:t>, entering Australia</w:t>
      </w:r>
      <w:r w:rsidRPr="009222B2">
        <w:t>. Outbreak</w:t>
      </w:r>
      <w:r w:rsidR="745481FE" w:rsidRPr="009222B2">
        <w:t>s</w:t>
      </w:r>
      <w:r w:rsidRPr="009222B2">
        <w:t xml:space="preserve"> of JE and </w:t>
      </w:r>
      <w:r w:rsidR="007111C4" w:rsidRPr="009222B2">
        <w:t>m</w:t>
      </w:r>
      <w:r w:rsidRPr="009222B2">
        <w:t>pox were declared</w:t>
      </w:r>
      <w:r w:rsidR="00E74172" w:rsidRPr="009222B2">
        <w:t xml:space="preserve"> as</w:t>
      </w:r>
      <w:r w:rsidRPr="009222B2">
        <w:t xml:space="preserve"> </w:t>
      </w:r>
      <w:r w:rsidR="00E74172" w:rsidRPr="009222B2">
        <w:t>CDINS</w:t>
      </w:r>
      <w:r w:rsidRPr="009222B2">
        <w:t xml:space="preserve">. As part of the public health response to emerging and re-emerging VPDs in Australia, ATAGI </w:t>
      </w:r>
      <w:r w:rsidR="007929A7" w:rsidRPr="009222B2">
        <w:t>formed several</w:t>
      </w:r>
      <w:r w:rsidRPr="009222B2">
        <w:t xml:space="preserve"> subgroups to develop national vaccination guidance.</w:t>
      </w:r>
    </w:p>
    <w:p w14:paraId="72C89699" w14:textId="77777777" w:rsidR="00320B6A" w:rsidRPr="009222B2" w:rsidRDefault="00320B6A" w:rsidP="00320B6A">
      <w:pPr>
        <w:pStyle w:val="Heading3"/>
      </w:pPr>
      <w:r w:rsidRPr="009222B2">
        <w:t>Japanese encephalitis</w:t>
      </w:r>
    </w:p>
    <w:p w14:paraId="14465E26" w14:textId="71232967" w:rsidR="00320B6A" w:rsidRPr="009222B2" w:rsidRDefault="00834CEE" w:rsidP="00703CE1">
      <w:r w:rsidRPr="009222B2">
        <w:t>JE</w:t>
      </w:r>
      <w:r w:rsidR="00320B6A" w:rsidRPr="009222B2">
        <w:t xml:space="preserve"> is an infection of the brain caused by the J</w:t>
      </w:r>
      <w:r w:rsidR="003431BE" w:rsidRPr="009222B2">
        <w:t>apanese encephalitis virus</w:t>
      </w:r>
      <w:r w:rsidR="00F57798" w:rsidRPr="009222B2">
        <w:t xml:space="preserve"> (JEV)</w:t>
      </w:r>
      <w:r w:rsidR="00320B6A" w:rsidRPr="009222B2">
        <w:t xml:space="preserve"> </w:t>
      </w:r>
      <w:r w:rsidR="005F565F" w:rsidRPr="009222B2">
        <w:t>that</w:t>
      </w:r>
      <w:r w:rsidR="007929A7" w:rsidRPr="009222B2">
        <w:t xml:space="preserve"> is </w:t>
      </w:r>
      <w:r w:rsidR="00320B6A" w:rsidRPr="009222B2">
        <w:t>present in parts of South</w:t>
      </w:r>
      <w:r w:rsidR="009222B2" w:rsidRPr="009222B2">
        <w:t>-E</w:t>
      </w:r>
      <w:r w:rsidR="00320B6A" w:rsidRPr="009222B2">
        <w:t xml:space="preserve">ast Asia and China. </w:t>
      </w:r>
      <w:r w:rsidR="00093BC6" w:rsidRPr="009222B2">
        <w:t>Previously</w:t>
      </w:r>
      <w:r w:rsidR="00320B6A" w:rsidRPr="009222B2">
        <w:t xml:space="preserve">, </w:t>
      </w:r>
      <w:r w:rsidR="003431BE" w:rsidRPr="009222B2">
        <w:t>JE</w:t>
      </w:r>
      <w:r w:rsidR="00320B6A" w:rsidRPr="009222B2">
        <w:t xml:space="preserve"> </w:t>
      </w:r>
      <w:r w:rsidR="007929A7" w:rsidRPr="009222B2">
        <w:t xml:space="preserve">had not </w:t>
      </w:r>
      <w:r w:rsidR="00B959BA" w:rsidRPr="009222B2">
        <w:t>been transmitted</w:t>
      </w:r>
      <w:r w:rsidR="007929A7" w:rsidRPr="009222B2">
        <w:t xml:space="preserve"> </w:t>
      </w:r>
      <w:r w:rsidR="00320B6A" w:rsidRPr="009222B2">
        <w:t xml:space="preserve">on the Australian mainland, apart from </w:t>
      </w:r>
      <w:r w:rsidR="00B752A8" w:rsidRPr="009222B2">
        <w:t>1 </w:t>
      </w:r>
      <w:r w:rsidR="00703CE1" w:rsidRPr="009222B2">
        <w:t>episode</w:t>
      </w:r>
      <w:r w:rsidR="007929A7" w:rsidRPr="009222B2">
        <w:t xml:space="preserve"> </w:t>
      </w:r>
      <w:r w:rsidR="00320B6A" w:rsidRPr="009222B2">
        <w:t>in</w:t>
      </w:r>
      <w:r w:rsidR="00B752A8" w:rsidRPr="009222B2">
        <w:t xml:space="preserve"> </w:t>
      </w:r>
      <w:r w:rsidR="00320B6A" w:rsidRPr="009222B2">
        <w:t xml:space="preserve">1998 and </w:t>
      </w:r>
      <w:r w:rsidR="00B752A8" w:rsidRPr="009222B2">
        <w:t xml:space="preserve">1 in </w:t>
      </w:r>
      <w:r w:rsidR="00320B6A" w:rsidRPr="009222B2">
        <w:t>2004.</w:t>
      </w:r>
      <w:r w:rsidR="00F57798" w:rsidRPr="009222B2">
        <w:t xml:space="preserve"> </w:t>
      </w:r>
      <w:r w:rsidR="00093BC6" w:rsidRPr="009222B2">
        <w:t>Before</w:t>
      </w:r>
      <w:r w:rsidR="00B959BA" w:rsidRPr="009222B2">
        <w:t xml:space="preserve"> 2022, </w:t>
      </w:r>
      <w:r w:rsidR="00F57798" w:rsidRPr="009222B2">
        <w:t xml:space="preserve">only travellers to endemic JEV areas and residents of the Torres Strait Islands were </w:t>
      </w:r>
      <w:r w:rsidR="00B959BA" w:rsidRPr="009222B2">
        <w:t xml:space="preserve">routinely </w:t>
      </w:r>
      <w:r w:rsidR="00F57798" w:rsidRPr="009222B2">
        <w:t xml:space="preserve">advised to </w:t>
      </w:r>
      <w:r w:rsidR="00B959BA" w:rsidRPr="009222B2">
        <w:t xml:space="preserve">be vaccinated </w:t>
      </w:r>
      <w:r w:rsidR="00B752A8" w:rsidRPr="009222B2">
        <w:t>against</w:t>
      </w:r>
      <w:r w:rsidR="003F1236" w:rsidRPr="009222B2">
        <w:t xml:space="preserve"> JE</w:t>
      </w:r>
      <w:r w:rsidR="00B959BA" w:rsidRPr="009222B2">
        <w:t>.</w:t>
      </w:r>
    </w:p>
    <w:p w14:paraId="6A96A74D" w14:textId="6CF84F13" w:rsidR="00320B6A" w:rsidRPr="009222B2" w:rsidRDefault="00320B6A" w:rsidP="00703CE1">
      <w:r w:rsidRPr="009222B2">
        <w:t>On 4</w:t>
      </w:r>
      <w:r w:rsidR="00B752A8" w:rsidRPr="009222B2">
        <w:t> </w:t>
      </w:r>
      <w:r w:rsidRPr="009222B2">
        <w:t>March 2022</w:t>
      </w:r>
      <w:r w:rsidR="00BD2BAB" w:rsidRPr="009222B2">
        <w:t>,</w:t>
      </w:r>
      <w:r w:rsidRPr="009222B2">
        <w:t xml:space="preserve"> </w:t>
      </w:r>
      <w:hyperlink r:id="rId15" w:history="1">
        <w:r w:rsidR="00B11360" w:rsidRPr="009222B2">
          <w:rPr>
            <w:rStyle w:val="Hyperlink"/>
          </w:rPr>
          <w:t>JE was declared a national CDINS</w:t>
        </w:r>
      </w:hyperlink>
      <w:r w:rsidR="0034167B" w:rsidRPr="009222B2">
        <w:t xml:space="preserve"> </w:t>
      </w:r>
      <w:r w:rsidRPr="009222B2">
        <w:t xml:space="preserve">after </w:t>
      </w:r>
      <w:r w:rsidR="00C80707" w:rsidRPr="009222B2">
        <w:t>a human case</w:t>
      </w:r>
      <w:r w:rsidRPr="009222B2">
        <w:t xml:space="preserve"> w</w:t>
      </w:r>
      <w:r w:rsidR="00C80707" w:rsidRPr="009222B2">
        <w:t>as</w:t>
      </w:r>
      <w:r w:rsidRPr="009222B2">
        <w:t xml:space="preserve"> reported in </w:t>
      </w:r>
      <w:r w:rsidR="00C80707" w:rsidRPr="009222B2">
        <w:t>Queensland</w:t>
      </w:r>
      <w:r w:rsidR="007929A7" w:rsidRPr="009222B2">
        <w:t xml:space="preserve">. The virus had previously been </w:t>
      </w:r>
      <w:r w:rsidR="00B959BA" w:rsidRPr="009222B2">
        <w:t>notified</w:t>
      </w:r>
      <w:r w:rsidR="007929A7" w:rsidRPr="009222B2">
        <w:t xml:space="preserve"> at </w:t>
      </w:r>
      <w:r w:rsidR="00CC512E" w:rsidRPr="009222B2">
        <w:t>piggeries</w:t>
      </w:r>
      <w:r w:rsidR="001D4DE3" w:rsidRPr="009222B2">
        <w:t xml:space="preserve"> in </w:t>
      </w:r>
      <w:r w:rsidR="00E74172" w:rsidRPr="009222B2">
        <w:t>e</w:t>
      </w:r>
      <w:r w:rsidR="001D4DE3" w:rsidRPr="009222B2">
        <w:t>astern Australian states</w:t>
      </w:r>
      <w:r w:rsidR="00B959BA" w:rsidRPr="009222B2">
        <w:t>.</w:t>
      </w:r>
    </w:p>
    <w:p w14:paraId="05C35FD8" w14:textId="0CFE7315" w:rsidR="00320B6A" w:rsidRPr="009222B2" w:rsidRDefault="00320B6A" w:rsidP="00703CE1">
      <w:r w:rsidRPr="009222B2">
        <w:t>On 24</w:t>
      </w:r>
      <w:r w:rsidR="00B752A8" w:rsidRPr="009222B2">
        <w:t> </w:t>
      </w:r>
      <w:r w:rsidRPr="009222B2">
        <w:t xml:space="preserve">March 2022, </w:t>
      </w:r>
      <w:hyperlink r:id="rId16" w:history="1">
        <w:r w:rsidRPr="009222B2">
          <w:rPr>
            <w:rStyle w:val="Hyperlink"/>
          </w:rPr>
          <w:t>ATAGI expanded JE vaccine recommendatio</w:t>
        </w:r>
        <w:r w:rsidR="00966122" w:rsidRPr="009222B2">
          <w:rPr>
            <w:rStyle w:val="Hyperlink"/>
          </w:rPr>
          <w:t>ns</w:t>
        </w:r>
      </w:hyperlink>
      <w:r w:rsidRPr="009222B2">
        <w:t xml:space="preserve"> to include </w:t>
      </w:r>
      <w:r w:rsidR="00917D94" w:rsidRPr="009222B2">
        <w:t xml:space="preserve">all </w:t>
      </w:r>
      <w:r w:rsidRPr="009222B2">
        <w:t xml:space="preserve">people </w:t>
      </w:r>
      <w:r w:rsidR="00B959BA" w:rsidRPr="009222B2">
        <w:t xml:space="preserve">over </w:t>
      </w:r>
      <w:r w:rsidR="00093BC6" w:rsidRPr="009222B2">
        <w:t>2 </w:t>
      </w:r>
      <w:r w:rsidR="00B959BA" w:rsidRPr="009222B2">
        <w:t xml:space="preserve">months </w:t>
      </w:r>
      <w:r w:rsidR="00917D94" w:rsidRPr="009222B2">
        <w:t>of age</w:t>
      </w:r>
      <w:r w:rsidRPr="009222B2">
        <w:t xml:space="preserve"> in high</w:t>
      </w:r>
      <w:r w:rsidR="007929A7" w:rsidRPr="009222B2">
        <w:t>-</w:t>
      </w:r>
      <w:r w:rsidRPr="009222B2">
        <w:t>risk settings in Australia</w:t>
      </w:r>
      <w:r w:rsidR="00E45F36" w:rsidRPr="009222B2">
        <w:t xml:space="preserve">. </w:t>
      </w:r>
      <w:r w:rsidRPr="009222B2">
        <w:t xml:space="preserve">State and territory health departments were responsible for </w:t>
      </w:r>
      <w:r w:rsidR="00F62AA6" w:rsidRPr="009222B2">
        <w:t xml:space="preserve">defining </w:t>
      </w:r>
      <w:r w:rsidR="005432E3" w:rsidRPr="009222B2">
        <w:t>eligibility criteria for people</w:t>
      </w:r>
      <w:r w:rsidRPr="009222B2">
        <w:t xml:space="preserve"> in </w:t>
      </w:r>
      <w:r w:rsidR="007929A7" w:rsidRPr="009222B2">
        <w:t>high-risk</w:t>
      </w:r>
      <w:r w:rsidRPr="009222B2">
        <w:t xml:space="preserve"> settings</w:t>
      </w:r>
      <w:r w:rsidR="00064141" w:rsidRPr="009222B2">
        <w:t>,</w:t>
      </w:r>
      <w:r w:rsidR="003431BE" w:rsidRPr="009222B2">
        <w:t xml:space="preserve"> and distributi</w:t>
      </w:r>
      <w:r w:rsidR="00F62AA6" w:rsidRPr="009222B2">
        <w:t>ng vaccines</w:t>
      </w:r>
      <w:r w:rsidR="0060260A" w:rsidRPr="009222B2">
        <w:t xml:space="preserve"> (Imojev and JEspect)</w:t>
      </w:r>
      <w:r w:rsidRPr="009222B2">
        <w:t>.</w:t>
      </w:r>
    </w:p>
    <w:p w14:paraId="511A1805" w14:textId="5391D64B" w:rsidR="007929A7" w:rsidRPr="009222B2" w:rsidRDefault="00966122" w:rsidP="007929A7">
      <w:r w:rsidRPr="009222B2">
        <w:t xml:space="preserve">States and territories delivered </w:t>
      </w:r>
      <w:r w:rsidR="00B959BA" w:rsidRPr="009222B2">
        <w:t xml:space="preserve">JE </w:t>
      </w:r>
      <w:r w:rsidRPr="009222B2">
        <w:t>v</w:t>
      </w:r>
      <w:r w:rsidR="00A32A89" w:rsidRPr="009222B2">
        <w:t xml:space="preserve">accination </w:t>
      </w:r>
      <w:r w:rsidR="00320B6A" w:rsidRPr="009222B2">
        <w:t>to people with</w:t>
      </w:r>
      <w:r w:rsidRPr="009222B2">
        <w:t xml:space="preserve"> a</w:t>
      </w:r>
      <w:r w:rsidR="00320B6A" w:rsidRPr="009222B2">
        <w:t xml:space="preserve"> high</w:t>
      </w:r>
      <w:r w:rsidRPr="009222B2">
        <w:t xml:space="preserve"> </w:t>
      </w:r>
      <w:r w:rsidR="00320B6A" w:rsidRPr="009222B2">
        <w:t>risk</w:t>
      </w:r>
      <w:r w:rsidRPr="009222B2">
        <w:t xml:space="preserve"> of</w:t>
      </w:r>
      <w:r w:rsidR="00320B6A" w:rsidRPr="009222B2">
        <w:t xml:space="preserve"> exposure. In 2022,</w:t>
      </w:r>
      <w:r w:rsidR="00B53FDA" w:rsidRPr="009222B2">
        <w:t xml:space="preserve"> at least </w:t>
      </w:r>
      <w:r w:rsidR="00E10E2D" w:rsidRPr="009222B2">
        <w:t>85,930</w:t>
      </w:r>
      <w:r w:rsidR="001E5B32" w:rsidRPr="009222B2">
        <w:t> </w:t>
      </w:r>
      <w:r w:rsidR="00320B6A" w:rsidRPr="009222B2">
        <w:t xml:space="preserve">people </w:t>
      </w:r>
      <w:r w:rsidR="00492925" w:rsidRPr="009222B2">
        <w:t>completed a course of a JE vaccine</w:t>
      </w:r>
      <w:r w:rsidR="0060260A" w:rsidRPr="009222B2">
        <w:t>.</w:t>
      </w:r>
      <w:r w:rsidR="00B959BA" w:rsidRPr="009222B2">
        <w:t xml:space="preserve"> During this time,</w:t>
      </w:r>
      <w:r w:rsidR="00AB4196" w:rsidRPr="009222B2">
        <w:t xml:space="preserve"> there </w:t>
      </w:r>
      <w:r w:rsidR="00042CBD" w:rsidRPr="009222B2">
        <w:t>were 41</w:t>
      </w:r>
      <w:r w:rsidR="001E5B32" w:rsidRPr="009222B2">
        <w:t> </w:t>
      </w:r>
      <w:r w:rsidR="007929A7" w:rsidRPr="009222B2">
        <w:t>notified human cases of JE in Australia</w:t>
      </w:r>
      <w:r w:rsidR="00B959BA" w:rsidRPr="009222B2">
        <w:t xml:space="preserve"> and </w:t>
      </w:r>
      <w:r w:rsidR="00AB4196" w:rsidRPr="009222B2">
        <w:t>5</w:t>
      </w:r>
      <w:r w:rsidR="001E5B32" w:rsidRPr="009222B2">
        <w:t> </w:t>
      </w:r>
      <w:r w:rsidR="007929A7" w:rsidRPr="009222B2">
        <w:t>reported deaths.</w:t>
      </w:r>
    </w:p>
    <w:p w14:paraId="622B738D" w14:textId="1A641712" w:rsidR="00320B6A" w:rsidRPr="009222B2" w:rsidRDefault="00320B6A" w:rsidP="00320B6A">
      <w:pPr>
        <w:pStyle w:val="Heading3"/>
      </w:pPr>
      <w:r w:rsidRPr="009222B2">
        <w:t>Mpox</w:t>
      </w:r>
      <w:r w:rsidR="00AF2609" w:rsidRPr="009222B2">
        <w:t xml:space="preserve"> (formerly known as monkeypox)</w:t>
      </w:r>
    </w:p>
    <w:p w14:paraId="37FCD53E" w14:textId="5317612C" w:rsidR="00320B6A" w:rsidRPr="009222B2" w:rsidRDefault="00320B6A" w:rsidP="00CB4F26">
      <w:r w:rsidRPr="009222B2">
        <w:t xml:space="preserve">Mpox is a viral disease caused by infection with the </w:t>
      </w:r>
      <w:r w:rsidR="007111C4" w:rsidRPr="009222B2">
        <w:t>m</w:t>
      </w:r>
      <w:r w:rsidR="00AA258F" w:rsidRPr="009222B2">
        <w:t>pox</w:t>
      </w:r>
      <w:r w:rsidRPr="009222B2">
        <w:t xml:space="preserve"> virus. It is part of the same family of viruses that cause</w:t>
      </w:r>
      <w:r w:rsidR="00B752A8" w:rsidRPr="009222B2">
        <w:t>s</w:t>
      </w:r>
      <w:r w:rsidRPr="009222B2">
        <w:t xml:space="preserve"> smallpox.</w:t>
      </w:r>
    </w:p>
    <w:p w14:paraId="798D9060" w14:textId="30D68AF5" w:rsidR="00320B6A" w:rsidRPr="009222B2" w:rsidRDefault="00320B6A" w:rsidP="00CB4F26">
      <w:r w:rsidRPr="009222B2">
        <w:t xml:space="preserve">In May 2022, </w:t>
      </w:r>
      <w:hyperlink r:id="rId17" w:history="1">
        <w:r w:rsidR="003431BE" w:rsidRPr="009222B2">
          <w:rPr>
            <w:rStyle w:val="Hyperlink"/>
          </w:rPr>
          <w:t xml:space="preserve">cases of </w:t>
        </w:r>
        <w:r w:rsidR="007111C4" w:rsidRPr="009222B2">
          <w:rPr>
            <w:rStyle w:val="Hyperlink"/>
          </w:rPr>
          <w:t>m</w:t>
        </w:r>
        <w:r w:rsidR="00AA258F" w:rsidRPr="009222B2">
          <w:rPr>
            <w:rStyle w:val="Hyperlink"/>
          </w:rPr>
          <w:t>pox</w:t>
        </w:r>
        <w:r w:rsidR="003431BE" w:rsidRPr="009222B2">
          <w:rPr>
            <w:rStyle w:val="Hyperlink"/>
          </w:rPr>
          <w:t xml:space="preserve"> were identified in several non-endemic countries</w:t>
        </w:r>
      </w:hyperlink>
      <w:r w:rsidRPr="009222B2">
        <w:t xml:space="preserve">, including </w:t>
      </w:r>
      <w:r w:rsidR="00B959BA" w:rsidRPr="009222B2">
        <w:t xml:space="preserve">in </w:t>
      </w:r>
      <w:r w:rsidRPr="009222B2">
        <w:t>North America and South America, and across Europe.</w:t>
      </w:r>
    </w:p>
    <w:p w14:paraId="6539B9E5" w14:textId="236DCE16" w:rsidR="00320B6A" w:rsidRPr="009222B2" w:rsidRDefault="00F307BF" w:rsidP="00CB4F26">
      <w:r w:rsidRPr="009222B2">
        <w:t xml:space="preserve">The first case of mpox </w:t>
      </w:r>
      <w:r w:rsidR="0073133D" w:rsidRPr="009222B2">
        <w:t xml:space="preserve">in Australia was reported in May 2022. </w:t>
      </w:r>
      <w:r w:rsidR="00320B6A" w:rsidRPr="009222B2">
        <w:t>On 2</w:t>
      </w:r>
      <w:r w:rsidR="00323382">
        <w:t>8</w:t>
      </w:r>
      <w:r w:rsidR="00B752A8" w:rsidRPr="009222B2">
        <w:t> </w:t>
      </w:r>
      <w:r w:rsidR="00320B6A" w:rsidRPr="009222B2">
        <w:t xml:space="preserve">July 2022, </w:t>
      </w:r>
      <w:hyperlink r:id="rId18" w:history="1">
        <w:r w:rsidR="00B11360" w:rsidRPr="009222B2">
          <w:rPr>
            <w:rStyle w:val="Hyperlink"/>
          </w:rPr>
          <w:t>mpox was declared a national CDINS</w:t>
        </w:r>
      </w:hyperlink>
      <w:r w:rsidR="00320B6A" w:rsidRPr="009222B2">
        <w:t>.</w:t>
      </w:r>
      <w:r w:rsidR="00B959BA" w:rsidRPr="009222B2">
        <w:t xml:space="preserve"> During</w:t>
      </w:r>
      <w:r w:rsidR="00AB4196" w:rsidRPr="009222B2">
        <w:t xml:space="preserve"> 2022, there were</w:t>
      </w:r>
      <w:r w:rsidR="00320B6A" w:rsidRPr="009222B2">
        <w:t xml:space="preserve"> 14</w:t>
      </w:r>
      <w:r w:rsidR="00AB4196" w:rsidRPr="009222B2">
        <w:t>4</w:t>
      </w:r>
      <w:r w:rsidR="00320B6A" w:rsidRPr="009222B2">
        <w:t xml:space="preserve"> </w:t>
      </w:r>
      <w:r w:rsidR="00AB4196" w:rsidRPr="009222B2">
        <w:t xml:space="preserve">notified </w:t>
      </w:r>
      <w:r w:rsidR="00320B6A" w:rsidRPr="009222B2">
        <w:t xml:space="preserve">cases of </w:t>
      </w:r>
      <w:r w:rsidR="007111C4" w:rsidRPr="009222B2">
        <w:t>m</w:t>
      </w:r>
      <w:r w:rsidR="00AA258F" w:rsidRPr="009222B2">
        <w:t>pox</w:t>
      </w:r>
      <w:r w:rsidR="00320B6A" w:rsidRPr="009222B2">
        <w:t xml:space="preserve"> in Australia</w:t>
      </w:r>
      <w:r w:rsidR="00B959BA" w:rsidRPr="009222B2">
        <w:t>, with</w:t>
      </w:r>
      <w:r w:rsidR="00AB4196" w:rsidRPr="009222B2">
        <w:t xml:space="preserve"> no </w:t>
      </w:r>
      <w:r w:rsidR="00B959BA" w:rsidRPr="009222B2">
        <w:t xml:space="preserve">notified </w:t>
      </w:r>
      <w:r w:rsidR="00AB4196" w:rsidRPr="009222B2">
        <w:t>deaths.</w:t>
      </w:r>
    </w:p>
    <w:p w14:paraId="729D6C17" w14:textId="5ABDE934" w:rsidR="00320B6A" w:rsidRPr="009222B2" w:rsidRDefault="00320B6A" w:rsidP="00CB4F26">
      <w:r w:rsidRPr="009222B2">
        <w:t xml:space="preserve">ATAGI released </w:t>
      </w:r>
      <w:hyperlink r:id="rId19" w:history="1">
        <w:r w:rsidR="007E35A3" w:rsidRPr="009222B2">
          <w:rPr>
            <w:rStyle w:val="Hyperlink"/>
          </w:rPr>
          <w:t>guidance</w:t>
        </w:r>
      </w:hyperlink>
      <w:r w:rsidR="007E35A3" w:rsidRPr="009222B2">
        <w:t xml:space="preserve"> on the use of smallpox vaccines for protection against mpox virus infection</w:t>
      </w:r>
      <w:r w:rsidRPr="009222B2">
        <w:t xml:space="preserve">. </w:t>
      </w:r>
      <w:r w:rsidR="007E35A3" w:rsidRPr="009222B2">
        <w:t>ATAGI identified k</w:t>
      </w:r>
      <w:r w:rsidRPr="009222B2">
        <w:t>ey population groups with</w:t>
      </w:r>
      <w:r w:rsidR="00BB0CB7" w:rsidRPr="009222B2">
        <w:t xml:space="preserve"> a</w:t>
      </w:r>
      <w:r w:rsidRPr="009222B2">
        <w:t xml:space="preserve"> high risk of exposure and recommended</w:t>
      </w:r>
      <w:r w:rsidR="007E35A3" w:rsidRPr="009222B2">
        <w:t xml:space="preserve"> they</w:t>
      </w:r>
      <w:r w:rsidRPr="009222B2">
        <w:t xml:space="preserve"> </w:t>
      </w:r>
      <w:r w:rsidR="007E35A3" w:rsidRPr="009222B2">
        <w:t>be vaccinated</w:t>
      </w:r>
      <w:r w:rsidRPr="009222B2">
        <w:t xml:space="preserve"> with </w:t>
      </w:r>
      <w:r w:rsidR="00AC5353" w:rsidRPr="009222B2">
        <w:t>either</w:t>
      </w:r>
      <w:r w:rsidRPr="009222B2">
        <w:t xml:space="preserve"> JYNNEOS or ACAM2000</w:t>
      </w:r>
      <w:r w:rsidR="00AC5353" w:rsidRPr="009222B2">
        <w:t xml:space="preserve">. These smallpox vaccines </w:t>
      </w:r>
      <w:r w:rsidR="007748E6" w:rsidRPr="009222B2">
        <w:t>are</w:t>
      </w:r>
      <w:r w:rsidRPr="009222B2">
        <w:t xml:space="preserve"> expected to provide effective protection against </w:t>
      </w:r>
      <w:r w:rsidR="00AD5E87" w:rsidRPr="009222B2">
        <w:t>m</w:t>
      </w:r>
      <w:r w:rsidR="00AA258F" w:rsidRPr="009222B2">
        <w:t>pox</w:t>
      </w:r>
      <w:r w:rsidRPr="009222B2">
        <w:t>. JYNNEOS</w:t>
      </w:r>
      <w:r w:rsidR="003D6546" w:rsidRPr="009222B2">
        <w:t xml:space="preserve"> </w:t>
      </w:r>
      <w:r w:rsidRPr="009222B2">
        <w:t xml:space="preserve">is the preferred vaccine for both pre-exposure </w:t>
      </w:r>
      <w:r w:rsidR="00D32101" w:rsidRPr="009222B2">
        <w:t xml:space="preserve">and </w:t>
      </w:r>
      <w:r w:rsidRPr="009222B2">
        <w:t xml:space="preserve">post-exposure prophylaxis against </w:t>
      </w:r>
      <w:r w:rsidR="00AD5E87" w:rsidRPr="009222B2">
        <w:t>m</w:t>
      </w:r>
      <w:r w:rsidR="00AA258F" w:rsidRPr="009222B2">
        <w:t>pox</w:t>
      </w:r>
      <w:r w:rsidR="00BE6A07" w:rsidRPr="009222B2">
        <w:t xml:space="preserve">. </w:t>
      </w:r>
      <w:r w:rsidR="00B959BA" w:rsidRPr="009222B2">
        <w:t xml:space="preserve">Specialist providers </w:t>
      </w:r>
      <w:r w:rsidR="00AC5353" w:rsidRPr="009222B2">
        <w:t>could access a l</w:t>
      </w:r>
      <w:r w:rsidR="0072151C" w:rsidRPr="009222B2">
        <w:t>imited supply</w:t>
      </w:r>
      <w:r w:rsidR="00BE6A07" w:rsidRPr="009222B2">
        <w:t xml:space="preserve"> of ACAM2000 </w:t>
      </w:r>
      <w:r w:rsidR="00AC5353" w:rsidRPr="009222B2">
        <w:t>before</w:t>
      </w:r>
      <w:r w:rsidR="00AE351F" w:rsidRPr="009222B2">
        <w:t xml:space="preserve"> JYNNEOS </w:t>
      </w:r>
      <w:r w:rsidR="00D201E6" w:rsidRPr="009222B2">
        <w:t>bec</w:t>
      </w:r>
      <w:r w:rsidR="00AC5353" w:rsidRPr="009222B2">
        <w:t>ame</w:t>
      </w:r>
      <w:r w:rsidR="00D201E6" w:rsidRPr="009222B2">
        <w:t xml:space="preserve"> available</w:t>
      </w:r>
      <w:r w:rsidR="00AE351F" w:rsidRPr="009222B2">
        <w:t xml:space="preserve"> in Australia.</w:t>
      </w:r>
    </w:p>
    <w:p w14:paraId="6AC5D68D" w14:textId="7A770A9E" w:rsidR="00320B6A" w:rsidRPr="009222B2" w:rsidRDefault="00320B6A" w:rsidP="00CB4F26">
      <w:pPr>
        <w:rPr>
          <w:iCs/>
        </w:rPr>
      </w:pPr>
      <w:r w:rsidRPr="009222B2">
        <w:t xml:space="preserve">In 2022, </w:t>
      </w:r>
      <w:r w:rsidR="00520765" w:rsidRPr="009222B2">
        <w:t>16,954</w:t>
      </w:r>
      <w:r w:rsidRPr="009222B2">
        <w:t xml:space="preserve"> people </w:t>
      </w:r>
      <w:r w:rsidR="00520765" w:rsidRPr="009222B2">
        <w:t>completed a course of an mpox vaccine</w:t>
      </w:r>
      <w:r w:rsidRPr="009222B2">
        <w:t>. The vaccines were distributed via states and territories.</w:t>
      </w:r>
    </w:p>
    <w:p w14:paraId="2B8B73A1" w14:textId="43DF3633" w:rsidR="00320B6A" w:rsidRPr="009222B2" w:rsidRDefault="00320B6A" w:rsidP="00CB4F26">
      <w:r w:rsidRPr="009222B2">
        <w:lastRenderedPageBreak/>
        <w:t xml:space="preserve">Cases of </w:t>
      </w:r>
      <w:r w:rsidR="00AD5E87" w:rsidRPr="009222B2">
        <w:t>m</w:t>
      </w:r>
      <w:r w:rsidR="00AA258F" w:rsidRPr="009222B2">
        <w:t>pox</w:t>
      </w:r>
      <w:r w:rsidRPr="009222B2">
        <w:t xml:space="preserve"> in Australia peaked in August </w:t>
      </w:r>
      <w:r w:rsidR="00AC5353" w:rsidRPr="009222B2">
        <w:t xml:space="preserve">2022 </w:t>
      </w:r>
      <w:r w:rsidRPr="009222B2">
        <w:t xml:space="preserve">and have since declined, although transmission remains an ongoing issue in </w:t>
      </w:r>
      <w:r w:rsidR="00B752A8" w:rsidRPr="009222B2">
        <w:t>some</w:t>
      </w:r>
      <w:r w:rsidRPr="009222B2">
        <w:t xml:space="preserve"> countries. ATAGI will continue to monitor epidemiology in Australia and globally</w:t>
      </w:r>
      <w:r w:rsidR="007E0BAA" w:rsidRPr="009222B2">
        <w:t xml:space="preserve"> throughout 2023.</w:t>
      </w:r>
    </w:p>
    <w:p w14:paraId="64A0208C" w14:textId="77777777" w:rsidR="00320B6A" w:rsidRPr="009222B2" w:rsidRDefault="00320B6A" w:rsidP="00320B6A">
      <w:pPr>
        <w:pStyle w:val="Heading3"/>
      </w:pPr>
      <w:r w:rsidRPr="009222B2">
        <w:t>Poliomyelitis</w:t>
      </w:r>
    </w:p>
    <w:p w14:paraId="74542F35" w14:textId="3C445813" w:rsidR="00320B6A" w:rsidRPr="009222B2" w:rsidRDefault="00320B6A" w:rsidP="00CB4F26">
      <w:pPr>
        <w:rPr>
          <w:rStyle w:val="normaltextrun"/>
        </w:rPr>
      </w:pPr>
      <w:r w:rsidRPr="009222B2">
        <w:t xml:space="preserve">Australia has remained polio-free since eliminating the disease in 2000. </w:t>
      </w:r>
      <w:r w:rsidR="00226FD7" w:rsidRPr="009222B2">
        <w:t xml:space="preserve">In 2022, </w:t>
      </w:r>
      <w:hyperlink r:id="rId20" w:history="1">
        <w:r w:rsidR="00226FD7" w:rsidRPr="009222B2">
          <w:rPr>
            <w:rStyle w:val="Hyperlink"/>
          </w:rPr>
          <w:t>cases of vaccine</w:t>
        </w:r>
        <w:r w:rsidR="00B66C2F" w:rsidRPr="009222B2">
          <w:rPr>
            <w:rStyle w:val="Hyperlink"/>
          </w:rPr>
          <w:t>-</w:t>
        </w:r>
        <w:r w:rsidR="00226FD7" w:rsidRPr="009222B2">
          <w:rPr>
            <w:rStyle w:val="Hyperlink"/>
          </w:rPr>
          <w:t>derived polio</w:t>
        </w:r>
      </w:hyperlink>
      <w:r w:rsidR="00226FD7" w:rsidRPr="009222B2">
        <w:t xml:space="preserve"> were </w:t>
      </w:r>
      <w:r w:rsidR="00F23C05" w:rsidRPr="009222B2">
        <w:t>identified</w:t>
      </w:r>
      <w:r w:rsidR="00226FD7" w:rsidRPr="009222B2">
        <w:t xml:space="preserve"> in </w:t>
      </w:r>
      <w:r w:rsidR="00323382">
        <w:t xml:space="preserve">the </w:t>
      </w:r>
      <w:r w:rsidR="00226FD7" w:rsidRPr="009222B2">
        <w:t>USA, Israel</w:t>
      </w:r>
      <w:r w:rsidR="001B0B38" w:rsidRPr="009222B2">
        <w:t>,</w:t>
      </w:r>
      <w:r w:rsidR="00226FD7" w:rsidRPr="009222B2">
        <w:t xml:space="preserve"> Somalia, Yemen and several </w:t>
      </w:r>
      <w:r w:rsidR="001B0B38" w:rsidRPr="009222B2">
        <w:t xml:space="preserve">African </w:t>
      </w:r>
      <w:r w:rsidR="00226FD7" w:rsidRPr="009222B2">
        <w:t xml:space="preserve">countries. </w:t>
      </w:r>
      <w:r w:rsidR="00252A99" w:rsidRPr="009222B2">
        <w:t>P</w:t>
      </w:r>
      <w:r w:rsidRPr="009222B2">
        <w:t>oliovirus w</w:t>
      </w:r>
      <w:r w:rsidR="00252A99" w:rsidRPr="009222B2">
        <w:t>as</w:t>
      </w:r>
      <w:r w:rsidR="001B0B38" w:rsidRPr="009222B2">
        <w:t xml:space="preserve"> also</w:t>
      </w:r>
      <w:r w:rsidRPr="009222B2">
        <w:t xml:space="preserve"> identified in wastewater in Egypt, Israel, the UK, Ukraine,</w:t>
      </w:r>
      <w:r w:rsidR="00323382">
        <w:t xml:space="preserve"> the</w:t>
      </w:r>
      <w:r w:rsidRPr="009222B2">
        <w:t xml:space="preserve"> USA, </w:t>
      </w:r>
      <w:r w:rsidR="001B0B38" w:rsidRPr="009222B2">
        <w:t xml:space="preserve">the </w:t>
      </w:r>
      <w:r w:rsidR="00E74172" w:rsidRPr="009222B2">
        <w:t>e</w:t>
      </w:r>
      <w:r w:rsidRPr="009222B2">
        <w:t xml:space="preserve">astern Mediterranean </w:t>
      </w:r>
      <w:r w:rsidR="001B0B38" w:rsidRPr="009222B2">
        <w:t>region</w:t>
      </w:r>
      <w:r w:rsidRPr="009222B2">
        <w:t xml:space="preserve"> and central Africa. </w:t>
      </w:r>
      <w:r w:rsidRPr="009222B2">
        <w:rPr>
          <w:rStyle w:val="normaltextrun"/>
          <w:rFonts w:cs="Calibri"/>
          <w:bdr w:val="none" w:sz="0" w:space="0" w:color="auto" w:frame="1"/>
        </w:rPr>
        <w:t xml:space="preserve">Australia is </w:t>
      </w:r>
      <w:r w:rsidR="0077395D" w:rsidRPr="009222B2">
        <w:rPr>
          <w:rStyle w:val="normaltextrun"/>
          <w:rFonts w:cs="Calibri"/>
          <w:bdr w:val="none" w:sz="0" w:space="0" w:color="auto" w:frame="1"/>
        </w:rPr>
        <w:t xml:space="preserve">considered </w:t>
      </w:r>
      <w:r w:rsidR="00325369" w:rsidRPr="009222B2">
        <w:rPr>
          <w:rStyle w:val="normaltextrun"/>
          <w:rFonts w:cs="Calibri"/>
          <w:bdr w:val="none" w:sz="0" w:space="0" w:color="auto" w:frame="1"/>
        </w:rPr>
        <w:t xml:space="preserve">to be </w:t>
      </w:r>
      <w:r w:rsidRPr="009222B2">
        <w:rPr>
          <w:rStyle w:val="normaltextrun"/>
          <w:rFonts w:cs="Calibri"/>
          <w:bdr w:val="none" w:sz="0" w:space="0" w:color="auto" w:frame="1"/>
        </w:rPr>
        <w:t>at low risk of a sustained polio outbreak due to high levels of vaccine coverage and good sanitation.</w:t>
      </w:r>
    </w:p>
    <w:p w14:paraId="12082976" w14:textId="652F2475" w:rsidR="00A95DC2" w:rsidRPr="009222B2" w:rsidRDefault="001B2E70" w:rsidP="00CB4F26">
      <w:pPr>
        <w:rPr>
          <w:rStyle w:val="normaltextrun"/>
        </w:rPr>
      </w:pPr>
      <w:r w:rsidRPr="009222B2">
        <w:rPr>
          <w:rStyle w:val="normaltextrun"/>
        </w:rPr>
        <w:t xml:space="preserve">Children need 4 doses of polio vaccine. </w:t>
      </w:r>
      <w:r w:rsidR="00A95DC2" w:rsidRPr="009222B2">
        <w:rPr>
          <w:rStyle w:val="normaltextrun"/>
        </w:rPr>
        <w:t xml:space="preserve">Getting vaccinated on time </w:t>
      </w:r>
      <w:r w:rsidR="00320B6A" w:rsidRPr="009222B2">
        <w:rPr>
          <w:rStyle w:val="normaltextrun"/>
        </w:rPr>
        <w:t>is important</w:t>
      </w:r>
      <w:r w:rsidR="001B0B38" w:rsidRPr="009222B2">
        <w:rPr>
          <w:rStyle w:val="normaltextrun"/>
        </w:rPr>
        <w:t>,</w:t>
      </w:r>
      <w:r w:rsidR="00320B6A" w:rsidRPr="009222B2">
        <w:rPr>
          <w:rStyle w:val="normaltextrun"/>
        </w:rPr>
        <w:t xml:space="preserve"> </w:t>
      </w:r>
      <w:r w:rsidR="00A95DC2" w:rsidRPr="009222B2">
        <w:rPr>
          <w:rStyle w:val="normaltextrun"/>
        </w:rPr>
        <w:t>so that</w:t>
      </w:r>
      <w:r w:rsidR="00320B6A" w:rsidRPr="009222B2">
        <w:rPr>
          <w:rStyle w:val="normaltextrun"/>
        </w:rPr>
        <w:t xml:space="preserve"> protection from the vaccine does not wane. Of those </w:t>
      </w:r>
      <w:r w:rsidR="001B0B38" w:rsidRPr="009222B2">
        <w:rPr>
          <w:rStyle w:val="normaltextrun"/>
        </w:rPr>
        <w:t>children</w:t>
      </w:r>
      <w:r w:rsidR="00320B6A" w:rsidRPr="009222B2">
        <w:rPr>
          <w:rStyle w:val="normaltextrun"/>
        </w:rPr>
        <w:t xml:space="preserve"> who received the</w:t>
      </w:r>
      <w:r w:rsidR="006609F3" w:rsidRPr="009222B2">
        <w:rPr>
          <w:rStyle w:val="normaltextrun"/>
        </w:rPr>
        <w:t xml:space="preserve"> fourth </w:t>
      </w:r>
      <w:r w:rsidR="00F76C3D" w:rsidRPr="009222B2">
        <w:rPr>
          <w:rStyle w:val="normaltextrun"/>
        </w:rPr>
        <w:t>polio vaccine dose</w:t>
      </w:r>
      <w:r w:rsidR="00B90877" w:rsidRPr="009222B2">
        <w:rPr>
          <w:rStyle w:val="normaltextrun"/>
        </w:rPr>
        <w:t xml:space="preserve">, due at </w:t>
      </w:r>
      <w:r w:rsidR="00AC5353" w:rsidRPr="009222B2">
        <w:rPr>
          <w:rStyle w:val="normaltextrun"/>
        </w:rPr>
        <w:t>4 </w:t>
      </w:r>
      <w:r w:rsidR="00B90877" w:rsidRPr="009222B2">
        <w:rPr>
          <w:rStyle w:val="normaltextrun"/>
        </w:rPr>
        <w:t>years of age</w:t>
      </w:r>
      <w:r w:rsidR="00F76C3D" w:rsidRPr="009222B2">
        <w:rPr>
          <w:rStyle w:val="normaltextrun"/>
        </w:rPr>
        <w:t xml:space="preserve">, 35% were </w:t>
      </w:r>
      <w:r w:rsidR="00AC5353" w:rsidRPr="009222B2">
        <w:rPr>
          <w:rStyle w:val="normaltextrun"/>
        </w:rPr>
        <w:t>1 to 3 </w:t>
      </w:r>
      <w:r w:rsidR="00320B6A" w:rsidRPr="009222B2">
        <w:rPr>
          <w:rStyle w:val="normaltextrun"/>
        </w:rPr>
        <w:t>months late for vaccination.</w:t>
      </w:r>
    </w:p>
    <w:p w14:paraId="6FBC5D35" w14:textId="02F166B8" w:rsidR="00320B6A" w:rsidRPr="009222B2" w:rsidRDefault="00320B6A" w:rsidP="00CB4F26">
      <w:r w:rsidRPr="009222B2">
        <w:t>Some regions and population groups in Australia remain under-vaccinated</w:t>
      </w:r>
      <w:r w:rsidR="001B2E70" w:rsidRPr="009222B2">
        <w:t xml:space="preserve">. One of ATAGI’s ongoing priorities </w:t>
      </w:r>
      <w:r w:rsidRPr="009222B2">
        <w:t xml:space="preserve">is to increase vaccination uptake in these communities. ATAGI continues to monitor </w:t>
      </w:r>
      <w:r w:rsidR="004B1F51" w:rsidRPr="009222B2">
        <w:t xml:space="preserve">vaccination </w:t>
      </w:r>
      <w:r w:rsidRPr="009222B2">
        <w:t>coverage and control of poliovirus in Australia and globally.</w:t>
      </w:r>
    </w:p>
    <w:p w14:paraId="39D4C5DC" w14:textId="5009F21D" w:rsidR="00320B6A" w:rsidRPr="009222B2" w:rsidRDefault="00320B6A" w:rsidP="00320B6A">
      <w:pPr>
        <w:pStyle w:val="Heading3"/>
      </w:pPr>
      <w:r w:rsidRPr="009222B2">
        <w:t>Measles</w:t>
      </w:r>
    </w:p>
    <w:p w14:paraId="32B74D42" w14:textId="0A363DE1" w:rsidR="00320B6A" w:rsidRPr="009222B2" w:rsidRDefault="001B0B38" w:rsidP="00CB4F26">
      <w:r w:rsidRPr="009222B2">
        <w:t>Seven</w:t>
      </w:r>
      <w:r w:rsidR="00F60B62" w:rsidRPr="009222B2">
        <w:t> </w:t>
      </w:r>
      <w:r w:rsidR="00320B6A" w:rsidRPr="009222B2">
        <w:t>case</w:t>
      </w:r>
      <w:r w:rsidR="00F37E9B" w:rsidRPr="009222B2">
        <w:t>s</w:t>
      </w:r>
      <w:r w:rsidR="00320B6A" w:rsidRPr="009222B2">
        <w:t xml:space="preserve"> of measles</w:t>
      </w:r>
      <w:r w:rsidR="00AB4196" w:rsidRPr="009222B2">
        <w:t xml:space="preserve"> </w:t>
      </w:r>
      <w:r w:rsidRPr="009222B2">
        <w:t>were</w:t>
      </w:r>
      <w:r w:rsidR="00AB4196" w:rsidRPr="009222B2">
        <w:t xml:space="preserve"> </w:t>
      </w:r>
      <w:r w:rsidR="00D854D7">
        <w:t>reported</w:t>
      </w:r>
      <w:r w:rsidR="00320B6A" w:rsidRPr="009222B2">
        <w:t xml:space="preserve"> in Australia in 2022. </w:t>
      </w:r>
      <w:r w:rsidR="00AB4196" w:rsidRPr="009222B2">
        <w:t xml:space="preserve">All infections were acquired overseas. </w:t>
      </w:r>
      <w:r w:rsidR="00320B6A" w:rsidRPr="009222B2">
        <w:t xml:space="preserve">The last reported case </w:t>
      </w:r>
      <w:r w:rsidR="00F60B62" w:rsidRPr="009222B2">
        <w:t>before</w:t>
      </w:r>
      <w:r w:rsidR="00320B6A" w:rsidRPr="009222B2">
        <w:t xml:space="preserve"> 2022 was in March 2020, before international borders</w:t>
      </w:r>
      <w:r w:rsidR="00F60B62" w:rsidRPr="009222B2">
        <w:t xml:space="preserve"> closed</w:t>
      </w:r>
      <w:r w:rsidR="00931486" w:rsidRPr="009222B2">
        <w:t xml:space="preserve"> due to COVID-19</w:t>
      </w:r>
      <w:r w:rsidR="00320B6A" w:rsidRPr="009222B2">
        <w:t>.</w:t>
      </w:r>
    </w:p>
    <w:p w14:paraId="3D1BA9A1" w14:textId="5AC70F5B" w:rsidR="00320B6A" w:rsidRPr="009222B2" w:rsidRDefault="00320B6A" w:rsidP="00CB4F26">
      <w:r w:rsidRPr="009222B2">
        <w:t xml:space="preserve">Measles was officially eliminated </w:t>
      </w:r>
      <w:r w:rsidR="00C07577" w:rsidRPr="009222B2">
        <w:t xml:space="preserve">as an endemic disease </w:t>
      </w:r>
      <w:r w:rsidRPr="009222B2">
        <w:t>in Australia in 2014</w:t>
      </w:r>
      <w:r w:rsidR="00F60B62" w:rsidRPr="009222B2">
        <w:t>. Since then, all cases</w:t>
      </w:r>
      <w:r w:rsidRPr="009222B2">
        <w:t xml:space="preserve"> and outbreaks</w:t>
      </w:r>
      <w:r w:rsidR="00F60B62" w:rsidRPr="009222B2">
        <w:t xml:space="preserve"> have been </w:t>
      </w:r>
      <w:r w:rsidRPr="009222B2">
        <w:t>linked to overseas travel.</w:t>
      </w:r>
    </w:p>
    <w:p w14:paraId="00AF4335" w14:textId="1241E7E0" w:rsidR="00023345" w:rsidRPr="009222B2" w:rsidRDefault="005B28A6" w:rsidP="00CB4F26">
      <w:r w:rsidRPr="009222B2">
        <w:t xml:space="preserve">The COVID-19 pandemic has </w:t>
      </w:r>
      <w:hyperlink r:id="rId21" w:history="1">
        <w:r w:rsidRPr="009222B2">
          <w:rPr>
            <w:rStyle w:val="Hyperlink"/>
          </w:rPr>
          <w:t>significantly disrupted</w:t>
        </w:r>
        <w:r w:rsidR="003923B4" w:rsidRPr="009222B2">
          <w:rPr>
            <w:rStyle w:val="Hyperlink"/>
          </w:rPr>
          <w:t xml:space="preserve"> measles</w:t>
        </w:r>
        <w:r w:rsidRPr="009222B2">
          <w:rPr>
            <w:rStyle w:val="Hyperlink"/>
          </w:rPr>
          <w:t xml:space="preserve"> immunisation programs</w:t>
        </w:r>
      </w:hyperlink>
      <w:r w:rsidRPr="009222B2">
        <w:t xml:space="preserve"> and disease surveillance in many countries around the world.</w:t>
      </w:r>
      <w:r w:rsidR="003923B4" w:rsidRPr="009222B2">
        <w:t xml:space="preserve"> </w:t>
      </w:r>
      <w:r w:rsidR="009222B2" w:rsidRPr="009222B2">
        <w:t>COVID-19 restrictions</w:t>
      </w:r>
      <w:r w:rsidR="003923B4" w:rsidRPr="009222B2">
        <w:t xml:space="preserve"> r</w:t>
      </w:r>
      <w:r w:rsidRPr="009222B2">
        <w:t>educed international travel</w:t>
      </w:r>
      <w:r w:rsidR="003923B4" w:rsidRPr="009222B2">
        <w:t xml:space="preserve"> and decreased surveillance have</w:t>
      </w:r>
      <w:r w:rsidRPr="009222B2">
        <w:t xml:space="preserve"> likely contributed to a low incidence of measles</w:t>
      </w:r>
      <w:r w:rsidR="003923B4" w:rsidRPr="009222B2">
        <w:t xml:space="preserve"> since</w:t>
      </w:r>
      <w:r w:rsidRPr="009222B2">
        <w:t xml:space="preserve"> 2020</w:t>
      </w:r>
      <w:r w:rsidR="003923B4" w:rsidRPr="009222B2">
        <w:t xml:space="preserve">. </w:t>
      </w:r>
      <w:r w:rsidR="00C128E8" w:rsidRPr="009222B2">
        <w:t>However, i</w:t>
      </w:r>
      <w:r w:rsidR="001F1965" w:rsidRPr="009222B2">
        <w:t>n</w:t>
      </w:r>
      <w:r w:rsidR="00377BE0" w:rsidRPr="009222B2">
        <w:t xml:space="preserve"> </w:t>
      </w:r>
      <w:r w:rsidR="001F1965" w:rsidRPr="009222B2">
        <w:t>2022, t</w:t>
      </w:r>
      <w:r w:rsidR="007072F8" w:rsidRPr="009222B2">
        <w:t xml:space="preserve">here </w:t>
      </w:r>
      <w:r w:rsidR="001F1965" w:rsidRPr="009222B2">
        <w:t>w</w:t>
      </w:r>
      <w:r w:rsidR="00394140" w:rsidRPr="009222B2">
        <w:t>as a resurgence of measles</w:t>
      </w:r>
      <w:r w:rsidR="006F619D" w:rsidRPr="009222B2">
        <w:t xml:space="preserve"> across some</w:t>
      </w:r>
      <w:r w:rsidR="00D37FAE" w:rsidRPr="009222B2">
        <w:t xml:space="preserve"> W</w:t>
      </w:r>
      <w:r w:rsidR="00323382">
        <w:t>orld Health Organization</w:t>
      </w:r>
      <w:r w:rsidR="00D37FAE" w:rsidRPr="009222B2">
        <w:t xml:space="preserve"> regions, including the Asia</w:t>
      </w:r>
      <w:r w:rsidR="00E74172" w:rsidRPr="009222B2">
        <w:t>–</w:t>
      </w:r>
      <w:r w:rsidR="00D37FAE" w:rsidRPr="009222B2">
        <w:t xml:space="preserve">Pacific. </w:t>
      </w:r>
      <w:r w:rsidR="006F619D" w:rsidRPr="009222B2">
        <w:t xml:space="preserve">There remains a </w:t>
      </w:r>
      <w:r w:rsidR="00C128E8" w:rsidRPr="009222B2">
        <w:t xml:space="preserve">significant </w:t>
      </w:r>
      <w:r w:rsidR="006F619D" w:rsidRPr="009222B2">
        <w:t>risk of measles importation into Australia</w:t>
      </w:r>
      <w:r w:rsidRPr="009222B2">
        <w:t xml:space="preserve">. </w:t>
      </w:r>
      <w:r w:rsidR="00320B6A" w:rsidRPr="009222B2">
        <w:t>ATAGI continues to monitor the global epidemiology and maintain preparedness for a measles outbreak in Australia.</w:t>
      </w:r>
    </w:p>
    <w:p w14:paraId="544083AE" w14:textId="3AD7E534" w:rsidR="004C4E55" w:rsidRPr="009222B2" w:rsidRDefault="004C4E55" w:rsidP="004C4E55">
      <w:pPr>
        <w:pStyle w:val="Heading2"/>
      </w:pPr>
      <w:bookmarkStart w:id="11" w:name="_Toc128991501"/>
      <w:r w:rsidRPr="009222B2">
        <w:t>COVID</w:t>
      </w:r>
      <w:r w:rsidR="009C123E" w:rsidRPr="009222B2">
        <w:noBreakHyphen/>
      </w:r>
      <w:r w:rsidRPr="009222B2">
        <w:t>19 vaccination</w:t>
      </w:r>
      <w:bookmarkEnd w:id="11"/>
    </w:p>
    <w:p w14:paraId="03C33D0A" w14:textId="6FFDE5D9" w:rsidR="00905D28" w:rsidRPr="009222B2" w:rsidRDefault="00905D28" w:rsidP="00B622B1">
      <w:r w:rsidRPr="009222B2">
        <w:t>In 2022</w:t>
      </w:r>
      <w:r w:rsidR="00323382">
        <w:t>,</w:t>
      </w:r>
      <w:r w:rsidRPr="009222B2">
        <w:t xml:space="preserve"> the </w:t>
      </w:r>
      <w:r w:rsidR="00B3644E" w:rsidRPr="009222B2">
        <w:t>Therapeutic Goods Administration (</w:t>
      </w:r>
      <w:r w:rsidRPr="009222B2">
        <w:t>TGA</w:t>
      </w:r>
      <w:r w:rsidR="00B3644E" w:rsidRPr="009222B2">
        <w:t>)</w:t>
      </w:r>
      <w:r w:rsidRPr="009222B2">
        <w:t xml:space="preserve"> </w:t>
      </w:r>
      <w:r w:rsidR="00524470" w:rsidRPr="009222B2">
        <w:t xml:space="preserve">provisionally approved </w:t>
      </w:r>
      <w:r w:rsidR="00FD3A0F" w:rsidRPr="009222B2">
        <w:t xml:space="preserve">a new COVID-19 vaccine, Nuvaxovid (Novavax), and new formulations of </w:t>
      </w:r>
      <w:r w:rsidR="00B90B3B">
        <w:t xml:space="preserve">mRNA COVID-19 </w:t>
      </w:r>
      <w:r w:rsidR="00FD3A0F" w:rsidRPr="009222B2">
        <w:t>vaccines</w:t>
      </w:r>
      <w:r w:rsidR="00B90B3B">
        <w:t xml:space="preserve"> (Pfizer and Moderna)</w:t>
      </w:r>
      <w:r w:rsidR="00FD3A0F" w:rsidRPr="009222B2">
        <w:t xml:space="preserve"> for use as either primary course doses or booster doses. ATAGI then recommended how these vaccines could best be used in the Australian context. See</w:t>
      </w:r>
      <w:r w:rsidR="00276802" w:rsidRPr="009222B2">
        <w:t xml:space="preserve"> the timeline</w:t>
      </w:r>
      <w:r w:rsidR="005E189B" w:rsidRPr="009222B2">
        <w:t xml:space="preserve"> on pages</w:t>
      </w:r>
      <w:r w:rsidR="00323382">
        <w:t xml:space="preserve"> 7 and 8</w:t>
      </w:r>
      <w:r w:rsidR="005E189B" w:rsidRPr="009222B2">
        <w:t xml:space="preserve"> </w:t>
      </w:r>
      <w:r w:rsidR="00FD3A0F" w:rsidRPr="009222B2">
        <w:t>for details of this work.</w:t>
      </w:r>
    </w:p>
    <w:p w14:paraId="310EC419" w14:textId="73236485" w:rsidR="00D658B1" w:rsidRPr="009222B2" w:rsidRDefault="00D658B1" w:rsidP="00CB4F26">
      <w:pPr>
        <w:pStyle w:val="Heading3"/>
      </w:pPr>
      <w:r w:rsidRPr="009222B2">
        <w:t>COVID-19 vaccination coverage</w:t>
      </w:r>
    </w:p>
    <w:p w14:paraId="536FD65F" w14:textId="5DF09D21" w:rsidR="00D658B1" w:rsidRPr="009222B2" w:rsidRDefault="005A4663" w:rsidP="00CB4F26">
      <w:pPr>
        <w:pStyle w:val="NormalBeforeBullet"/>
      </w:pPr>
      <w:r w:rsidRPr="009222B2">
        <w:t>COVID-19 vaccination coverage in Australia is high (</w:t>
      </w:r>
      <w:r w:rsidRPr="00323382">
        <w:t>Figure 1).</w:t>
      </w:r>
      <w:r w:rsidRPr="009222B2">
        <w:t xml:space="preserve"> </w:t>
      </w:r>
      <w:r w:rsidR="00D658B1" w:rsidRPr="009222B2">
        <w:t>From the beginning of the COVID-19 vaccination program (February 2021) to 21</w:t>
      </w:r>
      <w:r w:rsidR="009E5C8A" w:rsidRPr="009222B2">
        <w:t> </w:t>
      </w:r>
      <w:r w:rsidR="00D658B1" w:rsidRPr="009222B2">
        <w:t>December 2022:</w:t>
      </w:r>
    </w:p>
    <w:p w14:paraId="047FDE05" w14:textId="77777777" w:rsidR="00D658B1" w:rsidRPr="009222B2" w:rsidRDefault="00D658B1" w:rsidP="00CB4F26">
      <w:pPr>
        <w:pStyle w:val="Bullet"/>
      </w:pPr>
      <w:r w:rsidRPr="009222B2">
        <w:t>more than 64.4 million doses of COVID-19 vaccines were administered across Australia</w:t>
      </w:r>
    </w:p>
    <w:p w14:paraId="0570A884" w14:textId="6B734435" w:rsidR="00323382" w:rsidRDefault="00D658B1" w:rsidP="00CB4F26">
      <w:pPr>
        <w:pStyle w:val="Bullet"/>
      </w:pPr>
      <w:r w:rsidRPr="009222B2">
        <w:t>more than 14.3 million people aged 16 years</w:t>
      </w:r>
      <w:r w:rsidR="00323382">
        <w:t xml:space="preserve"> and over</w:t>
      </w:r>
      <w:r w:rsidRPr="009222B2">
        <w:t xml:space="preserve"> had received 3</w:t>
      </w:r>
      <w:r w:rsidR="003C6450" w:rsidRPr="009222B2">
        <w:t> dose</w:t>
      </w:r>
      <w:r w:rsidRPr="009222B2">
        <w:t>s</w:t>
      </w:r>
      <w:r w:rsidR="00C64980">
        <w:t>:</w:t>
      </w:r>
    </w:p>
    <w:p w14:paraId="1C333EC1" w14:textId="706EF567" w:rsidR="00323382" w:rsidRPr="00C64980" w:rsidRDefault="00D658B1" w:rsidP="00C64980">
      <w:pPr>
        <w:pStyle w:val="Dash"/>
      </w:pPr>
      <w:r w:rsidRPr="00C64980">
        <w:t xml:space="preserve">69% of people </w:t>
      </w:r>
      <w:r w:rsidR="00323382" w:rsidRPr="00C64980">
        <w:t xml:space="preserve">aged </w:t>
      </w:r>
      <w:r w:rsidRPr="00C64980">
        <w:t>16 years</w:t>
      </w:r>
      <w:r w:rsidR="00323382" w:rsidRPr="00C64980">
        <w:t xml:space="preserve"> and over</w:t>
      </w:r>
    </w:p>
    <w:p w14:paraId="690C0287" w14:textId="15633BF2" w:rsidR="00323382" w:rsidRPr="00C64980" w:rsidRDefault="00D658B1" w:rsidP="00C64980">
      <w:pPr>
        <w:pStyle w:val="Dash"/>
      </w:pPr>
      <w:r w:rsidRPr="00C64980">
        <w:lastRenderedPageBreak/>
        <w:t xml:space="preserve">76% of people </w:t>
      </w:r>
      <w:r w:rsidR="00323382" w:rsidRPr="00C64980">
        <w:t xml:space="preserve">aged </w:t>
      </w:r>
      <w:r w:rsidRPr="00C64980">
        <w:t>30 year</w:t>
      </w:r>
      <w:r w:rsidR="00323382" w:rsidRPr="00C64980">
        <w:t>s and over</w:t>
      </w:r>
    </w:p>
    <w:p w14:paraId="387521AF" w14:textId="241954E2" w:rsidR="00D658B1" w:rsidRPr="009222B2" w:rsidRDefault="00D658B1" w:rsidP="00C64980">
      <w:pPr>
        <w:pStyle w:val="DashLast"/>
      </w:pPr>
      <w:r w:rsidRPr="00C64980">
        <w:t>93</w:t>
      </w:r>
      <w:r w:rsidRPr="009222B2">
        <w:t xml:space="preserve">% of people </w:t>
      </w:r>
      <w:r w:rsidR="00323382">
        <w:t>aged 6</w:t>
      </w:r>
      <w:r w:rsidRPr="009222B2">
        <w:t>5 years</w:t>
      </w:r>
      <w:r w:rsidR="00323382">
        <w:t xml:space="preserve"> and over</w:t>
      </w:r>
    </w:p>
    <w:p w14:paraId="5A40DC96" w14:textId="4029927A" w:rsidR="00323382" w:rsidRDefault="00C04B05" w:rsidP="00CB4F26">
      <w:pPr>
        <w:pStyle w:val="Bullet"/>
      </w:pPr>
      <w:r w:rsidRPr="009222B2">
        <w:t>m</w:t>
      </w:r>
      <w:r w:rsidR="00D658B1" w:rsidRPr="009222B2">
        <w:t>ore than 5.3 million people had received 4</w:t>
      </w:r>
      <w:r w:rsidR="003C6450" w:rsidRPr="009222B2">
        <w:t> dose</w:t>
      </w:r>
      <w:r w:rsidR="00D658B1" w:rsidRPr="009222B2">
        <w:t>s</w:t>
      </w:r>
      <w:r w:rsidR="00C64980">
        <w:t>:</w:t>
      </w:r>
    </w:p>
    <w:p w14:paraId="49E1E6A4" w14:textId="5D585150" w:rsidR="00323382" w:rsidRPr="00C64980" w:rsidRDefault="00D658B1" w:rsidP="00C64980">
      <w:pPr>
        <w:pStyle w:val="Dash"/>
      </w:pPr>
      <w:r w:rsidRPr="009222B2">
        <w:t xml:space="preserve">33% </w:t>
      </w:r>
      <w:r w:rsidRPr="00C64980">
        <w:t xml:space="preserve">of people </w:t>
      </w:r>
      <w:r w:rsidR="00323382" w:rsidRPr="00C64980">
        <w:t>aged 30 years and over</w:t>
      </w:r>
    </w:p>
    <w:p w14:paraId="009A1570" w14:textId="60DEF90D" w:rsidR="00D658B1" w:rsidRPr="009222B2" w:rsidRDefault="00D658B1" w:rsidP="00C64980">
      <w:pPr>
        <w:pStyle w:val="DashLast"/>
      </w:pPr>
      <w:r w:rsidRPr="00C64980">
        <w:t>70% of</w:t>
      </w:r>
      <w:r w:rsidRPr="009222B2">
        <w:t xml:space="preserve"> people </w:t>
      </w:r>
      <w:r w:rsidR="00323382">
        <w:t xml:space="preserve">aged </w:t>
      </w:r>
      <w:r w:rsidRPr="009222B2">
        <w:t>65 years</w:t>
      </w:r>
      <w:r w:rsidR="00323382">
        <w:t xml:space="preserve"> and over</w:t>
      </w:r>
    </w:p>
    <w:p w14:paraId="3A6D68C7" w14:textId="7C838D82" w:rsidR="00D658B1" w:rsidRPr="009222B2" w:rsidRDefault="00C04B05" w:rsidP="00D658B1">
      <w:pPr>
        <w:pStyle w:val="BulletLast"/>
      </w:pPr>
      <w:r w:rsidRPr="009222B2">
        <w:t>m</w:t>
      </w:r>
      <w:r w:rsidR="00D658B1" w:rsidRPr="009222B2">
        <w:t>ore than 900,000 children (40%) aged 5 to 11</w:t>
      </w:r>
      <w:r w:rsidR="003C6450" w:rsidRPr="009222B2">
        <w:t> year</w:t>
      </w:r>
      <w:r w:rsidR="00D658B1" w:rsidRPr="009222B2">
        <w:t>s had received 2</w:t>
      </w:r>
      <w:r w:rsidR="003C6450" w:rsidRPr="009222B2">
        <w:t> dose</w:t>
      </w:r>
      <w:r w:rsidR="00D658B1" w:rsidRPr="009222B2">
        <w:t>s.</w:t>
      </w:r>
    </w:p>
    <w:p w14:paraId="1B61121D" w14:textId="6476AE66" w:rsidR="00CB4F26" w:rsidRPr="009222B2" w:rsidRDefault="00C675A9" w:rsidP="007B1453">
      <w:r w:rsidRPr="009222B2">
        <w:t xml:space="preserve"> </w:t>
      </w:r>
      <w:r w:rsidR="007B1453">
        <w:rPr>
          <w:noProof/>
        </w:rPr>
        <w:drawing>
          <wp:inline distT="0" distB="0" distL="0" distR="0" wp14:anchorId="380D6003" wp14:editId="22195783">
            <wp:extent cx="5731510" cy="4415155"/>
            <wp:effectExtent l="0" t="0" r="2540" b="4445"/>
            <wp:docPr id="2" name="Picture 2" descr="This 100% stacked column chart shows the percentages of eligible people in 18 different age groups who are unvaccinated, or have received 1, 2,3 or 4 or more doses of COVID-19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100% stacked column chart shows the percentages of eligible people in 18 different age groups who are unvaccinated, or have received 1, 2,3 or 4 or more doses of COVID-19 vaccine."/>
                    <pic:cNvPicPr/>
                  </pic:nvPicPr>
                  <pic:blipFill>
                    <a:blip r:embed="rId22"/>
                    <a:stretch>
                      <a:fillRect/>
                    </a:stretch>
                  </pic:blipFill>
                  <pic:spPr>
                    <a:xfrm>
                      <a:off x="0" y="0"/>
                      <a:ext cx="5731510" cy="4415155"/>
                    </a:xfrm>
                    <a:prstGeom prst="rect">
                      <a:avLst/>
                    </a:prstGeom>
                  </pic:spPr>
                </pic:pic>
              </a:graphicData>
            </a:graphic>
          </wp:inline>
        </w:drawing>
      </w:r>
    </w:p>
    <w:p w14:paraId="462F48B4" w14:textId="020A0A5E" w:rsidR="001712B4" w:rsidRPr="009222B2" w:rsidRDefault="001712B4" w:rsidP="001712B4">
      <w:pPr>
        <w:pStyle w:val="TFNoteSource"/>
      </w:pPr>
      <w:r w:rsidRPr="009222B2">
        <w:t xml:space="preserve">Source: </w:t>
      </w:r>
      <w:r w:rsidRPr="009222B2">
        <w:tab/>
      </w:r>
      <w:hyperlink r:id="rId23" w:anchor="covid19-vaccinations" w:history="1">
        <w:r w:rsidRPr="009222B2">
          <w:rPr>
            <w:rStyle w:val="Hyperlink"/>
          </w:rPr>
          <w:t>Australian Government Department of Health and Aged Care</w:t>
        </w:r>
      </w:hyperlink>
      <w:r w:rsidRPr="009222B2">
        <w:t>, 27</w:t>
      </w:r>
      <w:r w:rsidR="009E5C8A" w:rsidRPr="009222B2">
        <w:t> </w:t>
      </w:r>
      <w:r w:rsidRPr="009222B2">
        <w:t>January 2023</w:t>
      </w:r>
    </w:p>
    <w:p w14:paraId="2A53840A" w14:textId="61A834AF" w:rsidR="00CB4F26" w:rsidRPr="009222B2" w:rsidRDefault="005A4663" w:rsidP="005A4663">
      <w:pPr>
        <w:pStyle w:val="FigureTitle"/>
      </w:pPr>
      <w:r w:rsidRPr="009222B2">
        <w:t>Figure 1</w:t>
      </w:r>
      <w:r w:rsidRPr="009222B2">
        <w:tab/>
      </w:r>
      <w:r w:rsidRPr="009222B2">
        <w:tab/>
      </w:r>
      <w:r w:rsidR="0038092E" w:rsidRPr="009222B2">
        <w:t>COVID-19 v</w:t>
      </w:r>
      <w:r w:rsidRPr="009222B2">
        <w:t>accination dose coverage by age, as percentage of estimated eligible residential population</w:t>
      </w:r>
      <w:r w:rsidR="0038092E" w:rsidRPr="009222B2">
        <w:t xml:space="preserve"> in Australia</w:t>
      </w:r>
    </w:p>
    <w:p w14:paraId="6DAFF290" w14:textId="7AF3ED5E" w:rsidR="00087133" w:rsidRPr="009222B2" w:rsidRDefault="00087133" w:rsidP="00CB4F26">
      <w:pPr>
        <w:pStyle w:val="Heading3"/>
      </w:pPr>
      <w:r w:rsidRPr="009222B2">
        <w:t>Other ATAGI COVID-19 activities</w:t>
      </w:r>
    </w:p>
    <w:p w14:paraId="125966C3" w14:textId="77777777" w:rsidR="00D658B1" w:rsidRPr="009222B2" w:rsidRDefault="00D658B1" w:rsidP="00D658B1">
      <w:pPr>
        <w:pStyle w:val="NormalBeforeBullet"/>
      </w:pPr>
      <w:r w:rsidRPr="009222B2">
        <w:t>During 2022, ATAGI continued to develop:</w:t>
      </w:r>
    </w:p>
    <w:p w14:paraId="0AC7F526" w14:textId="77777777" w:rsidR="00D658B1" w:rsidRPr="009222B2" w:rsidRDefault="00F662CF" w:rsidP="00BA03D1">
      <w:pPr>
        <w:pStyle w:val="Bullet"/>
      </w:pPr>
      <w:hyperlink r:id="rId24" w:history="1">
        <w:r w:rsidR="00D658B1" w:rsidRPr="009222B2">
          <w:rPr>
            <w:rStyle w:val="Hyperlink"/>
          </w:rPr>
          <w:t>clinical guidance for COVID</w:t>
        </w:r>
        <w:r w:rsidR="00D658B1" w:rsidRPr="009222B2">
          <w:rPr>
            <w:rStyle w:val="Hyperlink"/>
          </w:rPr>
          <w:noBreakHyphen/>
          <w:t>19 vaccine providers</w:t>
        </w:r>
      </w:hyperlink>
    </w:p>
    <w:p w14:paraId="34147006" w14:textId="77777777" w:rsidR="00D658B1" w:rsidRPr="009222B2" w:rsidRDefault="00F662CF" w:rsidP="00BA03D1">
      <w:pPr>
        <w:pStyle w:val="Bullet"/>
      </w:pPr>
      <w:hyperlink r:id="rId25" w:history="1">
        <w:r w:rsidR="00D658B1" w:rsidRPr="009222B2">
          <w:rPr>
            <w:rStyle w:val="Hyperlink"/>
          </w:rPr>
          <w:t>resources for immunisation providers</w:t>
        </w:r>
      </w:hyperlink>
    </w:p>
    <w:p w14:paraId="0F1A5905" w14:textId="71216C30" w:rsidR="00D658B1" w:rsidRPr="009222B2" w:rsidRDefault="00F662CF" w:rsidP="002F015D">
      <w:pPr>
        <w:pStyle w:val="BulletLast"/>
        <w:rPr>
          <w:rStyle w:val="Hyperlink"/>
          <w:rFonts w:eastAsia="Arial"/>
          <w:color w:val="auto"/>
          <w:u w:val="none"/>
        </w:rPr>
      </w:pPr>
      <w:hyperlink r:id="rId26" w:history="1">
        <w:r w:rsidR="00D658B1" w:rsidRPr="009222B2">
          <w:rPr>
            <w:rStyle w:val="Hyperlink"/>
          </w:rPr>
          <w:t>resources for consumers</w:t>
        </w:r>
      </w:hyperlink>
      <w:r w:rsidR="002F015D" w:rsidRPr="009222B2">
        <w:t>.</w:t>
      </w:r>
    </w:p>
    <w:p w14:paraId="4A30415F" w14:textId="05AD9401" w:rsidR="005E189B" w:rsidRPr="009222B2" w:rsidRDefault="0022727B" w:rsidP="009222B2">
      <w:pPr>
        <w:rPr>
          <w:b/>
          <w:bCs/>
          <w:szCs w:val="21"/>
        </w:rPr>
      </w:pPr>
      <w:r w:rsidRPr="009222B2">
        <w:rPr>
          <w:rFonts w:eastAsia="Arial"/>
        </w:rPr>
        <w:t>ATAGI updated t</w:t>
      </w:r>
      <w:r w:rsidR="00D658B1" w:rsidRPr="009222B2">
        <w:rPr>
          <w:rFonts w:eastAsia="Arial"/>
        </w:rPr>
        <w:t xml:space="preserve">hese resources frequently as more vaccines were registered </w:t>
      </w:r>
      <w:r w:rsidR="002F015D" w:rsidRPr="009222B2">
        <w:rPr>
          <w:rFonts w:eastAsia="Arial"/>
        </w:rPr>
        <w:t xml:space="preserve">for use </w:t>
      </w:r>
      <w:r w:rsidR="00D658B1" w:rsidRPr="009222B2">
        <w:rPr>
          <w:rFonts w:eastAsia="Arial"/>
        </w:rPr>
        <w:t>in different age groups, and as new evidence on vaccine handling, efficacy, effectiveness and safety became available.</w:t>
      </w:r>
    </w:p>
    <w:p w14:paraId="26F25DAC" w14:textId="48594079" w:rsidR="009F68D2" w:rsidRPr="009222B2" w:rsidRDefault="009F68D2" w:rsidP="00032A9F">
      <w:pPr>
        <w:pStyle w:val="TableTitle"/>
      </w:pPr>
      <w:bookmarkStart w:id="12" w:name="_Hlk125709004"/>
      <w:r w:rsidRPr="009222B2">
        <w:lastRenderedPageBreak/>
        <w:t>ATAGI recommendations regarding use of COVID-19 vaccines provisionally approved by the TGA in 2022</w:t>
      </w:r>
    </w:p>
    <w:tbl>
      <w:tblPr>
        <w:tblStyle w:val="TableGrid"/>
        <w:tblW w:w="0" w:type="auto"/>
        <w:tblLook w:val="04A0" w:firstRow="1" w:lastRow="0" w:firstColumn="1" w:lastColumn="0" w:noHBand="0" w:noVBand="1"/>
      </w:tblPr>
      <w:tblGrid>
        <w:gridCol w:w="1620"/>
        <w:gridCol w:w="3337"/>
        <w:gridCol w:w="4059"/>
      </w:tblGrid>
      <w:tr w:rsidR="00C76BB7" w:rsidRPr="009222B2" w14:paraId="30BFE533" w14:textId="77777777" w:rsidTr="00ED6FD5">
        <w:tc>
          <w:tcPr>
            <w:tcW w:w="1620" w:type="dxa"/>
          </w:tcPr>
          <w:p w14:paraId="496D57DE" w14:textId="7917C610" w:rsidR="00C76BB7" w:rsidRPr="009222B2" w:rsidRDefault="00C76BB7" w:rsidP="00123473">
            <w:pPr>
              <w:pStyle w:val="TableHeading"/>
            </w:pPr>
            <w:bookmarkStart w:id="13" w:name="_Hlk124946104"/>
            <w:bookmarkEnd w:id="12"/>
            <w:r w:rsidRPr="009222B2">
              <w:t>Month</w:t>
            </w:r>
            <w:r w:rsidR="00F417D6" w:rsidRPr="009222B2">
              <w:t xml:space="preserve"> (2022)</w:t>
            </w:r>
          </w:p>
        </w:tc>
        <w:tc>
          <w:tcPr>
            <w:tcW w:w="3337" w:type="dxa"/>
            <w:shd w:val="clear" w:color="auto" w:fill="auto"/>
          </w:tcPr>
          <w:p w14:paraId="02D0C5B4" w14:textId="0D4E6762" w:rsidR="00C76BB7" w:rsidRPr="009222B2" w:rsidRDefault="00C76BB7" w:rsidP="00123473">
            <w:pPr>
              <w:pStyle w:val="TableHeading"/>
              <w:rPr>
                <w:rFonts w:eastAsia="Calibri" w:cs="Calibri"/>
                <w:color w:val="000000" w:themeColor="text1"/>
                <w:szCs w:val="22"/>
              </w:rPr>
            </w:pPr>
            <w:r w:rsidRPr="009222B2">
              <w:rPr>
                <w:rFonts w:eastAsia="Calibri" w:cs="Calibri"/>
                <w:color w:val="000000" w:themeColor="text1"/>
                <w:szCs w:val="22"/>
              </w:rPr>
              <w:t>TGA provisional</w:t>
            </w:r>
            <w:r w:rsidR="005948E5" w:rsidRPr="009222B2">
              <w:rPr>
                <w:rFonts w:eastAsia="Calibri" w:cs="Calibri"/>
                <w:color w:val="000000" w:themeColor="text1"/>
                <w:szCs w:val="22"/>
              </w:rPr>
              <w:t>ly</w:t>
            </w:r>
            <w:r w:rsidRPr="009222B2">
              <w:rPr>
                <w:rFonts w:eastAsia="Calibri" w:cs="Calibri"/>
                <w:color w:val="000000" w:themeColor="text1"/>
                <w:szCs w:val="22"/>
              </w:rPr>
              <w:t xml:space="preserve"> approv</w:t>
            </w:r>
            <w:r w:rsidR="005948E5" w:rsidRPr="009222B2">
              <w:rPr>
                <w:rFonts w:eastAsia="Calibri" w:cs="Calibri"/>
                <w:color w:val="000000" w:themeColor="text1"/>
                <w:szCs w:val="22"/>
              </w:rPr>
              <w:t>ed…</w:t>
            </w:r>
          </w:p>
        </w:tc>
        <w:tc>
          <w:tcPr>
            <w:tcW w:w="4059" w:type="dxa"/>
          </w:tcPr>
          <w:p w14:paraId="1E3D4D01" w14:textId="258072A9" w:rsidR="00C76BB7" w:rsidRPr="009222B2" w:rsidRDefault="00C76BB7" w:rsidP="00123473">
            <w:pPr>
              <w:pStyle w:val="TableHeading"/>
              <w:rPr>
                <w:rFonts w:eastAsia="Calibri" w:cs="Calibri"/>
                <w:color w:val="000000" w:themeColor="text1"/>
                <w:szCs w:val="22"/>
              </w:rPr>
            </w:pPr>
            <w:r w:rsidRPr="009222B2">
              <w:rPr>
                <w:rFonts w:eastAsia="Calibri" w:cs="Calibri"/>
                <w:color w:val="000000" w:themeColor="text1"/>
                <w:szCs w:val="22"/>
              </w:rPr>
              <w:t>ATAGI recommend</w:t>
            </w:r>
            <w:r w:rsidR="005948E5" w:rsidRPr="009222B2">
              <w:rPr>
                <w:rFonts w:eastAsia="Calibri" w:cs="Calibri"/>
                <w:color w:val="000000" w:themeColor="text1"/>
                <w:szCs w:val="22"/>
              </w:rPr>
              <w:t>ed…</w:t>
            </w:r>
          </w:p>
        </w:tc>
      </w:tr>
      <w:tr w:rsidR="00F231EF" w:rsidRPr="009222B2" w14:paraId="56B7C95E" w14:textId="77777777" w:rsidTr="00ED6FD5">
        <w:tc>
          <w:tcPr>
            <w:tcW w:w="1620" w:type="dxa"/>
          </w:tcPr>
          <w:p w14:paraId="4E3044D3" w14:textId="50262DEE" w:rsidR="00F231EF" w:rsidRPr="009222B2" w:rsidRDefault="00F231EF" w:rsidP="00320B6A">
            <w:pPr>
              <w:keepNext/>
            </w:pPr>
            <w:r w:rsidRPr="009222B2">
              <w:t>January</w:t>
            </w:r>
          </w:p>
        </w:tc>
        <w:tc>
          <w:tcPr>
            <w:tcW w:w="3337" w:type="dxa"/>
            <w:shd w:val="clear" w:color="auto" w:fill="auto"/>
          </w:tcPr>
          <w:p w14:paraId="7C47074C" w14:textId="563C618B" w:rsidR="00F231EF" w:rsidRPr="009222B2" w:rsidRDefault="00F662CF" w:rsidP="00F231EF">
            <w:pPr>
              <w:rPr>
                <w:rFonts w:eastAsia="Calibri" w:cs="Calibri"/>
                <w:color w:val="000000" w:themeColor="text1"/>
                <w:szCs w:val="22"/>
              </w:rPr>
            </w:pPr>
            <w:hyperlink r:id="rId27" w:history="1">
              <w:r w:rsidR="00F231EF" w:rsidRPr="009222B2">
                <w:rPr>
                  <w:rStyle w:val="Hyperlink"/>
                  <w:rFonts w:eastAsia="Calibri" w:cs="Calibri"/>
                  <w:szCs w:val="22"/>
                </w:rPr>
                <w:t>Novavax</w:t>
              </w:r>
            </w:hyperlink>
            <w:r w:rsidR="00F231EF" w:rsidRPr="009222B2">
              <w:rPr>
                <w:rFonts w:eastAsia="Calibri" w:cs="Calibri"/>
                <w:color w:val="000000" w:themeColor="text1"/>
                <w:szCs w:val="22"/>
              </w:rPr>
              <w:t xml:space="preserve"> for</w:t>
            </w:r>
            <w:r w:rsidR="004845BC" w:rsidRPr="009222B2">
              <w:rPr>
                <w:rFonts w:eastAsia="Calibri" w:cs="Calibri"/>
                <w:color w:val="000000" w:themeColor="text1"/>
                <w:szCs w:val="22"/>
              </w:rPr>
              <w:t xml:space="preserve"> use as the primary course</w:t>
            </w:r>
            <w:r w:rsidR="00F231EF" w:rsidRPr="009222B2">
              <w:rPr>
                <w:rFonts w:eastAsia="Calibri" w:cs="Calibri"/>
                <w:color w:val="000000" w:themeColor="text1"/>
                <w:szCs w:val="22"/>
              </w:rPr>
              <w:t xml:space="preserve"> in people aged 18 years and over.</w:t>
            </w:r>
          </w:p>
          <w:p w14:paraId="2FC494C7" w14:textId="1D476230" w:rsidR="00F231EF" w:rsidRPr="009222B2" w:rsidRDefault="00F662CF" w:rsidP="105B4800">
            <w:pPr>
              <w:rPr>
                <w:rFonts w:eastAsia="Calibri" w:cs="Calibri"/>
                <w:color w:val="000000" w:themeColor="text1"/>
                <w:szCs w:val="22"/>
              </w:rPr>
            </w:pPr>
            <w:hyperlink r:id="rId28" w:history="1">
              <w:r w:rsidR="00F231EF" w:rsidRPr="009222B2">
                <w:rPr>
                  <w:rStyle w:val="Hyperlink"/>
                </w:rPr>
                <w:t>Pfizer</w:t>
              </w:r>
            </w:hyperlink>
            <w:r w:rsidR="00F231EF" w:rsidRPr="009222B2">
              <w:t xml:space="preserve"> for use as a booster dose in </w:t>
            </w:r>
            <w:r w:rsidR="0035387C" w:rsidRPr="009222B2">
              <w:t>adolescents</w:t>
            </w:r>
            <w:r w:rsidR="00F231EF" w:rsidRPr="009222B2">
              <w:t xml:space="preserve"> aged 16 to 17 years.</w:t>
            </w:r>
          </w:p>
        </w:tc>
        <w:tc>
          <w:tcPr>
            <w:tcW w:w="4059" w:type="dxa"/>
          </w:tcPr>
          <w:p w14:paraId="30CCBDD3" w14:textId="0C5C658E" w:rsidR="00F231EF" w:rsidRPr="009222B2" w:rsidRDefault="005948E5" w:rsidP="105B4800">
            <w:pPr>
              <w:rPr>
                <w:rFonts w:eastAsia="Calibri" w:cs="Calibri"/>
                <w:color w:val="000000" w:themeColor="text1"/>
                <w:szCs w:val="22"/>
              </w:rPr>
            </w:pPr>
            <w:r w:rsidRPr="009222B2">
              <w:rPr>
                <w:rFonts w:eastAsia="Calibri" w:cs="Calibri"/>
                <w:color w:val="000000" w:themeColor="text1"/>
                <w:szCs w:val="22"/>
              </w:rPr>
              <w:t xml:space="preserve">A third primary dose for </w:t>
            </w:r>
            <w:hyperlink r:id="rId29" w:history="1">
              <w:r w:rsidRPr="009222B2">
                <w:rPr>
                  <w:rStyle w:val="Hyperlink"/>
                  <w:rFonts w:eastAsia="Calibri" w:cs="Calibri"/>
                  <w:szCs w:val="22"/>
                </w:rPr>
                <w:t>se</w:t>
              </w:r>
              <w:r w:rsidR="00F231EF" w:rsidRPr="009222B2">
                <w:rPr>
                  <w:rStyle w:val="Hyperlink"/>
                  <w:rFonts w:eastAsia="Calibri" w:cs="Calibri"/>
                  <w:szCs w:val="22"/>
                </w:rPr>
                <w:t>verely immunocompromised children aged 5 to 11 years</w:t>
              </w:r>
            </w:hyperlink>
            <w:r w:rsidR="00F231EF" w:rsidRPr="009222B2">
              <w:rPr>
                <w:rFonts w:eastAsia="Calibri" w:cs="Calibri"/>
                <w:color w:val="000000" w:themeColor="text1"/>
                <w:szCs w:val="22"/>
              </w:rPr>
              <w:t>.</w:t>
            </w:r>
          </w:p>
          <w:p w14:paraId="2CCD3004" w14:textId="15105FE0" w:rsidR="00F231EF" w:rsidRPr="009222B2" w:rsidRDefault="00FD3A0F" w:rsidP="00123473">
            <w:r w:rsidRPr="009222B2">
              <w:rPr>
                <w:rFonts w:eastAsia="Calibri"/>
              </w:rPr>
              <w:t xml:space="preserve">Novavax </w:t>
            </w:r>
            <w:r w:rsidR="004845BC" w:rsidRPr="009222B2">
              <w:rPr>
                <w:rFonts w:eastAsia="Calibri"/>
              </w:rPr>
              <w:t xml:space="preserve">can be used </w:t>
            </w:r>
            <w:r w:rsidR="00F231EF" w:rsidRPr="009222B2">
              <w:t xml:space="preserve">for the primary course in </w:t>
            </w:r>
            <w:hyperlink r:id="rId30" w:history="1">
              <w:r w:rsidR="00F231EF" w:rsidRPr="009222B2">
                <w:rPr>
                  <w:rStyle w:val="Hyperlink"/>
                </w:rPr>
                <w:t xml:space="preserve">people aged 18 </w:t>
              </w:r>
              <w:r w:rsidR="00916C82" w:rsidRPr="009222B2">
                <w:rPr>
                  <w:rStyle w:val="Hyperlink"/>
                </w:rPr>
                <w:t xml:space="preserve">years </w:t>
              </w:r>
              <w:r w:rsidR="00F231EF" w:rsidRPr="009222B2">
                <w:rPr>
                  <w:rStyle w:val="Hyperlink"/>
                </w:rPr>
                <w:t>or older</w:t>
              </w:r>
            </w:hyperlink>
            <w:r w:rsidR="00F231EF" w:rsidRPr="009222B2">
              <w:t>.</w:t>
            </w:r>
          </w:p>
        </w:tc>
      </w:tr>
      <w:tr w:rsidR="00F231EF" w:rsidRPr="009222B2" w14:paraId="1703DDE9" w14:textId="77777777" w:rsidTr="00ED6FD5">
        <w:tc>
          <w:tcPr>
            <w:tcW w:w="1620" w:type="dxa"/>
          </w:tcPr>
          <w:p w14:paraId="63B4F2AA" w14:textId="50AAB2B1" w:rsidR="00F231EF" w:rsidRPr="009222B2" w:rsidRDefault="00F231EF" w:rsidP="00382283">
            <w:r w:rsidRPr="009222B2">
              <w:t>February</w:t>
            </w:r>
          </w:p>
        </w:tc>
        <w:tc>
          <w:tcPr>
            <w:tcW w:w="3337" w:type="dxa"/>
            <w:shd w:val="clear" w:color="auto" w:fill="auto"/>
          </w:tcPr>
          <w:p w14:paraId="5E4F09E8" w14:textId="07E2589F" w:rsidR="00524470" w:rsidRPr="009222B2" w:rsidRDefault="00F662CF" w:rsidP="00524470">
            <w:hyperlink r:id="rId31" w:history="1">
              <w:r w:rsidR="00524470" w:rsidRPr="009222B2">
                <w:rPr>
                  <w:rStyle w:val="Hyperlink"/>
                </w:rPr>
                <w:t>AstraZeneca</w:t>
              </w:r>
            </w:hyperlink>
            <w:r w:rsidR="00524470" w:rsidRPr="009222B2">
              <w:t xml:space="preserve"> for use as a booster dose in people aged 18 years and over.</w:t>
            </w:r>
          </w:p>
          <w:p w14:paraId="59ABC894" w14:textId="30675325" w:rsidR="00F231EF" w:rsidRPr="009222B2" w:rsidRDefault="00F662CF" w:rsidP="00524470">
            <w:hyperlink r:id="rId32" w:history="1">
              <w:r w:rsidR="00524470" w:rsidRPr="009222B2">
                <w:rPr>
                  <w:rStyle w:val="Hyperlink"/>
                </w:rPr>
                <w:t>Moderna</w:t>
              </w:r>
            </w:hyperlink>
            <w:r w:rsidR="00524470" w:rsidRPr="009222B2">
              <w:t xml:space="preserve"> for use</w:t>
            </w:r>
            <w:r w:rsidR="00BB5277" w:rsidRPr="009222B2">
              <w:t xml:space="preserve"> as the primary course</w:t>
            </w:r>
            <w:r w:rsidR="00524470" w:rsidRPr="009222B2">
              <w:t xml:space="preserve"> in </w:t>
            </w:r>
            <w:r w:rsidR="007C3613" w:rsidRPr="009222B2">
              <w:t>children</w:t>
            </w:r>
            <w:r w:rsidR="00524470" w:rsidRPr="009222B2">
              <w:t xml:space="preserve"> aged 6 to 11 years</w:t>
            </w:r>
            <w:r w:rsidR="009F245A" w:rsidRPr="009222B2">
              <w:t>.</w:t>
            </w:r>
          </w:p>
        </w:tc>
        <w:tc>
          <w:tcPr>
            <w:tcW w:w="4059" w:type="dxa"/>
          </w:tcPr>
          <w:p w14:paraId="18981E10" w14:textId="404530DC" w:rsidR="00F231EF" w:rsidRPr="009222B2" w:rsidRDefault="00DD0DF6" w:rsidP="00382283">
            <w:pPr>
              <w:rPr>
                <w:rStyle w:val="Hyperlink"/>
              </w:rPr>
            </w:pPr>
            <w:r w:rsidRPr="009222B2">
              <w:t xml:space="preserve">A first booster dose for </w:t>
            </w:r>
            <w:hyperlink r:id="rId33" w:history="1">
              <w:r w:rsidRPr="009222B2">
                <w:rPr>
                  <w:rStyle w:val="Hyperlink"/>
                </w:rPr>
                <w:t>all adolescents aged 16 to 17 years</w:t>
              </w:r>
            </w:hyperlink>
            <w:r w:rsidRPr="009222B2">
              <w:t>.</w:t>
            </w:r>
          </w:p>
          <w:p w14:paraId="2FCE4398" w14:textId="355729BC" w:rsidR="00F231EF" w:rsidRPr="009222B2" w:rsidRDefault="00F231EF" w:rsidP="00382283">
            <w:r w:rsidRPr="009222B2">
              <w:t xml:space="preserve">Moderna </w:t>
            </w:r>
            <w:r w:rsidR="005948E5" w:rsidRPr="009222B2">
              <w:t xml:space="preserve">for the primary course in </w:t>
            </w:r>
            <w:hyperlink r:id="rId34" w:history="1">
              <w:r w:rsidRPr="009222B2">
                <w:rPr>
                  <w:rStyle w:val="Hyperlink"/>
                </w:rPr>
                <w:t>children aged 6 to 11 years</w:t>
              </w:r>
            </w:hyperlink>
            <w:r w:rsidRPr="009222B2">
              <w:rPr>
                <w:rStyle w:val="Hyperlink"/>
                <w:color w:val="auto"/>
                <w:u w:val="none"/>
              </w:rPr>
              <w:t>.</w:t>
            </w:r>
          </w:p>
        </w:tc>
      </w:tr>
      <w:tr w:rsidR="00F231EF" w:rsidRPr="009222B2" w14:paraId="0C607522" w14:textId="77777777" w:rsidTr="00ED6FD5">
        <w:tc>
          <w:tcPr>
            <w:tcW w:w="1620" w:type="dxa"/>
          </w:tcPr>
          <w:p w14:paraId="0A64F642" w14:textId="2942C637" w:rsidR="00F231EF" w:rsidRPr="009222B2" w:rsidRDefault="00F231EF" w:rsidP="00382283">
            <w:r w:rsidRPr="009222B2">
              <w:t>March</w:t>
            </w:r>
          </w:p>
        </w:tc>
        <w:tc>
          <w:tcPr>
            <w:tcW w:w="3337" w:type="dxa"/>
            <w:shd w:val="clear" w:color="auto" w:fill="auto"/>
          </w:tcPr>
          <w:p w14:paraId="203B3345" w14:textId="77777777" w:rsidR="00F231EF" w:rsidRPr="009222B2" w:rsidRDefault="00F231EF" w:rsidP="00382283"/>
        </w:tc>
        <w:tc>
          <w:tcPr>
            <w:tcW w:w="4059" w:type="dxa"/>
          </w:tcPr>
          <w:p w14:paraId="5E4807CF" w14:textId="5B2CCDF3" w:rsidR="00F231EF" w:rsidRPr="009222B2" w:rsidRDefault="00916C82" w:rsidP="00382283">
            <w:r w:rsidRPr="009222B2">
              <w:t xml:space="preserve">A second booster dose for </w:t>
            </w:r>
            <w:hyperlink r:id="rId35" w:history="1">
              <w:r w:rsidR="0035387C" w:rsidRPr="009222B2">
                <w:rPr>
                  <w:rStyle w:val="Hyperlink"/>
                </w:rPr>
                <w:t xml:space="preserve">groups at higher risk of severe </w:t>
              </w:r>
              <w:r w:rsidR="0047676E" w:rsidRPr="009222B2">
                <w:rPr>
                  <w:rStyle w:val="Hyperlink"/>
                </w:rPr>
                <w:t>COVID-19</w:t>
              </w:r>
            </w:hyperlink>
            <w:r w:rsidRPr="009222B2">
              <w:t>.</w:t>
            </w:r>
          </w:p>
        </w:tc>
      </w:tr>
      <w:tr w:rsidR="00F231EF" w:rsidRPr="009222B2" w14:paraId="25A5E261" w14:textId="77777777" w:rsidTr="00ED6FD5">
        <w:tc>
          <w:tcPr>
            <w:tcW w:w="1620" w:type="dxa"/>
          </w:tcPr>
          <w:p w14:paraId="55C1CEE7" w14:textId="67EA738F" w:rsidR="00F231EF" w:rsidRPr="009222B2" w:rsidRDefault="00F231EF" w:rsidP="00382283">
            <w:r w:rsidRPr="009222B2">
              <w:t>April</w:t>
            </w:r>
          </w:p>
        </w:tc>
        <w:tc>
          <w:tcPr>
            <w:tcW w:w="3337" w:type="dxa"/>
            <w:shd w:val="clear" w:color="auto" w:fill="auto"/>
          </w:tcPr>
          <w:p w14:paraId="7206A629" w14:textId="19E4B415" w:rsidR="00F231EF" w:rsidRPr="009222B2" w:rsidRDefault="00F662CF" w:rsidP="00026B8A">
            <w:hyperlink r:id="rId36" w:history="1">
              <w:r w:rsidR="003C5FCD" w:rsidRPr="009222B2">
                <w:rPr>
                  <w:rStyle w:val="Hyperlink"/>
                </w:rPr>
                <w:t>Pfizer</w:t>
              </w:r>
            </w:hyperlink>
            <w:r w:rsidR="00524470" w:rsidRPr="009222B2">
              <w:t xml:space="preserve"> for use as a </w:t>
            </w:r>
            <w:r w:rsidR="007C3613" w:rsidRPr="009222B2">
              <w:t xml:space="preserve">booster dose in </w:t>
            </w:r>
            <w:r w:rsidR="0035387C" w:rsidRPr="009222B2">
              <w:t>adolescents</w:t>
            </w:r>
            <w:r w:rsidR="007C3613" w:rsidRPr="009222B2">
              <w:t xml:space="preserve"> aged 12 to 15 years</w:t>
            </w:r>
            <w:r w:rsidR="00524470" w:rsidRPr="009222B2">
              <w:t>.</w:t>
            </w:r>
          </w:p>
        </w:tc>
        <w:tc>
          <w:tcPr>
            <w:tcW w:w="4059" w:type="dxa"/>
          </w:tcPr>
          <w:p w14:paraId="072B5D45" w14:textId="4D86C55D" w:rsidR="00F231EF" w:rsidRPr="009222B2" w:rsidRDefault="00F231EF" w:rsidP="00026B8A"/>
        </w:tc>
      </w:tr>
      <w:tr w:rsidR="00F231EF" w:rsidRPr="009222B2" w14:paraId="4BBAA5FD" w14:textId="77777777" w:rsidTr="00ED6FD5">
        <w:tc>
          <w:tcPr>
            <w:tcW w:w="1620" w:type="dxa"/>
          </w:tcPr>
          <w:p w14:paraId="5976AD70" w14:textId="28602A5D" w:rsidR="00F231EF" w:rsidRPr="009222B2" w:rsidRDefault="00F231EF" w:rsidP="00382283">
            <w:r w:rsidRPr="009222B2">
              <w:t>May</w:t>
            </w:r>
          </w:p>
        </w:tc>
        <w:tc>
          <w:tcPr>
            <w:tcW w:w="3337" w:type="dxa"/>
            <w:shd w:val="clear" w:color="auto" w:fill="auto"/>
          </w:tcPr>
          <w:p w14:paraId="1004B1F5" w14:textId="77777777" w:rsidR="00F231EF" w:rsidRPr="009222B2" w:rsidRDefault="00F231EF" w:rsidP="00EF41D5"/>
        </w:tc>
        <w:tc>
          <w:tcPr>
            <w:tcW w:w="4059" w:type="dxa"/>
          </w:tcPr>
          <w:p w14:paraId="38E8881D" w14:textId="34D55D54" w:rsidR="00F231EF" w:rsidRPr="009222B2" w:rsidRDefault="00DD0DF6" w:rsidP="00EF41D5">
            <w:r w:rsidRPr="009222B2">
              <w:t>A s</w:t>
            </w:r>
            <w:r w:rsidR="005948E5" w:rsidRPr="009222B2">
              <w:t xml:space="preserve">econd booster dose </w:t>
            </w:r>
            <w:r w:rsidRPr="009222B2">
              <w:t>for</w:t>
            </w:r>
            <w:r w:rsidR="005948E5" w:rsidRPr="009222B2">
              <w:t xml:space="preserve"> </w:t>
            </w:r>
            <w:hyperlink r:id="rId37" w:history="1">
              <w:r w:rsidR="005948E5" w:rsidRPr="009222B2">
                <w:rPr>
                  <w:rStyle w:val="Hyperlink"/>
                </w:rPr>
                <w:t>some people aged 16 to 64 years</w:t>
              </w:r>
              <w:r w:rsidR="00F231EF" w:rsidRPr="009222B2">
                <w:rPr>
                  <w:rStyle w:val="Hyperlink"/>
                </w:rPr>
                <w:t xml:space="preserve"> </w:t>
              </w:r>
              <w:r w:rsidR="002F015D" w:rsidRPr="009222B2">
                <w:rPr>
                  <w:rStyle w:val="Hyperlink"/>
                </w:rPr>
                <w:t xml:space="preserve">who are </w:t>
              </w:r>
              <w:r w:rsidR="00F231EF" w:rsidRPr="009222B2">
                <w:rPr>
                  <w:rStyle w:val="Hyperlink"/>
                </w:rPr>
                <w:t xml:space="preserve">at increased risk of severe </w:t>
              </w:r>
              <w:r w:rsidR="0047676E" w:rsidRPr="009222B2">
                <w:rPr>
                  <w:rStyle w:val="Hyperlink"/>
                </w:rPr>
                <w:t>COVID-19</w:t>
              </w:r>
            </w:hyperlink>
            <w:r w:rsidR="00F231EF" w:rsidRPr="009222B2">
              <w:t>.</w:t>
            </w:r>
          </w:p>
        </w:tc>
      </w:tr>
      <w:tr w:rsidR="00F231EF" w:rsidRPr="009222B2" w14:paraId="4B73BB34" w14:textId="77777777" w:rsidTr="00ED6FD5">
        <w:tc>
          <w:tcPr>
            <w:tcW w:w="1620" w:type="dxa"/>
          </w:tcPr>
          <w:p w14:paraId="04B2446D" w14:textId="08EE6ACF" w:rsidR="00F231EF" w:rsidRPr="009222B2" w:rsidRDefault="00F231EF" w:rsidP="00382283">
            <w:r w:rsidRPr="009222B2">
              <w:t>June</w:t>
            </w:r>
          </w:p>
        </w:tc>
        <w:tc>
          <w:tcPr>
            <w:tcW w:w="3337" w:type="dxa"/>
            <w:shd w:val="clear" w:color="auto" w:fill="auto"/>
          </w:tcPr>
          <w:p w14:paraId="6A6A2405" w14:textId="020E65E6" w:rsidR="00F231EF" w:rsidRPr="009222B2" w:rsidRDefault="00F662CF" w:rsidP="00EF41D5">
            <w:hyperlink r:id="rId38" w:history="1">
              <w:r w:rsidR="00524470" w:rsidRPr="009222B2">
                <w:rPr>
                  <w:rStyle w:val="Hyperlink"/>
                  <w:rFonts w:eastAsia="Calibri" w:cs="Calibri"/>
                  <w:szCs w:val="22"/>
                </w:rPr>
                <w:t>Novavax</w:t>
              </w:r>
            </w:hyperlink>
            <w:r w:rsidR="00524470" w:rsidRPr="009222B2">
              <w:rPr>
                <w:rFonts w:eastAsia="Calibri" w:cs="Calibri"/>
                <w:color w:val="000000" w:themeColor="text1"/>
                <w:szCs w:val="22"/>
              </w:rPr>
              <w:t xml:space="preserve"> for use as a booster dose in people aged 18 years and over.</w:t>
            </w:r>
          </w:p>
        </w:tc>
        <w:tc>
          <w:tcPr>
            <w:tcW w:w="4059" w:type="dxa"/>
          </w:tcPr>
          <w:p w14:paraId="1676F9EA" w14:textId="3E2F51D5" w:rsidR="00F231EF" w:rsidRPr="009222B2" w:rsidRDefault="00DD0DF6" w:rsidP="00EF41D5">
            <w:r w:rsidRPr="009222B2">
              <w:t xml:space="preserve">A first booster dose for </w:t>
            </w:r>
            <w:hyperlink r:id="rId39" w:history="1">
              <w:r w:rsidRPr="009222B2">
                <w:rPr>
                  <w:rStyle w:val="Hyperlink"/>
                </w:rPr>
                <w:t xml:space="preserve">some adolescents aged 12 to 15 years </w:t>
              </w:r>
              <w:r w:rsidR="002F015D" w:rsidRPr="009222B2">
                <w:rPr>
                  <w:rStyle w:val="Hyperlink"/>
                </w:rPr>
                <w:t xml:space="preserve">who are </w:t>
              </w:r>
              <w:r w:rsidRPr="009222B2">
                <w:rPr>
                  <w:rStyle w:val="Hyperlink"/>
                </w:rPr>
                <w:t xml:space="preserve">at increased risk of severe </w:t>
              </w:r>
              <w:r w:rsidR="0047676E" w:rsidRPr="009222B2">
                <w:rPr>
                  <w:rStyle w:val="Hyperlink"/>
                </w:rPr>
                <w:t>COVID-19</w:t>
              </w:r>
            </w:hyperlink>
            <w:r w:rsidR="00F231EF" w:rsidRPr="009222B2">
              <w:t>.</w:t>
            </w:r>
          </w:p>
          <w:p w14:paraId="45F7B8A7" w14:textId="153B1418" w:rsidR="00F231EF" w:rsidRPr="009222B2" w:rsidRDefault="00F231EF" w:rsidP="00EF41D5"/>
        </w:tc>
      </w:tr>
      <w:tr w:rsidR="00F231EF" w:rsidRPr="009222B2" w14:paraId="45996A3F" w14:textId="77777777" w:rsidTr="00ED6FD5">
        <w:tc>
          <w:tcPr>
            <w:tcW w:w="1620" w:type="dxa"/>
          </w:tcPr>
          <w:p w14:paraId="4028A3F2" w14:textId="72293F66" w:rsidR="00F231EF" w:rsidRPr="009222B2" w:rsidRDefault="00F231EF" w:rsidP="00382283">
            <w:r w:rsidRPr="009222B2">
              <w:t xml:space="preserve">July </w:t>
            </w:r>
          </w:p>
        </w:tc>
        <w:tc>
          <w:tcPr>
            <w:tcW w:w="3337" w:type="dxa"/>
            <w:shd w:val="clear" w:color="auto" w:fill="auto"/>
          </w:tcPr>
          <w:p w14:paraId="3220DB5F" w14:textId="27E73511" w:rsidR="00524470" w:rsidRPr="009222B2" w:rsidRDefault="00F662CF" w:rsidP="00524470">
            <w:pPr>
              <w:rPr>
                <w:rFonts w:eastAsia="Calibri" w:cs="Calibri"/>
                <w:color w:val="000000" w:themeColor="text1"/>
                <w:szCs w:val="22"/>
              </w:rPr>
            </w:pPr>
            <w:hyperlink r:id="rId40" w:history="1">
              <w:r w:rsidR="00524470" w:rsidRPr="009222B2">
                <w:rPr>
                  <w:rStyle w:val="Hyperlink"/>
                  <w:rFonts w:eastAsia="Calibri" w:cs="Calibri"/>
                  <w:szCs w:val="22"/>
                </w:rPr>
                <w:t>Novavax</w:t>
              </w:r>
            </w:hyperlink>
            <w:r w:rsidR="00524470" w:rsidRPr="009222B2">
              <w:rPr>
                <w:rFonts w:eastAsia="Calibri" w:cs="Calibri"/>
                <w:color w:val="000000" w:themeColor="text1"/>
                <w:szCs w:val="22"/>
              </w:rPr>
              <w:t xml:space="preserve"> for use</w:t>
            </w:r>
            <w:r w:rsidR="00BB5277" w:rsidRPr="009222B2">
              <w:rPr>
                <w:rFonts w:eastAsia="Calibri" w:cs="Calibri"/>
                <w:color w:val="000000" w:themeColor="text1"/>
                <w:szCs w:val="22"/>
              </w:rPr>
              <w:t xml:space="preserve"> as the primary course</w:t>
            </w:r>
            <w:r w:rsidR="00524470" w:rsidRPr="009222B2">
              <w:rPr>
                <w:rFonts w:eastAsia="Calibri" w:cs="Calibri"/>
                <w:color w:val="000000" w:themeColor="text1"/>
                <w:szCs w:val="22"/>
              </w:rPr>
              <w:t xml:space="preserve"> in </w:t>
            </w:r>
            <w:r w:rsidR="0035387C" w:rsidRPr="009222B2">
              <w:rPr>
                <w:rFonts w:eastAsia="Calibri" w:cs="Calibri"/>
                <w:color w:val="000000" w:themeColor="text1"/>
                <w:szCs w:val="22"/>
              </w:rPr>
              <w:t>adolescents</w:t>
            </w:r>
            <w:r w:rsidR="00524470" w:rsidRPr="009222B2">
              <w:rPr>
                <w:rFonts w:eastAsia="Calibri" w:cs="Calibri"/>
                <w:color w:val="000000" w:themeColor="text1"/>
                <w:szCs w:val="22"/>
              </w:rPr>
              <w:t xml:space="preserve"> aged 12 to 17 years.</w:t>
            </w:r>
          </w:p>
          <w:p w14:paraId="3AC7EB6B" w14:textId="40F331E8" w:rsidR="00F231EF" w:rsidRPr="009222B2" w:rsidRDefault="00F662CF" w:rsidP="00524470">
            <w:hyperlink r:id="rId41" w:history="1">
              <w:r w:rsidR="00524470" w:rsidRPr="009222B2">
                <w:rPr>
                  <w:rStyle w:val="Hyperlink"/>
                </w:rPr>
                <w:t>Moderna</w:t>
              </w:r>
            </w:hyperlink>
            <w:r w:rsidR="00524470" w:rsidRPr="009222B2">
              <w:t xml:space="preserve"> for use </w:t>
            </w:r>
            <w:r w:rsidR="00BB5277" w:rsidRPr="009222B2">
              <w:t xml:space="preserve">as the primary course </w:t>
            </w:r>
            <w:r w:rsidR="00524470" w:rsidRPr="009222B2">
              <w:t xml:space="preserve">in </w:t>
            </w:r>
            <w:r w:rsidR="0035387C" w:rsidRPr="009222B2">
              <w:t>children</w:t>
            </w:r>
            <w:r w:rsidR="00524470" w:rsidRPr="009222B2">
              <w:t xml:space="preserve"> aged 6 months to </w:t>
            </w:r>
            <w:r w:rsidR="00CF197A" w:rsidRPr="009222B2">
              <w:t xml:space="preserve">under </w:t>
            </w:r>
            <w:r w:rsidR="00524470" w:rsidRPr="009222B2">
              <w:t>6 years.</w:t>
            </w:r>
          </w:p>
        </w:tc>
        <w:tc>
          <w:tcPr>
            <w:tcW w:w="4059" w:type="dxa"/>
          </w:tcPr>
          <w:p w14:paraId="793ECC76" w14:textId="049074F7" w:rsidR="00F231EF" w:rsidRPr="009222B2" w:rsidRDefault="00DD0DF6" w:rsidP="00382283">
            <w:r w:rsidRPr="009222B2">
              <w:t xml:space="preserve">A second booster dose for </w:t>
            </w:r>
            <w:hyperlink r:id="rId42" w:history="1">
              <w:r w:rsidRPr="009222B2">
                <w:rPr>
                  <w:rStyle w:val="Hyperlink"/>
                </w:rPr>
                <w:t>all people aged 50 to 64 years</w:t>
              </w:r>
            </w:hyperlink>
            <w:r w:rsidR="00F231EF" w:rsidRPr="009222B2">
              <w:t>.</w:t>
            </w:r>
          </w:p>
          <w:p w14:paraId="72266263" w14:textId="7196260C" w:rsidR="00F231EF" w:rsidRPr="009222B2" w:rsidRDefault="00F231EF" w:rsidP="00382283"/>
        </w:tc>
      </w:tr>
      <w:tr w:rsidR="00F231EF" w:rsidRPr="009222B2" w14:paraId="7AB975AF" w14:textId="77777777" w:rsidTr="00ED6FD5">
        <w:trPr>
          <w:trHeight w:val="68"/>
        </w:trPr>
        <w:tc>
          <w:tcPr>
            <w:tcW w:w="1620" w:type="dxa"/>
          </w:tcPr>
          <w:p w14:paraId="3A9C19BC" w14:textId="73F00D6B" w:rsidR="00F231EF" w:rsidRPr="009222B2" w:rsidRDefault="00F231EF" w:rsidP="00382283">
            <w:r w:rsidRPr="009222B2">
              <w:t xml:space="preserve">August </w:t>
            </w:r>
          </w:p>
        </w:tc>
        <w:tc>
          <w:tcPr>
            <w:tcW w:w="3337" w:type="dxa"/>
            <w:shd w:val="clear" w:color="auto" w:fill="auto"/>
          </w:tcPr>
          <w:p w14:paraId="5169A325" w14:textId="3C2217DA" w:rsidR="00F231EF" w:rsidRPr="009222B2" w:rsidRDefault="00F662CF" w:rsidP="00FF4104">
            <w:hyperlink r:id="rId43" w:history="1">
              <w:r w:rsidR="00524470" w:rsidRPr="009222B2">
                <w:rPr>
                  <w:rStyle w:val="Hyperlink"/>
                </w:rPr>
                <w:t>Moderna bivalent (</w:t>
              </w:r>
              <w:r w:rsidR="00384E24" w:rsidRPr="009222B2">
                <w:rPr>
                  <w:rStyle w:val="Hyperlink"/>
                </w:rPr>
                <w:t>o</w:t>
              </w:r>
              <w:r w:rsidR="00524470" w:rsidRPr="009222B2">
                <w:rPr>
                  <w:rStyle w:val="Hyperlink"/>
                </w:rPr>
                <w:t>riginal/Omicron)</w:t>
              </w:r>
            </w:hyperlink>
            <w:r w:rsidR="00524470" w:rsidRPr="009222B2">
              <w:t xml:space="preserve"> for use</w:t>
            </w:r>
            <w:r w:rsidR="00BB5277" w:rsidRPr="009222B2">
              <w:t xml:space="preserve"> as a booster dose</w:t>
            </w:r>
            <w:r w:rsidR="00524470" w:rsidRPr="009222B2">
              <w:t xml:space="preserve"> in people aged 18 years and over.</w:t>
            </w:r>
          </w:p>
        </w:tc>
        <w:tc>
          <w:tcPr>
            <w:tcW w:w="4059" w:type="dxa"/>
          </w:tcPr>
          <w:p w14:paraId="326557A0" w14:textId="0780D030" w:rsidR="00F231EF" w:rsidRPr="009222B2" w:rsidRDefault="00DD0DF6" w:rsidP="00FF4104">
            <w:r w:rsidRPr="009222B2">
              <w:t xml:space="preserve">Moderna for </w:t>
            </w:r>
            <w:hyperlink r:id="rId44" w:history="1">
              <w:r w:rsidRPr="009222B2">
                <w:rPr>
                  <w:rStyle w:val="Hyperlink"/>
                </w:rPr>
                <w:t>some children aged 6 months to under 5 years</w:t>
              </w:r>
              <w:r w:rsidR="00110406" w:rsidRPr="009222B2">
                <w:rPr>
                  <w:rStyle w:val="Hyperlink"/>
                </w:rPr>
                <w:t xml:space="preserve"> who are at increased risk of severe COVID-19</w:t>
              </w:r>
            </w:hyperlink>
            <w:r w:rsidR="00F231EF" w:rsidRPr="009222B2">
              <w:t>.</w:t>
            </w:r>
          </w:p>
          <w:p w14:paraId="119420C2" w14:textId="4A853940" w:rsidR="00F231EF" w:rsidRPr="009222B2" w:rsidRDefault="00F231EF" w:rsidP="00FF4104">
            <w:r w:rsidRPr="009222B2">
              <w:t xml:space="preserve">Novavax </w:t>
            </w:r>
            <w:r w:rsidR="00110406" w:rsidRPr="009222B2">
              <w:t>for the primary course in</w:t>
            </w:r>
            <w:r w:rsidRPr="009222B2">
              <w:t xml:space="preserve"> </w:t>
            </w:r>
            <w:hyperlink r:id="rId45" w:history="1">
              <w:r w:rsidRPr="009222B2">
                <w:rPr>
                  <w:rStyle w:val="Hyperlink"/>
                </w:rPr>
                <w:t>adolescents aged 12 to 17 years</w:t>
              </w:r>
            </w:hyperlink>
            <w:r w:rsidRPr="009222B2">
              <w:t>.</w:t>
            </w:r>
          </w:p>
        </w:tc>
      </w:tr>
      <w:tr w:rsidR="00F231EF" w:rsidRPr="009222B2" w14:paraId="26933B8C" w14:textId="77777777" w:rsidTr="00ED6FD5">
        <w:tc>
          <w:tcPr>
            <w:tcW w:w="1620" w:type="dxa"/>
          </w:tcPr>
          <w:p w14:paraId="3E750D76" w14:textId="5C069A7D" w:rsidR="00F231EF" w:rsidRPr="009222B2" w:rsidRDefault="00F231EF" w:rsidP="00382283">
            <w:r w:rsidRPr="009222B2">
              <w:t>September</w:t>
            </w:r>
          </w:p>
        </w:tc>
        <w:tc>
          <w:tcPr>
            <w:tcW w:w="3337" w:type="dxa"/>
            <w:shd w:val="clear" w:color="auto" w:fill="auto"/>
          </w:tcPr>
          <w:p w14:paraId="70C251FA" w14:textId="1C441140" w:rsidR="00524470" w:rsidRPr="009222B2" w:rsidRDefault="00F662CF" w:rsidP="00524470">
            <w:hyperlink r:id="rId46" w:history="1">
              <w:r w:rsidR="00524470" w:rsidRPr="009222B2">
                <w:rPr>
                  <w:rStyle w:val="Hyperlink"/>
                </w:rPr>
                <w:t>Pfizer</w:t>
              </w:r>
            </w:hyperlink>
            <w:r w:rsidR="00384E24" w:rsidRPr="009222B2">
              <w:t xml:space="preserve"> </w:t>
            </w:r>
            <w:r w:rsidR="00524470" w:rsidRPr="009222B2">
              <w:t xml:space="preserve">for use as a booster dose in </w:t>
            </w:r>
            <w:r w:rsidR="0035387C" w:rsidRPr="009222B2">
              <w:t>children</w:t>
            </w:r>
            <w:r w:rsidR="00524470" w:rsidRPr="009222B2">
              <w:t xml:space="preserve"> aged 5 to 11 years.</w:t>
            </w:r>
          </w:p>
          <w:p w14:paraId="318AEDA6" w14:textId="625639A6" w:rsidR="00F231EF" w:rsidRPr="009222B2" w:rsidRDefault="00F662CF" w:rsidP="00524470">
            <w:hyperlink r:id="rId47" w:history="1">
              <w:r w:rsidR="00524470" w:rsidRPr="009222B2">
                <w:rPr>
                  <w:rStyle w:val="Hyperlink"/>
                </w:rPr>
                <w:t>Pfizer</w:t>
              </w:r>
            </w:hyperlink>
            <w:r w:rsidR="00384E24" w:rsidRPr="009222B2">
              <w:t xml:space="preserve"> </w:t>
            </w:r>
            <w:r w:rsidR="00524470" w:rsidRPr="009222B2">
              <w:t xml:space="preserve">for use in </w:t>
            </w:r>
            <w:r w:rsidR="0035387C" w:rsidRPr="009222B2">
              <w:t>children</w:t>
            </w:r>
            <w:r w:rsidR="00524470" w:rsidRPr="009222B2">
              <w:t xml:space="preserve"> aged 6 months to </w:t>
            </w:r>
            <w:r w:rsidR="00384E24" w:rsidRPr="009222B2">
              <w:t xml:space="preserve">under </w:t>
            </w:r>
            <w:r w:rsidR="00524470" w:rsidRPr="009222B2">
              <w:t>5 years.</w:t>
            </w:r>
          </w:p>
        </w:tc>
        <w:tc>
          <w:tcPr>
            <w:tcW w:w="4059" w:type="dxa"/>
          </w:tcPr>
          <w:p w14:paraId="6CF96D17" w14:textId="0294B762" w:rsidR="00F231EF" w:rsidRPr="009222B2" w:rsidRDefault="00F231EF" w:rsidP="00EF41D5">
            <w:r w:rsidRPr="009222B2">
              <w:lastRenderedPageBreak/>
              <w:t xml:space="preserve">Moderna </w:t>
            </w:r>
            <w:r w:rsidR="003C5FCD" w:rsidRPr="009222B2">
              <w:t>b</w:t>
            </w:r>
            <w:r w:rsidRPr="009222B2">
              <w:t>ivalent (</w:t>
            </w:r>
            <w:r w:rsidR="003C5FCD" w:rsidRPr="009222B2">
              <w:t>o</w:t>
            </w:r>
            <w:r w:rsidRPr="009222B2">
              <w:t xml:space="preserve">riginal/Omicron) </w:t>
            </w:r>
            <w:r w:rsidR="00A0579D" w:rsidRPr="009222B2">
              <w:t xml:space="preserve">as a </w:t>
            </w:r>
            <w:r w:rsidRPr="009222B2">
              <w:t xml:space="preserve">booster dose in </w:t>
            </w:r>
            <w:hyperlink r:id="rId48" w:history="1">
              <w:r w:rsidRPr="009222B2">
                <w:rPr>
                  <w:rStyle w:val="Hyperlink"/>
                </w:rPr>
                <w:t>people aged 18 years and over</w:t>
              </w:r>
            </w:hyperlink>
            <w:r w:rsidRPr="009222B2">
              <w:t>.</w:t>
            </w:r>
          </w:p>
          <w:p w14:paraId="2B924CA6" w14:textId="5E4F0BDD" w:rsidR="00F231EF" w:rsidRPr="009222B2" w:rsidRDefault="00F231EF" w:rsidP="00EF41D5"/>
        </w:tc>
      </w:tr>
      <w:tr w:rsidR="00F231EF" w:rsidRPr="009222B2" w14:paraId="23BA648E" w14:textId="77777777" w:rsidTr="00ED6FD5">
        <w:tc>
          <w:tcPr>
            <w:tcW w:w="1620" w:type="dxa"/>
          </w:tcPr>
          <w:p w14:paraId="773291D0" w14:textId="2A861553" w:rsidR="00F231EF" w:rsidRPr="009222B2" w:rsidRDefault="00F231EF" w:rsidP="00382283">
            <w:r w:rsidRPr="009222B2">
              <w:lastRenderedPageBreak/>
              <w:t>October</w:t>
            </w:r>
          </w:p>
        </w:tc>
        <w:tc>
          <w:tcPr>
            <w:tcW w:w="3337" w:type="dxa"/>
            <w:shd w:val="clear" w:color="auto" w:fill="auto"/>
          </w:tcPr>
          <w:p w14:paraId="7AB4DC36" w14:textId="51EEB416" w:rsidR="00524470" w:rsidRPr="009222B2" w:rsidRDefault="00F662CF" w:rsidP="00524470">
            <w:hyperlink r:id="rId49" w:history="1">
              <w:r w:rsidR="00524470" w:rsidRPr="009222B2">
                <w:rPr>
                  <w:rStyle w:val="Hyperlink"/>
                </w:rPr>
                <w:t>Pfizer bivalent (</w:t>
              </w:r>
              <w:r w:rsidR="002B7926" w:rsidRPr="009222B2">
                <w:rPr>
                  <w:rStyle w:val="Hyperlink"/>
                </w:rPr>
                <w:t>o</w:t>
              </w:r>
              <w:r w:rsidR="00524470" w:rsidRPr="009222B2">
                <w:rPr>
                  <w:rStyle w:val="Hyperlink"/>
                </w:rPr>
                <w:t>riginal/Omicron)</w:t>
              </w:r>
            </w:hyperlink>
            <w:r w:rsidR="00524470" w:rsidRPr="009222B2">
              <w:t xml:space="preserve"> for use in people aged 18 years and over.</w:t>
            </w:r>
          </w:p>
          <w:p w14:paraId="5A6A6FE1" w14:textId="7999106B" w:rsidR="00F231EF" w:rsidRPr="009222B2" w:rsidRDefault="00F662CF" w:rsidP="00382283">
            <w:hyperlink r:id="rId50" w:history="1">
              <w:r w:rsidR="00524470" w:rsidRPr="009222B2">
                <w:rPr>
                  <w:rStyle w:val="Hyperlink"/>
                </w:rPr>
                <w:t>Moderna</w:t>
              </w:r>
            </w:hyperlink>
            <w:r w:rsidR="00524470" w:rsidRPr="009222B2">
              <w:t xml:space="preserve"> for use as a booster dose in people aged 12 years and over.</w:t>
            </w:r>
          </w:p>
        </w:tc>
        <w:tc>
          <w:tcPr>
            <w:tcW w:w="4059" w:type="dxa"/>
          </w:tcPr>
          <w:p w14:paraId="6A10DB4F" w14:textId="731C7C77" w:rsidR="00F231EF" w:rsidRPr="009222B2" w:rsidRDefault="00B91E16" w:rsidP="00382283">
            <w:r w:rsidRPr="009222B2">
              <w:t>A</w:t>
            </w:r>
            <w:r w:rsidR="00F231EF" w:rsidRPr="009222B2">
              <w:t xml:space="preserve"> booster dose of Pfizer </w:t>
            </w:r>
            <w:r w:rsidR="000A24EB" w:rsidRPr="009222B2">
              <w:t xml:space="preserve">for </w:t>
            </w:r>
            <w:hyperlink r:id="rId51" w:history="1">
              <w:r w:rsidR="00F231EF" w:rsidRPr="009222B2">
                <w:rPr>
                  <w:rStyle w:val="Hyperlink"/>
                </w:rPr>
                <w:t>some children aged 5 to 11 years</w:t>
              </w:r>
              <w:r w:rsidR="002F015D" w:rsidRPr="009222B2">
                <w:rPr>
                  <w:rStyle w:val="Hyperlink"/>
                </w:rPr>
                <w:t xml:space="preserve"> who are</w:t>
              </w:r>
              <w:r w:rsidR="00F231EF" w:rsidRPr="009222B2">
                <w:rPr>
                  <w:rStyle w:val="Hyperlink"/>
                </w:rPr>
                <w:t xml:space="preserve"> at increased risk of COVID-19</w:t>
              </w:r>
            </w:hyperlink>
            <w:r w:rsidR="00F231EF" w:rsidRPr="009222B2">
              <w:t>.</w:t>
            </w:r>
          </w:p>
        </w:tc>
      </w:tr>
      <w:tr w:rsidR="00F231EF" w:rsidRPr="009222B2" w14:paraId="63BFAA5F" w14:textId="77777777" w:rsidTr="00ED6FD5">
        <w:tc>
          <w:tcPr>
            <w:tcW w:w="1620" w:type="dxa"/>
          </w:tcPr>
          <w:p w14:paraId="2DA84FF5" w14:textId="104F9344" w:rsidR="00F231EF" w:rsidRPr="009222B2" w:rsidRDefault="00F231EF" w:rsidP="00382283">
            <w:r w:rsidRPr="009222B2">
              <w:t>November</w:t>
            </w:r>
          </w:p>
        </w:tc>
        <w:tc>
          <w:tcPr>
            <w:tcW w:w="3337" w:type="dxa"/>
            <w:shd w:val="clear" w:color="auto" w:fill="auto"/>
          </w:tcPr>
          <w:p w14:paraId="4B7BC0DF" w14:textId="77777777" w:rsidR="00F231EF" w:rsidRPr="009222B2" w:rsidRDefault="00F231EF" w:rsidP="00382283"/>
        </w:tc>
        <w:tc>
          <w:tcPr>
            <w:tcW w:w="4059" w:type="dxa"/>
          </w:tcPr>
          <w:p w14:paraId="4E063F2C" w14:textId="16720C99" w:rsidR="00F231EF" w:rsidRPr="009222B2" w:rsidRDefault="00F231EF" w:rsidP="00382283">
            <w:r w:rsidRPr="009222B2">
              <w:t xml:space="preserve">Pfizer </w:t>
            </w:r>
            <w:r w:rsidR="006D7DC1" w:rsidRPr="009222B2">
              <w:t>b</w:t>
            </w:r>
            <w:r w:rsidRPr="009222B2">
              <w:t>ivalent (</w:t>
            </w:r>
            <w:r w:rsidR="006D7DC1" w:rsidRPr="009222B2">
              <w:t>o</w:t>
            </w:r>
            <w:r w:rsidRPr="009222B2">
              <w:t>riginal/Omicron)</w:t>
            </w:r>
            <w:r w:rsidR="00562334" w:rsidRPr="009222B2">
              <w:t xml:space="preserve"> can be used</w:t>
            </w:r>
            <w:r w:rsidRPr="009222B2">
              <w:t xml:space="preserve"> as a booster dose in </w:t>
            </w:r>
            <w:hyperlink r:id="rId52" w:history="1">
              <w:r w:rsidRPr="009222B2">
                <w:rPr>
                  <w:rStyle w:val="Hyperlink"/>
                </w:rPr>
                <w:t>people aged 18 years and over</w:t>
              </w:r>
            </w:hyperlink>
            <w:r w:rsidRPr="009222B2">
              <w:t>.</w:t>
            </w:r>
          </w:p>
          <w:p w14:paraId="2D1041F9" w14:textId="4EEAF044" w:rsidR="00F231EF" w:rsidRPr="009222B2" w:rsidRDefault="0046324F" w:rsidP="00382283">
            <w:r w:rsidRPr="009222B2">
              <w:t>Pfizer</w:t>
            </w:r>
            <w:r w:rsidR="00562334" w:rsidRPr="009222B2">
              <w:t xml:space="preserve"> as the primary course</w:t>
            </w:r>
            <w:r w:rsidRPr="009222B2">
              <w:t xml:space="preserve"> for </w:t>
            </w:r>
            <w:hyperlink r:id="rId53" w:history="1">
              <w:r w:rsidRPr="009222B2">
                <w:rPr>
                  <w:rStyle w:val="Hyperlink"/>
                </w:rPr>
                <w:t>s</w:t>
              </w:r>
              <w:r w:rsidR="00F231EF" w:rsidRPr="009222B2">
                <w:rPr>
                  <w:rStyle w:val="Hyperlink"/>
                </w:rPr>
                <w:t>ome children aged 6 months to under 5 years who are at increased risk of severe COVID-19</w:t>
              </w:r>
            </w:hyperlink>
            <w:r w:rsidR="004845BC" w:rsidRPr="009222B2">
              <w:t>.</w:t>
            </w:r>
          </w:p>
        </w:tc>
      </w:tr>
      <w:bookmarkEnd w:id="13"/>
    </w:tbl>
    <w:p w14:paraId="1C1CA11B" w14:textId="77777777" w:rsidR="00382283" w:rsidRPr="009222B2" w:rsidRDefault="00382283" w:rsidP="00032A9F">
      <w:pPr>
        <w:pStyle w:val="TFIHolder"/>
      </w:pPr>
    </w:p>
    <w:p w14:paraId="7829ABA0" w14:textId="6ADA8F0E" w:rsidR="004054F2" w:rsidRPr="009222B2" w:rsidRDefault="004054F2" w:rsidP="004054F2">
      <w:pPr>
        <w:pStyle w:val="TFListNotes"/>
      </w:pPr>
      <w:bookmarkStart w:id="14" w:name="_Hlk127780140"/>
      <w:r w:rsidRPr="009222B2">
        <w:t>Notes</w:t>
      </w:r>
      <w:r w:rsidR="002F015D" w:rsidRPr="009222B2">
        <w:t>:</w:t>
      </w:r>
    </w:p>
    <w:p w14:paraId="3BCB5B8B" w14:textId="4850667E" w:rsidR="00403281" w:rsidRPr="009222B2" w:rsidRDefault="006E6D20" w:rsidP="00403281">
      <w:pPr>
        <w:pStyle w:val="TFListNotes"/>
      </w:pPr>
      <w:r w:rsidRPr="009222B2">
        <w:t>1.</w:t>
      </w:r>
      <w:r w:rsidRPr="009222B2">
        <w:tab/>
      </w:r>
      <w:r w:rsidR="00403281" w:rsidRPr="009222B2">
        <w:t>ATAGI recommendations may change over time, due to changes in COVID-19 epidemiology and other factors. These links refer to ATAGI recommendations from the specified month in 2022. For current guidance, see </w:t>
      </w:r>
      <w:hyperlink r:id="rId54" w:history="1">
        <w:r w:rsidR="00403281" w:rsidRPr="009222B2">
          <w:rPr>
            <w:rStyle w:val="Hyperlink"/>
          </w:rPr>
          <w:t>ATAGI clinical guidance for COVID-19 vaccine providers</w:t>
        </w:r>
      </w:hyperlink>
      <w:r w:rsidR="00403281" w:rsidRPr="009222B2">
        <w:t>.</w:t>
      </w:r>
    </w:p>
    <w:p w14:paraId="25FF18D0" w14:textId="1E915A93" w:rsidR="004054F2" w:rsidRPr="009222B2" w:rsidRDefault="006E6D20" w:rsidP="004054F2">
      <w:pPr>
        <w:pStyle w:val="TFListNotesSpace"/>
      </w:pPr>
      <w:r w:rsidRPr="009222B2">
        <w:t>2.</w:t>
      </w:r>
      <w:r w:rsidRPr="009222B2">
        <w:tab/>
      </w:r>
      <w:r w:rsidR="004054F2" w:rsidRPr="009222B2">
        <w:t xml:space="preserve">Brand names for COVID-19 vaccines are: Comirnaty (Pfizer), </w:t>
      </w:r>
      <w:r w:rsidR="004054F2" w:rsidRPr="009222B2">
        <w:rPr>
          <w:rFonts w:eastAsia="Calibri" w:cs="Calibri"/>
          <w:color w:val="000000" w:themeColor="text1"/>
          <w:szCs w:val="22"/>
        </w:rPr>
        <w:t xml:space="preserve">Nuvaxovid (Novavax), </w:t>
      </w:r>
      <w:r w:rsidR="004054F2" w:rsidRPr="009222B2">
        <w:t>Spikevax (Moderna), and Vaxzevria (AstraZeneca).</w:t>
      </w:r>
    </w:p>
    <w:bookmarkEnd w:id="14"/>
    <w:p w14:paraId="74A03677" w14:textId="13336F23" w:rsidR="004C4E55" w:rsidRPr="009222B2" w:rsidRDefault="004C4E55" w:rsidP="004C4E55">
      <w:pPr>
        <w:pStyle w:val="Heading3"/>
        <w:rPr>
          <w:rFonts w:eastAsia="Arial"/>
        </w:rPr>
      </w:pPr>
      <w:r w:rsidRPr="009222B2">
        <w:rPr>
          <w:rFonts w:eastAsia="Arial"/>
        </w:rPr>
        <w:t>COVID</w:t>
      </w:r>
      <w:r w:rsidR="001113BA" w:rsidRPr="009222B2">
        <w:rPr>
          <w:rFonts w:eastAsia="Arial"/>
        </w:rPr>
        <w:noBreakHyphen/>
      </w:r>
      <w:r w:rsidRPr="009222B2">
        <w:rPr>
          <w:rFonts w:eastAsia="Arial"/>
        </w:rPr>
        <w:t>19 vaccine safety</w:t>
      </w:r>
    </w:p>
    <w:p w14:paraId="5E671C90" w14:textId="761ED89E" w:rsidR="009D6B77" w:rsidRPr="009222B2" w:rsidRDefault="009D6B77" w:rsidP="009D6B77">
      <w:pPr>
        <w:rPr>
          <w:rFonts w:eastAsia="Arial"/>
        </w:rPr>
      </w:pPr>
      <w:r w:rsidRPr="009222B2">
        <w:rPr>
          <w:rFonts w:eastAsia="Arial"/>
        </w:rPr>
        <w:t>The TGA has overall responsibility for the safety of vaccines on the Australian Register of Therapeutic Goods in Australia, which include</w:t>
      </w:r>
      <w:r w:rsidR="0090105F" w:rsidRPr="009222B2">
        <w:rPr>
          <w:rFonts w:eastAsia="Arial"/>
        </w:rPr>
        <w:t>s</w:t>
      </w:r>
      <w:r w:rsidRPr="009222B2">
        <w:rPr>
          <w:rFonts w:eastAsia="Arial"/>
        </w:rPr>
        <w:t xml:space="preserve"> COVID-19 vaccines. ATAGI also closely monitors COVID</w:t>
      </w:r>
      <w:r w:rsidRPr="009222B2">
        <w:rPr>
          <w:rFonts w:eastAsia="Arial"/>
        </w:rPr>
        <w:noBreakHyphen/>
        <w:t>19 vaccine safety issues, and carefully assesses the benefits against the potential risks, from a program perspective.</w:t>
      </w:r>
    </w:p>
    <w:p w14:paraId="3FD2D14A" w14:textId="73BF822C" w:rsidR="009D6B77" w:rsidRPr="009222B2" w:rsidRDefault="009D6B77" w:rsidP="009D6B77">
      <w:r w:rsidRPr="009222B2">
        <w:t xml:space="preserve">The TGA continued to publish updates on its safety monitoring process throughout 2022 in </w:t>
      </w:r>
      <w:hyperlink r:id="rId55" w:history="1">
        <w:r w:rsidRPr="009222B2">
          <w:rPr>
            <w:rStyle w:val="Hyperlink"/>
          </w:rPr>
          <w:t>COVID</w:t>
        </w:r>
        <w:r w:rsidRPr="009222B2">
          <w:rPr>
            <w:rStyle w:val="Hyperlink"/>
          </w:rPr>
          <w:noBreakHyphen/>
          <w:t>19 vaccine safety reports</w:t>
        </w:r>
      </w:hyperlink>
      <w:r w:rsidRPr="009222B2">
        <w:t>.</w:t>
      </w:r>
    </w:p>
    <w:p w14:paraId="15B3CD8A" w14:textId="79841A53" w:rsidR="009D6B77" w:rsidRPr="009222B2" w:rsidRDefault="009D6B77" w:rsidP="009D6B77">
      <w:pPr>
        <w:rPr>
          <w:rFonts w:eastAsia="Arial"/>
        </w:rPr>
      </w:pPr>
      <w:r w:rsidRPr="009222B2">
        <w:rPr>
          <w:iCs/>
        </w:rPr>
        <w:t xml:space="preserve">A special subgroup of the </w:t>
      </w:r>
      <w:r w:rsidRPr="00AC5226">
        <w:rPr>
          <w:iCs/>
        </w:rPr>
        <w:t>ATAGI COVID</w:t>
      </w:r>
      <w:r w:rsidRPr="00AC5226">
        <w:rPr>
          <w:iCs/>
        </w:rPr>
        <w:noBreakHyphen/>
        <w:t>19 Working Group</w:t>
      </w:r>
      <w:r w:rsidRPr="009222B2">
        <w:rPr>
          <w:iCs/>
        </w:rPr>
        <w:t xml:space="preserve"> met regularly throughout 2022 to discuss vaccine safety issues.</w:t>
      </w:r>
    </w:p>
    <w:p w14:paraId="05B140A7" w14:textId="77777777" w:rsidR="004C4E55" w:rsidRPr="009222B2" w:rsidRDefault="004C4E55" w:rsidP="004C4E55">
      <w:pPr>
        <w:pStyle w:val="Heading4"/>
        <w:rPr>
          <w:rFonts w:eastAsia="Arial"/>
        </w:rPr>
      </w:pPr>
      <w:r w:rsidRPr="009222B2">
        <w:rPr>
          <w:rFonts w:eastAsia="Arial"/>
        </w:rPr>
        <w:t>Overall adverse events</w:t>
      </w:r>
    </w:p>
    <w:p w14:paraId="271E8DA4" w14:textId="2E86332C" w:rsidR="004C4E55" w:rsidRPr="009222B2" w:rsidRDefault="003E0F04" w:rsidP="004C4E55">
      <w:pPr>
        <w:pStyle w:val="NormalBeforeBullet"/>
      </w:pPr>
      <w:r w:rsidRPr="009222B2">
        <w:t>In 2022</w:t>
      </w:r>
      <w:r w:rsidR="00023B4D" w:rsidRPr="009222B2">
        <w:t>,</w:t>
      </w:r>
      <w:r w:rsidR="00AC5226">
        <w:t xml:space="preserve"> a total of</w:t>
      </w:r>
      <w:r w:rsidR="00023B4D" w:rsidRPr="009222B2">
        <w:t xml:space="preserve"> </w:t>
      </w:r>
      <w:r w:rsidR="006E4597" w:rsidRPr="009222B2">
        <w:t>1,210,362</w:t>
      </w:r>
      <w:r w:rsidRPr="009222B2">
        <w:t xml:space="preserve"> </w:t>
      </w:r>
      <w:r w:rsidR="004C4E55" w:rsidRPr="009222B2">
        <w:t xml:space="preserve">people </w:t>
      </w:r>
      <w:r w:rsidR="00F30BD3" w:rsidRPr="009222B2">
        <w:t>aged 16</w:t>
      </w:r>
      <w:r w:rsidR="0090105F" w:rsidRPr="009222B2">
        <w:t> </w:t>
      </w:r>
      <w:r w:rsidR="00F30BD3" w:rsidRPr="009222B2">
        <w:t xml:space="preserve">years and over </w:t>
      </w:r>
      <w:r w:rsidR="004C4E55" w:rsidRPr="009222B2">
        <w:t>participated in</w:t>
      </w:r>
      <w:r w:rsidR="00674414">
        <w:t xml:space="preserve"> Australia’s active vaccine safety surveillance, </w:t>
      </w:r>
      <w:hyperlink r:id="rId56" w:history="1">
        <w:proofErr w:type="spellStart"/>
        <w:r w:rsidR="004C4E55" w:rsidRPr="009222B2">
          <w:rPr>
            <w:rStyle w:val="Hyperlink"/>
          </w:rPr>
          <w:t>AusVaxSafety</w:t>
        </w:r>
        <w:proofErr w:type="spellEnd"/>
      </w:hyperlink>
      <w:r w:rsidR="00674414">
        <w:t xml:space="preserve">, </w:t>
      </w:r>
      <w:r w:rsidR="004C4E55" w:rsidRPr="009222B2">
        <w:t>after their COVID</w:t>
      </w:r>
      <w:r w:rsidR="00272EC5" w:rsidRPr="009222B2">
        <w:noBreakHyphen/>
      </w:r>
      <w:r w:rsidR="004C4E55" w:rsidRPr="009222B2">
        <w:t xml:space="preserve">19 vaccinations. </w:t>
      </w:r>
      <w:r w:rsidR="00B526FF" w:rsidRPr="009222B2">
        <w:t xml:space="preserve">This is </w:t>
      </w:r>
      <w:r w:rsidR="00674414">
        <w:t xml:space="preserve">one of </w:t>
      </w:r>
      <w:r w:rsidR="00B526FF" w:rsidRPr="009222B2">
        <w:t>the largest safety survey database</w:t>
      </w:r>
      <w:r w:rsidR="00674414">
        <w:t>s</w:t>
      </w:r>
      <w:r w:rsidR="00B526FF" w:rsidRPr="009222B2">
        <w:t xml:space="preserve"> on any type of vaccine in use today. </w:t>
      </w:r>
      <w:r w:rsidR="004C4E55" w:rsidRPr="009222B2">
        <w:t>Of these people:</w:t>
      </w:r>
    </w:p>
    <w:p w14:paraId="5A2C8AB1" w14:textId="6B093020" w:rsidR="004C4E55" w:rsidRPr="009222B2" w:rsidRDefault="006E4597" w:rsidP="00BA15CB">
      <w:pPr>
        <w:pStyle w:val="Bullet"/>
      </w:pPr>
      <w:r w:rsidRPr="009222B2">
        <w:t>54.1</w:t>
      </w:r>
      <w:r w:rsidR="004C4E55" w:rsidRPr="009222B2">
        <w:t>% reported no adverse events</w:t>
      </w:r>
    </w:p>
    <w:p w14:paraId="79D19864" w14:textId="6608954D" w:rsidR="004C4E55" w:rsidRPr="009222B2" w:rsidRDefault="006E4597" w:rsidP="00BA15CB">
      <w:pPr>
        <w:pStyle w:val="Bullet"/>
      </w:pPr>
      <w:r w:rsidRPr="009222B2">
        <w:t>45.9</w:t>
      </w:r>
      <w:r w:rsidR="004C4E55" w:rsidRPr="009222B2">
        <w:t xml:space="preserve">% reported </w:t>
      </w:r>
      <w:r w:rsidR="00DE6126" w:rsidRPr="009222B2">
        <w:t xml:space="preserve">at least </w:t>
      </w:r>
      <w:r w:rsidR="0090105F" w:rsidRPr="009222B2">
        <w:t xml:space="preserve">1 </w:t>
      </w:r>
      <w:r w:rsidR="004C4E55" w:rsidRPr="009222B2">
        <w:t>adverse event</w:t>
      </w:r>
    </w:p>
    <w:p w14:paraId="2B408E84" w14:textId="62C61697" w:rsidR="00F30BD3" w:rsidRPr="009222B2" w:rsidRDefault="006E4597" w:rsidP="00371C6C">
      <w:pPr>
        <w:pStyle w:val="BulletLast"/>
      </w:pPr>
      <w:r w:rsidRPr="009222B2">
        <w:t>0.9</w:t>
      </w:r>
      <w:r w:rsidR="004C4E55" w:rsidRPr="009222B2">
        <w:t>% reported visiting a doctor or emergency department.</w:t>
      </w:r>
    </w:p>
    <w:p w14:paraId="78D02A56" w14:textId="1563640F" w:rsidR="004C4E55" w:rsidRPr="009222B2" w:rsidRDefault="00F30BD3" w:rsidP="00BA03D1">
      <w:pPr>
        <w:pStyle w:val="NormalBeforeBullet"/>
      </w:pPr>
      <w:r w:rsidRPr="009222B2">
        <w:t>COVID-19 vaccine</w:t>
      </w:r>
      <w:r w:rsidR="00CB2AB7" w:rsidRPr="009222B2">
        <w:t>s</w:t>
      </w:r>
      <w:r w:rsidRPr="009222B2">
        <w:t xml:space="preserve"> were successful</w:t>
      </w:r>
      <w:r w:rsidR="00F76C3D" w:rsidRPr="009222B2">
        <w:t xml:space="preserve">ly rolled out to children aged </w:t>
      </w:r>
      <w:r w:rsidR="0090105F" w:rsidRPr="009222B2">
        <w:t xml:space="preserve">5 </w:t>
      </w:r>
      <w:r w:rsidRPr="009222B2">
        <w:t>to 12</w:t>
      </w:r>
      <w:r w:rsidR="003C6450" w:rsidRPr="009222B2">
        <w:t> year</w:t>
      </w:r>
      <w:r w:rsidRPr="009222B2">
        <w:t xml:space="preserve">s </w:t>
      </w:r>
      <w:r w:rsidR="00B23CDF" w:rsidRPr="009222B2">
        <w:t xml:space="preserve">in 2022. </w:t>
      </w:r>
      <w:r w:rsidR="00C8454C" w:rsidRPr="009222B2">
        <w:t xml:space="preserve">A total of </w:t>
      </w:r>
      <w:r w:rsidR="009A14F6" w:rsidRPr="009222B2">
        <w:t>234,661</w:t>
      </w:r>
      <w:r w:rsidR="007B5A1D" w:rsidRPr="009222B2">
        <w:t xml:space="preserve"> </w:t>
      </w:r>
      <w:r w:rsidR="0090105F" w:rsidRPr="009222B2">
        <w:t xml:space="preserve">children </w:t>
      </w:r>
      <w:r w:rsidR="007B5A1D" w:rsidRPr="009222B2">
        <w:t xml:space="preserve">aged </w:t>
      </w:r>
      <w:r w:rsidR="0090105F" w:rsidRPr="009222B2">
        <w:t xml:space="preserve">5 </w:t>
      </w:r>
      <w:r w:rsidR="007B5A1D" w:rsidRPr="009222B2">
        <w:t>to 12</w:t>
      </w:r>
      <w:r w:rsidR="00C8454C" w:rsidRPr="009222B2">
        <w:t> </w:t>
      </w:r>
      <w:r w:rsidR="007B5A1D" w:rsidRPr="009222B2">
        <w:t xml:space="preserve">years participated in the </w:t>
      </w:r>
      <w:r w:rsidR="002C17DB" w:rsidRPr="009222B2">
        <w:t xml:space="preserve">vaccine safety survey. </w:t>
      </w:r>
      <w:r w:rsidR="00B23CDF" w:rsidRPr="009222B2">
        <w:t>Of these:</w:t>
      </w:r>
    </w:p>
    <w:p w14:paraId="7A9D6CC2" w14:textId="14FDE162" w:rsidR="00B23CDF" w:rsidRPr="009222B2" w:rsidRDefault="009A14F6" w:rsidP="00B23CDF">
      <w:pPr>
        <w:pStyle w:val="Bullet"/>
      </w:pPr>
      <w:r w:rsidRPr="009222B2">
        <w:t>72.4</w:t>
      </w:r>
      <w:r w:rsidR="00B23CDF" w:rsidRPr="009222B2">
        <w:t>% reported no adverse events</w:t>
      </w:r>
    </w:p>
    <w:p w14:paraId="046250DB" w14:textId="203B1038" w:rsidR="00B23CDF" w:rsidRPr="009222B2" w:rsidRDefault="009A14F6" w:rsidP="00B23CDF">
      <w:pPr>
        <w:pStyle w:val="Bullet"/>
      </w:pPr>
      <w:r w:rsidRPr="009222B2">
        <w:t>27.6</w:t>
      </w:r>
      <w:r w:rsidR="00B23CDF" w:rsidRPr="009222B2">
        <w:t xml:space="preserve">% reported at least </w:t>
      </w:r>
      <w:r w:rsidR="003579FE" w:rsidRPr="009222B2">
        <w:t>1</w:t>
      </w:r>
      <w:r w:rsidR="00B23CDF" w:rsidRPr="009222B2">
        <w:t xml:space="preserve"> adverse event</w:t>
      </w:r>
    </w:p>
    <w:p w14:paraId="78543E57" w14:textId="00F80564" w:rsidR="00B23CDF" w:rsidRPr="009222B2" w:rsidRDefault="009A14F6" w:rsidP="00BA03D1">
      <w:pPr>
        <w:pStyle w:val="BulletLast"/>
      </w:pPr>
      <w:r w:rsidRPr="009222B2">
        <w:lastRenderedPageBreak/>
        <w:t>0.5</w:t>
      </w:r>
      <w:r w:rsidR="00B23CDF" w:rsidRPr="009222B2">
        <w:t>% reported visiting a doctor or emergency department.</w:t>
      </w:r>
    </w:p>
    <w:p w14:paraId="64F528BD" w14:textId="77777777" w:rsidR="004C4E55" w:rsidRPr="009222B2" w:rsidRDefault="004C4E55" w:rsidP="004C4E55">
      <w:pPr>
        <w:pStyle w:val="Heading4"/>
        <w:rPr>
          <w:rFonts w:eastAsia="Arial"/>
        </w:rPr>
      </w:pPr>
      <w:r w:rsidRPr="009222B2">
        <w:rPr>
          <w:rFonts w:eastAsia="Arial"/>
        </w:rPr>
        <w:t>Specific adverse events</w:t>
      </w:r>
    </w:p>
    <w:p w14:paraId="1E2F62C1" w14:textId="283E8BF4" w:rsidR="00206970" w:rsidRPr="009222B2" w:rsidRDefault="004C4E55" w:rsidP="00ED0F30">
      <w:pPr>
        <w:rPr>
          <w:rFonts w:eastAsia="Arial"/>
        </w:rPr>
      </w:pPr>
      <w:r w:rsidRPr="009222B2">
        <w:rPr>
          <w:rFonts w:eastAsia="Arial"/>
        </w:rPr>
        <w:t xml:space="preserve">Myocarditis and pericarditis are adverse events of special interest </w:t>
      </w:r>
      <w:r w:rsidR="00471DB9" w:rsidRPr="009222B2">
        <w:rPr>
          <w:rFonts w:eastAsia="Arial"/>
        </w:rPr>
        <w:t xml:space="preserve">initially noted </w:t>
      </w:r>
      <w:r w:rsidR="004177ED" w:rsidRPr="009222B2">
        <w:rPr>
          <w:rFonts w:eastAsia="Arial"/>
        </w:rPr>
        <w:t>following</w:t>
      </w:r>
      <w:r w:rsidR="009F4413" w:rsidRPr="009222B2">
        <w:rPr>
          <w:rFonts w:eastAsia="Arial"/>
        </w:rPr>
        <w:t xml:space="preserve"> the introduction of</w:t>
      </w:r>
      <w:r w:rsidRPr="009222B2">
        <w:rPr>
          <w:rFonts w:eastAsia="Arial"/>
        </w:rPr>
        <w:t xml:space="preserve"> </w:t>
      </w:r>
      <w:r w:rsidR="00AC34F0" w:rsidRPr="009222B2">
        <w:rPr>
          <w:rFonts w:eastAsia="Arial"/>
        </w:rPr>
        <w:t xml:space="preserve">mRNA </w:t>
      </w:r>
      <w:r w:rsidRPr="009222B2">
        <w:rPr>
          <w:rFonts w:eastAsia="Arial"/>
        </w:rPr>
        <w:t>COVID</w:t>
      </w:r>
      <w:r w:rsidR="00272EC5" w:rsidRPr="009222B2">
        <w:rPr>
          <w:rFonts w:eastAsia="Arial"/>
        </w:rPr>
        <w:noBreakHyphen/>
      </w:r>
      <w:r w:rsidRPr="009222B2">
        <w:rPr>
          <w:rFonts w:eastAsia="Arial"/>
        </w:rPr>
        <w:t>19 vaccines</w:t>
      </w:r>
      <w:r w:rsidR="00630934" w:rsidRPr="009222B2">
        <w:rPr>
          <w:rFonts w:eastAsia="Arial"/>
        </w:rPr>
        <w:t xml:space="preserve"> in 2021</w:t>
      </w:r>
      <w:r w:rsidR="0067052C" w:rsidRPr="009222B2">
        <w:rPr>
          <w:rFonts w:eastAsia="Arial"/>
        </w:rPr>
        <w:t>.</w:t>
      </w:r>
      <w:r w:rsidR="00221B13" w:rsidRPr="009222B2">
        <w:rPr>
          <w:rFonts w:eastAsia="Arial"/>
        </w:rPr>
        <w:t xml:space="preserve"> </w:t>
      </w:r>
      <w:r w:rsidR="00630934" w:rsidRPr="009222B2">
        <w:rPr>
          <w:rFonts w:eastAsia="Arial"/>
        </w:rPr>
        <w:t xml:space="preserve">In 2022, new evidence on vaccine safety </w:t>
      </w:r>
      <w:r w:rsidR="009F4413" w:rsidRPr="009222B2">
        <w:rPr>
          <w:rFonts w:eastAsia="Arial"/>
        </w:rPr>
        <w:t xml:space="preserve">showed that </w:t>
      </w:r>
      <w:r w:rsidR="00724725" w:rsidRPr="009222B2">
        <w:rPr>
          <w:rFonts w:eastAsia="Arial"/>
        </w:rPr>
        <w:t xml:space="preserve">myocarditis and pericarditis </w:t>
      </w:r>
      <w:r w:rsidR="00017E9E" w:rsidRPr="009222B2">
        <w:rPr>
          <w:rFonts w:eastAsia="Arial"/>
        </w:rPr>
        <w:t>risk</w:t>
      </w:r>
      <w:r w:rsidR="006E6D20" w:rsidRPr="009222B2">
        <w:rPr>
          <w:rFonts w:eastAsia="Arial"/>
        </w:rPr>
        <w:t>s were</w:t>
      </w:r>
      <w:r w:rsidR="00724725" w:rsidRPr="009222B2">
        <w:rPr>
          <w:rFonts w:eastAsia="Arial"/>
        </w:rPr>
        <w:t xml:space="preserve"> not </w:t>
      </w:r>
      <w:r w:rsidR="009F4413" w:rsidRPr="009222B2">
        <w:rPr>
          <w:rFonts w:eastAsia="Arial"/>
        </w:rPr>
        <w:t>confined</w:t>
      </w:r>
      <w:r w:rsidR="00724725" w:rsidRPr="009222B2">
        <w:rPr>
          <w:rFonts w:eastAsia="Arial"/>
        </w:rPr>
        <w:t xml:space="preserve"> to mRNA vaccines</w:t>
      </w:r>
      <w:r w:rsidR="009F4413" w:rsidRPr="009222B2">
        <w:rPr>
          <w:rFonts w:eastAsia="Arial"/>
        </w:rPr>
        <w:t>,</w:t>
      </w:r>
      <w:r w:rsidR="00724725" w:rsidRPr="009222B2">
        <w:rPr>
          <w:rFonts w:eastAsia="Arial"/>
        </w:rPr>
        <w:t xml:space="preserve"> and </w:t>
      </w:r>
      <w:r w:rsidR="009F4413" w:rsidRPr="009222B2">
        <w:rPr>
          <w:rFonts w:eastAsia="Arial"/>
        </w:rPr>
        <w:t xml:space="preserve">that increasing the dose </w:t>
      </w:r>
      <w:r w:rsidR="00724725" w:rsidRPr="009222B2">
        <w:rPr>
          <w:rFonts w:eastAsia="Arial"/>
        </w:rPr>
        <w:t xml:space="preserve">interval </w:t>
      </w:r>
      <w:r w:rsidR="00E14415" w:rsidRPr="009222B2">
        <w:rPr>
          <w:rFonts w:eastAsia="Arial"/>
        </w:rPr>
        <w:t>may</w:t>
      </w:r>
      <w:r w:rsidR="00724725" w:rsidRPr="009222B2">
        <w:rPr>
          <w:rFonts w:eastAsia="Arial"/>
        </w:rPr>
        <w:t xml:space="preserve"> </w:t>
      </w:r>
      <w:r w:rsidR="00971F0C" w:rsidRPr="009222B2">
        <w:rPr>
          <w:rFonts w:eastAsia="Arial"/>
        </w:rPr>
        <w:t xml:space="preserve">reduce the </w:t>
      </w:r>
      <w:r w:rsidR="006E6D20" w:rsidRPr="009222B2">
        <w:rPr>
          <w:rFonts w:eastAsia="Arial"/>
        </w:rPr>
        <w:t xml:space="preserve">likelihood </w:t>
      </w:r>
      <w:r w:rsidR="00971F0C" w:rsidRPr="009222B2">
        <w:rPr>
          <w:rFonts w:eastAsia="Arial"/>
        </w:rPr>
        <w:t>of an event.</w:t>
      </w:r>
      <w:r w:rsidR="00724725" w:rsidRPr="009222B2">
        <w:rPr>
          <w:rFonts w:eastAsia="Arial"/>
        </w:rPr>
        <w:t xml:space="preserve"> </w:t>
      </w:r>
      <w:r w:rsidR="00AC34F0" w:rsidRPr="009222B2">
        <w:rPr>
          <w:rFonts w:eastAsia="Arial"/>
        </w:rPr>
        <w:t xml:space="preserve">ATAGI </w:t>
      </w:r>
      <w:r w:rsidR="003C699B" w:rsidRPr="009222B2">
        <w:rPr>
          <w:rFonts w:eastAsia="Arial"/>
        </w:rPr>
        <w:t>developed</w:t>
      </w:r>
      <w:r w:rsidR="00836E1C" w:rsidRPr="009222B2">
        <w:rPr>
          <w:rFonts w:eastAsia="Arial"/>
        </w:rPr>
        <w:t xml:space="preserve"> </w:t>
      </w:r>
      <w:hyperlink r:id="rId57" w:history="1">
        <w:r w:rsidR="00836E1C" w:rsidRPr="009222B2">
          <w:rPr>
            <w:rStyle w:val="Hyperlink"/>
            <w:rFonts w:eastAsia="Arial"/>
          </w:rPr>
          <w:t>guidance on myocarditis and pericarditis after COVID-19 vaccines</w:t>
        </w:r>
      </w:hyperlink>
      <w:r w:rsidR="003E71CC" w:rsidRPr="009222B2">
        <w:rPr>
          <w:rFonts w:eastAsia="Arial"/>
        </w:rPr>
        <w:t xml:space="preserve"> </w:t>
      </w:r>
      <w:r w:rsidR="00221B13" w:rsidRPr="009222B2">
        <w:rPr>
          <w:rFonts w:eastAsia="Arial"/>
        </w:rPr>
        <w:t xml:space="preserve">in 2022 </w:t>
      </w:r>
      <w:r w:rsidR="00206970" w:rsidRPr="009222B2">
        <w:rPr>
          <w:rFonts w:eastAsia="Arial"/>
        </w:rPr>
        <w:t xml:space="preserve">in collaboration </w:t>
      </w:r>
      <w:r w:rsidR="00221B13" w:rsidRPr="009222B2">
        <w:rPr>
          <w:rFonts w:eastAsia="Arial"/>
        </w:rPr>
        <w:t>with subject matter experts</w:t>
      </w:r>
      <w:r w:rsidR="00971F0C" w:rsidRPr="009222B2">
        <w:rPr>
          <w:rFonts w:eastAsia="Arial"/>
        </w:rPr>
        <w:t>. ATAGI continue</w:t>
      </w:r>
      <w:r w:rsidR="005E5BDA">
        <w:rPr>
          <w:rFonts w:eastAsia="Arial"/>
        </w:rPr>
        <w:t>s</w:t>
      </w:r>
      <w:r w:rsidR="00971F0C" w:rsidRPr="009222B2">
        <w:rPr>
          <w:rFonts w:eastAsia="Arial"/>
        </w:rPr>
        <w:t xml:space="preserve"> to monitor the evidence and rates of these adverse events</w:t>
      </w:r>
      <w:r w:rsidR="00206970" w:rsidRPr="009222B2">
        <w:rPr>
          <w:rFonts w:eastAsia="Arial"/>
        </w:rPr>
        <w:t>.</w:t>
      </w:r>
    </w:p>
    <w:p w14:paraId="2D1ABB73" w14:textId="48E5A7EE" w:rsidR="00B23CDF" w:rsidRPr="009222B2" w:rsidRDefault="0032708B" w:rsidP="00E473C7">
      <w:pPr>
        <w:rPr>
          <w:rFonts w:eastAsia="Arial"/>
        </w:rPr>
      </w:pPr>
      <w:r w:rsidRPr="009222B2">
        <w:rPr>
          <w:rFonts w:eastAsia="Arial"/>
        </w:rPr>
        <w:t xml:space="preserve">Thrombosis with thrombocytopenia syndrome (TTS) is a rare but serious adverse event </w:t>
      </w:r>
      <w:r w:rsidR="009F4413" w:rsidRPr="009222B2">
        <w:rPr>
          <w:rFonts w:eastAsia="Arial"/>
        </w:rPr>
        <w:t>attributed to</w:t>
      </w:r>
      <w:r w:rsidRPr="009222B2">
        <w:rPr>
          <w:rFonts w:eastAsia="Arial"/>
        </w:rPr>
        <w:t xml:space="preserve"> the AstraZeneca vaccine </w:t>
      </w:r>
      <w:r w:rsidR="009F4413" w:rsidRPr="009222B2">
        <w:rPr>
          <w:rFonts w:eastAsia="Arial"/>
        </w:rPr>
        <w:t>and</w:t>
      </w:r>
      <w:r w:rsidRPr="009222B2">
        <w:rPr>
          <w:rFonts w:eastAsia="Arial"/>
        </w:rPr>
        <w:t xml:space="preserve"> identified </w:t>
      </w:r>
      <w:r w:rsidR="009F4413" w:rsidRPr="009222B2">
        <w:rPr>
          <w:rFonts w:eastAsia="Arial"/>
        </w:rPr>
        <w:t>early in the vaccination program rollout</w:t>
      </w:r>
      <w:r w:rsidRPr="009222B2">
        <w:rPr>
          <w:rFonts w:eastAsia="Arial"/>
        </w:rPr>
        <w:t>. In 2022, there were no additional cases of TTS</w:t>
      </w:r>
      <w:r w:rsidR="00E473C7" w:rsidRPr="009222B2">
        <w:rPr>
          <w:rFonts w:eastAsia="Arial"/>
        </w:rPr>
        <w:t xml:space="preserve"> </w:t>
      </w:r>
      <w:r w:rsidR="0090105F" w:rsidRPr="009222B2">
        <w:rPr>
          <w:rFonts w:eastAsia="Arial"/>
        </w:rPr>
        <w:t>because</w:t>
      </w:r>
      <w:r w:rsidR="00E473C7" w:rsidRPr="009222B2">
        <w:rPr>
          <w:rFonts w:eastAsia="Arial"/>
        </w:rPr>
        <w:t xml:space="preserve"> the AstraZeneca vaccine </w:t>
      </w:r>
      <w:r w:rsidR="009F4413" w:rsidRPr="009222B2">
        <w:rPr>
          <w:rFonts w:eastAsia="Arial"/>
        </w:rPr>
        <w:t xml:space="preserve">was no longer widely used </w:t>
      </w:r>
      <w:r w:rsidR="00E473C7" w:rsidRPr="009222B2">
        <w:rPr>
          <w:rFonts w:eastAsia="Arial"/>
        </w:rPr>
        <w:t>in Australia</w:t>
      </w:r>
      <w:r w:rsidRPr="009222B2">
        <w:rPr>
          <w:rFonts w:eastAsia="Arial"/>
        </w:rPr>
        <w:t>.</w:t>
      </w:r>
    </w:p>
    <w:p w14:paraId="16719C89" w14:textId="233C1EC1" w:rsidR="00E55D86" w:rsidRPr="009222B2" w:rsidRDefault="00424880" w:rsidP="00E55D86">
      <w:pPr>
        <w:pStyle w:val="Heading4"/>
        <w:rPr>
          <w:rFonts w:eastAsia="Arial"/>
        </w:rPr>
      </w:pPr>
      <w:r w:rsidRPr="009222B2">
        <w:rPr>
          <w:rFonts w:eastAsia="Arial"/>
        </w:rPr>
        <w:t>N</w:t>
      </w:r>
      <w:r w:rsidR="00E55D86" w:rsidRPr="009222B2">
        <w:rPr>
          <w:rFonts w:eastAsia="Arial"/>
        </w:rPr>
        <w:t>o</w:t>
      </w:r>
      <w:r w:rsidR="009F4413" w:rsidRPr="009222B2">
        <w:rPr>
          <w:rFonts w:eastAsia="Arial"/>
        </w:rPr>
        <w:t>-</w:t>
      </w:r>
      <w:r w:rsidR="00E55D86" w:rsidRPr="009222B2">
        <w:rPr>
          <w:rFonts w:eastAsia="Arial"/>
        </w:rPr>
        <w:t xml:space="preserve">fault COVID-19 </w:t>
      </w:r>
      <w:r w:rsidR="00B802AE" w:rsidRPr="009222B2">
        <w:rPr>
          <w:rFonts w:eastAsia="Arial"/>
        </w:rPr>
        <w:t>V</w:t>
      </w:r>
      <w:r w:rsidR="007106BF" w:rsidRPr="009222B2">
        <w:rPr>
          <w:rFonts w:eastAsia="Arial"/>
        </w:rPr>
        <w:t>accines</w:t>
      </w:r>
      <w:r w:rsidR="00B802AE" w:rsidRPr="009222B2">
        <w:rPr>
          <w:rFonts w:eastAsia="Arial"/>
        </w:rPr>
        <w:t xml:space="preserve"> </w:t>
      </w:r>
      <w:r w:rsidR="008617B9" w:rsidRPr="009222B2">
        <w:rPr>
          <w:rFonts w:eastAsia="Arial"/>
        </w:rPr>
        <w:t>Claims</w:t>
      </w:r>
      <w:r w:rsidR="00E55D86" w:rsidRPr="009222B2">
        <w:rPr>
          <w:rFonts w:eastAsia="Arial"/>
        </w:rPr>
        <w:t xml:space="preserve"> </w:t>
      </w:r>
      <w:r w:rsidR="0090105F" w:rsidRPr="009222B2">
        <w:rPr>
          <w:rFonts w:eastAsia="Arial"/>
        </w:rPr>
        <w:t>S</w:t>
      </w:r>
      <w:r w:rsidR="00E55D86" w:rsidRPr="009222B2">
        <w:rPr>
          <w:rFonts w:eastAsia="Arial"/>
        </w:rPr>
        <w:t>cheme</w:t>
      </w:r>
    </w:p>
    <w:p w14:paraId="3327CDC2" w14:textId="4B55317C" w:rsidR="00E55D86" w:rsidRPr="009222B2" w:rsidRDefault="0026637A" w:rsidP="00E55D86">
      <w:pPr>
        <w:rPr>
          <w:rFonts w:eastAsia="Arial"/>
        </w:rPr>
      </w:pPr>
      <w:r w:rsidRPr="009222B2">
        <w:rPr>
          <w:rFonts w:eastAsia="Arial"/>
        </w:rPr>
        <w:t>The</w:t>
      </w:r>
      <w:r w:rsidR="00E55D86" w:rsidRPr="009222B2">
        <w:rPr>
          <w:rFonts w:eastAsia="Arial"/>
        </w:rPr>
        <w:t xml:space="preserve"> </w:t>
      </w:r>
      <w:hyperlink r:id="rId58" w:history="1">
        <w:r w:rsidR="00E55D86" w:rsidRPr="009222B2">
          <w:rPr>
            <w:rStyle w:val="Hyperlink"/>
            <w:rFonts w:eastAsia="Arial"/>
          </w:rPr>
          <w:t xml:space="preserve">COVID-19 </w:t>
        </w:r>
        <w:r w:rsidR="00B802AE" w:rsidRPr="009222B2">
          <w:rPr>
            <w:rStyle w:val="Hyperlink"/>
            <w:rFonts w:eastAsia="Arial"/>
          </w:rPr>
          <w:t>V</w:t>
        </w:r>
        <w:r w:rsidR="00E55D86" w:rsidRPr="009222B2">
          <w:rPr>
            <w:rStyle w:val="Hyperlink"/>
            <w:rFonts w:eastAsia="Arial"/>
          </w:rPr>
          <w:t xml:space="preserve">accine </w:t>
        </w:r>
        <w:r w:rsidR="00B802AE" w:rsidRPr="009222B2">
          <w:rPr>
            <w:rStyle w:val="Hyperlink"/>
            <w:rFonts w:eastAsia="Arial"/>
          </w:rPr>
          <w:t>C</w:t>
        </w:r>
        <w:r w:rsidR="00E55D86" w:rsidRPr="009222B2">
          <w:rPr>
            <w:rStyle w:val="Hyperlink"/>
            <w:rFonts w:eastAsia="Arial"/>
          </w:rPr>
          <w:t xml:space="preserve">laims </w:t>
        </w:r>
        <w:r w:rsidR="00B802AE" w:rsidRPr="009222B2">
          <w:rPr>
            <w:rStyle w:val="Hyperlink"/>
            <w:rFonts w:eastAsia="Arial"/>
          </w:rPr>
          <w:t>S</w:t>
        </w:r>
        <w:r w:rsidR="00E55D86" w:rsidRPr="009222B2">
          <w:rPr>
            <w:rStyle w:val="Hyperlink"/>
            <w:rFonts w:eastAsia="Arial"/>
          </w:rPr>
          <w:t>cheme</w:t>
        </w:r>
      </w:hyperlink>
      <w:r w:rsidR="00E55D86" w:rsidRPr="009222B2">
        <w:rPr>
          <w:rFonts w:eastAsia="Arial"/>
        </w:rPr>
        <w:t xml:space="preserve"> </w:t>
      </w:r>
      <w:r w:rsidRPr="009222B2">
        <w:rPr>
          <w:rFonts w:eastAsia="Arial"/>
        </w:rPr>
        <w:t>announced by the Australian Government on 28</w:t>
      </w:r>
      <w:r w:rsidR="006E6D20" w:rsidRPr="009222B2">
        <w:rPr>
          <w:rFonts w:eastAsia="Arial"/>
        </w:rPr>
        <w:t> </w:t>
      </w:r>
      <w:r w:rsidRPr="009222B2">
        <w:rPr>
          <w:rFonts w:eastAsia="Arial"/>
        </w:rPr>
        <w:t xml:space="preserve">August 2021 allows </w:t>
      </w:r>
      <w:r w:rsidR="0090105F" w:rsidRPr="009222B2">
        <w:rPr>
          <w:rFonts w:eastAsia="Arial"/>
        </w:rPr>
        <w:t>people to claim</w:t>
      </w:r>
      <w:r w:rsidRPr="009222B2">
        <w:rPr>
          <w:rFonts w:eastAsia="Arial"/>
        </w:rPr>
        <w:t xml:space="preserve"> compensation for injuries resulting from diagnosed clinical conditions likely to be caused by a TGA</w:t>
      </w:r>
      <w:r w:rsidR="0090105F" w:rsidRPr="009222B2">
        <w:rPr>
          <w:rFonts w:eastAsia="Arial"/>
        </w:rPr>
        <w:t>-</w:t>
      </w:r>
      <w:r w:rsidRPr="009222B2">
        <w:rPr>
          <w:rFonts w:eastAsia="Arial"/>
        </w:rPr>
        <w:t>approved COVID-19 vaccine or its administration</w:t>
      </w:r>
      <w:r w:rsidR="00D77FE8" w:rsidRPr="009222B2">
        <w:rPr>
          <w:rFonts w:eastAsia="Arial"/>
        </w:rPr>
        <w:t>.</w:t>
      </w:r>
      <w:r w:rsidR="00640B64" w:rsidRPr="009222B2">
        <w:rPr>
          <w:rFonts w:eastAsia="Arial"/>
        </w:rPr>
        <w:t xml:space="preserve"> The scheme continued throughout 2022, </w:t>
      </w:r>
      <w:r w:rsidR="001A134D" w:rsidRPr="009222B2">
        <w:rPr>
          <w:rFonts w:eastAsia="Arial"/>
        </w:rPr>
        <w:t>receiving more than 3</w:t>
      </w:r>
      <w:r w:rsidR="0090105F" w:rsidRPr="009222B2">
        <w:rPr>
          <w:rFonts w:eastAsia="Arial"/>
        </w:rPr>
        <w:t>,</w:t>
      </w:r>
      <w:r w:rsidR="001A134D" w:rsidRPr="009222B2">
        <w:rPr>
          <w:rFonts w:eastAsia="Arial"/>
        </w:rPr>
        <w:t>000</w:t>
      </w:r>
      <w:r w:rsidR="006E6D20" w:rsidRPr="009222B2">
        <w:rPr>
          <w:rFonts w:eastAsia="Arial"/>
        </w:rPr>
        <w:t> </w:t>
      </w:r>
      <w:r w:rsidR="001A134D" w:rsidRPr="009222B2">
        <w:rPr>
          <w:rFonts w:eastAsia="Arial"/>
        </w:rPr>
        <w:t>claims backdated to February 2021</w:t>
      </w:r>
      <w:r w:rsidR="0090105F" w:rsidRPr="009222B2">
        <w:rPr>
          <w:rFonts w:eastAsia="Arial"/>
        </w:rPr>
        <w:t>,</w:t>
      </w:r>
      <w:r w:rsidR="001A134D" w:rsidRPr="009222B2">
        <w:rPr>
          <w:rFonts w:eastAsia="Arial"/>
        </w:rPr>
        <w:t xml:space="preserve"> when COVID-19 vaccination rollout commenced in Australia.</w:t>
      </w:r>
    </w:p>
    <w:p w14:paraId="3CE2B4E9" w14:textId="042855C4" w:rsidR="00D405A8" w:rsidRPr="009222B2" w:rsidRDefault="00D405A8" w:rsidP="00D405A8">
      <w:pPr>
        <w:pStyle w:val="Heading2"/>
      </w:pPr>
      <w:bookmarkStart w:id="15" w:name="_Toc72165382"/>
      <w:bookmarkStart w:id="16" w:name="_Toc128991502"/>
      <w:bookmarkStart w:id="17" w:name="_Hlk88045565"/>
      <w:r w:rsidRPr="009222B2">
        <w:t xml:space="preserve">Prevention and control of </w:t>
      </w:r>
      <w:r w:rsidR="008D388B" w:rsidRPr="009222B2">
        <w:t xml:space="preserve">other </w:t>
      </w:r>
      <w:r w:rsidRPr="009222B2">
        <w:t>vaccine-preventable diseases</w:t>
      </w:r>
      <w:bookmarkEnd w:id="15"/>
      <w:bookmarkEnd w:id="16"/>
    </w:p>
    <w:bookmarkEnd w:id="17"/>
    <w:p w14:paraId="7DB3A926" w14:textId="12481AD5" w:rsidR="00926040" w:rsidRPr="009222B2" w:rsidRDefault="009F4413" w:rsidP="00926040">
      <w:pPr>
        <w:rPr>
          <w:rFonts w:cs="Calibri"/>
        </w:rPr>
      </w:pPr>
      <w:r w:rsidRPr="009222B2">
        <w:t>Cases of certain VPDs increased in 2022</w:t>
      </w:r>
      <w:r w:rsidR="007A15C9" w:rsidRPr="009222B2">
        <w:t xml:space="preserve"> </w:t>
      </w:r>
      <w:r w:rsidRPr="009222B2">
        <w:t xml:space="preserve">compared with </w:t>
      </w:r>
      <w:r w:rsidR="00F749E7" w:rsidRPr="009222B2">
        <w:rPr>
          <w:rFonts w:cs="Calibri"/>
        </w:rPr>
        <w:t>202</w:t>
      </w:r>
      <w:r w:rsidRPr="009222B2">
        <w:rPr>
          <w:rFonts w:cs="Calibri"/>
        </w:rPr>
        <w:t>0</w:t>
      </w:r>
      <w:r w:rsidR="00F749E7" w:rsidRPr="009222B2">
        <w:rPr>
          <w:rFonts w:cs="Calibri"/>
        </w:rPr>
        <w:t xml:space="preserve"> </w:t>
      </w:r>
      <w:r w:rsidR="00DF38AF" w:rsidRPr="009222B2">
        <w:rPr>
          <w:rFonts w:cs="Calibri"/>
        </w:rPr>
        <w:t>and 202</w:t>
      </w:r>
      <w:r w:rsidRPr="009222B2">
        <w:rPr>
          <w:rFonts w:cs="Calibri"/>
        </w:rPr>
        <w:t>1</w:t>
      </w:r>
      <w:r w:rsidR="00BA2D50" w:rsidRPr="009222B2">
        <w:rPr>
          <w:rFonts w:cs="Calibri"/>
        </w:rPr>
        <w:t>, likely</w:t>
      </w:r>
      <w:r w:rsidR="00BB2BCC" w:rsidRPr="009222B2">
        <w:rPr>
          <w:rFonts w:cs="Calibri"/>
        </w:rPr>
        <w:t xml:space="preserve"> due to </w:t>
      </w:r>
      <w:r w:rsidR="00684732" w:rsidRPr="009222B2">
        <w:rPr>
          <w:rFonts w:cs="Calibri"/>
        </w:rPr>
        <w:t>easing of</w:t>
      </w:r>
      <w:r w:rsidR="00BB2BCC" w:rsidRPr="009222B2">
        <w:rPr>
          <w:rFonts w:cs="Calibri"/>
        </w:rPr>
        <w:t xml:space="preserve"> COVID-19 </w:t>
      </w:r>
      <w:r w:rsidR="00A4775B" w:rsidRPr="009222B2">
        <w:rPr>
          <w:rFonts w:cs="Calibri"/>
        </w:rPr>
        <w:t>restrictions</w:t>
      </w:r>
      <w:r w:rsidR="00BB2BCC" w:rsidRPr="009222B2">
        <w:rPr>
          <w:rFonts w:cs="Calibri"/>
        </w:rPr>
        <w:t xml:space="preserve"> </w:t>
      </w:r>
      <w:r w:rsidR="00F36AA4" w:rsidRPr="009222B2">
        <w:rPr>
          <w:rFonts w:cs="Calibri"/>
        </w:rPr>
        <w:t xml:space="preserve">and </w:t>
      </w:r>
      <w:r w:rsidR="00EA243C" w:rsidRPr="009222B2">
        <w:rPr>
          <w:rFonts w:cs="Calibri"/>
        </w:rPr>
        <w:t>reopening of Australia’s borders to international travel</w:t>
      </w:r>
      <w:r w:rsidR="00F36AA4" w:rsidRPr="009222B2">
        <w:rPr>
          <w:rFonts w:cs="Calibri"/>
        </w:rPr>
        <w:t xml:space="preserve">. </w:t>
      </w:r>
      <w:r w:rsidR="008F40BB" w:rsidRPr="009222B2">
        <w:rPr>
          <w:rFonts w:cs="Calibri"/>
        </w:rPr>
        <w:t xml:space="preserve">Data </w:t>
      </w:r>
      <w:r w:rsidR="005E5BDA">
        <w:rPr>
          <w:rFonts w:cs="Calibri"/>
        </w:rPr>
        <w:t>in this section</w:t>
      </w:r>
      <w:r w:rsidR="008F40BB" w:rsidRPr="009222B2">
        <w:rPr>
          <w:rFonts w:cs="Calibri"/>
        </w:rPr>
        <w:t xml:space="preserve"> were extracted from the National Notifiable Disease Surveillance System with a diagnosis date </w:t>
      </w:r>
      <w:r w:rsidR="006E6D20" w:rsidRPr="009222B2">
        <w:rPr>
          <w:rFonts w:cs="Calibri"/>
        </w:rPr>
        <w:t xml:space="preserve">of between </w:t>
      </w:r>
      <w:r w:rsidR="008F40BB" w:rsidRPr="009222B2">
        <w:rPr>
          <w:rFonts w:cs="Calibri"/>
        </w:rPr>
        <w:t>1</w:t>
      </w:r>
      <w:r w:rsidR="006E6D20" w:rsidRPr="009222B2">
        <w:rPr>
          <w:rFonts w:cs="Calibri"/>
        </w:rPr>
        <w:t> </w:t>
      </w:r>
      <w:r w:rsidR="008F40BB" w:rsidRPr="009222B2">
        <w:rPr>
          <w:rFonts w:cs="Calibri"/>
        </w:rPr>
        <w:t xml:space="preserve">January </w:t>
      </w:r>
      <w:r w:rsidR="006E6D20" w:rsidRPr="009222B2">
        <w:rPr>
          <w:rFonts w:cs="Calibri"/>
        </w:rPr>
        <w:t>and</w:t>
      </w:r>
      <w:r w:rsidR="00F66A50" w:rsidRPr="009222B2">
        <w:rPr>
          <w:rFonts w:cs="Calibri"/>
        </w:rPr>
        <w:t xml:space="preserve"> </w:t>
      </w:r>
      <w:r w:rsidR="00AB4196" w:rsidRPr="009222B2">
        <w:rPr>
          <w:rFonts w:cs="Calibri"/>
        </w:rPr>
        <w:t>31</w:t>
      </w:r>
      <w:r w:rsidR="006E6D20" w:rsidRPr="009222B2">
        <w:rPr>
          <w:rFonts w:cs="Calibri"/>
        </w:rPr>
        <w:t> </w:t>
      </w:r>
      <w:r w:rsidR="00AB4196" w:rsidRPr="009222B2">
        <w:rPr>
          <w:rFonts w:cs="Calibri"/>
        </w:rPr>
        <w:t>December</w:t>
      </w:r>
      <w:r w:rsidR="00F66A50" w:rsidRPr="009222B2">
        <w:rPr>
          <w:rFonts w:cs="Calibri"/>
        </w:rPr>
        <w:t xml:space="preserve"> 2022.</w:t>
      </w:r>
    </w:p>
    <w:p w14:paraId="2DFDAA1A" w14:textId="4A98D67F" w:rsidR="00653EFD" w:rsidRPr="009222B2" w:rsidRDefault="00653EFD" w:rsidP="00862550">
      <w:pPr>
        <w:pStyle w:val="Heading3"/>
        <w:rPr>
          <w:rFonts w:cs="Calibri"/>
          <w:szCs w:val="22"/>
        </w:rPr>
      </w:pPr>
      <w:r w:rsidRPr="009222B2">
        <w:rPr>
          <w:rFonts w:cs="Calibri"/>
        </w:rPr>
        <w:t>Influenza</w:t>
      </w:r>
    </w:p>
    <w:p w14:paraId="36DF250E" w14:textId="24424587" w:rsidR="00A93394" w:rsidRPr="009222B2" w:rsidRDefault="00963AC4" w:rsidP="00C8454C">
      <w:r w:rsidRPr="009222B2">
        <w:t xml:space="preserve">During Australia’s international border closures, </w:t>
      </w:r>
      <w:r w:rsidR="006F6992" w:rsidRPr="009222B2">
        <w:t>in</w:t>
      </w:r>
      <w:r w:rsidRPr="009222B2">
        <w:t>flu</w:t>
      </w:r>
      <w:r w:rsidR="006F6992" w:rsidRPr="009222B2">
        <w:t>enza</w:t>
      </w:r>
      <w:r w:rsidR="00077D40" w:rsidRPr="009222B2">
        <w:t xml:space="preserve"> activity</w:t>
      </w:r>
      <w:r w:rsidRPr="009222B2">
        <w:t xml:space="preserve"> was</w:t>
      </w:r>
      <w:r w:rsidR="00077D40" w:rsidRPr="009222B2">
        <w:t xml:space="preserve"> very low. </w:t>
      </w:r>
      <w:r w:rsidRPr="009222B2">
        <w:t>After borders reopened</w:t>
      </w:r>
      <w:r w:rsidR="009457C6" w:rsidRPr="009222B2">
        <w:t xml:space="preserve"> in 2022</w:t>
      </w:r>
      <w:r w:rsidRPr="009222B2">
        <w:t>, n</w:t>
      </w:r>
      <w:r w:rsidR="00A93394" w:rsidRPr="009222B2">
        <w:t>otification</w:t>
      </w:r>
      <w:r w:rsidR="009F4413" w:rsidRPr="009222B2">
        <w:t>s</w:t>
      </w:r>
      <w:r w:rsidR="00A93394" w:rsidRPr="009222B2">
        <w:rPr>
          <w:szCs w:val="22"/>
        </w:rPr>
        <w:t xml:space="preserve"> </w:t>
      </w:r>
      <w:r w:rsidR="009F4413" w:rsidRPr="009222B2">
        <w:t>o</w:t>
      </w:r>
      <w:r w:rsidR="00AB096C" w:rsidRPr="009222B2">
        <w:t xml:space="preserve">f influenza </w:t>
      </w:r>
      <w:r w:rsidR="009457C6" w:rsidRPr="009222B2">
        <w:t>dramatically increased to</w:t>
      </w:r>
      <w:r w:rsidR="00A93394" w:rsidRPr="009222B2">
        <w:t xml:space="preserve"> </w:t>
      </w:r>
      <w:r w:rsidR="00610498" w:rsidRPr="009222B2">
        <w:t>3</w:t>
      </w:r>
      <w:r w:rsidR="00AB4196" w:rsidRPr="009222B2">
        <w:t>06</w:t>
      </w:r>
      <w:r w:rsidR="00F749E7" w:rsidRPr="009222B2">
        <w:rPr>
          <w:bCs/>
          <w:szCs w:val="22"/>
        </w:rPr>
        <w:t xml:space="preserve"> </w:t>
      </w:r>
      <w:r w:rsidR="00CC4E6D" w:rsidRPr="009222B2">
        <w:t xml:space="preserve">times </w:t>
      </w:r>
      <w:r w:rsidR="00F749E7" w:rsidRPr="009222B2">
        <w:t>hig</w:t>
      </w:r>
      <w:r w:rsidR="00AB096C" w:rsidRPr="009222B2">
        <w:t>her than the same period in 2021</w:t>
      </w:r>
      <w:r w:rsidR="002A1A12" w:rsidRPr="009222B2">
        <w:t xml:space="preserve"> and 1.8 times higher than the 5-year mean</w:t>
      </w:r>
      <w:r w:rsidR="00A93394" w:rsidRPr="009222B2">
        <w:t xml:space="preserve">. There was </w:t>
      </w:r>
      <w:r w:rsidR="00F749E7" w:rsidRPr="009222B2">
        <w:t>a</w:t>
      </w:r>
      <w:r w:rsidR="00A93394" w:rsidRPr="009222B2">
        <w:t xml:space="preserve"> notable increase in cases during the usual peak winter season.</w:t>
      </w:r>
    </w:p>
    <w:p w14:paraId="6EEE4C4D" w14:textId="015F7B73" w:rsidR="00EA01BD" w:rsidRPr="009222B2" w:rsidRDefault="00EA01BD" w:rsidP="00C8454C">
      <w:r w:rsidRPr="009222B2">
        <w:t>Notification</w:t>
      </w:r>
      <w:r w:rsidR="009F4413" w:rsidRPr="009222B2">
        <w:t>s</w:t>
      </w:r>
      <w:r w:rsidRPr="009222B2">
        <w:t xml:space="preserve"> </w:t>
      </w:r>
      <w:r w:rsidR="009D64F2" w:rsidRPr="009222B2">
        <w:t>were</w:t>
      </w:r>
      <w:r w:rsidR="00F76C3D" w:rsidRPr="009222B2">
        <w:t xml:space="preserve"> highest in </w:t>
      </w:r>
      <w:r w:rsidR="001D3A7F" w:rsidRPr="009222B2">
        <w:t>children</w:t>
      </w:r>
      <w:r w:rsidR="00F76C3D" w:rsidRPr="009222B2">
        <w:t xml:space="preserve"> aged </w:t>
      </w:r>
      <w:r w:rsidR="00963AC4" w:rsidRPr="009222B2">
        <w:t xml:space="preserve">5 </w:t>
      </w:r>
      <w:r w:rsidR="00F76C3D" w:rsidRPr="009222B2">
        <w:t xml:space="preserve">to </w:t>
      </w:r>
      <w:r w:rsidR="00963AC4" w:rsidRPr="009222B2">
        <w:t>9</w:t>
      </w:r>
      <w:r w:rsidR="003C6450" w:rsidRPr="009222B2">
        <w:t> year</w:t>
      </w:r>
      <w:r w:rsidRPr="009222B2">
        <w:t>s (2,</w:t>
      </w:r>
      <w:r w:rsidR="00AB4196" w:rsidRPr="009222B2">
        <w:t>244</w:t>
      </w:r>
      <w:r w:rsidRPr="009222B2">
        <w:t xml:space="preserve"> notifications per 100,000 population</w:t>
      </w:r>
      <w:r w:rsidR="00F76C3D" w:rsidRPr="009222B2">
        <w:t xml:space="preserve">) and children </w:t>
      </w:r>
      <w:r w:rsidR="005E5BDA">
        <w:t>aged und</w:t>
      </w:r>
      <w:r w:rsidR="00963AC4" w:rsidRPr="009222B2">
        <w:t>er</w:t>
      </w:r>
      <w:r w:rsidR="00F76C3D" w:rsidRPr="009222B2">
        <w:t xml:space="preserve"> </w:t>
      </w:r>
      <w:r w:rsidR="00963AC4" w:rsidRPr="009222B2">
        <w:t>5</w:t>
      </w:r>
      <w:r w:rsidR="003C6450" w:rsidRPr="009222B2">
        <w:t> year</w:t>
      </w:r>
      <w:r w:rsidRPr="009222B2">
        <w:t>s (1,</w:t>
      </w:r>
      <w:r w:rsidR="00AB4196" w:rsidRPr="009222B2">
        <w:t>929</w:t>
      </w:r>
      <w:r w:rsidRPr="009222B2">
        <w:t xml:space="preserve"> notifications per 100,000 population).</w:t>
      </w:r>
      <w:r w:rsidR="007F3759" w:rsidRPr="009222B2">
        <w:t xml:space="preserve"> </w:t>
      </w:r>
      <w:r w:rsidR="005C6256" w:rsidRPr="009222B2">
        <w:t>The notification rate for adults aged 65</w:t>
      </w:r>
      <w:r w:rsidR="003C6450" w:rsidRPr="009222B2">
        <w:t> year</w:t>
      </w:r>
      <w:r w:rsidR="005C6256" w:rsidRPr="009222B2">
        <w:t>s</w:t>
      </w:r>
      <w:r w:rsidR="005E5BDA">
        <w:t xml:space="preserve"> and over</w:t>
      </w:r>
      <w:r w:rsidR="005C6256" w:rsidRPr="009222B2">
        <w:t xml:space="preserve"> was 388</w:t>
      </w:r>
      <w:r w:rsidR="006E6D20" w:rsidRPr="009222B2">
        <w:t> </w:t>
      </w:r>
      <w:r w:rsidR="005C6256" w:rsidRPr="009222B2">
        <w:t>per 100,000 population.</w:t>
      </w:r>
    </w:p>
    <w:p w14:paraId="50A67239" w14:textId="61C7EA0C" w:rsidR="00D405A8" w:rsidRPr="009222B2" w:rsidRDefault="00D405A8" w:rsidP="00C8454C">
      <w:r w:rsidRPr="009222B2">
        <w:t xml:space="preserve">More details are in the </w:t>
      </w:r>
      <w:hyperlink r:id="rId59" w:history="1">
        <w:r w:rsidR="00D42272" w:rsidRPr="009222B2">
          <w:rPr>
            <w:rStyle w:val="Hyperlink"/>
            <w:rFonts w:cs="Calibri"/>
            <w:szCs w:val="22"/>
          </w:rPr>
          <w:t>n</w:t>
        </w:r>
        <w:r w:rsidR="002111C1" w:rsidRPr="009222B2">
          <w:rPr>
            <w:rStyle w:val="Hyperlink"/>
            <w:rFonts w:cs="Calibri"/>
            <w:szCs w:val="22"/>
          </w:rPr>
          <w:t xml:space="preserve">ational 2022 </w:t>
        </w:r>
        <w:r w:rsidR="00D42272" w:rsidRPr="009222B2">
          <w:rPr>
            <w:rStyle w:val="Hyperlink"/>
            <w:rFonts w:cs="Calibri"/>
            <w:szCs w:val="22"/>
          </w:rPr>
          <w:t>i</w:t>
        </w:r>
        <w:r w:rsidR="002111C1" w:rsidRPr="009222B2">
          <w:rPr>
            <w:rStyle w:val="Hyperlink"/>
            <w:rFonts w:cs="Calibri"/>
            <w:szCs w:val="22"/>
          </w:rPr>
          <w:t xml:space="preserve">nfluenza </w:t>
        </w:r>
        <w:r w:rsidR="00D42272" w:rsidRPr="009222B2">
          <w:rPr>
            <w:rStyle w:val="Hyperlink"/>
            <w:rFonts w:cs="Calibri"/>
            <w:szCs w:val="22"/>
          </w:rPr>
          <w:t>s</w:t>
        </w:r>
        <w:r w:rsidR="002111C1" w:rsidRPr="009222B2">
          <w:rPr>
            <w:rStyle w:val="Hyperlink"/>
            <w:rFonts w:cs="Calibri"/>
            <w:szCs w:val="22"/>
          </w:rPr>
          <w:t xml:space="preserve">eason </w:t>
        </w:r>
        <w:r w:rsidR="00D42272" w:rsidRPr="009222B2">
          <w:rPr>
            <w:rStyle w:val="Hyperlink"/>
            <w:rFonts w:cs="Calibri"/>
            <w:szCs w:val="22"/>
          </w:rPr>
          <w:t>s</w:t>
        </w:r>
        <w:r w:rsidR="002111C1" w:rsidRPr="009222B2">
          <w:rPr>
            <w:rStyle w:val="Hyperlink"/>
            <w:rFonts w:cs="Calibri"/>
            <w:szCs w:val="22"/>
          </w:rPr>
          <w:t>ummary</w:t>
        </w:r>
      </w:hyperlink>
      <w:r w:rsidR="008D388B" w:rsidRPr="009222B2">
        <w:t>.</w:t>
      </w:r>
    </w:p>
    <w:p w14:paraId="4FC111C6" w14:textId="151C8B31" w:rsidR="009E4445" w:rsidRPr="009222B2" w:rsidRDefault="009E4445" w:rsidP="00862550">
      <w:pPr>
        <w:pStyle w:val="Heading3"/>
        <w:rPr>
          <w:rFonts w:cs="Calibri"/>
          <w:szCs w:val="22"/>
        </w:rPr>
      </w:pPr>
      <w:r w:rsidRPr="009222B2">
        <w:rPr>
          <w:rFonts w:cs="Calibri"/>
          <w:szCs w:val="22"/>
        </w:rPr>
        <w:t>Meningococcal disease</w:t>
      </w:r>
    </w:p>
    <w:p w14:paraId="08D2E961" w14:textId="50F1AA12" w:rsidR="00D405A8" w:rsidRPr="009222B2" w:rsidRDefault="009D64F2" w:rsidP="00C00E65">
      <w:r w:rsidRPr="009222B2">
        <w:t xml:space="preserve">There were </w:t>
      </w:r>
      <w:r w:rsidR="00AB4196" w:rsidRPr="009222B2">
        <w:t>124</w:t>
      </w:r>
      <w:r w:rsidR="00DC3FD9" w:rsidRPr="009222B2">
        <w:t xml:space="preserve"> </w:t>
      </w:r>
      <w:r w:rsidR="00D405A8" w:rsidRPr="009222B2">
        <w:t xml:space="preserve">notifications of invasive meningococcal disease </w:t>
      </w:r>
      <w:r w:rsidR="00352039" w:rsidRPr="009222B2">
        <w:t xml:space="preserve">in </w:t>
      </w:r>
      <w:r w:rsidR="00F749E7" w:rsidRPr="009222B2">
        <w:t>2022</w:t>
      </w:r>
      <w:r w:rsidRPr="009222B2">
        <w:t>. This was</w:t>
      </w:r>
      <w:r w:rsidR="007A39FF" w:rsidRPr="009222B2">
        <w:t xml:space="preserve"> </w:t>
      </w:r>
      <w:r w:rsidR="00AB4196" w:rsidRPr="009222B2">
        <w:t>7</w:t>
      </w:r>
      <w:r w:rsidR="004C42FA" w:rsidRPr="009222B2">
        <w:t>0</w:t>
      </w:r>
      <w:r w:rsidR="00DC3FD9" w:rsidRPr="009222B2">
        <w:t xml:space="preserve">% </w:t>
      </w:r>
      <w:r w:rsidR="00F749E7" w:rsidRPr="009222B2">
        <w:t>higher</w:t>
      </w:r>
      <w:r w:rsidR="00D405A8" w:rsidRPr="009222B2">
        <w:t xml:space="preserve"> </w:t>
      </w:r>
      <w:r w:rsidR="004A03F2" w:rsidRPr="009222B2">
        <w:t>than</w:t>
      </w:r>
      <w:r w:rsidR="00DC3FD9" w:rsidRPr="009222B2">
        <w:t xml:space="preserve"> the same </w:t>
      </w:r>
      <w:r w:rsidR="00E40769" w:rsidRPr="009222B2">
        <w:t>period in</w:t>
      </w:r>
      <w:r w:rsidR="00D405A8" w:rsidRPr="009222B2">
        <w:t xml:space="preserve"> 20</w:t>
      </w:r>
      <w:r w:rsidR="00F749E7" w:rsidRPr="009222B2">
        <w:t>21</w:t>
      </w:r>
      <w:r w:rsidR="00D405A8" w:rsidRPr="009222B2">
        <w:t xml:space="preserve"> </w:t>
      </w:r>
      <w:r w:rsidR="00D7416A">
        <w:t>but</w:t>
      </w:r>
      <w:r w:rsidR="00D405A8" w:rsidRPr="009222B2">
        <w:t xml:space="preserve"> </w:t>
      </w:r>
      <w:r w:rsidR="006958EB" w:rsidRPr="009222B2">
        <w:t>4</w:t>
      </w:r>
      <w:r w:rsidR="00AB4196" w:rsidRPr="009222B2">
        <w:t>0</w:t>
      </w:r>
      <w:r w:rsidR="00DC3FD9" w:rsidRPr="009222B2">
        <w:t xml:space="preserve">% </w:t>
      </w:r>
      <w:r w:rsidR="006958EB" w:rsidRPr="009222B2">
        <w:t>lower</w:t>
      </w:r>
      <w:r w:rsidR="00D405A8" w:rsidRPr="009222B2">
        <w:t xml:space="preserve"> than the 5</w:t>
      </w:r>
      <w:r w:rsidR="00272EC5" w:rsidRPr="009222B2">
        <w:noBreakHyphen/>
      </w:r>
      <w:r w:rsidR="00D405A8" w:rsidRPr="009222B2">
        <w:t>year mean</w:t>
      </w:r>
      <w:r w:rsidR="00D24DC7" w:rsidRPr="009222B2">
        <w:t>.</w:t>
      </w:r>
    </w:p>
    <w:p w14:paraId="7450993F" w14:textId="6B486109" w:rsidR="00A674B9" w:rsidRPr="009222B2" w:rsidRDefault="00A94905" w:rsidP="00C00E65">
      <w:r w:rsidRPr="009222B2">
        <w:t xml:space="preserve">Of the </w:t>
      </w:r>
      <w:r w:rsidR="00AB4196" w:rsidRPr="009222B2">
        <w:t>116</w:t>
      </w:r>
      <w:r w:rsidRPr="009222B2">
        <w:t xml:space="preserve"> cases </w:t>
      </w:r>
      <w:r w:rsidR="009F4413" w:rsidRPr="009222B2">
        <w:t xml:space="preserve">in 2022 </w:t>
      </w:r>
      <w:r w:rsidRPr="009222B2">
        <w:t>w</w:t>
      </w:r>
      <w:r w:rsidR="009F4413" w:rsidRPr="009222B2">
        <w:t>ith available</w:t>
      </w:r>
      <w:r w:rsidRPr="009222B2">
        <w:t xml:space="preserve"> serogroup information, t</w:t>
      </w:r>
      <w:r w:rsidR="00F749E7" w:rsidRPr="009222B2">
        <w:t>he most common serogroup</w:t>
      </w:r>
      <w:r w:rsidR="000738D1" w:rsidRPr="009222B2">
        <w:t>s</w:t>
      </w:r>
      <w:r w:rsidR="00F749E7" w:rsidRPr="009222B2">
        <w:t xml:space="preserve"> </w:t>
      </w:r>
      <w:r w:rsidRPr="009222B2">
        <w:t>w</w:t>
      </w:r>
      <w:r w:rsidR="000738D1" w:rsidRPr="009222B2">
        <w:t>ere</w:t>
      </w:r>
      <w:r w:rsidRPr="009222B2">
        <w:t xml:space="preserve"> serogroup</w:t>
      </w:r>
      <w:r w:rsidR="006E6D20" w:rsidRPr="009222B2">
        <w:t> </w:t>
      </w:r>
      <w:r w:rsidRPr="009222B2">
        <w:t>B (</w:t>
      </w:r>
      <w:r w:rsidR="00AB4196" w:rsidRPr="009222B2">
        <w:t>100</w:t>
      </w:r>
      <w:r w:rsidR="006E6D20" w:rsidRPr="009222B2">
        <w:t> </w:t>
      </w:r>
      <w:r w:rsidRPr="009222B2">
        <w:t>cases)</w:t>
      </w:r>
      <w:r w:rsidR="007A39FF" w:rsidRPr="009222B2">
        <w:t>,</w:t>
      </w:r>
      <w:r w:rsidRPr="009222B2">
        <w:t xml:space="preserve"> followed by serogroup</w:t>
      </w:r>
      <w:r w:rsidR="006E6D20" w:rsidRPr="009222B2">
        <w:t> </w:t>
      </w:r>
      <w:r w:rsidR="00BA5CF3" w:rsidRPr="009222B2">
        <w:t>Y</w:t>
      </w:r>
      <w:r w:rsidRPr="009222B2">
        <w:t xml:space="preserve"> </w:t>
      </w:r>
      <w:r w:rsidR="00F749E7" w:rsidRPr="009222B2">
        <w:t>(</w:t>
      </w:r>
      <w:r w:rsidR="005C6256" w:rsidRPr="009222B2">
        <w:t>9</w:t>
      </w:r>
      <w:r w:rsidR="006E6D20" w:rsidRPr="009222B2">
        <w:t> </w:t>
      </w:r>
      <w:r w:rsidR="00352039" w:rsidRPr="009222B2">
        <w:t xml:space="preserve">cases) </w:t>
      </w:r>
      <w:r w:rsidRPr="009222B2">
        <w:t xml:space="preserve">and </w:t>
      </w:r>
      <w:r w:rsidR="00352039" w:rsidRPr="009222B2">
        <w:t>serogroup</w:t>
      </w:r>
      <w:r w:rsidR="006E6D20" w:rsidRPr="009222B2">
        <w:t> </w:t>
      </w:r>
      <w:r w:rsidR="00BA5CF3" w:rsidRPr="009222B2">
        <w:t>W</w:t>
      </w:r>
      <w:r w:rsidRPr="009222B2">
        <w:t xml:space="preserve"> (</w:t>
      </w:r>
      <w:r w:rsidR="00F97F99" w:rsidRPr="009222B2">
        <w:t>6</w:t>
      </w:r>
      <w:r w:rsidR="006E6D20" w:rsidRPr="009222B2">
        <w:t> </w:t>
      </w:r>
      <w:r w:rsidRPr="009222B2">
        <w:t xml:space="preserve">cases). </w:t>
      </w:r>
      <w:r w:rsidR="0022727B" w:rsidRPr="009222B2">
        <w:t>Different vaccines can prevent s</w:t>
      </w:r>
      <w:r w:rsidR="00C030D5" w:rsidRPr="009222B2">
        <w:t>erogroup</w:t>
      </w:r>
      <w:r w:rsidR="006E6D20" w:rsidRPr="009222B2">
        <w:t> </w:t>
      </w:r>
      <w:r w:rsidR="00C030D5" w:rsidRPr="009222B2">
        <w:t>B and serogroups</w:t>
      </w:r>
      <w:r w:rsidR="006E6D20" w:rsidRPr="009222B2">
        <w:t> </w:t>
      </w:r>
      <w:r w:rsidR="00C030D5" w:rsidRPr="009222B2">
        <w:t>A,</w:t>
      </w:r>
      <w:r w:rsidR="00352039" w:rsidRPr="009222B2">
        <w:t xml:space="preserve"> </w:t>
      </w:r>
      <w:r w:rsidR="00C030D5" w:rsidRPr="009222B2">
        <w:t>C,</w:t>
      </w:r>
      <w:r w:rsidR="00352039" w:rsidRPr="009222B2">
        <w:t xml:space="preserve"> </w:t>
      </w:r>
      <w:r w:rsidR="00C030D5" w:rsidRPr="009222B2">
        <w:t>W and Y.</w:t>
      </w:r>
    </w:p>
    <w:p w14:paraId="080DA6FA" w14:textId="77777777" w:rsidR="0022727B" w:rsidRPr="009222B2" w:rsidRDefault="00F97F99" w:rsidP="00AF37FD">
      <w:pPr>
        <w:pStyle w:val="NormalBeforeBullet"/>
        <w:rPr>
          <w:rStyle w:val="normaltextrun"/>
        </w:rPr>
      </w:pPr>
      <w:r w:rsidRPr="009222B2">
        <w:rPr>
          <w:rStyle w:val="normaltextrun"/>
        </w:rPr>
        <w:t>Of the 99 cases in 2022 with vaccination status information</w:t>
      </w:r>
      <w:r w:rsidR="0022727B" w:rsidRPr="009222B2">
        <w:rPr>
          <w:rStyle w:val="normaltextrun"/>
        </w:rPr>
        <w:t>:</w:t>
      </w:r>
    </w:p>
    <w:p w14:paraId="14F53438" w14:textId="118F6A29" w:rsidR="0022727B" w:rsidRPr="009222B2" w:rsidRDefault="00F97F99" w:rsidP="00AF37FD">
      <w:pPr>
        <w:pStyle w:val="Bullet"/>
      </w:pPr>
      <w:r w:rsidRPr="009222B2">
        <w:t>5% were vaccinated against the serogroup</w:t>
      </w:r>
      <w:r w:rsidR="0022727B" w:rsidRPr="009222B2">
        <w:t xml:space="preserve"> causing</w:t>
      </w:r>
      <w:r w:rsidRPr="009222B2">
        <w:t xml:space="preserve"> disease</w:t>
      </w:r>
    </w:p>
    <w:p w14:paraId="506AF6F5" w14:textId="7B8E4BEF" w:rsidR="0022727B" w:rsidRPr="009222B2" w:rsidRDefault="00F97F99" w:rsidP="00AF37FD">
      <w:pPr>
        <w:pStyle w:val="Bullet"/>
      </w:pPr>
      <w:r w:rsidRPr="009222B2">
        <w:lastRenderedPageBreak/>
        <w:t>55% were vaccinated, but not against the serogroup causing disease</w:t>
      </w:r>
    </w:p>
    <w:p w14:paraId="689A9F75" w14:textId="12839C49" w:rsidR="00F97F99" w:rsidRPr="009222B2" w:rsidRDefault="00F97F99" w:rsidP="00AF37FD">
      <w:pPr>
        <w:pStyle w:val="BulletLast"/>
      </w:pPr>
      <w:r w:rsidRPr="009222B2">
        <w:t>37% were unvaccinated.</w:t>
      </w:r>
    </w:p>
    <w:p w14:paraId="6864D3AC" w14:textId="3697D0F3" w:rsidR="00E5757C" w:rsidRPr="009222B2" w:rsidRDefault="00E5757C" w:rsidP="009D64F2">
      <w:pPr>
        <w:pStyle w:val="Heading3"/>
      </w:pPr>
      <w:bookmarkStart w:id="18" w:name="_Hlk88045571"/>
      <w:bookmarkStart w:id="19" w:name="_Toc72165383"/>
      <w:r w:rsidRPr="009222B2">
        <w:t>Pneumococcal disease</w:t>
      </w:r>
    </w:p>
    <w:bookmarkEnd w:id="18"/>
    <w:p w14:paraId="0D8C0ADF" w14:textId="62165DD0" w:rsidR="00E5757C" w:rsidRPr="009222B2" w:rsidRDefault="006D2E9F" w:rsidP="00C00E65">
      <w:r w:rsidRPr="009222B2">
        <w:t>N</w:t>
      </w:r>
      <w:r w:rsidR="00E5757C" w:rsidRPr="009222B2">
        <w:t>otifications of invasive pneumococcal disease</w:t>
      </w:r>
      <w:r w:rsidR="003E056E" w:rsidRPr="009222B2">
        <w:t xml:space="preserve"> </w:t>
      </w:r>
      <w:r w:rsidR="00653C19" w:rsidRPr="009222B2">
        <w:t xml:space="preserve">were </w:t>
      </w:r>
      <w:r w:rsidR="00F53AF9" w:rsidRPr="009222B2">
        <w:t>40</w:t>
      </w:r>
      <w:r w:rsidRPr="009222B2">
        <w:t xml:space="preserve">% </w:t>
      </w:r>
      <w:r w:rsidR="00D33BA4" w:rsidRPr="009222B2">
        <w:t>higher</w:t>
      </w:r>
      <w:r w:rsidRPr="009222B2">
        <w:t xml:space="preserve"> </w:t>
      </w:r>
      <w:r w:rsidR="007A39FF" w:rsidRPr="009222B2">
        <w:t>than</w:t>
      </w:r>
      <w:r w:rsidR="00E5757C" w:rsidRPr="009222B2">
        <w:t xml:space="preserve"> </w:t>
      </w:r>
      <w:r w:rsidR="006D2265" w:rsidRPr="009222B2">
        <w:t xml:space="preserve">the same period in </w:t>
      </w:r>
      <w:r w:rsidR="00653C19" w:rsidRPr="009222B2">
        <w:t>202</w:t>
      </w:r>
      <w:r w:rsidR="00F53AF9" w:rsidRPr="009222B2">
        <w:t>1</w:t>
      </w:r>
      <w:r w:rsidR="00E5757C" w:rsidRPr="009222B2">
        <w:t xml:space="preserve"> </w:t>
      </w:r>
      <w:r w:rsidR="00FE72B6" w:rsidRPr="009222B2">
        <w:t xml:space="preserve">and </w:t>
      </w:r>
      <w:r w:rsidR="00F53AF9" w:rsidRPr="009222B2">
        <w:t>7</w:t>
      </w:r>
      <w:r w:rsidR="00E5757C" w:rsidRPr="009222B2">
        <w:t xml:space="preserve">% </w:t>
      </w:r>
      <w:r w:rsidR="00653C19" w:rsidRPr="009222B2">
        <w:t>higher</w:t>
      </w:r>
      <w:r w:rsidR="00E5757C" w:rsidRPr="009222B2">
        <w:t xml:space="preserve"> </w:t>
      </w:r>
      <w:r w:rsidRPr="009222B2">
        <w:t>than</w:t>
      </w:r>
      <w:r w:rsidR="006D2265" w:rsidRPr="009222B2">
        <w:t xml:space="preserve"> </w:t>
      </w:r>
      <w:r w:rsidR="00E5757C" w:rsidRPr="009222B2">
        <w:t>the 5</w:t>
      </w:r>
      <w:r w:rsidR="00272EC5" w:rsidRPr="009222B2">
        <w:noBreakHyphen/>
      </w:r>
      <w:r w:rsidR="00E5757C" w:rsidRPr="009222B2">
        <w:t>year mean.</w:t>
      </w:r>
    </w:p>
    <w:p w14:paraId="3AB0A937" w14:textId="52BF8B62" w:rsidR="00F76AC8" w:rsidRPr="009222B2" w:rsidRDefault="006D2E9F" w:rsidP="00C00E65">
      <w:r w:rsidRPr="009222B2">
        <w:t>Most cases were in</w:t>
      </w:r>
      <w:r w:rsidR="006D2265" w:rsidRPr="009222B2">
        <w:t xml:space="preserve"> adults aged </w:t>
      </w:r>
      <w:r w:rsidR="00746C88" w:rsidRPr="009222B2">
        <w:t>65</w:t>
      </w:r>
      <w:r w:rsidR="009D64F2" w:rsidRPr="009222B2">
        <w:t> </w:t>
      </w:r>
      <w:r w:rsidR="006D2265" w:rsidRPr="009222B2">
        <w:t>years and older</w:t>
      </w:r>
      <w:r w:rsidR="00B4292D" w:rsidRPr="009222B2">
        <w:t xml:space="preserve"> and children aged 0 to 4</w:t>
      </w:r>
      <w:r w:rsidR="003C6450" w:rsidRPr="009222B2">
        <w:t> year</w:t>
      </w:r>
      <w:r w:rsidR="00B4292D" w:rsidRPr="009222B2">
        <w:t>s</w:t>
      </w:r>
      <w:r w:rsidR="006D2265" w:rsidRPr="009222B2">
        <w:t>.</w:t>
      </w:r>
    </w:p>
    <w:p w14:paraId="3CE958C7" w14:textId="77777777" w:rsidR="005E5BDA" w:rsidRDefault="002E5502" w:rsidP="00C00E65">
      <w:r w:rsidRPr="009222B2">
        <w:t xml:space="preserve">Serotype </w:t>
      </w:r>
      <w:r w:rsidR="00653C19" w:rsidRPr="009222B2">
        <w:t xml:space="preserve">information was available for </w:t>
      </w:r>
      <w:r w:rsidR="00F53AF9" w:rsidRPr="009222B2">
        <w:t>81</w:t>
      </w:r>
      <w:r w:rsidRPr="009222B2">
        <w:t xml:space="preserve">% of notified cases. The </w:t>
      </w:r>
      <w:r w:rsidR="009D64F2" w:rsidRPr="009222B2">
        <w:t xml:space="preserve">3 </w:t>
      </w:r>
      <w:r w:rsidRPr="009222B2">
        <w:t>most frequently reported</w:t>
      </w:r>
      <w:r w:rsidR="00653C19" w:rsidRPr="009222B2">
        <w:t xml:space="preserve"> serotypes were 3 (</w:t>
      </w:r>
      <w:r w:rsidR="00C01F55" w:rsidRPr="009222B2">
        <w:t>1</w:t>
      </w:r>
      <w:r w:rsidR="00342DC2" w:rsidRPr="009222B2">
        <w:t>5</w:t>
      </w:r>
      <w:r w:rsidR="00F53AF9" w:rsidRPr="009222B2">
        <w:t>.0</w:t>
      </w:r>
      <w:r w:rsidR="00653C19" w:rsidRPr="009222B2">
        <w:t>%)</w:t>
      </w:r>
      <w:r w:rsidR="00DF21AA" w:rsidRPr="009222B2">
        <w:t xml:space="preserve">, </w:t>
      </w:r>
      <w:r w:rsidR="00F53AF9" w:rsidRPr="009222B2">
        <w:t>22F</w:t>
      </w:r>
      <w:r w:rsidR="00DF21AA" w:rsidRPr="009222B2">
        <w:t xml:space="preserve"> (7.</w:t>
      </w:r>
      <w:r w:rsidR="00F53AF9" w:rsidRPr="009222B2">
        <w:t>6</w:t>
      </w:r>
      <w:r w:rsidR="00DF21AA" w:rsidRPr="009222B2">
        <w:t>%)</w:t>
      </w:r>
      <w:r w:rsidR="00653C19" w:rsidRPr="009222B2">
        <w:t xml:space="preserve"> and 19F (</w:t>
      </w:r>
      <w:r w:rsidR="00DF21AA" w:rsidRPr="009222B2">
        <w:t>7.</w:t>
      </w:r>
      <w:r w:rsidR="00342DC2" w:rsidRPr="009222B2">
        <w:t>4</w:t>
      </w:r>
      <w:r w:rsidRPr="009222B2">
        <w:t xml:space="preserve">%). </w:t>
      </w:r>
      <w:r w:rsidR="00F20405" w:rsidRPr="009222B2">
        <w:t>P</w:t>
      </w:r>
      <w:r w:rsidR="009D64F2" w:rsidRPr="009222B2">
        <w:t>neumococcal vaccines</w:t>
      </w:r>
      <w:r w:rsidR="00F20405" w:rsidRPr="009222B2">
        <w:t xml:space="preserve"> available in 2022</w:t>
      </w:r>
      <w:r w:rsidR="009D64F2" w:rsidRPr="009222B2">
        <w:t xml:space="preserve"> cover s</w:t>
      </w:r>
      <w:r w:rsidR="00945E12" w:rsidRPr="009222B2">
        <w:t>erotype</w:t>
      </w:r>
      <w:r w:rsidR="009D64F2" w:rsidRPr="009222B2">
        <w:t>s</w:t>
      </w:r>
      <w:r w:rsidR="00945E12" w:rsidRPr="009222B2">
        <w:t xml:space="preserve"> 3 and 19F</w:t>
      </w:r>
      <w:r w:rsidR="009D64F2" w:rsidRPr="009222B2">
        <w:t>, so s</w:t>
      </w:r>
      <w:r w:rsidR="008909C3" w:rsidRPr="009222B2">
        <w:t>ome of these cases were vaccine failures</w:t>
      </w:r>
      <w:r w:rsidR="009D64F2" w:rsidRPr="009222B2">
        <w:t xml:space="preserve">. </w:t>
      </w:r>
    </w:p>
    <w:p w14:paraId="055AE4ED" w14:textId="71BB435E" w:rsidR="002D3F49" w:rsidRPr="009222B2" w:rsidRDefault="006318D2" w:rsidP="00C00E65">
      <w:r w:rsidRPr="009222B2">
        <w:t xml:space="preserve">Vaccination status was available for </w:t>
      </w:r>
      <w:r w:rsidR="00113933" w:rsidRPr="009222B2">
        <w:t xml:space="preserve">72 of the cases in children aged </w:t>
      </w:r>
      <w:r w:rsidR="005E5BDA">
        <w:t>under</w:t>
      </w:r>
      <w:r w:rsidR="00113933" w:rsidRPr="009222B2">
        <w:t xml:space="preserve"> 5</w:t>
      </w:r>
      <w:r w:rsidR="003C6450" w:rsidRPr="009222B2">
        <w:t> year</w:t>
      </w:r>
      <w:r w:rsidR="00113933" w:rsidRPr="009222B2">
        <w:t xml:space="preserve">s. </w:t>
      </w:r>
      <w:r w:rsidR="00AD1B34" w:rsidRPr="009222B2">
        <w:t xml:space="preserve">Of this group, </w:t>
      </w:r>
      <w:r w:rsidR="005514B0" w:rsidRPr="009222B2">
        <w:t>30</w:t>
      </w:r>
      <w:r w:rsidR="006E6D20" w:rsidRPr="009222B2">
        <w:t> </w:t>
      </w:r>
      <w:r w:rsidR="005514B0" w:rsidRPr="009222B2">
        <w:t xml:space="preserve">cases </w:t>
      </w:r>
      <w:r w:rsidR="000E1FFC" w:rsidRPr="009222B2">
        <w:t>were</w:t>
      </w:r>
      <w:r w:rsidR="005514B0" w:rsidRPr="009222B2">
        <w:t xml:space="preserve"> </w:t>
      </w:r>
      <w:r w:rsidR="00503137" w:rsidRPr="009222B2">
        <w:t xml:space="preserve">considered </w:t>
      </w:r>
      <w:r w:rsidR="005514B0" w:rsidRPr="009222B2">
        <w:t>vaccine failures</w:t>
      </w:r>
      <w:r w:rsidR="00503137" w:rsidRPr="009222B2">
        <w:t>,</w:t>
      </w:r>
      <w:r w:rsidR="005514B0" w:rsidRPr="009222B2">
        <w:t xml:space="preserve"> due to serotypes</w:t>
      </w:r>
      <w:r w:rsidR="006E6D20" w:rsidRPr="009222B2">
        <w:t> </w:t>
      </w:r>
      <w:r w:rsidR="005514B0" w:rsidRPr="009222B2">
        <w:t>3 (</w:t>
      </w:r>
      <w:r w:rsidR="005514B0" w:rsidRPr="009222B2">
        <w:rPr>
          <w:rStyle w:val="Emphasis"/>
        </w:rPr>
        <w:t>n</w:t>
      </w:r>
      <w:r w:rsidR="006E6D20" w:rsidRPr="009222B2">
        <w:t> = </w:t>
      </w:r>
      <w:r w:rsidR="005514B0" w:rsidRPr="009222B2">
        <w:t>15), 19A (</w:t>
      </w:r>
      <w:r w:rsidR="005514B0" w:rsidRPr="009222B2">
        <w:rPr>
          <w:rStyle w:val="Emphasis"/>
        </w:rPr>
        <w:t>n</w:t>
      </w:r>
      <w:r w:rsidR="006E6D20" w:rsidRPr="009222B2">
        <w:t> = </w:t>
      </w:r>
      <w:r w:rsidR="005514B0" w:rsidRPr="009222B2">
        <w:t>7)</w:t>
      </w:r>
      <w:r w:rsidR="00AC6625" w:rsidRPr="009222B2">
        <w:t xml:space="preserve"> 19F (</w:t>
      </w:r>
      <w:r w:rsidR="00AC6625" w:rsidRPr="009222B2">
        <w:rPr>
          <w:rStyle w:val="Emphasis"/>
        </w:rPr>
        <w:t>n</w:t>
      </w:r>
      <w:r w:rsidR="006E6D20" w:rsidRPr="009222B2">
        <w:t> = </w:t>
      </w:r>
      <w:r w:rsidR="00AC6625" w:rsidRPr="009222B2">
        <w:t>7), 6B (</w:t>
      </w:r>
      <w:r w:rsidR="00AC6625" w:rsidRPr="009222B2">
        <w:rPr>
          <w:rStyle w:val="Emphasis"/>
        </w:rPr>
        <w:t>n</w:t>
      </w:r>
      <w:r w:rsidR="006E6D20" w:rsidRPr="009222B2">
        <w:t> = </w:t>
      </w:r>
      <w:r w:rsidR="00AC6625" w:rsidRPr="009222B2">
        <w:t>1) and 7F (</w:t>
      </w:r>
      <w:r w:rsidR="00AC6625" w:rsidRPr="009222B2">
        <w:rPr>
          <w:rStyle w:val="Emphasis"/>
        </w:rPr>
        <w:t>n</w:t>
      </w:r>
      <w:r w:rsidR="006E6D20" w:rsidRPr="009222B2">
        <w:t> = </w:t>
      </w:r>
      <w:r w:rsidR="00AC6625" w:rsidRPr="009222B2">
        <w:t xml:space="preserve">1). </w:t>
      </w:r>
      <w:r w:rsidR="009D64F2" w:rsidRPr="009222B2">
        <w:t xml:space="preserve">ATAGI will continue to monitor </w:t>
      </w:r>
      <w:r w:rsidR="005253A1" w:rsidRPr="009222B2">
        <w:t>this issue</w:t>
      </w:r>
      <w:r w:rsidR="002E5502" w:rsidRPr="009222B2">
        <w:t>.</w:t>
      </w:r>
    </w:p>
    <w:p w14:paraId="306CFBF7" w14:textId="5E0F45CE" w:rsidR="00B73466" w:rsidRPr="009222B2" w:rsidRDefault="00B73466" w:rsidP="00B73466">
      <w:pPr>
        <w:pStyle w:val="Heading3"/>
      </w:pPr>
      <w:r w:rsidRPr="009222B2">
        <w:t>Diphtheria</w:t>
      </w:r>
    </w:p>
    <w:p w14:paraId="0E91D4DA" w14:textId="12DA51AF" w:rsidR="00D54348" w:rsidRPr="009222B2" w:rsidRDefault="0086272A" w:rsidP="00BA03D1">
      <w:pPr>
        <w:pStyle w:val="NormalBeforeBullet"/>
      </w:pPr>
      <w:r w:rsidRPr="009222B2">
        <w:t xml:space="preserve">Notifications </w:t>
      </w:r>
      <w:r w:rsidR="00E2332F" w:rsidRPr="009222B2">
        <w:t>of community</w:t>
      </w:r>
      <w:r w:rsidR="00387814" w:rsidRPr="009222B2">
        <w:t xml:space="preserve">-acquired </w:t>
      </w:r>
      <w:r w:rsidR="00E2332F" w:rsidRPr="009222B2">
        <w:t>diphtheria i</w:t>
      </w:r>
      <w:r w:rsidR="00D43E5D" w:rsidRPr="009222B2">
        <w:t>ncreased in 2022</w:t>
      </w:r>
      <w:r w:rsidR="00E2332F" w:rsidRPr="009222B2">
        <w:t>.</w:t>
      </w:r>
      <w:r w:rsidR="00D54348" w:rsidRPr="009222B2">
        <w:t xml:space="preserve"> </w:t>
      </w:r>
      <w:r w:rsidRPr="009222B2">
        <w:t>I</w:t>
      </w:r>
      <w:r w:rsidR="00D54348" w:rsidRPr="009222B2">
        <w:t>n Australia in 2022, there were:</w:t>
      </w:r>
    </w:p>
    <w:p w14:paraId="69F6D7FB" w14:textId="33565888" w:rsidR="00A822AC" w:rsidRPr="009222B2" w:rsidRDefault="00F53AF9" w:rsidP="00D54348">
      <w:pPr>
        <w:pStyle w:val="Bullet"/>
      </w:pPr>
      <w:r w:rsidRPr="009222B2">
        <w:t>3</w:t>
      </w:r>
      <w:r w:rsidR="003028C8" w:rsidRPr="009222B2">
        <w:t xml:space="preserve"> cases of </w:t>
      </w:r>
      <w:r w:rsidRPr="009222B2">
        <w:t>pharyngeal (</w:t>
      </w:r>
      <w:r w:rsidR="003028C8" w:rsidRPr="009222B2">
        <w:t>respiratory</w:t>
      </w:r>
      <w:r w:rsidRPr="009222B2">
        <w:t>)</w:t>
      </w:r>
      <w:r w:rsidR="003028C8" w:rsidRPr="009222B2">
        <w:t xml:space="preserve"> diphtheria </w:t>
      </w:r>
      <w:r w:rsidR="00386617" w:rsidRPr="009222B2">
        <w:t>in children</w:t>
      </w:r>
      <w:r w:rsidR="00C53DDD">
        <w:t xml:space="preserve"> –</w:t>
      </w:r>
      <w:r w:rsidR="001E1455">
        <w:t xml:space="preserve"> </w:t>
      </w:r>
      <w:r w:rsidR="00C53DDD">
        <w:t>t</w:t>
      </w:r>
      <w:r w:rsidR="00F52C20">
        <w:t xml:space="preserve">hese are the first confirmed cases of pharyngeal diphtheria in children </w:t>
      </w:r>
      <w:r w:rsidR="00563FE7">
        <w:t xml:space="preserve">in Australia </w:t>
      </w:r>
      <w:hyperlink r:id="rId60" w:history="1">
        <w:r w:rsidR="00F52C20" w:rsidRPr="00563FE7">
          <w:rPr>
            <w:rStyle w:val="Hyperlink"/>
          </w:rPr>
          <w:t>since 1992</w:t>
        </w:r>
      </w:hyperlink>
    </w:p>
    <w:p w14:paraId="7423EF47" w14:textId="4F699DA4" w:rsidR="003028C8" w:rsidRPr="009222B2" w:rsidRDefault="00F53AF9" w:rsidP="00D54348">
      <w:pPr>
        <w:pStyle w:val="Bullet"/>
      </w:pPr>
      <w:r w:rsidRPr="009222B2">
        <w:t>3</w:t>
      </w:r>
      <w:r w:rsidR="00386617" w:rsidRPr="009222B2">
        <w:t xml:space="preserve"> cases of </w:t>
      </w:r>
      <w:r w:rsidR="000F3465" w:rsidRPr="009222B2">
        <w:t xml:space="preserve">pharyngeal </w:t>
      </w:r>
      <w:r w:rsidR="00386617" w:rsidRPr="009222B2">
        <w:t>diphtheria in adults, c</w:t>
      </w:r>
      <w:r w:rsidR="00F26470" w:rsidRPr="009222B2">
        <w:t xml:space="preserve">ompared </w:t>
      </w:r>
      <w:r w:rsidR="00D54348" w:rsidRPr="009222B2">
        <w:t>with</w:t>
      </w:r>
      <w:r w:rsidR="00F26470" w:rsidRPr="009222B2">
        <w:t xml:space="preserve"> </w:t>
      </w:r>
      <w:r w:rsidRPr="009222B2">
        <w:t>1</w:t>
      </w:r>
      <w:r w:rsidR="006E6D20" w:rsidRPr="009222B2">
        <w:t> </w:t>
      </w:r>
      <w:r w:rsidRPr="009222B2">
        <w:t>case in 2021 and no cases in 2020 and 2019</w:t>
      </w:r>
    </w:p>
    <w:p w14:paraId="305523B2" w14:textId="7A113507" w:rsidR="00140A09" w:rsidRPr="009222B2" w:rsidRDefault="00F53AF9" w:rsidP="00BA03D1">
      <w:pPr>
        <w:pStyle w:val="BulletLast"/>
      </w:pPr>
      <w:r w:rsidRPr="009222B2">
        <w:t>24</w:t>
      </w:r>
      <w:r w:rsidR="00140A09" w:rsidRPr="009222B2">
        <w:t xml:space="preserve"> cases of </w:t>
      </w:r>
      <w:r w:rsidR="009F4413" w:rsidRPr="009222B2">
        <w:t>cutaneous (</w:t>
      </w:r>
      <w:r w:rsidR="00140A09" w:rsidRPr="009222B2">
        <w:t>skin</w:t>
      </w:r>
      <w:r w:rsidR="009F4413" w:rsidRPr="009222B2">
        <w:t>)</w:t>
      </w:r>
      <w:r w:rsidR="00140A09" w:rsidRPr="009222B2">
        <w:t xml:space="preserve"> diphtheria, compared </w:t>
      </w:r>
      <w:r w:rsidR="00D54348" w:rsidRPr="009222B2">
        <w:t>with</w:t>
      </w:r>
      <w:r w:rsidR="00140A09" w:rsidRPr="009222B2">
        <w:t xml:space="preserve"> </w:t>
      </w:r>
      <w:r w:rsidRPr="009222B2">
        <w:t>7</w:t>
      </w:r>
      <w:r w:rsidR="006E6D20" w:rsidRPr="009222B2">
        <w:t> </w:t>
      </w:r>
      <w:r w:rsidR="00140A09" w:rsidRPr="009222B2">
        <w:t xml:space="preserve">cases in 2019, </w:t>
      </w:r>
      <w:r w:rsidRPr="009222B2">
        <w:t>9</w:t>
      </w:r>
      <w:r w:rsidR="00140A09" w:rsidRPr="009222B2">
        <w:t xml:space="preserve"> in 2020 and </w:t>
      </w:r>
      <w:r w:rsidRPr="009222B2">
        <w:t>6</w:t>
      </w:r>
      <w:r w:rsidR="00140A09" w:rsidRPr="009222B2">
        <w:t xml:space="preserve"> in 2021.</w:t>
      </w:r>
    </w:p>
    <w:p w14:paraId="6D7CE68C" w14:textId="0958D264" w:rsidR="00D405A8" w:rsidRPr="009222B2" w:rsidRDefault="0057015B" w:rsidP="00D7416A">
      <w:pPr>
        <w:pStyle w:val="Heading2"/>
      </w:pPr>
      <w:r w:rsidRPr="009222B2">
        <w:t>I</w:t>
      </w:r>
      <w:r w:rsidR="00D405A8" w:rsidRPr="009222B2">
        <w:t>mmunisation policy and practice</w:t>
      </w:r>
      <w:bookmarkEnd w:id="19"/>
      <w:r w:rsidR="00116420" w:rsidRPr="009222B2">
        <w:t xml:space="preserve"> across Australia</w:t>
      </w:r>
    </w:p>
    <w:p w14:paraId="44CC35B7" w14:textId="4666FD05" w:rsidR="00FB1D48" w:rsidRPr="009222B2" w:rsidRDefault="00FB1D48" w:rsidP="00344809">
      <w:pPr>
        <w:pStyle w:val="Heading3"/>
        <w:rPr>
          <w:color w:val="auto"/>
        </w:rPr>
      </w:pPr>
      <w:r w:rsidRPr="009222B2">
        <w:rPr>
          <w:color w:val="auto"/>
        </w:rPr>
        <w:t>Influenza</w:t>
      </w:r>
    </w:p>
    <w:p w14:paraId="0335418D" w14:textId="77777777" w:rsidR="005E5BDA" w:rsidRDefault="00A91A5D" w:rsidP="00FB1D48">
      <w:r w:rsidRPr="009222B2">
        <w:t>The N</w:t>
      </w:r>
      <w:r w:rsidR="00E74172" w:rsidRPr="009222B2">
        <w:t>IP</w:t>
      </w:r>
      <w:r w:rsidR="00847FFB" w:rsidRPr="009222B2">
        <w:t xml:space="preserve"> provides funded influenza vaccines to people aged 6</w:t>
      </w:r>
      <w:r w:rsidR="0041797B" w:rsidRPr="009222B2">
        <w:t> month</w:t>
      </w:r>
      <w:r w:rsidR="00847FFB" w:rsidRPr="009222B2">
        <w:t>s to 5</w:t>
      </w:r>
      <w:r w:rsidR="003C6450" w:rsidRPr="009222B2">
        <w:t> year</w:t>
      </w:r>
      <w:r w:rsidR="00847FFB" w:rsidRPr="009222B2">
        <w:t>s, people aged 65</w:t>
      </w:r>
      <w:r w:rsidR="003C6450" w:rsidRPr="009222B2">
        <w:t> year</w:t>
      </w:r>
      <w:r w:rsidR="00847FFB" w:rsidRPr="009222B2">
        <w:t xml:space="preserve">s and over and other </w:t>
      </w:r>
      <w:r w:rsidR="0041643D" w:rsidRPr="009222B2">
        <w:t>groups at risk of severe disease</w:t>
      </w:r>
      <w:r w:rsidR="00847FFB" w:rsidRPr="009222B2">
        <w:t xml:space="preserve">. </w:t>
      </w:r>
    </w:p>
    <w:p w14:paraId="69358CC9" w14:textId="1FC9B0E3" w:rsidR="00FB1D48" w:rsidRPr="009222B2" w:rsidRDefault="00FB1D48" w:rsidP="00FB1D48">
      <w:r w:rsidRPr="009222B2">
        <w:t xml:space="preserve">In 2022, </w:t>
      </w:r>
      <w:r w:rsidR="006E6D20" w:rsidRPr="009222B2">
        <w:t xml:space="preserve">in response to rising case numbers, </w:t>
      </w:r>
      <w:r w:rsidR="009F4413" w:rsidRPr="009222B2">
        <w:t xml:space="preserve">most </w:t>
      </w:r>
      <w:r w:rsidRPr="009222B2">
        <w:t>states and territories</w:t>
      </w:r>
      <w:r w:rsidR="00C82223" w:rsidRPr="009222B2">
        <w:t xml:space="preserve">, </w:t>
      </w:r>
      <w:r w:rsidR="009F4016" w:rsidRPr="009222B2">
        <w:t xml:space="preserve">including </w:t>
      </w:r>
      <w:hyperlink r:id="rId61" w:history="1">
        <w:r w:rsidR="009F4016" w:rsidRPr="009222B2">
          <w:rPr>
            <w:rStyle w:val="Hyperlink"/>
          </w:rPr>
          <w:t>New South Wales</w:t>
        </w:r>
      </w:hyperlink>
      <w:r w:rsidR="009F4016" w:rsidRPr="009222B2">
        <w:t xml:space="preserve">, </w:t>
      </w:r>
      <w:hyperlink r:id="rId62" w:history="1">
        <w:r w:rsidR="009F4016" w:rsidRPr="009222B2">
          <w:rPr>
            <w:rStyle w:val="Hyperlink"/>
          </w:rPr>
          <w:t>Victoria</w:t>
        </w:r>
      </w:hyperlink>
      <w:r w:rsidR="009F4016" w:rsidRPr="009222B2">
        <w:t xml:space="preserve">, </w:t>
      </w:r>
      <w:hyperlink r:id="rId63" w:history="1">
        <w:r w:rsidR="005E5BDA" w:rsidRPr="009222B2">
          <w:rPr>
            <w:rStyle w:val="Hyperlink"/>
          </w:rPr>
          <w:t>Queensland</w:t>
        </w:r>
      </w:hyperlink>
      <w:r w:rsidR="005E5BDA" w:rsidRPr="009222B2">
        <w:rPr>
          <w:rStyle w:val="Hyperlink"/>
        </w:rPr>
        <w:t>,</w:t>
      </w:r>
      <w:r w:rsidR="005E5BDA" w:rsidRPr="009222B2">
        <w:t xml:space="preserve"> </w:t>
      </w:r>
      <w:hyperlink r:id="rId64" w:history="1">
        <w:r w:rsidR="005E5BDA" w:rsidRPr="009222B2">
          <w:rPr>
            <w:rStyle w:val="Hyperlink"/>
          </w:rPr>
          <w:t>Western Australia</w:t>
        </w:r>
      </w:hyperlink>
      <w:r w:rsidR="005E5BDA">
        <w:rPr>
          <w:rStyle w:val="Hyperlink"/>
        </w:rPr>
        <w:t>,</w:t>
      </w:r>
      <w:r w:rsidR="005E5BDA" w:rsidRPr="005E5BDA">
        <w:t xml:space="preserve"> </w:t>
      </w:r>
      <w:hyperlink r:id="rId65" w:history="1">
        <w:r w:rsidR="009F4016" w:rsidRPr="009222B2">
          <w:rPr>
            <w:rStyle w:val="Hyperlink"/>
          </w:rPr>
          <w:t>South Australia</w:t>
        </w:r>
      </w:hyperlink>
      <w:r w:rsidR="009F4016" w:rsidRPr="009222B2">
        <w:t xml:space="preserve"> </w:t>
      </w:r>
      <w:r w:rsidR="008D2C2D" w:rsidRPr="009222B2">
        <w:t xml:space="preserve">and </w:t>
      </w:r>
      <w:hyperlink r:id="rId66" w:history="1">
        <w:r w:rsidR="009F4016" w:rsidRPr="009222B2">
          <w:rPr>
            <w:rStyle w:val="Hyperlink"/>
          </w:rPr>
          <w:t>Tasmania</w:t>
        </w:r>
        <w:r w:rsidR="00C82223" w:rsidRPr="009222B2">
          <w:rPr>
            <w:rStyle w:val="Hyperlink"/>
          </w:rPr>
          <w:t>,</w:t>
        </w:r>
      </w:hyperlink>
      <w:r w:rsidRPr="009222B2">
        <w:t xml:space="preserve"> offered free </w:t>
      </w:r>
      <w:r w:rsidR="00BC32EE" w:rsidRPr="009222B2">
        <w:t>influenza</w:t>
      </w:r>
      <w:r w:rsidR="009F4413" w:rsidRPr="009222B2">
        <w:t xml:space="preserve"> </w:t>
      </w:r>
      <w:r w:rsidRPr="009222B2">
        <w:t>v</w:t>
      </w:r>
      <w:r w:rsidR="00F76C3D" w:rsidRPr="009222B2">
        <w:t xml:space="preserve">accination for all people aged </w:t>
      </w:r>
      <w:r w:rsidR="008F0A57" w:rsidRPr="009222B2">
        <w:t>6</w:t>
      </w:r>
      <w:r w:rsidR="0041797B" w:rsidRPr="009222B2">
        <w:t> month</w:t>
      </w:r>
      <w:r w:rsidRPr="009222B2">
        <w:t xml:space="preserve">s and </w:t>
      </w:r>
      <w:r w:rsidR="005E5BDA">
        <w:t>over</w:t>
      </w:r>
      <w:r w:rsidRPr="009222B2">
        <w:t>.</w:t>
      </w:r>
    </w:p>
    <w:p w14:paraId="5373A6BF" w14:textId="06B35488" w:rsidR="00B96A42" w:rsidRPr="009222B2" w:rsidRDefault="002C1D39" w:rsidP="00344809">
      <w:pPr>
        <w:pStyle w:val="Heading3"/>
        <w:rPr>
          <w:color w:val="auto"/>
        </w:rPr>
      </w:pPr>
      <w:r w:rsidRPr="009222B2">
        <w:rPr>
          <w:color w:val="auto"/>
        </w:rPr>
        <w:t>H</w:t>
      </w:r>
      <w:r w:rsidR="005F4792" w:rsidRPr="009222B2">
        <w:rPr>
          <w:color w:val="auto"/>
        </w:rPr>
        <w:t>uman papillomavirus</w:t>
      </w:r>
      <w:r w:rsidRPr="009222B2">
        <w:rPr>
          <w:color w:val="auto"/>
        </w:rPr>
        <w:t xml:space="preserve"> vaccination program</w:t>
      </w:r>
    </w:p>
    <w:p w14:paraId="6F0352B7" w14:textId="6917CB96" w:rsidR="00D33BA4" w:rsidRPr="009222B2" w:rsidRDefault="00D33BA4" w:rsidP="00D33BA4">
      <w:r w:rsidRPr="009222B2">
        <w:t>Australia has been a world leader in research and evaluation of</w:t>
      </w:r>
      <w:r w:rsidR="00706D7B" w:rsidRPr="009222B2">
        <w:t xml:space="preserve"> </w:t>
      </w:r>
      <w:r w:rsidR="00FB12C4" w:rsidRPr="009222B2">
        <w:t xml:space="preserve">the </w:t>
      </w:r>
      <w:r w:rsidR="00706D7B" w:rsidRPr="009222B2">
        <w:t>HPV</w:t>
      </w:r>
      <w:r w:rsidR="006C6DA1" w:rsidRPr="009222B2">
        <w:t xml:space="preserve"> vaccine. This vaccine has been </w:t>
      </w:r>
      <w:r w:rsidR="00706D7B" w:rsidRPr="009222B2">
        <w:t xml:space="preserve">given </w:t>
      </w:r>
      <w:r w:rsidR="00BC32EE" w:rsidRPr="009222B2">
        <w:t xml:space="preserve">as a </w:t>
      </w:r>
      <w:r w:rsidR="008F0A57" w:rsidRPr="009222B2">
        <w:t>2</w:t>
      </w:r>
      <w:r w:rsidR="00BC32EE" w:rsidRPr="009222B2">
        <w:t>-dose schedule (</w:t>
      </w:r>
      <w:r w:rsidR="008F0A57" w:rsidRPr="009222B2">
        <w:t>3</w:t>
      </w:r>
      <w:r w:rsidR="003C6450" w:rsidRPr="009222B2">
        <w:t> dose</w:t>
      </w:r>
      <w:r w:rsidR="004A742B" w:rsidRPr="009222B2">
        <w:t>s in immunoc</w:t>
      </w:r>
      <w:r w:rsidR="00851228" w:rsidRPr="009222B2">
        <w:t>ompromised</w:t>
      </w:r>
      <w:r w:rsidR="008F0A57" w:rsidRPr="009222B2">
        <w:t xml:space="preserve"> people</w:t>
      </w:r>
      <w:r w:rsidR="00851228" w:rsidRPr="009222B2">
        <w:t xml:space="preserve">) </w:t>
      </w:r>
      <w:r w:rsidR="009F4413" w:rsidRPr="009222B2">
        <w:t xml:space="preserve">via the NIP </w:t>
      </w:r>
      <w:r w:rsidR="00706D7B" w:rsidRPr="009222B2">
        <w:t xml:space="preserve">to adolescents </w:t>
      </w:r>
      <w:r w:rsidR="00851228" w:rsidRPr="009222B2">
        <w:t>aged 12</w:t>
      </w:r>
      <w:r w:rsidR="008F0A57" w:rsidRPr="009222B2">
        <w:t xml:space="preserve"> to </w:t>
      </w:r>
      <w:r w:rsidR="00851228" w:rsidRPr="009222B2">
        <w:t>13</w:t>
      </w:r>
      <w:r w:rsidR="003C6450" w:rsidRPr="009222B2">
        <w:t> year</w:t>
      </w:r>
      <w:r w:rsidR="00851228" w:rsidRPr="009222B2">
        <w:t>s</w:t>
      </w:r>
      <w:r w:rsidR="00706D7B" w:rsidRPr="009222B2">
        <w:t xml:space="preserve"> to prevent cervical </w:t>
      </w:r>
      <w:r w:rsidR="009F4413" w:rsidRPr="009222B2">
        <w:t xml:space="preserve">and </w:t>
      </w:r>
      <w:r w:rsidR="00706D7B" w:rsidRPr="009222B2">
        <w:t>other cancers.</w:t>
      </w:r>
    </w:p>
    <w:p w14:paraId="3AC49327" w14:textId="3A4024A2" w:rsidR="00117953" w:rsidRPr="00117953" w:rsidRDefault="004A742B" w:rsidP="00117953">
      <w:pPr>
        <w:pStyle w:val="xmsonormal"/>
      </w:pPr>
      <w:r w:rsidRPr="009222B2">
        <w:t xml:space="preserve">In 2022, ATAGI </w:t>
      </w:r>
      <w:r w:rsidR="00851228" w:rsidRPr="009222B2">
        <w:t xml:space="preserve">reviewed emerging evidence on the effectiveness </w:t>
      </w:r>
      <w:r w:rsidR="00063CB8" w:rsidRPr="009222B2">
        <w:t xml:space="preserve">of a </w:t>
      </w:r>
      <w:r w:rsidR="008F0A57" w:rsidRPr="009222B2">
        <w:t>1</w:t>
      </w:r>
      <w:r w:rsidR="00063CB8" w:rsidRPr="009222B2">
        <w:t>-</w:t>
      </w:r>
      <w:r w:rsidR="007443AF" w:rsidRPr="009222B2">
        <w:t xml:space="preserve">dose schedule of HPV vaccination in adolescents. </w:t>
      </w:r>
      <w:r w:rsidR="00110757" w:rsidRPr="009222B2">
        <w:t xml:space="preserve">ATAGI recommended </w:t>
      </w:r>
      <w:r w:rsidR="00EF5C4B" w:rsidRPr="009222B2">
        <w:t xml:space="preserve">immunocompetent </w:t>
      </w:r>
      <w:r w:rsidR="00110757" w:rsidRPr="009222B2">
        <w:t xml:space="preserve">people aged </w:t>
      </w:r>
      <w:r w:rsidR="008F0A57" w:rsidRPr="009222B2">
        <w:t xml:space="preserve">9 </w:t>
      </w:r>
      <w:r w:rsidR="00063CB8" w:rsidRPr="009222B2">
        <w:t>to 2</w:t>
      </w:r>
      <w:r w:rsidR="00447E50" w:rsidRPr="009222B2">
        <w:t>5</w:t>
      </w:r>
      <w:r w:rsidR="003C6450" w:rsidRPr="009222B2">
        <w:t> year</w:t>
      </w:r>
      <w:r w:rsidR="00B900F6" w:rsidRPr="009222B2">
        <w:t xml:space="preserve">s </w:t>
      </w:r>
      <w:r w:rsidR="00063CB8" w:rsidRPr="009222B2">
        <w:t xml:space="preserve">receive </w:t>
      </w:r>
      <w:r w:rsidR="008F0A57" w:rsidRPr="009222B2">
        <w:t>1</w:t>
      </w:r>
      <w:r w:rsidR="003C6450" w:rsidRPr="009222B2">
        <w:t> dose</w:t>
      </w:r>
      <w:r w:rsidR="00EF5C4B" w:rsidRPr="009222B2">
        <w:t xml:space="preserve"> of the 9</w:t>
      </w:r>
      <w:r w:rsidR="009F4413" w:rsidRPr="009222B2">
        <w:t>-</w:t>
      </w:r>
      <w:r w:rsidR="00EF5C4B" w:rsidRPr="009222B2">
        <w:t>valent HPV vaccine (</w:t>
      </w:r>
      <w:r w:rsidR="009F4413" w:rsidRPr="009222B2">
        <w:t xml:space="preserve">the </w:t>
      </w:r>
      <w:r w:rsidR="00EF5C4B" w:rsidRPr="009222B2">
        <w:t>previous recommendation was</w:t>
      </w:r>
      <w:r w:rsidR="00063CB8" w:rsidRPr="009222B2">
        <w:t xml:space="preserve"> </w:t>
      </w:r>
      <w:r w:rsidR="008F0A57" w:rsidRPr="009222B2">
        <w:t>2</w:t>
      </w:r>
      <w:r w:rsidR="003C6450" w:rsidRPr="009222B2">
        <w:t> dose</w:t>
      </w:r>
      <w:r w:rsidR="00F76C3D" w:rsidRPr="009222B2">
        <w:t xml:space="preserve">s for people aged </w:t>
      </w:r>
      <w:r w:rsidR="008F0A57" w:rsidRPr="009222B2">
        <w:t xml:space="preserve">9 </w:t>
      </w:r>
      <w:r w:rsidR="00E42DE8" w:rsidRPr="009222B2">
        <w:t>to 19</w:t>
      </w:r>
      <w:r w:rsidR="003C6450" w:rsidRPr="009222B2">
        <w:t> year</w:t>
      </w:r>
      <w:r w:rsidR="00EF5C4B" w:rsidRPr="009222B2">
        <w:t xml:space="preserve">s). </w:t>
      </w:r>
      <w:r w:rsidR="00117953">
        <w:t>In early 2023, t</w:t>
      </w:r>
      <w:r w:rsidR="007443AF" w:rsidRPr="009222B2">
        <w:t>he P</w:t>
      </w:r>
      <w:r w:rsidR="004166D0" w:rsidRPr="009222B2">
        <w:t xml:space="preserve">harmaceutical </w:t>
      </w:r>
      <w:r w:rsidR="007443AF" w:rsidRPr="009222B2">
        <w:t>B</w:t>
      </w:r>
      <w:r w:rsidR="004166D0" w:rsidRPr="009222B2">
        <w:t xml:space="preserve">enefits </w:t>
      </w:r>
      <w:r w:rsidR="007443AF" w:rsidRPr="009222B2">
        <w:t>A</w:t>
      </w:r>
      <w:r w:rsidR="004166D0" w:rsidRPr="009222B2">
        <w:t>dvisory Committee</w:t>
      </w:r>
      <w:r w:rsidR="007443AF" w:rsidRPr="009222B2">
        <w:t xml:space="preserve"> </w:t>
      </w:r>
      <w:r w:rsidR="00C92151" w:rsidRPr="009222B2">
        <w:t xml:space="preserve">provided a positive recommendation for </w:t>
      </w:r>
      <w:r w:rsidR="00117953">
        <w:t xml:space="preserve">the change to </w:t>
      </w:r>
      <w:r w:rsidR="00EF5C4B" w:rsidRPr="009222B2">
        <w:t xml:space="preserve">a </w:t>
      </w:r>
      <w:r w:rsidR="008F0A57" w:rsidRPr="009222B2">
        <w:t>1</w:t>
      </w:r>
      <w:r w:rsidR="00115545" w:rsidRPr="009222B2">
        <w:t>-</w:t>
      </w:r>
      <w:r w:rsidR="00EF5C4B" w:rsidRPr="009222B2">
        <w:t>dose schedule</w:t>
      </w:r>
      <w:r w:rsidR="00117953">
        <w:t xml:space="preserve">. </w:t>
      </w:r>
      <w:r w:rsidR="00117953" w:rsidRPr="00117953">
        <w:t xml:space="preserve">The new 1-dose HPV vaccine program started under the NIP from February 2023 with routine administration to adolescents aged around 12 to 13 years. People who have not received a dose of HPV vaccine are eligible for their single funded dose (or 3 doses, if immunocompromised) up until age 25. </w:t>
      </w:r>
    </w:p>
    <w:p w14:paraId="76604D0D" w14:textId="2CAD28B8" w:rsidR="00D84100" w:rsidRPr="009222B2" w:rsidRDefault="00D84100" w:rsidP="00FE3217">
      <w:pPr>
        <w:pStyle w:val="Heading3"/>
        <w:rPr>
          <w:color w:val="auto"/>
        </w:rPr>
      </w:pPr>
      <w:r w:rsidRPr="009222B2">
        <w:rPr>
          <w:color w:val="auto"/>
        </w:rPr>
        <w:lastRenderedPageBreak/>
        <w:t xml:space="preserve">Pneumococcal </w:t>
      </w:r>
      <w:r w:rsidR="002B7B0F" w:rsidRPr="009222B2">
        <w:rPr>
          <w:color w:val="auto"/>
        </w:rPr>
        <w:t>disease</w:t>
      </w:r>
    </w:p>
    <w:p w14:paraId="39175AC3" w14:textId="25019750" w:rsidR="00D84100" w:rsidRPr="009222B2" w:rsidRDefault="008F0A57" w:rsidP="00AF6D24">
      <w:pPr>
        <w:spacing w:after="0"/>
        <w:rPr>
          <w:rFonts w:cs="Calibri"/>
        </w:rPr>
      </w:pPr>
      <w:r w:rsidRPr="009222B2">
        <w:rPr>
          <w:rFonts w:cs="Calibri"/>
        </w:rPr>
        <w:t xml:space="preserve">Several pneumococcal vaccines </w:t>
      </w:r>
      <w:r w:rsidR="0041797B" w:rsidRPr="009222B2">
        <w:rPr>
          <w:rFonts w:cs="Calibri"/>
        </w:rPr>
        <w:t xml:space="preserve">that can protect against a wider range of serotypes than current vaccines </w:t>
      </w:r>
      <w:r w:rsidRPr="009222B2">
        <w:rPr>
          <w:rFonts w:cs="Calibri"/>
        </w:rPr>
        <w:t xml:space="preserve">are </w:t>
      </w:r>
      <w:r w:rsidR="003C4842">
        <w:rPr>
          <w:rFonts w:cs="Calibri"/>
        </w:rPr>
        <w:t>being registered and evaluated in Australia</w:t>
      </w:r>
      <w:r w:rsidRPr="009222B2">
        <w:rPr>
          <w:rFonts w:cs="Calibri"/>
        </w:rPr>
        <w:t>. To prepare for these vaccines becoming available in Australia, ATAGI formed a pneumococcal subgroup to review the evidence and inform the optimal pneumococcal vaccination schedule</w:t>
      </w:r>
      <w:r w:rsidR="00077D40" w:rsidRPr="009222B2">
        <w:rPr>
          <w:rFonts w:cs="Calibri"/>
        </w:rPr>
        <w:t xml:space="preserve"> across age group</w:t>
      </w:r>
      <w:r w:rsidR="0041797B" w:rsidRPr="009222B2">
        <w:rPr>
          <w:rFonts w:cs="Calibri"/>
        </w:rPr>
        <w:t>s</w:t>
      </w:r>
      <w:r w:rsidR="00077D40" w:rsidRPr="009222B2">
        <w:rPr>
          <w:rFonts w:cs="Calibri"/>
        </w:rPr>
        <w:t xml:space="preserve"> and risk conditions.</w:t>
      </w:r>
    </w:p>
    <w:p w14:paraId="5CD68286" w14:textId="7AB01314" w:rsidR="008E4354" w:rsidRPr="009222B2" w:rsidRDefault="008E4354" w:rsidP="00A65F69">
      <w:pPr>
        <w:pStyle w:val="Heading3"/>
      </w:pPr>
      <w:r w:rsidRPr="009222B2">
        <w:t>Expanded pharmacist vaccination program</w:t>
      </w:r>
    </w:p>
    <w:p w14:paraId="3FF16A2C" w14:textId="77777777" w:rsidR="005E5BDA" w:rsidRDefault="009F4413" w:rsidP="04CDAA1D">
      <w:pPr>
        <w:rPr>
          <w:rFonts w:asciiTheme="minorHAnsi" w:hAnsiTheme="minorHAnsi" w:cstheme="minorBidi"/>
        </w:rPr>
      </w:pPr>
      <w:r w:rsidRPr="009222B2">
        <w:rPr>
          <w:rFonts w:asciiTheme="minorHAnsi" w:hAnsiTheme="minorHAnsi" w:cstheme="minorBidi"/>
          <w:color w:val="auto"/>
        </w:rPr>
        <w:t xml:space="preserve">In recent years, </w:t>
      </w:r>
      <w:r w:rsidRPr="009222B2">
        <w:rPr>
          <w:rFonts w:asciiTheme="minorHAnsi" w:hAnsiTheme="minorHAnsi" w:cstheme="minorBidi"/>
        </w:rPr>
        <w:t>pharmacists have played a key role in administering vaccines across Australia,</w:t>
      </w:r>
      <w:r w:rsidR="00AB7094" w:rsidRPr="009222B2">
        <w:rPr>
          <w:rFonts w:asciiTheme="minorHAnsi" w:hAnsiTheme="minorHAnsi" w:cstheme="minorBidi"/>
        </w:rPr>
        <w:t xml:space="preserve"> </w:t>
      </w:r>
      <w:r w:rsidRPr="009222B2">
        <w:rPr>
          <w:rFonts w:asciiTheme="minorHAnsi" w:hAnsiTheme="minorHAnsi" w:cstheme="minorBidi"/>
        </w:rPr>
        <w:t xml:space="preserve">including </w:t>
      </w:r>
      <w:r w:rsidR="00AB7094" w:rsidRPr="009222B2">
        <w:rPr>
          <w:rFonts w:asciiTheme="minorHAnsi" w:hAnsiTheme="minorHAnsi" w:cstheme="minorBidi"/>
        </w:rPr>
        <w:t>COVID-19 vaccine</w:t>
      </w:r>
      <w:r w:rsidR="00DF4EFD" w:rsidRPr="009222B2">
        <w:rPr>
          <w:rFonts w:asciiTheme="minorHAnsi" w:hAnsiTheme="minorHAnsi" w:cstheme="minorBidi"/>
        </w:rPr>
        <w:t>s</w:t>
      </w:r>
      <w:r w:rsidR="00AB7094" w:rsidRPr="009222B2">
        <w:rPr>
          <w:rFonts w:asciiTheme="minorHAnsi" w:hAnsiTheme="minorHAnsi" w:cstheme="minorBidi"/>
        </w:rPr>
        <w:t xml:space="preserve">. </w:t>
      </w:r>
      <w:r w:rsidR="00E13CF6" w:rsidRPr="009222B2">
        <w:rPr>
          <w:rFonts w:asciiTheme="minorHAnsi" w:hAnsiTheme="minorHAnsi" w:cstheme="minorBidi"/>
        </w:rPr>
        <w:t xml:space="preserve">As of </w:t>
      </w:r>
      <w:r w:rsidR="00C00E65" w:rsidRPr="009222B2">
        <w:rPr>
          <w:rFonts w:asciiTheme="minorHAnsi" w:hAnsiTheme="minorHAnsi" w:cstheme="minorBidi"/>
        </w:rPr>
        <w:t>22</w:t>
      </w:r>
      <w:r w:rsidR="0041797B" w:rsidRPr="009222B2">
        <w:rPr>
          <w:rFonts w:asciiTheme="minorHAnsi" w:hAnsiTheme="minorHAnsi" w:cstheme="minorBidi"/>
        </w:rPr>
        <w:t> </w:t>
      </w:r>
      <w:r w:rsidR="00C00E65" w:rsidRPr="009222B2">
        <w:rPr>
          <w:rFonts w:asciiTheme="minorHAnsi" w:hAnsiTheme="minorHAnsi" w:cstheme="minorBidi"/>
        </w:rPr>
        <w:t xml:space="preserve">December 2022, </w:t>
      </w:r>
      <w:hyperlink r:id="rId67" w:history="1">
        <w:r w:rsidRPr="009222B2">
          <w:rPr>
            <w:rStyle w:val="Hyperlink"/>
            <w:rFonts w:asciiTheme="minorHAnsi" w:hAnsiTheme="minorHAnsi" w:cstheme="minorBidi"/>
          </w:rPr>
          <w:t>14% of all COVID-19 vaccine doses</w:t>
        </w:r>
      </w:hyperlink>
      <w:r w:rsidRPr="009222B2">
        <w:rPr>
          <w:rFonts w:asciiTheme="minorHAnsi" w:hAnsiTheme="minorHAnsi" w:cstheme="minorBidi"/>
        </w:rPr>
        <w:t xml:space="preserve"> were</w:t>
      </w:r>
      <w:r w:rsidR="009158A5" w:rsidRPr="009222B2">
        <w:rPr>
          <w:rFonts w:asciiTheme="minorHAnsi" w:hAnsiTheme="minorHAnsi" w:cstheme="minorBidi"/>
        </w:rPr>
        <w:t xml:space="preserve"> </w:t>
      </w:r>
      <w:r w:rsidR="761E51F9" w:rsidRPr="009222B2">
        <w:rPr>
          <w:rFonts w:asciiTheme="minorHAnsi" w:hAnsiTheme="minorHAnsi" w:cstheme="minorBidi"/>
        </w:rPr>
        <w:t xml:space="preserve">administered by pharmacists in community pharmacies. </w:t>
      </w:r>
    </w:p>
    <w:p w14:paraId="1531F055" w14:textId="50EA19ED" w:rsidR="008E4354" w:rsidRPr="009222B2" w:rsidRDefault="00AB7094" w:rsidP="04CDAA1D">
      <w:pPr>
        <w:rPr>
          <w:rFonts w:cs="Arial"/>
          <w:b/>
          <w:bCs/>
          <w:color w:val="auto"/>
        </w:rPr>
      </w:pPr>
      <w:r w:rsidRPr="009222B2">
        <w:rPr>
          <w:rFonts w:asciiTheme="minorHAnsi" w:hAnsiTheme="minorHAnsi" w:cstheme="minorBidi"/>
        </w:rPr>
        <w:t xml:space="preserve">In 2022, </w:t>
      </w:r>
      <w:r w:rsidRPr="009222B2">
        <w:t>﷟</w:t>
      </w:r>
      <w:hyperlink r:id="rId68" w:history="1">
        <w:r w:rsidRPr="009222B2">
          <w:rPr>
            <w:rStyle w:val="Hyperlink"/>
          </w:rPr>
          <w:t>Victoria</w:t>
        </w:r>
      </w:hyperlink>
      <w:r w:rsidRPr="009222B2">
        <w:rPr>
          <w:rFonts w:asciiTheme="minorHAnsi" w:hAnsiTheme="minorHAnsi" w:cstheme="minorBidi"/>
        </w:rPr>
        <w:t xml:space="preserve"> and </w:t>
      </w:r>
      <w:hyperlink r:id="rId69" w:history="1">
        <w:r w:rsidRPr="009222B2">
          <w:rPr>
            <w:rStyle w:val="Hyperlink"/>
            <w:rFonts w:asciiTheme="minorHAnsi" w:hAnsiTheme="minorHAnsi" w:cstheme="minorBidi"/>
          </w:rPr>
          <w:t>N</w:t>
        </w:r>
        <w:r w:rsidR="00E74172" w:rsidRPr="009222B2">
          <w:rPr>
            <w:rStyle w:val="Hyperlink"/>
            <w:rFonts w:asciiTheme="minorHAnsi" w:hAnsiTheme="minorHAnsi" w:cstheme="minorBidi"/>
          </w:rPr>
          <w:t>ew South Wales</w:t>
        </w:r>
      </w:hyperlink>
      <w:r w:rsidRPr="009222B2">
        <w:rPr>
          <w:rFonts w:asciiTheme="minorHAnsi" w:hAnsiTheme="minorHAnsi" w:cstheme="minorBidi"/>
        </w:rPr>
        <w:t xml:space="preserve"> further expanded their program</w:t>
      </w:r>
      <w:r w:rsidR="0041797B" w:rsidRPr="009222B2">
        <w:rPr>
          <w:rFonts w:asciiTheme="minorHAnsi" w:hAnsiTheme="minorHAnsi" w:cstheme="minorBidi"/>
        </w:rPr>
        <w:t>s</w:t>
      </w:r>
      <w:r w:rsidRPr="009222B2">
        <w:rPr>
          <w:rFonts w:asciiTheme="minorHAnsi" w:hAnsiTheme="minorHAnsi" w:cstheme="minorBidi"/>
        </w:rPr>
        <w:t xml:space="preserve"> to allow pharmacists to </w:t>
      </w:r>
      <w:r w:rsidR="00D20325" w:rsidRPr="009222B2">
        <w:rPr>
          <w:rFonts w:asciiTheme="minorHAnsi" w:hAnsiTheme="minorHAnsi" w:cstheme="minorBidi"/>
        </w:rPr>
        <w:t>ad</w:t>
      </w:r>
      <w:r w:rsidR="00D20325" w:rsidRPr="009222B2">
        <w:rPr>
          <w:rFonts w:asciiTheme="minorHAnsi" w:hAnsiTheme="minorHAnsi" w:cstheme="minorBidi"/>
          <w:color w:val="22272B"/>
          <w:shd w:val="clear" w:color="auto" w:fill="FFFFFF"/>
        </w:rPr>
        <w:t>minister</w:t>
      </w:r>
      <w:r w:rsidRPr="009222B2">
        <w:rPr>
          <w:rFonts w:asciiTheme="minorHAnsi" w:hAnsiTheme="minorHAnsi" w:cstheme="minorBidi"/>
          <w:color w:val="22272B"/>
          <w:shd w:val="clear" w:color="auto" w:fill="FFFFFF"/>
        </w:rPr>
        <w:t xml:space="preserve"> </w:t>
      </w:r>
      <w:r w:rsidR="00A65F69" w:rsidRPr="009222B2">
        <w:rPr>
          <w:rFonts w:asciiTheme="minorHAnsi" w:hAnsiTheme="minorHAnsi" w:cstheme="minorBidi"/>
          <w:color w:val="22272B"/>
          <w:shd w:val="clear" w:color="auto" w:fill="FFFFFF"/>
        </w:rPr>
        <w:t xml:space="preserve">several vaccines, including </w:t>
      </w:r>
      <w:r w:rsidR="00CB3ABD" w:rsidRPr="009222B2">
        <w:rPr>
          <w:rFonts w:asciiTheme="minorHAnsi" w:hAnsiTheme="minorHAnsi" w:cstheme="minorBidi"/>
          <w:color w:val="22272B"/>
          <w:shd w:val="clear" w:color="auto" w:fill="FFFFFF"/>
        </w:rPr>
        <w:t>JE</w:t>
      </w:r>
      <w:r w:rsidRPr="009222B2">
        <w:rPr>
          <w:rFonts w:asciiTheme="minorHAnsi" w:hAnsiTheme="minorHAnsi" w:cstheme="minorBidi"/>
          <w:color w:val="22272B"/>
          <w:shd w:val="clear" w:color="auto" w:fill="FFFFFF"/>
        </w:rPr>
        <w:t xml:space="preserve">, </w:t>
      </w:r>
      <w:r w:rsidR="00AD5E87" w:rsidRPr="009222B2">
        <w:rPr>
          <w:rFonts w:asciiTheme="minorHAnsi" w:hAnsiTheme="minorHAnsi" w:cstheme="minorBidi"/>
          <w:color w:val="22272B"/>
          <w:shd w:val="clear" w:color="auto" w:fill="FFFFFF"/>
        </w:rPr>
        <w:t>m</w:t>
      </w:r>
      <w:r w:rsidR="00AA258F" w:rsidRPr="009222B2">
        <w:rPr>
          <w:rFonts w:asciiTheme="minorHAnsi" w:hAnsiTheme="minorHAnsi" w:cstheme="minorBidi"/>
          <w:color w:val="22272B"/>
          <w:shd w:val="clear" w:color="auto" w:fill="FFFFFF"/>
        </w:rPr>
        <w:t>pox</w:t>
      </w:r>
      <w:r w:rsidR="00D20325" w:rsidRPr="009222B2">
        <w:rPr>
          <w:rFonts w:asciiTheme="minorHAnsi" w:hAnsiTheme="minorHAnsi" w:cstheme="minorBidi"/>
          <w:color w:val="22272B"/>
          <w:shd w:val="clear" w:color="auto" w:fill="FFFFFF"/>
        </w:rPr>
        <w:t xml:space="preserve"> </w:t>
      </w:r>
      <w:r w:rsidRPr="009222B2">
        <w:rPr>
          <w:rFonts w:asciiTheme="minorHAnsi" w:hAnsiTheme="minorHAnsi" w:cstheme="minorBidi"/>
          <w:color w:val="22272B"/>
          <w:shd w:val="clear" w:color="auto" w:fill="FFFFFF"/>
        </w:rPr>
        <w:t xml:space="preserve">and </w:t>
      </w:r>
      <w:r w:rsidR="009F4413" w:rsidRPr="009222B2">
        <w:rPr>
          <w:rFonts w:asciiTheme="minorHAnsi" w:hAnsiTheme="minorHAnsi" w:cstheme="minorBidi"/>
          <w:color w:val="22272B"/>
          <w:shd w:val="clear" w:color="auto" w:fill="FFFFFF"/>
        </w:rPr>
        <w:t>z</w:t>
      </w:r>
      <w:r w:rsidRPr="009222B2">
        <w:rPr>
          <w:rFonts w:asciiTheme="minorHAnsi" w:hAnsiTheme="minorHAnsi" w:cstheme="minorBidi"/>
          <w:color w:val="22272B"/>
          <w:shd w:val="clear" w:color="auto" w:fill="FFFFFF"/>
        </w:rPr>
        <w:t>oster</w:t>
      </w:r>
      <w:r w:rsidR="00D20325" w:rsidRPr="009222B2">
        <w:rPr>
          <w:rFonts w:asciiTheme="minorHAnsi" w:hAnsiTheme="minorHAnsi" w:cstheme="minorBidi"/>
          <w:color w:val="22272B"/>
          <w:shd w:val="clear" w:color="auto" w:fill="FFFFFF"/>
        </w:rPr>
        <w:t xml:space="preserve"> vaccine</w:t>
      </w:r>
      <w:r w:rsidR="146CF6DA" w:rsidRPr="009222B2">
        <w:rPr>
          <w:rFonts w:asciiTheme="minorHAnsi" w:hAnsiTheme="minorHAnsi" w:cstheme="minorBidi"/>
          <w:color w:val="22272B"/>
          <w:shd w:val="clear" w:color="auto" w:fill="FFFFFF"/>
        </w:rPr>
        <w:t>s</w:t>
      </w:r>
      <w:r w:rsidR="00D20325" w:rsidRPr="009222B2">
        <w:rPr>
          <w:rFonts w:asciiTheme="minorHAnsi" w:hAnsiTheme="minorHAnsi" w:cstheme="minorBidi"/>
          <w:color w:val="22272B"/>
          <w:shd w:val="clear" w:color="auto" w:fill="FFFFFF"/>
        </w:rPr>
        <w:t xml:space="preserve">. </w:t>
      </w:r>
      <w:r w:rsidR="00A65F69" w:rsidRPr="009222B2">
        <w:rPr>
          <w:rFonts w:asciiTheme="minorHAnsi" w:hAnsiTheme="minorHAnsi" w:cstheme="minorBidi"/>
        </w:rPr>
        <w:t>As the</w:t>
      </w:r>
      <w:r w:rsidR="009F4413" w:rsidRPr="009222B2">
        <w:rPr>
          <w:rFonts w:asciiTheme="minorHAnsi" w:hAnsiTheme="minorHAnsi" w:cstheme="minorBidi"/>
        </w:rPr>
        <w:t xml:space="preserve"> </w:t>
      </w:r>
      <w:r w:rsidR="00D20325" w:rsidRPr="009222B2">
        <w:rPr>
          <w:rFonts w:asciiTheme="minorHAnsi" w:hAnsiTheme="minorHAnsi" w:cstheme="minorBidi"/>
        </w:rPr>
        <w:t>scope of pharmacist-administered vaccination</w:t>
      </w:r>
      <w:r w:rsidR="00A65F69" w:rsidRPr="009222B2">
        <w:rPr>
          <w:rFonts w:asciiTheme="minorHAnsi" w:hAnsiTheme="minorHAnsi" w:cstheme="minorBidi"/>
        </w:rPr>
        <w:t xml:space="preserve"> expands</w:t>
      </w:r>
      <w:r w:rsidR="00D20325" w:rsidRPr="009222B2">
        <w:rPr>
          <w:rFonts w:asciiTheme="minorHAnsi" w:hAnsiTheme="minorHAnsi" w:cstheme="minorBidi"/>
        </w:rPr>
        <w:t>, ATAGI considers that evaluati</w:t>
      </w:r>
      <w:r w:rsidR="00A65F69" w:rsidRPr="009222B2">
        <w:rPr>
          <w:rFonts w:asciiTheme="minorHAnsi" w:hAnsiTheme="minorHAnsi" w:cstheme="minorBidi"/>
        </w:rPr>
        <w:t>ng</w:t>
      </w:r>
      <w:r w:rsidR="00D20325" w:rsidRPr="009222B2">
        <w:rPr>
          <w:rFonts w:asciiTheme="minorHAnsi" w:hAnsiTheme="minorHAnsi" w:cstheme="minorBidi"/>
        </w:rPr>
        <w:t xml:space="preserve"> key aspects of pharmacist vaccination programs </w:t>
      </w:r>
      <w:r w:rsidR="009F4413" w:rsidRPr="009222B2">
        <w:rPr>
          <w:rFonts w:asciiTheme="minorHAnsi" w:hAnsiTheme="minorHAnsi" w:cstheme="minorBidi"/>
        </w:rPr>
        <w:t>will be essential</w:t>
      </w:r>
      <w:r w:rsidR="00D20325" w:rsidRPr="009222B2">
        <w:rPr>
          <w:rFonts w:asciiTheme="minorHAnsi" w:hAnsiTheme="minorHAnsi" w:cstheme="minorBidi"/>
        </w:rPr>
        <w:t xml:space="preserve"> to inform policy development</w:t>
      </w:r>
      <w:r w:rsidR="00D20325" w:rsidRPr="009222B2">
        <w:rPr>
          <w:rFonts w:ascii="Times New Roman" w:hAnsi="Times New Roman"/>
        </w:rPr>
        <w:t>.</w:t>
      </w:r>
    </w:p>
    <w:p w14:paraId="2799C54A" w14:textId="5846BCCD" w:rsidR="00926040" w:rsidRPr="009222B2" w:rsidRDefault="00980628" w:rsidP="00FE3217">
      <w:pPr>
        <w:pStyle w:val="Heading3"/>
        <w:rPr>
          <w:color w:val="auto"/>
        </w:rPr>
      </w:pPr>
      <w:r w:rsidRPr="009222B2">
        <w:rPr>
          <w:color w:val="auto"/>
        </w:rPr>
        <w:t>C</w:t>
      </w:r>
      <w:r w:rsidR="009F67E4" w:rsidRPr="009222B2">
        <w:rPr>
          <w:color w:val="auto"/>
        </w:rPr>
        <w:t xml:space="preserve">hanges to the </w:t>
      </w:r>
      <w:r w:rsidR="00926040" w:rsidRPr="009222B2">
        <w:rPr>
          <w:color w:val="auto"/>
        </w:rPr>
        <w:t>National Immunisation Program</w:t>
      </w:r>
    </w:p>
    <w:p w14:paraId="7ACA7A2D" w14:textId="071454A4" w:rsidR="008910EC" w:rsidRPr="009222B2" w:rsidRDefault="008910EC" w:rsidP="008910EC">
      <w:r w:rsidRPr="009222B2">
        <w:t>There were no changes to the NIP in 2022</w:t>
      </w:r>
      <w:r w:rsidR="00A65F69" w:rsidRPr="009222B2">
        <w:t>.</w:t>
      </w:r>
    </w:p>
    <w:p w14:paraId="75164E2A" w14:textId="6AB0813D" w:rsidR="00717700" w:rsidRPr="009222B2" w:rsidRDefault="009F67E4" w:rsidP="004738C9">
      <w:pPr>
        <w:pStyle w:val="Heading3"/>
      </w:pPr>
      <w:r w:rsidRPr="009222B2">
        <w:t>I</w:t>
      </w:r>
      <w:r w:rsidR="00926040" w:rsidRPr="009222B2">
        <w:t>mmunisation coverage</w:t>
      </w:r>
    </w:p>
    <w:p w14:paraId="152A5A0D" w14:textId="09E3AA43" w:rsidR="0067027F" w:rsidRPr="009222B2" w:rsidRDefault="0067027F" w:rsidP="00823906">
      <w:pPr>
        <w:pStyle w:val="Heading4"/>
      </w:pPr>
      <w:r w:rsidRPr="009222B2">
        <w:t>Influenza</w:t>
      </w:r>
      <w:r w:rsidR="005663FF" w:rsidRPr="009222B2">
        <w:t xml:space="preserve"> vaccines</w:t>
      </w:r>
    </w:p>
    <w:p w14:paraId="350CA317" w14:textId="77777777" w:rsidR="005E5BDA" w:rsidRDefault="00E44E69" w:rsidP="004A4C3D">
      <w:r w:rsidRPr="009222B2">
        <w:t>Influenza vaccination is provided free under</w:t>
      </w:r>
      <w:r w:rsidR="00F76C3D" w:rsidRPr="009222B2">
        <w:t xml:space="preserve"> the NIP for all children aged </w:t>
      </w:r>
      <w:r w:rsidR="00823906" w:rsidRPr="009222B2">
        <w:t>6 </w:t>
      </w:r>
      <w:r w:rsidR="00F76C3D" w:rsidRPr="009222B2">
        <w:t xml:space="preserve">months to </w:t>
      </w:r>
      <w:r w:rsidR="00823906" w:rsidRPr="009222B2">
        <w:t>5 </w:t>
      </w:r>
      <w:r w:rsidRPr="009222B2">
        <w:t xml:space="preserve">years, </w:t>
      </w:r>
      <w:r w:rsidR="009F4413" w:rsidRPr="009222B2">
        <w:t>people</w:t>
      </w:r>
      <w:r w:rsidRPr="009222B2">
        <w:t xml:space="preserve"> aged 65</w:t>
      </w:r>
      <w:r w:rsidR="00823906" w:rsidRPr="009222B2">
        <w:t> </w:t>
      </w:r>
      <w:r w:rsidRPr="009222B2">
        <w:t xml:space="preserve">years and </w:t>
      </w:r>
      <w:r w:rsidR="005E5BDA">
        <w:t>over</w:t>
      </w:r>
      <w:r w:rsidRPr="009222B2">
        <w:t xml:space="preserve"> and some </w:t>
      </w:r>
      <w:r w:rsidR="00823906" w:rsidRPr="009222B2">
        <w:t>people</w:t>
      </w:r>
      <w:r w:rsidR="00D155B7" w:rsidRPr="009222B2">
        <w:t xml:space="preserve"> aged 5</w:t>
      </w:r>
      <w:r w:rsidR="00823906" w:rsidRPr="009222B2">
        <w:t xml:space="preserve"> to </w:t>
      </w:r>
      <w:r w:rsidR="00D155B7" w:rsidRPr="009222B2">
        <w:t>64</w:t>
      </w:r>
      <w:r w:rsidR="003C6450" w:rsidRPr="009222B2">
        <w:t> year</w:t>
      </w:r>
      <w:r w:rsidR="00D155B7" w:rsidRPr="009222B2">
        <w:t>s</w:t>
      </w:r>
      <w:r w:rsidR="00823906" w:rsidRPr="009222B2">
        <w:t xml:space="preserve"> who are at higher risk of severe disease</w:t>
      </w:r>
      <w:r w:rsidRPr="009222B2">
        <w:t xml:space="preserve">. </w:t>
      </w:r>
    </w:p>
    <w:p w14:paraId="7C9AC732" w14:textId="16FC7057" w:rsidR="00D155B7" w:rsidRPr="009222B2" w:rsidRDefault="00E44E69" w:rsidP="004A4C3D">
      <w:r w:rsidRPr="009222B2">
        <w:t>In 2022, many s</w:t>
      </w:r>
      <w:r w:rsidR="002F4C0C" w:rsidRPr="009222B2">
        <w:t xml:space="preserve">tates and territories offered free vaccination for all </w:t>
      </w:r>
      <w:r w:rsidR="00F76C3D" w:rsidRPr="009222B2">
        <w:t xml:space="preserve">people aged </w:t>
      </w:r>
      <w:r w:rsidR="00823906" w:rsidRPr="009222B2">
        <w:t>6</w:t>
      </w:r>
      <w:r w:rsidR="0041797B" w:rsidRPr="009222B2">
        <w:t> </w:t>
      </w:r>
      <w:r w:rsidR="00D155B7" w:rsidRPr="009222B2">
        <w:t xml:space="preserve">months and </w:t>
      </w:r>
      <w:r w:rsidR="005E5BDA">
        <w:t>over</w:t>
      </w:r>
      <w:r w:rsidR="00D155B7" w:rsidRPr="009222B2">
        <w:t xml:space="preserve"> in response to rising case numbers</w:t>
      </w:r>
      <w:r w:rsidR="00BC32EE" w:rsidRPr="009222B2">
        <w:t xml:space="preserve"> of seasonal influenza</w:t>
      </w:r>
      <w:r w:rsidR="002F4C0C" w:rsidRPr="009222B2">
        <w:t>.</w:t>
      </w:r>
    </w:p>
    <w:p w14:paraId="24411305" w14:textId="6EC5BC78" w:rsidR="00823906" w:rsidRPr="009222B2" w:rsidRDefault="002C58B0" w:rsidP="00BA03D1">
      <w:pPr>
        <w:pStyle w:val="NormalBeforeBullet"/>
      </w:pPr>
      <w:r w:rsidRPr="009222B2">
        <w:t xml:space="preserve">In </w:t>
      </w:r>
      <w:r w:rsidR="00F76C3D" w:rsidRPr="009222B2">
        <w:t xml:space="preserve">children aged </w:t>
      </w:r>
      <w:r w:rsidR="00823906" w:rsidRPr="009222B2">
        <w:t>6</w:t>
      </w:r>
      <w:r w:rsidR="0041797B" w:rsidRPr="009222B2">
        <w:t> month</w:t>
      </w:r>
      <w:r w:rsidR="0001055E" w:rsidRPr="009222B2">
        <w:t xml:space="preserve">s to </w:t>
      </w:r>
      <w:r w:rsidR="00F76C3D" w:rsidRPr="009222B2">
        <w:t xml:space="preserve">under </w:t>
      </w:r>
      <w:r w:rsidR="00823906" w:rsidRPr="009222B2">
        <w:t>5</w:t>
      </w:r>
      <w:r w:rsidR="003C6450" w:rsidRPr="009222B2">
        <w:t> year</w:t>
      </w:r>
      <w:r w:rsidR="0001055E" w:rsidRPr="009222B2">
        <w:t xml:space="preserve">s, </w:t>
      </w:r>
      <w:r w:rsidR="00BC32EE" w:rsidRPr="009222B2">
        <w:t xml:space="preserve">influenza </w:t>
      </w:r>
      <w:r w:rsidR="0001055E" w:rsidRPr="009222B2">
        <w:t>vaccin</w:t>
      </w:r>
      <w:r w:rsidR="007B0922" w:rsidRPr="009222B2">
        <w:t>ation</w:t>
      </w:r>
      <w:r w:rsidR="0001055E" w:rsidRPr="009222B2">
        <w:t xml:space="preserve"> coverage </w:t>
      </w:r>
      <w:r w:rsidR="000511D9" w:rsidRPr="009222B2">
        <w:t>increased</w:t>
      </w:r>
      <w:r w:rsidR="00B70FE6" w:rsidRPr="009222B2">
        <w:t xml:space="preserve">, </w:t>
      </w:r>
      <w:r w:rsidR="0001055E" w:rsidRPr="009222B2">
        <w:t xml:space="preserve">including in First Nations children. </w:t>
      </w:r>
      <w:r w:rsidR="00BE4962" w:rsidRPr="009222B2">
        <w:t>U</w:t>
      </w:r>
      <w:r w:rsidR="00D54D45" w:rsidRPr="009222B2">
        <w:t>ptake of influenza vaccine</w:t>
      </w:r>
      <w:r w:rsidR="00897805" w:rsidRPr="009222B2">
        <w:t>s</w:t>
      </w:r>
      <w:r w:rsidR="00AE2CC3" w:rsidRPr="009222B2">
        <w:t xml:space="preserve"> in 2022</w:t>
      </w:r>
      <w:r w:rsidR="00D54D45" w:rsidRPr="009222B2">
        <w:t xml:space="preserve"> </w:t>
      </w:r>
      <w:r w:rsidR="009B3DF9" w:rsidRPr="009222B2">
        <w:t xml:space="preserve">was also </w:t>
      </w:r>
      <w:r w:rsidR="00DE7FEC" w:rsidRPr="009222B2">
        <w:t>higher</w:t>
      </w:r>
      <w:r w:rsidR="009B3DF9" w:rsidRPr="009222B2">
        <w:t xml:space="preserve"> in several other age groups </w:t>
      </w:r>
      <w:r w:rsidR="00AE2CC3" w:rsidRPr="009222B2">
        <w:t>compared with 2021</w:t>
      </w:r>
      <w:r w:rsidR="00823906" w:rsidRPr="009222B2">
        <w:t>:</w:t>
      </w:r>
    </w:p>
    <w:p w14:paraId="07B8DE47" w14:textId="1C63A22A" w:rsidR="00823906" w:rsidRPr="009222B2" w:rsidRDefault="00823906" w:rsidP="00CA7E87">
      <w:pPr>
        <w:pStyle w:val="Bullet"/>
      </w:pPr>
      <w:r w:rsidRPr="009222B2">
        <w:t>First Nations people aged 15 to 49 years (</w:t>
      </w:r>
      <w:r w:rsidR="003A5B89" w:rsidRPr="009222B2">
        <w:t>5</w:t>
      </w:r>
      <w:r w:rsidR="0044521B" w:rsidRPr="009222B2">
        <w:t>.0</w:t>
      </w:r>
      <w:r w:rsidRPr="009222B2">
        <w:t xml:space="preserve">% </w:t>
      </w:r>
      <w:r w:rsidR="00DE7FEC" w:rsidRPr="009222B2">
        <w:t>higher</w:t>
      </w:r>
      <w:r w:rsidR="00860E57" w:rsidRPr="009222B2">
        <w:t xml:space="preserve">; </w:t>
      </w:r>
      <w:r w:rsidR="00A9552A" w:rsidRPr="009222B2">
        <w:t>eligible for free</w:t>
      </w:r>
      <w:r w:rsidRPr="009222B2">
        <w:t xml:space="preserve"> influenza vaccines under the NIP</w:t>
      </w:r>
      <w:r w:rsidR="00860E57" w:rsidRPr="009222B2">
        <w:t>)</w:t>
      </w:r>
    </w:p>
    <w:p w14:paraId="7EECCBDC" w14:textId="46CD9669" w:rsidR="00A9552A" w:rsidRPr="009222B2" w:rsidRDefault="00537371" w:rsidP="00CA7E87">
      <w:pPr>
        <w:pStyle w:val="Bullet"/>
      </w:pPr>
      <w:r w:rsidRPr="009222B2">
        <w:t xml:space="preserve">First Nations </w:t>
      </w:r>
      <w:r w:rsidR="00823906" w:rsidRPr="009222B2">
        <w:t xml:space="preserve">children </w:t>
      </w:r>
      <w:r w:rsidR="00B33541" w:rsidRPr="009222B2">
        <w:t xml:space="preserve">aged </w:t>
      </w:r>
      <w:r w:rsidR="00D54D45" w:rsidRPr="009222B2">
        <w:t>5</w:t>
      </w:r>
      <w:r w:rsidR="00823906" w:rsidRPr="009222B2">
        <w:t xml:space="preserve"> to </w:t>
      </w:r>
      <w:r w:rsidR="00D54D45" w:rsidRPr="009222B2">
        <w:t>14</w:t>
      </w:r>
      <w:r w:rsidR="00B33541" w:rsidRPr="009222B2">
        <w:t> </w:t>
      </w:r>
      <w:r w:rsidR="00AE2CC3" w:rsidRPr="009222B2">
        <w:t>years (</w:t>
      </w:r>
      <w:r w:rsidR="0044521B" w:rsidRPr="009222B2">
        <w:t>3.0</w:t>
      </w:r>
      <w:r w:rsidR="00D54D45" w:rsidRPr="009222B2">
        <w:t xml:space="preserve">% </w:t>
      </w:r>
      <w:r w:rsidR="00DE7FEC" w:rsidRPr="009222B2">
        <w:t>higher</w:t>
      </w:r>
      <w:r w:rsidR="00860E57" w:rsidRPr="009222B2">
        <w:t xml:space="preserve">; </w:t>
      </w:r>
      <w:r w:rsidR="00A9552A" w:rsidRPr="009222B2">
        <w:t>eligible for free influenza vaccines under the NIP</w:t>
      </w:r>
      <w:r w:rsidR="00860E57" w:rsidRPr="009222B2">
        <w:t>)</w:t>
      </w:r>
    </w:p>
    <w:p w14:paraId="4F99E961" w14:textId="5BF64AC7" w:rsidR="006D22DA" w:rsidRPr="009222B2" w:rsidRDefault="00D54D45" w:rsidP="00BA03D1">
      <w:pPr>
        <w:pStyle w:val="BulletLast"/>
      </w:pPr>
      <w:r w:rsidRPr="009222B2">
        <w:t>other children aged 5</w:t>
      </w:r>
      <w:r w:rsidR="00823906" w:rsidRPr="009222B2">
        <w:t xml:space="preserve"> to </w:t>
      </w:r>
      <w:r w:rsidRPr="009222B2">
        <w:t>14</w:t>
      </w:r>
      <w:r w:rsidR="00B33541" w:rsidRPr="009222B2">
        <w:t> </w:t>
      </w:r>
      <w:r w:rsidR="00AE2CC3" w:rsidRPr="009222B2">
        <w:t>years (</w:t>
      </w:r>
      <w:r w:rsidR="0044521B" w:rsidRPr="009222B2">
        <w:t>8.7</w:t>
      </w:r>
      <w:r w:rsidRPr="009222B2">
        <w:t xml:space="preserve">% </w:t>
      </w:r>
      <w:r w:rsidR="00DE7FEC" w:rsidRPr="009222B2">
        <w:t>higher</w:t>
      </w:r>
      <w:r w:rsidRPr="009222B2">
        <w:t>).</w:t>
      </w:r>
    </w:p>
    <w:p w14:paraId="7CF219B9" w14:textId="7C5E82C0" w:rsidR="00AF289A" w:rsidRPr="009222B2" w:rsidRDefault="00AC13BC" w:rsidP="0041797B">
      <w:r w:rsidRPr="009222B2">
        <w:t>Vaccination is the best protection against influen</w:t>
      </w:r>
      <w:r w:rsidR="00761253" w:rsidRPr="009222B2">
        <w:t>z</w:t>
      </w:r>
      <w:r w:rsidR="00CA7E87" w:rsidRPr="009222B2">
        <w:t>a and ATAGI recommends i</w:t>
      </w:r>
      <w:r w:rsidR="00761253" w:rsidRPr="009222B2">
        <w:t>nfluenza vaccination for everyone aged 6</w:t>
      </w:r>
      <w:r w:rsidR="00CA7E87" w:rsidRPr="009222B2">
        <w:t> </w:t>
      </w:r>
      <w:r w:rsidR="00761253" w:rsidRPr="009222B2">
        <w:t>months and older.</w:t>
      </w:r>
    </w:p>
    <w:p w14:paraId="5A0CD344" w14:textId="52593582" w:rsidR="009F19E5" w:rsidRPr="009222B2" w:rsidRDefault="009F19E5" w:rsidP="0070564E">
      <w:pPr>
        <w:pStyle w:val="Heading4"/>
      </w:pPr>
      <w:r w:rsidRPr="009222B2">
        <w:t>Childhood vaccines</w:t>
      </w:r>
    </w:p>
    <w:p w14:paraId="7225850A" w14:textId="346B6F3B" w:rsidR="003353AC" w:rsidRPr="009222B2" w:rsidRDefault="00D12C7C" w:rsidP="00CB11B4">
      <w:pPr>
        <w:pStyle w:val="NormalBeforeBullet"/>
      </w:pPr>
      <w:r w:rsidRPr="009222B2">
        <w:rPr>
          <w:iCs/>
        </w:rPr>
        <w:t xml:space="preserve">Vaccination uptake of routine childhood vaccines remained high </w:t>
      </w:r>
      <w:r w:rsidR="00E6461F" w:rsidRPr="009222B2">
        <w:rPr>
          <w:iCs/>
        </w:rPr>
        <w:t xml:space="preserve">overall </w:t>
      </w:r>
      <w:r w:rsidRPr="009222B2">
        <w:rPr>
          <w:iCs/>
        </w:rPr>
        <w:t xml:space="preserve">in 2022. </w:t>
      </w:r>
      <w:r w:rsidR="00420AF4" w:rsidRPr="009222B2">
        <w:rPr>
          <w:iCs/>
        </w:rPr>
        <w:t>Uptake of</w:t>
      </w:r>
      <w:r w:rsidRPr="009222B2">
        <w:t xml:space="preserve"> </w:t>
      </w:r>
      <w:r w:rsidR="002C7A57" w:rsidRPr="009222B2">
        <w:rPr>
          <w:iCs/>
        </w:rPr>
        <w:t>some vaccines</w:t>
      </w:r>
      <w:r w:rsidR="002C7A57" w:rsidRPr="009222B2">
        <w:t xml:space="preserve"> </w:t>
      </w:r>
      <w:r w:rsidR="00420AF4" w:rsidRPr="009222B2">
        <w:rPr>
          <w:iCs/>
        </w:rPr>
        <w:t>decreased slightly</w:t>
      </w:r>
      <w:r w:rsidR="002C7A57" w:rsidRPr="009222B2">
        <w:rPr>
          <w:iCs/>
        </w:rPr>
        <w:t xml:space="preserve"> in 2022 compared </w:t>
      </w:r>
      <w:r w:rsidR="00EE7AA6" w:rsidRPr="009222B2">
        <w:rPr>
          <w:iCs/>
        </w:rPr>
        <w:t>with</w:t>
      </w:r>
      <w:r w:rsidR="002C7A57" w:rsidRPr="009222B2">
        <w:rPr>
          <w:iCs/>
        </w:rPr>
        <w:t xml:space="preserve"> 2021, 2020 and 2019</w:t>
      </w:r>
      <w:r w:rsidR="00140E8F" w:rsidRPr="009222B2">
        <w:rPr>
          <w:iCs/>
        </w:rPr>
        <w:t>.</w:t>
      </w:r>
      <w:r w:rsidR="005E5BDA">
        <w:rPr>
          <w:iCs/>
        </w:rPr>
        <w:t xml:space="preserve"> A total of:</w:t>
      </w:r>
    </w:p>
    <w:p w14:paraId="444AAEA2" w14:textId="1896F165" w:rsidR="001A6E4D" w:rsidRPr="009222B2" w:rsidRDefault="0082711D" w:rsidP="00CB11B4">
      <w:pPr>
        <w:pStyle w:val="Bullet"/>
      </w:pPr>
      <w:r w:rsidRPr="009222B2">
        <w:t>90.9</w:t>
      </w:r>
      <w:r w:rsidR="007828EB" w:rsidRPr="009222B2">
        <w:t>%</w:t>
      </w:r>
      <w:r w:rsidR="001A6E4D" w:rsidRPr="009222B2">
        <w:t xml:space="preserve"> </w:t>
      </w:r>
      <w:r w:rsidR="00CC50DA" w:rsidRPr="009222B2">
        <w:t>of children</w:t>
      </w:r>
      <w:r w:rsidR="00730560" w:rsidRPr="009222B2">
        <w:t xml:space="preserve"> received their second dose of diphtheria-tetanus-acellular pertussis (DTPa) vaccine within </w:t>
      </w:r>
      <w:r w:rsidR="00AF289A" w:rsidRPr="009222B2">
        <w:t>2 </w:t>
      </w:r>
      <w:r w:rsidR="00F76C3D" w:rsidRPr="009222B2">
        <w:t xml:space="preserve">months of reaching </w:t>
      </w:r>
      <w:r w:rsidR="00AF289A" w:rsidRPr="009222B2">
        <w:t>4 </w:t>
      </w:r>
      <w:r w:rsidR="00730560" w:rsidRPr="009222B2">
        <w:t xml:space="preserve">months of age </w:t>
      </w:r>
      <w:r w:rsidR="00AE2CC3" w:rsidRPr="009222B2">
        <w:t>in 2022</w:t>
      </w:r>
      <w:r w:rsidR="001A6E4D" w:rsidRPr="009222B2">
        <w:t xml:space="preserve">, compared </w:t>
      </w:r>
      <w:r w:rsidR="00730560" w:rsidRPr="009222B2">
        <w:t xml:space="preserve">with </w:t>
      </w:r>
      <w:r w:rsidR="0003389E" w:rsidRPr="009222B2">
        <w:t>92.3</w:t>
      </w:r>
      <w:r w:rsidR="003353AC" w:rsidRPr="009222B2">
        <w:t>%</w:t>
      </w:r>
      <w:r w:rsidR="0003389E" w:rsidRPr="009222B2">
        <w:t xml:space="preserve"> in 2021, 93.6</w:t>
      </w:r>
      <w:r w:rsidR="00CC51A4" w:rsidRPr="009222B2">
        <w:t>% in 2020</w:t>
      </w:r>
      <w:r w:rsidR="001A6E4D" w:rsidRPr="009222B2">
        <w:t xml:space="preserve"> and </w:t>
      </w:r>
      <w:r w:rsidR="0003389E" w:rsidRPr="009222B2">
        <w:t>93.7</w:t>
      </w:r>
      <w:r w:rsidR="003353AC" w:rsidRPr="009222B2">
        <w:t xml:space="preserve">% </w:t>
      </w:r>
      <w:r w:rsidR="00E44E69" w:rsidRPr="009222B2">
        <w:t>in 201</w:t>
      </w:r>
      <w:r w:rsidR="00CC51A4" w:rsidRPr="009222B2">
        <w:t>9</w:t>
      </w:r>
    </w:p>
    <w:p w14:paraId="2D6DDD7E" w14:textId="71B77AB1" w:rsidR="001A6E4D" w:rsidRPr="009222B2" w:rsidRDefault="00303E04" w:rsidP="00EE7AA6">
      <w:pPr>
        <w:pStyle w:val="Bullet"/>
      </w:pPr>
      <w:r w:rsidRPr="009222B2">
        <w:lastRenderedPageBreak/>
        <w:t>85.3</w:t>
      </w:r>
      <w:r w:rsidR="007828EB" w:rsidRPr="009222B2">
        <w:t>%</w:t>
      </w:r>
      <w:r w:rsidR="001A6E4D" w:rsidRPr="009222B2">
        <w:t xml:space="preserve"> </w:t>
      </w:r>
      <w:r w:rsidR="00730560" w:rsidRPr="009222B2">
        <w:t>of children received their first dose of measles-mump</w:t>
      </w:r>
      <w:r w:rsidR="00F76C3D" w:rsidRPr="009222B2">
        <w:t xml:space="preserve">s-rubella (MMR) vaccine within </w:t>
      </w:r>
      <w:r w:rsidR="00AF289A" w:rsidRPr="009222B2">
        <w:t>2 </w:t>
      </w:r>
      <w:r w:rsidR="00730560" w:rsidRPr="009222B2">
        <w:t>months of reaching 12</w:t>
      </w:r>
      <w:r w:rsidR="00350C4B" w:rsidRPr="009222B2">
        <w:t> </w:t>
      </w:r>
      <w:r w:rsidR="00730560" w:rsidRPr="009222B2">
        <w:t xml:space="preserve">months of age </w:t>
      </w:r>
      <w:r w:rsidR="00CC51A4" w:rsidRPr="009222B2">
        <w:t>in 2022</w:t>
      </w:r>
      <w:r w:rsidR="001A6E4D" w:rsidRPr="009222B2">
        <w:t xml:space="preserve">, </w:t>
      </w:r>
      <w:r w:rsidR="00730560" w:rsidRPr="009222B2">
        <w:t xml:space="preserve">compared with </w:t>
      </w:r>
      <w:r w:rsidR="0003389E" w:rsidRPr="009222B2">
        <w:t>87.6</w:t>
      </w:r>
      <w:r w:rsidR="00BC12BE" w:rsidRPr="009222B2">
        <w:t xml:space="preserve">% in </w:t>
      </w:r>
      <w:r w:rsidR="00CC51A4" w:rsidRPr="009222B2">
        <w:t>2021</w:t>
      </w:r>
      <w:r w:rsidR="0003389E" w:rsidRPr="009222B2">
        <w:t>, 88.1% in 2020</w:t>
      </w:r>
      <w:r w:rsidR="00C81B02" w:rsidRPr="009222B2">
        <w:t xml:space="preserve"> and </w:t>
      </w:r>
      <w:r w:rsidR="0003389E" w:rsidRPr="009222B2">
        <w:t>88.7</w:t>
      </w:r>
      <w:r w:rsidR="00BC12BE" w:rsidRPr="009222B2">
        <w:t xml:space="preserve">% </w:t>
      </w:r>
      <w:r w:rsidR="00C81B02" w:rsidRPr="009222B2">
        <w:t>in 2019</w:t>
      </w:r>
    </w:p>
    <w:p w14:paraId="32E87E82" w14:textId="5DA22160" w:rsidR="008A303E" w:rsidRPr="009222B2" w:rsidRDefault="00F42D14" w:rsidP="00537371">
      <w:pPr>
        <w:pStyle w:val="BulletLast"/>
      </w:pPr>
      <w:r w:rsidRPr="009222B2">
        <w:t>84.7</w:t>
      </w:r>
      <w:r w:rsidR="00F76C3D" w:rsidRPr="009222B2">
        <w:t xml:space="preserve">% of children received </w:t>
      </w:r>
      <w:r w:rsidR="00AF289A" w:rsidRPr="009222B2">
        <w:t>3</w:t>
      </w:r>
      <w:r w:rsidR="003C6450" w:rsidRPr="009222B2">
        <w:t> dose</w:t>
      </w:r>
      <w:r w:rsidR="008A303E" w:rsidRPr="009222B2">
        <w:t xml:space="preserve">s of </w:t>
      </w:r>
      <w:r w:rsidR="00195935" w:rsidRPr="009222B2">
        <w:t>inactivate</w:t>
      </w:r>
      <w:r w:rsidR="009D1CBE" w:rsidRPr="009222B2">
        <w:t>d</w:t>
      </w:r>
      <w:r w:rsidR="00195935" w:rsidRPr="009222B2">
        <w:t xml:space="preserve"> poliovirus (IPV) vaccine </w:t>
      </w:r>
      <w:r w:rsidR="00762CAD" w:rsidRPr="009222B2">
        <w:t xml:space="preserve">in 2022, compared with </w:t>
      </w:r>
      <w:r w:rsidRPr="009222B2">
        <w:t>87.3</w:t>
      </w:r>
      <w:r w:rsidR="00762CAD" w:rsidRPr="009222B2">
        <w:t xml:space="preserve">% in 2021, </w:t>
      </w:r>
      <w:r w:rsidRPr="009222B2">
        <w:t>89.2</w:t>
      </w:r>
      <w:r w:rsidR="00762CAD" w:rsidRPr="009222B2">
        <w:t xml:space="preserve">% in 2020 and </w:t>
      </w:r>
      <w:r w:rsidR="00D12C7C" w:rsidRPr="009222B2">
        <w:t>88.8</w:t>
      </w:r>
      <w:r w:rsidR="00762CAD" w:rsidRPr="009222B2">
        <w:t>% in 2019</w:t>
      </w:r>
      <w:r w:rsidR="00F76C3D" w:rsidRPr="009222B2">
        <w:t>.</w:t>
      </w:r>
    </w:p>
    <w:p w14:paraId="79A80458" w14:textId="09FB036B" w:rsidR="00AE25F7" w:rsidRPr="009222B2" w:rsidRDefault="00580ED5" w:rsidP="0070564E">
      <w:pPr>
        <w:pStyle w:val="Heading4"/>
      </w:pPr>
      <w:r w:rsidRPr="009222B2">
        <w:t>Adolescent vaccines</w:t>
      </w:r>
      <w:r w:rsidR="00022701" w:rsidRPr="009222B2">
        <w:t xml:space="preserve"> (mainly delivered through school </w:t>
      </w:r>
      <w:r w:rsidR="00537371" w:rsidRPr="009222B2">
        <w:t>immunisation</w:t>
      </w:r>
      <w:r w:rsidR="00022701" w:rsidRPr="009222B2">
        <w:t xml:space="preserve"> program</w:t>
      </w:r>
      <w:r w:rsidR="009B3DF9" w:rsidRPr="009222B2">
        <w:t>s</w:t>
      </w:r>
      <w:r w:rsidR="00022701" w:rsidRPr="009222B2">
        <w:t>)</w:t>
      </w:r>
    </w:p>
    <w:p w14:paraId="3179CB52" w14:textId="20FE271D" w:rsidR="00A23300" w:rsidRPr="009222B2" w:rsidRDefault="00E90F07" w:rsidP="008F744E">
      <w:pPr>
        <w:pStyle w:val="NormalBeforeBullet"/>
      </w:pPr>
      <w:r w:rsidRPr="009222B2">
        <w:t xml:space="preserve"> In 2022, </w:t>
      </w:r>
      <w:r w:rsidR="00F110C2" w:rsidRPr="009222B2">
        <w:t xml:space="preserve">the </w:t>
      </w:r>
      <w:r w:rsidR="7E743E67" w:rsidRPr="009222B2">
        <w:t xml:space="preserve">number of </w:t>
      </w:r>
      <w:r w:rsidRPr="009222B2">
        <w:t>adolescent</w:t>
      </w:r>
      <w:r w:rsidR="4330FB39" w:rsidRPr="009222B2">
        <w:t xml:space="preserve">s </w:t>
      </w:r>
      <w:r w:rsidR="005E5BDA">
        <w:t>who received</w:t>
      </w:r>
      <w:r w:rsidRPr="009222B2">
        <w:t xml:space="preserve"> </w:t>
      </w:r>
      <w:r w:rsidR="63E99AA7" w:rsidRPr="009222B2">
        <w:t xml:space="preserve">the following </w:t>
      </w:r>
      <w:r w:rsidR="00D56616" w:rsidRPr="009222B2">
        <w:t>vaccines through school-based immunisation programs</w:t>
      </w:r>
      <w:r w:rsidR="00D84C1A" w:rsidRPr="009222B2">
        <w:t xml:space="preserve"> </w:t>
      </w:r>
      <w:r w:rsidR="00860661" w:rsidRPr="009222B2">
        <w:t>varied</w:t>
      </w:r>
      <w:r w:rsidR="00D84C1A" w:rsidRPr="009222B2">
        <w:t xml:space="preserve"> compared </w:t>
      </w:r>
      <w:r w:rsidR="00C64980">
        <w:t>with</w:t>
      </w:r>
      <w:r w:rsidR="00D84C1A" w:rsidRPr="009222B2">
        <w:t xml:space="preserve"> 2021, depending on the vaccine</w:t>
      </w:r>
      <w:r w:rsidR="43E6D3D1" w:rsidRPr="009222B2">
        <w:t>:</w:t>
      </w:r>
    </w:p>
    <w:p w14:paraId="4226D358" w14:textId="1D04FB13" w:rsidR="00730560" w:rsidRPr="009222B2" w:rsidRDefault="00730560" w:rsidP="00737B1E">
      <w:pPr>
        <w:pStyle w:val="Bullet"/>
      </w:pPr>
      <w:r w:rsidRPr="009222B2">
        <w:t>HPV vaccine</w:t>
      </w:r>
      <w:r w:rsidR="006377EE" w:rsidRPr="009222B2">
        <w:t xml:space="preserve"> –</w:t>
      </w:r>
      <w:r w:rsidR="00EE7AA6" w:rsidRPr="009222B2">
        <w:t xml:space="preserve"> </w:t>
      </w:r>
      <w:r w:rsidR="00461AA6" w:rsidRPr="009222B2">
        <w:t>261,936</w:t>
      </w:r>
      <w:r w:rsidR="00E90F07" w:rsidRPr="009222B2">
        <w:t xml:space="preserve"> </w:t>
      </w:r>
      <w:r w:rsidR="00BC32EE" w:rsidRPr="009222B2">
        <w:t>adolescents received a first dose of HPV vaccine</w:t>
      </w:r>
      <w:r w:rsidR="00461AA6" w:rsidRPr="009222B2">
        <w:t xml:space="preserve"> in 2022</w:t>
      </w:r>
      <w:r w:rsidR="00737B1E" w:rsidRPr="009222B2">
        <w:t>, which was 6.1% lower than in 2021, 6.5% lower than in 2020 and 15.5% lower than in 2019</w:t>
      </w:r>
      <w:r w:rsidR="00BC32EE" w:rsidRPr="009222B2">
        <w:t>.</w:t>
      </w:r>
    </w:p>
    <w:p w14:paraId="48A2DD92" w14:textId="5A6386AC" w:rsidR="006377EE" w:rsidRPr="009222B2" w:rsidRDefault="006377EE" w:rsidP="008F744E">
      <w:pPr>
        <w:pStyle w:val="Bullet"/>
      </w:pPr>
      <w:r w:rsidRPr="009222B2">
        <w:t xml:space="preserve">dTpa vaccine – </w:t>
      </w:r>
      <w:r w:rsidR="00BB7E0A" w:rsidRPr="009222B2">
        <w:t>269,560</w:t>
      </w:r>
      <w:r w:rsidR="008F744E" w:rsidRPr="009222B2">
        <w:t xml:space="preserve"> </w:t>
      </w:r>
      <w:r w:rsidR="009A7E7A" w:rsidRPr="009222B2">
        <w:t xml:space="preserve">adolescents received </w:t>
      </w:r>
      <w:r w:rsidR="008F744E" w:rsidRPr="009222B2">
        <w:t xml:space="preserve">booster doses </w:t>
      </w:r>
      <w:r w:rsidR="00CC51A4" w:rsidRPr="009222B2">
        <w:t xml:space="preserve">in 2022, which was </w:t>
      </w:r>
      <w:r w:rsidR="00E56A28" w:rsidRPr="009222B2">
        <w:t>1.3</w:t>
      </w:r>
      <w:r w:rsidR="008F744E" w:rsidRPr="009222B2">
        <w:t xml:space="preserve">% lower than in </w:t>
      </w:r>
      <w:r w:rsidR="00CC51A4" w:rsidRPr="009222B2">
        <w:t>2021</w:t>
      </w:r>
      <w:r w:rsidR="009A7E7A" w:rsidRPr="009222B2">
        <w:t xml:space="preserve">, </w:t>
      </w:r>
      <w:r w:rsidR="008E274C" w:rsidRPr="009222B2">
        <w:t>4</w:t>
      </w:r>
      <w:r w:rsidR="000E3AD0" w:rsidRPr="009222B2">
        <w:t>.</w:t>
      </w:r>
      <w:r w:rsidR="008E274C" w:rsidRPr="009222B2">
        <w:t>9</w:t>
      </w:r>
      <w:r w:rsidR="00CC51A4" w:rsidRPr="009222B2">
        <w:t>% lower than in 2020</w:t>
      </w:r>
      <w:r w:rsidR="009A7E7A" w:rsidRPr="009222B2">
        <w:t>,</w:t>
      </w:r>
      <w:r w:rsidR="00CC51A4" w:rsidRPr="009222B2">
        <w:t xml:space="preserve"> and </w:t>
      </w:r>
      <w:r w:rsidR="00D5626F" w:rsidRPr="009222B2">
        <w:t>1</w:t>
      </w:r>
      <w:r w:rsidR="008E274C" w:rsidRPr="009222B2">
        <w:t>6.1</w:t>
      </w:r>
      <w:r w:rsidR="008F744E" w:rsidRPr="009222B2">
        <w:t>% lower than in 2019.</w:t>
      </w:r>
    </w:p>
    <w:p w14:paraId="01B7B559" w14:textId="56921CA6" w:rsidR="008F744E" w:rsidRPr="009222B2" w:rsidRDefault="00BA1EEF" w:rsidP="00537371">
      <w:pPr>
        <w:pStyle w:val="BulletLast"/>
      </w:pPr>
      <w:r w:rsidRPr="009222B2">
        <w:t>M</w:t>
      </w:r>
      <w:r w:rsidR="008F744E" w:rsidRPr="009222B2">
        <w:t xml:space="preserve">eningococcal ACWY vaccine – </w:t>
      </w:r>
      <w:r w:rsidR="00BB7E0A" w:rsidRPr="009222B2">
        <w:t>241,600</w:t>
      </w:r>
      <w:r w:rsidR="003C6450" w:rsidRPr="009222B2">
        <w:t> dose</w:t>
      </w:r>
      <w:r w:rsidR="008F744E" w:rsidRPr="009222B2">
        <w:t>s were administered to adole</w:t>
      </w:r>
      <w:r w:rsidR="00CC51A4" w:rsidRPr="009222B2">
        <w:t xml:space="preserve">scents during 2021, which was </w:t>
      </w:r>
      <w:r w:rsidR="00303EDD" w:rsidRPr="009222B2">
        <w:t>6.</w:t>
      </w:r>
      <w:r w:rsidR="008E274C" w:rsidRPr="009222B2">
        <w:t>5</w:t>
      </w:r>
      <w:r w:rsidR="00CC51A4" w:rsidRPr="009222B2">
        <w:t>% higher than in 2021</w:t>
      </w:r>
      <w:r w:rsidR="009A7E7A" w:rsidRPr="009222B2">
        <w:t xml:space="preserve">, </w:t>
      </w:r>
      <w:r w:rsidR="00A61A07" w:rsidRPr="009222B2">
        <w:t>0.4</w:t>
      </w:r>
      <w:r w:rsidR="00CC51A4" w:rsidRPr="009222B2">
        <w:t xml:space="preserve">% lower than in 2020 and </w:t>
      </w:r>
      <w:r w:rsidR="00A61A07" w:rsidRPr="009222B2">
        <w:t>2.</w:t>
      </w:r>
      <w:r w:rsidR="008E274C" w:rsidRPr="009222B2">
        <w:t>8</w:t>
      </w:r>
      <w:r w:rsidR="00CC51A4" w:rsidRPr="009222B2">
        <w:t>% lower than in 2019.</w:t>
      </w:r>
    </w:p>
    <w:p w14:paraId="68472717" w14:textId="504F0DDA" w:rsidR="007927EF" w:rsidRPr="009222B2" w:rsidRDefault="007927EF" w:rsidP="007927EF">
      <w:pPr>
        <w:pStyle w:val="Heading4"/>
      </w:pPr>
      <w:r w:rsidRPr="009222B2">
        <w:t xml:space="preserve">Vaccines for older </w:t>
      </w:r>
      <w:r w:rsidR="00FF6A18" w:rsidRPr="009222B2">
        <w:t>Australians</w:t>
      </w:r>
    </w:p>
    <w:p w14:paraId="12D63739" w14:textId="2D78AE6D" w:rsidR="002753ED" w:rsidRPr="009222B2" w:rsidRDefault="002753ED" w:rsidP="007927EF">
      <w:pPr>
        <w:pStyle w:val="Heading5"/>
      </w:pPr>
      <w:r w:rsidRPr="009222B2">
        <w:t xml:space="preserve">Zoster (herpes zoster) </w:t>
      </w:r>
      <w:r w:rsidR="005663FF" w:rsidRPr="009222B2">
        <w:t>vaccine</w:t>
      </w:r>
    </w:p>
    <w:p w14:paraId="27ABD618" w14:textId="7C85F820" w:rsidR="002A4AB1" w:rsidRPr="009222B2" w:rsidRDefault="005663FF" w:rsidP="004960E2">
      <w:r w:rsidRPr="009222B2">
        <w:t xml:space="preserve">Australians are eligible to receive the Zostavax vaccine on the NIP </w:t>
      </w:r>
      <w:r w:rsidR="00EC03D6" w:rsidRPr="009222B2">
        <w:t>at 70</w:t>
      </w:r>
      <w:r w:rsidR="009565BA" w:rsidRPr="009222B2">
        <w:t> </w:t>
      </w:r>
      <w:r w:rsidR="00EC03D6" w:rsidRPr="009222B2">
        <w:t>years of age</w:t>
      </w:r>
      <w:r w:rsidR="00CC51A4" w:rsidRPr="009222B2">
        <w:t xml:space="preserve">. In 2022, </w:t>
      </w:r>
      <w:r w:rsidR="00575188" w:rsidRPr="009222B2">
        <w:t>33.4</w:t>
      </w:r>
      <w:r w:rsidRPr="009222B2">
        <w:t xml:space="preserve">% of adults </w:t>
      </w:r>
      <w:r w:rsidR="3D137F7A" w:rsidRPr="009222B2">
        <w:t xml:space="preserve">received </w:t>
      </w:r>
      <w:r w:rsidRPr="009222B2">
        <w:t xml:space="preserve">the vaccine </w:t>
      </w:r>
      <w:r w:rsidR="00B8417B" w:rsidRPr="009222B2">
        <w:t>in the</w:t>
      </w:r>
      <w:r w:rsidR="003C6450" w:rsidRPr="009222B2">
        <w:t> year</w:t>
      </w:r>
      <w:r w:rsidR="00B8417B" w:rsidRPr="009222B2">
        <w:t xml:space="preserve"> they became eligible</w:t>
      </w:r>
      <w:r w:rsidR="00EF577F" w:rsidRPr="009222B2">
        <w:t xml:space="preserve"> – that is</w:t>
      </w:r>
      <w:r w:rsidR="00B8417B" w:rsidRPr="009222B2">
        <w:t>, following their 70th birthday</w:t>
      </w:r>
      <w:r w:rsidR="009565BA" w:rsidRPr="009222B2">
        <w:t xml:space="preserve">. This </w:t>
      </w:r>
      <w:r w:rsidRPr="009222B2">
        <w:t>was similar to previous</w:t>
      </w:r>
      <w:r w:rsidR="003C6450" w:rsidRPr="009222B2">
        <w:t> year</w:t>
      </w:r>
      <w:r w:rsidRPr="009222B2">
        <w:t>s</w:t>
      </w:r>
      <w:r w:rsidR="009565BA" w:rsidRPr="009222B2">
        <w:t xml:space="preserve"> – </w:t>
      </w:r>
      <w:r w:rsidR="0003389E" w:rsidRPr="009222B2">
        <w:t>30.5</w:t>
      </w:r>
      <w:r w:rsidR="00061435" w:rsidRPr="009222B2">
        <w:t xml:space="preserve">% in </w:t>
      </w:r>
      <w:r w:rsidR="0003389E" w:rsidRPr="009222B2">
        <w:t>2021, 30.9% in 2020 and 31.6</w:t>
      </w:r>
      <w:r w:rsidR="00061435" w:rsidRPr="009222B2">
        <w:t>% in 2019.</w:t>
      </w:r>
      <w:r w:rsidR="00BC32EE" w:rsidRPr="009222B2">
        <w:t xml:space="preserve"> The Shingrix vaccine is also available for people aged 50</w:t>
      </w:r>
      <w:r w:rsidR="00C66D7C" w:rsidRPr="009222B2">
        <w:t> </w:t>
      </w:r>
      <w:r w:rsidR="00BC32EE" w:rsidRPr="009222B2">
        <w:t xml:space="preserve">years and over, </w:t>
      </w:r>
      <w:r w:rsidR="00C66D7C" w:rsidRPr="009222B2">
        <w:t>but</w:t>
      </w:r>
      <w:r w:rsidR="00BC32EE" w:rsidRPr="009222B2">
        <w:t xml:space="preserve"> is not funded under the NIP. In 2022, </w:t>
      </w:r>
      <w:r w:rsidR="0057780D" w:rsidRPr="009222B2">
        <w:t>105,103</w:t>
      </w:r>
      <w:r w:rsidR="00BC32EE" w:rsidRPr="009222B2">
        <w:t xml:space="preserve"> adults aged 50</w:t>
      </w:r>
      <w:r w:rsidR="00C66D7C" w:rsidRPr="009222B2">
        <w:t> </w:t>
      </w:r>
      <w:r w:rsidR="00BC32EE" w:rsidRPr="009222B2">
        <w:t>years and over received the Shingrix vaccine</w:t>
      </w:r>
      <w:r w:rsidR="002901CD" w:rsidRPr="009222B2">
        <w:t xml:space="preserve"> and 201,192 received the Zos</w:t>
      </w:r>
      <w:r w:rsidR="00C64980">
        <w:t>tavax</w:t>
      </w:r>
      <w:r w:rsidR="002901CD" w:rsidRPr="009222B2">
        <w:t xml:space="preserve"> vaccine</w:t>
      </w:r>
      <w:r w:rsidR="00CF35E1" w:rsidRPr="009222B2">
        <w:t>.</w:t>
      </w:r>
    </w:p>
    <w:p w14:paraId="14E135B9" w14:textId="6320CBEF" w:rsidR="005F1CE3" w:rsidRPr="009222B2" w:rsidRDefault="006753AE" w:rsidP="004960E2">
      <w:r w:rsidRPr="009222B2">
        <w:t xml:space="preserve">Mandatory reporting to the </w:t>
      </w:r>
      <w:r w:rsidR="00B3644E" w:rsidRPr="009222B2">
        <w:t>Australian Immunisation Register</w:t>
      </w:r>
      <w:r w:rsidRPr="009222B2">
        <w:t xml:space="preserve"> </w:t>
      </w:r>
      <w:r w:rsidR="005663FF" w:rsidRPr="009222B2">
        <w:t xml:space="preserve">for all NIP vaccines </w:t>
      </w:r>
      <w:r w:rsidRPr="009222B2">
        <w:t xml:space="preserve">started </w:t>
      </w:r>
      <w:r w:rsidR="004960E2" w:rsidRPr="009222B2">
        <w:t xml:space="preserve">on </w:t>
      </w:r>
      <w:r w:rsidRPr="009222B2">
        <w:t>1</w:t>
      </w:r>
      <w:r w:rsidR="006F3FB3" w:rsidRPr="009222B2">
        <w:t> </w:t>
      </w:r>
      <w:r w:rsidRPr="009222B2">
        <w:t>July 2021. Z</w:t>
      </w:r>
      <w:r w:rsidR="00671B16" w:rsidRPr="009222B2">
        <w:t xml:space="preserve">oster vaccine coverage </w:t>
      </w:r>
      <w:r w:rsidRPr="009222B2">
        <w:t xml:space="preserve">may be affected by under-reporting </w:t>
      </w:r>
      <w:r w:rsidR="004960E2" w:rsidRPr="009222B2">
        <w:t>before</w:t>
      </w:r>
      <w:r w:rsidRPr="009222B2">
        <w:t xml:space="preserve"> that time</w:t>
      </w:r>
      <w:r w:rsidR="00671B16" w:rsidRPr="009222B2">
        <w:t>.</w:t>
      </w:r>
    </w:p>
    <w:p w14:paraId="1430F5D1" w14:textId="39FF4D96" w:rsidR="00073B9A" w:rsidRPr="009222B2" w:rsidRDefault="00073B9A" w:rsidP="007927EF">
      <w:pPr>
        <w:pStyle w:val="Heading5"/>
      </w:pPr>
      <w:r w:rsidRPr="009222B2">
        <w:t>Pneumococcal vaccine</w:t>
      </w:r>
    </w:p>
    <w:p w14:paraId="4D6A7F95" w14:textId="71FF7169" w:rsidR="00073B9A" w:rsidRPr="009222B2" w:rsidRDefault="00D50BD1" w:rsidP="004960E2">
      <w:r w:rsidRPr="009222B2">
        <w:t xml:space="preserve">All Australians </w:t>
      </w:r>
      <w:r w:rsidR="008F75B8" w:rsidRPr="009222B2">
        <w:t>aged 70</w:t>
      </w:r>
      <w:r w:rsidR="003C6450" w:rsidRPr="009222B2">
        <w:t> year</w:t>
      </w:r>
      <w:r w:rsidR="008F75B8" w:rsidRPr="009222B2">
        <w:t xml:space="preserve">s and over </w:t>
      </w:r>
      <w:r w:rsidRPr="009222B2">
        <w:t xml:space="preserve">are eligible to receive pneumococcal vaccination </w:t>
      </w:r>
      <w:r w:rsidR="00A767C5" w:rsidRPr="009222B2">
        <w:t>on the NIP</w:t>
      </w:r>
      <w:r w:rsidR="008F75B8" w:rsidRPr="009222B2">
        <w:t>. Aboriginal and Torres Strait Islanders aged 50</w:t>
      </w:r>
      <w:r w:rsidR="003C6450" w:rsidRPr="009222B2">
        <w:t> year</w:t>
      </w:r>
      <w:r w:rsidR="008F75B8" w:rsidRPr="009222B2">
        <w:t xml:space="preserve">s and over are also eligible to receive pneumococcal vaccination on the NIP. </w:t>
      </w:r>
      <w:r w:rsidR="00214B51" w:rsidRPr="009222B2">
        <w:t xml:space="preserve">In 2022, </w:t>
      </w:r>
      <w:r w:rsidR="00CF48EE" w:rsidRPr="009222B2">
        <w:t>25</w:t>
      </w:r>
      <w:r w:rsidR="00214B51" w:rsidRPr="009222B2">
        <w:t>% of adults receive</w:t>
      </w:r>
      <w:r w:rsidR="008C0055" w:rsidRPr="009222B2">
        <w:t>d</w:t>
      </w:r>
      <w:r w:rsidR="00214B51" w:rsidRPr="009222B2">
        <w:t xml:space="preserve"> the vaccine </w:t>
      </w:r>
      <w:r w:rsidR="008C0055" w:rsidRPr="009222B2">
        <w:t xml:space="preserve">in the year they became eligible. This was </w:t>
      </w:r>
      <w:r w:rsidR="00CF48EE" w:rsidRPr="009222B2">
        <w:t>higher than</w:t>
      </w:r>
      <w:r w:rsidR="00EF577F" w:rsidRPr="009222B2">
        <w:t xml:space="preserve"> in</w:t>
      </w:r>
      <w:r w:rsidR="008C0055" w:rsidRPr="009222B2">
        <w:t xml:space="preserve"> previous years – </w:t>
      </w:r>
      <w:r w:rsidR="00CF48EE" w:rsidRPr="009222B2">
        <w:t>17</w:t>
      </w:r>
      <w:r w:rsidR="008C0055" w:rsidRPr="009222B2">
        <w:t xml:space="preserve">% in 2021, </w:t>
      </w:r>
      <w:r w:rsidR="008079D6" w:rsidRPr="009222B2">
        <w:t>2.2</w:t>
      </w:r>
      <w:r w:rsidR="008C0055" w:rsidRPr="009222B2">
        <w:t xml:space="preserve">% in 2020 and </w:t>
      </w:r>
      <w:r w:rsidR="008079D6" w:rsidRPr="009222B2">
        <w:t>0.2</w:t>
      </w:r>
      <w:r w:rsidR="008C0055" w:rsidRPr="009222B2">
        <w:t>% in 2019.</w:t>
      </w:r>
    </w:p>
    <w:p w14:paraId="59ED539F" w14:textId="03EEC7C8" w:rsidR="00926040" w:rsidRPr="009222B2" w:rsidRDefault="00926040" w:rsidP="00862550">
      <w:pPr>
        <w:pStyle w:val="Heading3"/>
      </w:pPr>
      <w:bookmarkStart w:id="20" w:name="_Hlk59111517"/>
      <w:r w:rsidRPr="009222B2">
        <w:t>Important changes to the Australian Immunisation Handbook</w:t>
      </w:r>
      <w:bookmarkEnd w:id="20"/>
    </w:p>
    <w:p w14:paraId="457858CC" w14:textId="065836F0" w:rsidR="00E373C5" w:rsidRPr="009222B2" w:rsidRDefault="00C66D7C" w:rsidP="00860E57">
      <w:r w:rsidRPr="009222B2">
        <w:t xml:space="preserve">The </w:t>
      </w:r>
      <w:hyperlink r:id="rId70" w:history="1">
        <w:r w:rsidRPr="009222B2">
          <w:rPr>
            <w:rStyle w:val="Hyperlink"/>
          </w:rPr>
          <w:t>z</w:t>
        </w:r>
        <w:r w:rsidR="00E373C5" w:rsidRPr="009222B2">
          <w:rPr>
            <w:rStyle w:val="Hyperlink"/>
          </w:rPr>
          <w:t>oster (herpes zoster) chapter</w:t>
        </w:r>
      </w:hyperlink>
      <w:r w:rsidR="00E373C5" w:rsidRPr="009222B2">
        <w:t xml:space="preserve"> </w:t>
      </w:r>
      <w:r w:rsidR="00273002" w:rsidRPr="009222B2">
        <w:t>received</w:t>
      </w:r>
      <w:r w:rsidR="00E373C5" w:rsidRPr="009222B2">
        <w:t xml:space="preserve"> major updates. There are new recommendations for immunocompetent people, immunocompromised people and serological testing</w:t>
      </w:r>
      <w:r w:rsidR="00A536E3" w:rsidRPr="009222B2">
        <w:t>. These also include</w:t>
      </w:r>
      <w:r w:rsidR="00E373C5" w:rsidRPr="009222B2">
        <w:t xml:space="preserve"> updated recommendations for use of </w:t>
      </w:r>
      <w:r w:rsidR="00C64980">
        <w:t xml:space="preserve">the </w:t>
      </w:r>
      <w:r w:rsidR="00E373C5" w:rsidRPr="009222B2">
        <w:t>Shingrix vaccine.</w:t>
      </w:r>
    </w:p>
    <w:p w14:paraId="552A6BB5" w14:textId="7B0B3A5D" w:rsidR="00F858D0" w:rsidRPr="009222B2" w:rsidRDefault="00C66D7C" w:rsidP="00860E57">
      <w:r w:rsidRPr="009222B2">
        <w:t xml:space="preserve">The </w:t>
      </w:r>
      <w:hyperlink r:id="rId71" w:history="1">
        <w:r w:rsidRPr="009222B2">
          <w:rPr>
            <w:rStyle w:val="Hyperlink"/>
          </w:rPr>
          <w:t>m</w:t>
        </w:r>
        <w:r w:rsidR="00F858D0" w:rsidRPr="009222B2">
          <w:rPr>
            <w:rStyle w:val="Hyperlink"/>
          </w:rPr>
          <w:t>en</w:t>
        </w:r>
        <w:r w:rsidR="001F659B" w:rsidRPr="009222B2">
          <w:rPr>
            <w:rStyle w:val="Hyperlink"/>
          </w:rPr>
          <w:t>ingococcal disease chapter</w:t>
        </w:r>
      </w:hyperlink>
      <w:r w:rsidR="00C10E23" w:rsidRPr="009222B2">
        <w:t xml:space="preserve"> </w:t>
      </w:r>
      <w:r w:rsidR="00AF00DD" w:rsidRPr="009222B2">
        <w:t>was updated with new recommendations for</w:t>
      </w:r>
      <w:r w:rsidR="001F659B" w:rsidRPr="009222B2">
        <w:t xml:space="preserve"> meningococcal</w:t>
      </w:r>
      <w:r w:rsidR="007C6318" w:rsidRPr="009222B2">
        <w:t> </w:t>
      </w:r>
      <w:r w:rsidR="001F659B" w:rsidRPr="009222B2">
        <w:t>B</w:t>
      </w:r>
      <w:r w:rsidR="00F858D0" w:rsidRPr="009222B2">
        <w:t xml:space="preserve"> booster</w:t>
      </w:r>
      <w:r w:rsidR="001F659B" w:rsidRPr="009222B2">
        <w:t xml:space="preserve"> dose</w:t>
      </w:r>
      <w:r w:rsidR="00AF00DD" w:rsidRPr="009222B2">
        <w:t>s</w:t>
      </w:r>
      <w:r w:rsidR="001F659B" w:rsidRPr="009222B2">
        <w:t xml:space="preserve"> for people with medical conditions that increase their risk of invasive meningococcal disease</w:t>
      </w:r>
      <w:r w:rsidRPr="009222B2">
        <w:t>,</w:t>
      </w:r>
      <w:r w:rsidR="001F659B" w:rsidRPr="009222B2">
        <w:t xml:space="preserve"> and </w:t>
      </w:r>
      <w:r w:rsidR="00C64980">
        <w:t xml:space="preserve">for </w:t>
      </w:r>
      <w:r w:rsidR="001F659B" w:rsidRPr="009222B2">
        <w:t xml:space="preserve">laboratory workers who frequently handle </w:t>
      </w:r>
      <w:r w:rsidR="001F659B" w:rsidRPr="009222B2">
        <w:rPr>
          <w:rStyle w:val="Emphasis"/>
        </w:rPr>
        <w:t>Neisseria meningitid</w:t>
      </w:r>
      <w:r w:rsidR="00DC16DC" w:rsidRPr="009222B2">
        <w:rPr>
          <w:rStyle w:val="Emphasis"/>
        </w:rPr>
        <w:t>i</w:t>
      </w:r>
      <w:r w:rsidR="001F659B" w:rsidRPr="009222B2">
        <w:rPr>
          <w:rStyle w:val="Emphasis"/>
        </w:rPr>
        <w:t>s</w:t>
      </w:r>
      <w:r w:rsidR="001F659B" w:rsidRPr="009222B2">
        <w:t>.</w:t>
      </w:r>
    </w:p>
    <w:p w14:paraId="4D014B33" w14:textId="2E08E975" w:rsidR="00AF00DD" w:rsidRPr="009222B2" w:rsidRDefault="00C66D7C" w:rsidP="00860E57">
      <w:r w:rsidRPr="009222B2">
        <w:t xml:space="preserve">The </w:t>
      </w:r>
      <w:hyperlink r:id="rId72" w:history="1">
        <w:r w:rsidRPr="009222B2">
          <w:rPr>
            <w:rStyle w:val="Hyperlink"/>
          </w:rPr>
          <w:t>t</w:t>
        </w:r>
        <w:r w:rsidR="00AF00DD" w:rsidRPr="009222B2">
          <w:rPr>
            <w:rStyle w:val="Hyperlink"/>
          </w:rPr>
          <w:t>uberculosis chapter</w:t>
        </w:r>
      </w:hyperlink>
      <w:r w:rsidR="00AF00DD" w:rsidRPr="009222B2">
        <w:t xml:space="preserve"> was updated with new recommendations </w:t>
      </w:r>
      <w:r w:rsidR="00B837E1" w:rsidRPr="009222B2">
        <w:t>relating to</w:t>
      </w:r>
      <w:r w:rsidR="00AF00DD" w:rsidRPr="009222B2">
        <w:t xml:space="preserve"> skin testing before </w:t>
      </w:r>
      <w:r w:rsidRPr="009222B2">
        <w:t>Bacillus Calmette–Guérin (</w:t>
      </w:r>
      <w:r w:rsidR="00AF00DD" w:rsidRPr="009222B2">
        <w:t>BCG</w:t>
      </w:r>
      <w:r w:rsidRPr="009222B2">
        <w:t>)</w:t>
      </w:r>
      <w:r w:rsidR="00AF00DD" w:rsidRPr="009222B2">
        <w:t xml:space="preserve"> vaccination.</w:t>
      </w:r>
    </w:p>
    <w:p w14:paraId="04608ACD" w14:textId="38ECA5B9" w:rsidR="00867BAD" w:rsidRPr="009222B2" w:rsidRDefault="00C66D7C" w:rsidP="00860E57">
      <w:r w:rsidRPr="009222B2">
        <w:t xml:space="preserve">The </w:t>
      </w:r>
      <w:hyperlink r:id="rId73" w:history="1">
        <w:r w:rsidRPr="009222B2">
          <w:rPr>
            <w:rStyle w:val="Hyperlink"/>
          </w:rPr>
          <w:t>v</w:t>
        </w:r>
        <w:r w:rsidR="00AF00DD" w:rsidRPr="009222B2">
          <w:rPr>
            <w:rStyle w:val="Hyperlink"/>
          </w:rPr>
          <w:t>accination for special risk groups chapter</w:t>
        </w:r>
      </w:hyperlink>
      <w:r w:rsidR="00AF00DD" w:rsidRPr="009222B2">
        <w:t xml:space="preserve"> was updated in line with </w:t>
      </w:r>
      <w:r w:rsidRPr="009222B2">
        <w:t xml:space="preserve">the </w:t>
      </w:r>
      <w:r w:rsidR="00AF00DD" w:rsidRPr="009222B2">
        <w:t>changes to disease chapters.</w:t>
      </w:r>
    </w:p>
    <w:p w14:paraId="5F12FBA6" w14:textId="6A2F37F0" w:rsidR="00D405A8" w:rsidRPr="009222B2" w:rsidRDefault="00D405A8" w:rsidP="00A8663E">
      <w:pPr>
        <w:pStyle w:val="Heading2"/>
        <w:rPr>
          <w:sz w:val="22"/>
          <w:szCs w:val="22"/>
        </w:rPr>
      </w:pPr>
      <w:bookmarkStart w:id="21" w:name="_Toc72165384"/>
      <w:bookmarkStart w:id="22" w:name="_Toc128991503"/>
      <w:bookmarkStart w:id="23" w:name="_Hlk88045550"/>
      <w:r w:rsidRPr="009222B2">
        <w:rPr>
          <w:sz w:val="22"/>
          <w:szCs w:val="22"/>
        </w:rPr>
        <w:lastRenderedPageBreak/>
        <w:t>New vaccines</w:t>
      </w:r>
      <w:bookmarkEnd w:id="21"/>
      <w:bookmarkEnd w:id="22"/>
    </w:p>
    <w:p w14:paraId="4A6C7BB6" w14:textId="7B71F243" w:rsidR="00920029" w:rsidRPr="009222B2" w:rsidRDefault="00504809" w:rsidP="00920029">
      <w:r w:rsidRPr="009222B2">
        <w:t>T</w:t>
      </w:r>
      <w:r w:rsidR="349936CD" w:rsidRPr="009222B2">
        <w:t>hree</w:t>
      </w:r>
      <w:r w:rsidR="00920029" w:rsidRPr="009222B2">
        <w:t xml:space="preserve"> new vaccines (other than COVID</w:t>
      </w:r>
      <w:r w:rsidR="00C66D7C" w:rsidRPr="009222B2">
        <w:t>-</w:t>
      </w:r>
      <w:r w:rsidR="00920029" w:rsidRPr="009222B2">
        <w:t>19 vaccines) were registered with the TGA in 2022</w:t>
      </w:r>
      <w:r w:rsidR="00C66D7C" w:rsidRPr="009222B2">
        <w:t xml:space="preserve"> (</w:t>
      </w:r>
      <w:r w:rsidR="00C66D7C" w:rsidRPr="003C4842">
        <w:t xml:space="preserve">Table </w:t>
      </w:r>
      <w:r w:rsidR="006D017B" w:rsidRPr="003C4842">
        <w:t>1</w:t>
      </w:r>
      <w:r w:rsidR="00C66D7C" w:rsidRPr="009222B2">
        <w:t>)</w:t>
      </w:r>
      <w:r w:rsidR="00920029" w:rsidRPr="009222B2">
        <w:t>.</w:t>
      </w:r>
    </w:p>
    <w:p w14:paraId="79C4FB9E" w14:textId="1AF7208E" w:rsidR="00920029" w:rsidRPr="009222B2" w:rsidRDefault="00920029">
      <w:pPr>
        <w:keepLines/>
        <w:rPr>
          <w:szCs w:val="22"/>
        </w:rPr>
      </w:pPr>
      <w:r w:rsidRPr="009222B2">
        <w:rPr>
          <w:szCs w:val="22"/>
        </w:rPr>
        <w:t xml:space="preserve">ATAGI monitors new vaccines for their potential to be included on the NIP. Vaccines recommended for the NIP </w:t>
      </w:r>
      <w:r w:rsidR="00AF732D" w:rsidRPr="009222B2">
        <w:rPr>
          <w:szCs w:val="22"/>
        </w:rPr>
        <w:t>must</w:t>
      </w:r>
      <w:r w:rsidRPr="009222B2">
        <w:rPr>
          <w:szCs w:val="22"/>
        </w:rPr>
        <w:t xml:space="preserve"> </w:t>
      </w:r>
      <w:r w:rsidR="00AF732D" w:rsidRPr="009222B2">
        <w:rPr>
          <w:szCs w:val="22"/>
        </w:rPr>
        <w:t>demonstrate</w:t>
      </w:r>
      <w:r w:rsidRPr="009222B2">
        <w:rPr>
          <w:szCs w:val="22"/>
        </w:rPr>
        <w:t xml:space="preserve"> benefits for the Australian population or </w:t>
      </w:r>
      <w:r w:rsidR="00AF732D" w:rsidRPr="009222B2">
        <w:rPr>
          <w:szCs w:val="22"/>
        </w:rPr>
        <w:t xml:space="preserve">specific </w:t>
      </w:r>
      <w:r w:rsidRPr="009222B2">
        <w:rPr>
          <w:szCs w:val="22"/>
        </w:rPr>
        <w:t xml:space="preserve">high-risk groups. They </w:t>
      </w:r>
      <w:r w:rsidR="007C6318" w:rsidRPr="009222B2">
        <w:rPr>
          <w:szCs w:val="22"/>
        </w:rPr>
        <w:t xml:space="preserve">must </w:t>
      </w:r>
      <w:r w:rsidRPr="009222B2">
        <w:rPr>
          <w:szCs w:val="22"/>
        </w:rPr>
        <w:t>also be cost-effective.</w:t>
      </w:r>
    </w:p>
    <w:p w14:paraId="48126A3D" w14:textId="26F0FC2E" w:rsidR="00C66D7C" w:rsidRPr="009222B2" w:rsidRDefault="00C66D7C" w:rsidP="00860E57">
      <w:pPr>
        <w:pStyle w:val="TableTitle"/>
      </w:pPr>
      <w:r w:rsidRPr="009222B2">
        <w:t xml:space="preserve">Table </w:t>
      </w:r>
      <w:r w:rsidR="006D017B" w:rsidRPr="009222B2">
        <w:t>1</w:t>
      </w:r>
      <w:r w:rsidRPr="009222B2">
        <w:tab/>
        <w:t>New vaccines registered with the TGA in 2022</w:t>
      </w:r>
    </w:p>
    <w:tbl>
      <w:tblPr>
        <w:tblStyle w:val="TableGrid"/>
        <w:tblW w:w="0" w:type="auto"/>
        <w:tblLook w:val="04A0" w:firstRow="1" w:lastRow="0" w:firstColumn="1" w:lastColumn="0" w:noHBand="0" w:noVBand="1"/>
      </w:tblPr>
      <w:tblGrid>
        <w:gridCol w:w="2122"/>
        <w:gridCol w:w="2386"/>
        <w:gridCol w:w="2858"/>
        <w:gridCol w:w="1650"/>
      </w:tblGrid>
      <w:tr w:rsidR="00AB6229" w:rsidRPr="009222B2" w14:paraId="713469E2" w14:textId="77777777" w:rsidTr="00AB6229">
        <w:tc>
          <w:tcPr>
            <w:tcW w:w="2122" w:type="dxa"/>
          </w:tcPr>
          <w:p w14:paraId="2BAD226D" w14:textId="4781CE22" w:rsidR="00AB6229" w:rsidRPr="009222B2" w:rsidRDefault="00AB6229" w:rsidP="00860E57">
            <w:pPr>
              <w:pStyle w:val="TableHeading"/>
            </w:pPr>
            <w:r w:rsidRPr="009222B2">
              <w:t>Vaccine brand name</w:t>
            </w:r>
          </w:p>
        </w:tc>
        <w:tc>
          <w:tcPr>
            <w:tcW w:w="2386" w:type="dxa"/>
          </w:tcPr>
          <w:p w14:paraId="2C0E6B8B" w14:textId="59CDD7D9" w:rsidR="00AB6229" w:rsidRPr="009222B2" w:rsidRDefault="00AB6229" w:rsidP="00860E57">
            <w:pPr>
              <w:pStyle w:val="TableHeading"/>
            </w:pPr>
            <w:r w:rsidRPr="009222B2">
              <w:t>Description</w:t>
            </w:r>
          </w:p>
        </w:tc>
        <w:tc>
          <w:tcPr>
            <w:tcW w:w="2858" w:type="dxa"/>
          </w:tcPr>
          <w:p w14:paraId="404072F6" w14:textId="48DE9671" w:rsidR="00AB6229" w:rsidRPr="009222B2" w:rsidRDefault="00AB6229" w:rsidP="00860E57">
            <w:pPr>
              <w:pStyle w:val="TableHeading"/>
            </w:pPr>
            <w:r w:rsidRPr="009222B2">
              <w:t>Protects against</w:t>
            </w:r>
          </w:p>
        </w:tc>
        <w:tc>
          <w:tcPr>
            <w:tcW w:w="1650" w:type="dxa"/>
          </w:tcPr>
          <w:p w14:paraId="03871B71" w14:textId="1E3E5B7F" w:rsidR="00AB6229" w:rsidRPr="009222B2" w:rsidRDefault="00AB6229" w:rsidP="00860E57">
            <w:pPr>
              <w:pStyle w:val="TableHeading"/>
            </w:pPr>
            <w:r w:rsidRPr="009222B2">
              <w:t>For use in ages</w:t>
            </w:r>
          </w:p>
        </w:tc>
      </w:tr>
      <w:tr w:rsidR="00AB6229" w:rsidRPr="009222B2" w14:paraId="49BE02D3" w14:textId="77777777" w:rsidTr="00AB6229">
        <w:trPr>
          <w:trHeight w:val="1266"/>
        </w:trPr>
        <w:tc>
          <w:tcPr>
            <w:tcW w:w="2122" w:type="dxa"/>
          </w:tcPr>
          <w:p w14:paraId="02CEE6E9" w14:textId="5948E6EF" w:rsidR="00AB6229" w:rsidRPr="009222B2" w:rsidRDefault="00AB6229" w:rsidP="00AB6229">
            <w:pPr>
              <w:keepLines/>
              <w:spacing w:after="0"/>
              <w:rPr>
                <w:szCs w:val="22"/>
              </w:rPr>
            </w:pPr>
            <w:r w:rsidRPr="009222B2">
              <w:rPr>
                <w:szCs w:val="22"/>
              </w:rPr>
              <w:t>Vaxelis</w:t>
            </w:r>
          </w:p>
        </w:tc>
        <w:tc>
          <w:tcPr>
            <w:tcW w:w="2386" w:type="dxa"/>
          </w:tcPr>
          <w:p w14:paraId="567D2A05" w14:textId="5CD049D2" w:rsidR="00AB6229" w:rsidRPr="009222B2" w:rsidRDefault="00AB6229" w:rsidP="00AB6229">
            <w:pPr>
              <w:keepLines/>
              <w:spacing w:after="0"/>
              <w:rPr>
                <w:szCs w:val="22"/>
              </w:rPr>
            </w:pPr>
            <w:r w:rsidRPr="009222B2">
              <w:rPr>
                <w:szCs w:val="22"/>
              </w:rPr>
              <w:t>DTPa5-HB-IPV-Hib vaccine</w:t>
            </w:r>
          </w:p>
        </w:tc>
        <w:tc>
          <w:tcPr>
            <w:tcW w:w="2858" w:type="dxa"/>
          </w:tcPr>
          <w:p w14:paraId="1AC1F68F" w14:textId="15A89838" w:rsidR="00AB6229" w:rsidRPr="009222B2" w:rsidRDefault="00AB6229" w:rsidP="00AB6229">
            <w:pPr>
              <w:keepLines/>
              <w:spacing w:after="0"/>
              <w:rPr>
                <w:szCs w:val="22"/>
              </w:rPr>
            </w:pPr>
            <w:r w:rsidRPr="009222B2">
              <w:rPr>
                <w:szCs w:val="22"/>
              </w:rPr>
              <w:t xml:space="preserve">Diphtheria, tetanus, pertussis, </w:t>
            </w:r>
            <w:r w:rsidR="000B4BB6" w:rsidRPr="009222B2">
              <w:rPr>
                <w:szCs w:val="22"/>
              </w:rPr>
              <w:t>hepatitis</w:t>
            </w:r>
            <w:r w:rsidR="00877DD5" w:rsidRPr="009222B2">
              <w:rPr>
                <w:szCs w:val="22"/>
              </w:rPr>
              <w:t> </w:t>
            </w:r>
            <w:r w:rsidR="000B4BB6" w:rsidRPr="009222B2">
              <w:rPr>
                <w:szCs w:val="22"/>
              </w:rPr>
              <w:t xml:space="preserve">B, </w:t>
            </w:r>
            <w:r w:rsidRPr="009222B2">
              <w:rPr>
                <w:szCs w:val="22"/>
              </w:rPr>
              <w:t xml:space="preserve">polio, </w:t>
            </w:r>
            <w:r w:rsidR="000B4BB6" w:rsidRPr="009222B2">
              <w:rPr>
                <w:szCs w:val="22"/>
              </w:rPr>
              <w:t xml:space="preserve">and </w:t>
            </w:r>
            <w:r w:rsidRPr="009222B2">
              <w:rPr>
                <w:rStyle w:val="Emphasis"/>
              </w:rPr>
              <w:t>Haemophilus influenzae</w:t>
            </w:r>
            <w:r w:rsidRPr="009222B2">
              <w:rPr>
                <w:szCs w:val="22"/>
              </w:rPr>
              <w:t xml:space="preserve"> type</w:t>
            </w:r>
            <w:r w:rsidR="00DC16DC" w:rsidRPr="009222B2">
              <w:rPr>
                <w:szCs w:val="22"/>
              </w:rPr>
              <w:t> </w:t>
            </w:r>
            <w:r w:rsidRPr="009222B2">
              <w:rPr>
                <w:szCs w:val="22"/>
              </w:rPr>
              <w:t xml:space="preserve">b </w:t>
            </w:r>
          </w:p>
        </w:tc>
        <w:tc>
          <w:tcPr>
            <w:tcW w:w="1650" w:type="dxa"/>
          </w:tcPr>
          <w:p w14:paraId="1E1C9648" w14:textId="5687A3DD" w:rsidR="00AB6229" w:rsidRPr="009222B2" w:rsidRDefault="00AB6229" w:rsidP="00AB6229">
            <w:pPr>
              <w:keepLines/>
              <w:spacing w:after="0"/>
              <w:rPr>
                <w:szCs w:val="22"/>
              </w:rPr>
            </w:pPr>
            <w:r w:rsidRPr="009222B2">
              <w:rPr>
                <w:szCs w:val="22"/>
              </w:rPr>
              <w:t>6</w:t>
            </w:r>
            <w:r w:rsidR="00665CDF" w:rsidRPr="009222B2">
              <w:rPr>
                <w:szCs w:val="22"/>
              </w:rPr>
              <w:t> </w:t>
            </w:r>
            <w:r w:rsidRPr="009222B2">
              <w:rPr>
                <w:szCs w:val="22"/>
              </w:rPr>
              <w:t>weeks</w:t>
            </w:r>
            <w:r w:rsidR="000B4BB6" w:rsidRPr="009222B2">
              <w:rPr>
                <w:szCs w:val="22"/>
              </w:rPr>
              <w:t xml:space="preserve"> and over</w:t>
            </w:r>
          </w:p>
        </w:tc>
      </w:tr>
      <w:tr w:rsidR="00AB6229" w:rsidRPr="009222B2" w14:paraId="777DF912" w14:textId="77777777" w:rsidTr="00AB6229">
        <w:tc>
          <w:tcPr>
            <w:tcW w:w="2122" w:type="dxa"/>
          </w:tcPr>
          <w:p w14:paraId="197F3B1C" w14:textId="71E4E55A" w:rsidR="00AB6229" w:rsidRPr="009222B2" w:rsidRDefault="00AB6229" w:rsidP="00AB6229">
            <w:pPr>
              <w:keepLines/>
              <w:spacing w:after="0"/>
              <w:rPr>
                <w:szCs w:val="22"/>
              </w:rPr>
            </w:pPr>
            <w:r w:rsidRPr="009222B2">
              <w:rPr>
                <w:szCs w:val="22"/>
              </w:rPr>
              <w:t>Vaxneuvance</w:t>
            </w:r>
          </w:p>
        </w:tc>
        <w:tc>
          <w:tcPr>
            <w:tcW w:w="2386" w:type="dxa"/>
          </w:tcPr>
          <w:p w14:paraId="410B6E93" w14:textId="1952C269" w:rsidR="00AB6229" w:rsidRPr="009222B2" w:rsidRDefault="00AB6229" w:rsidP="00AB6229">
            <w:pPr>
              <w:keepLines/>
              <w:spacing w:after="0"/>
              <w:rPr>
                <w:szCs w:val="22"/>
              </w:rPr>
            </w:pPr>
            <w:r w:rsidRPr="009222B2">
              <w:rPr>
                <w:szCs w:val="22"/>
              </w:rPr>
              <w:t xml:space="preserve">15-valent </w:t>
            </w:r>
            <w:r w:rsidR="000B4BB6" w:rsidRPr="009222B2">
              <w:rPr>
                <w:szCs w:val="22"/>
              </w:rPr>
              <w:t xml:space="preserve">pneumococcal </w:t>
            </w:r>
            <w:r w:rsidR="00665CDF" w:rsidRPr="009222B2">
              <w:rPr>
                <w:szCs w:val="22"/>
              </w:rPr>
              <w:t>c</w:t>
            </w:r>
            <w:r w:rsidRPr="009222B2">
              <w:rPr>
                <w:szCs w:val="22"/>
              </w:rPr>
              <w:t xml:space="preserve">onjugate </w:t>
            </w:r>
            <w:r w:rsidR="00665CDF" w:rsidRPr="009222B2">
              <w:rPr>
                <w:szCs w:val="22"/>
              </w:rPr>
              <w:t>v</w:t>
            </w:r>
            <w:r w:rsidRPr="009222B2">
              <w:rPr>
                <w:szCs w:val="22"/>
              </w:rPr>
              <w:t>accine</w:t>
            </w:r>
          </w:p>
        </w:tc>
        <w:tc>
          <w:tcPr>
            <w:tcW w:w="2858" w:type="dxa"/>
          </w:tcPr>
          <w:p w14:paraId="6E9DC93A" w14:textId="407A18CC" w:rsidR="00AB6229" w:rsidRPr="009222B2" w:rsidRDefault="00AB6229" w:rsidP="00AB6229">
            <w:pPr>
              <w:keepLines/>
              <w:spacing w:after="0"/>
              <w:rPr>
                <w:szCs w:val="22"/>
              </w:rPr>
            </w:pPr>
            <w:r w:rsidRPr="009222B2">
              <w:rPr>
                <w:szCs w:val="22"/>
              </w:rPr>
              <w:t>Pneumococcal</w:t>
            </w:r>
            <w:r w:rsidR="00665CDF" w:rsidRPr="009222B2">
              <w:rPr>
                <w:szCs w:val="22"/>
              </w:rPr>
              <w:t xml:space="preserve"> disease</w:t>
            </w:r>
          </w:p>
        </w:tc>
        <w:tc>
          <w:tcPr>
            <w:tcW w:w="1650" w:type="dxa"/>
          </w:tcPr>
          <w:p w14:paraId="363DAF61" w14:textId="5864D0F7" w:rsidR="00AB6229" w:rsidRPr="009222B2" w:rsidRDefault="00AB6229" w:rsidP="00AB6229">
            <w:pPr>
              <w:keepLines/>
              <w:spacing w:after="0"/>
              <w:rPr>
                <w:szCs w:val="22"/>
              </w:rPr>
            </w:pPr>
            <w:r w:rsidRPr="009222B2">
              <w:rPr>
                <w:szCs w:val="22"/>
              </w:rPr>
              <w:t>18</w:t>
            </w:r>
            <w:r w:rsidR="00665CDF" w:rsidRPr="009222B2">
              <w:rPr>
                <w:szCs w:val="22"/>
              </w:rPr>
              <w:t> </w:t>
            </w:r>
            <w:r w:rsidRPr="009222B2">
              <w:rPr>
                <w:szCs w:val="22"/>
              </w:rPr>
              <w:t>years</w:t>
            </w:r>
            <w:r w:rsidR="000B4BB6" w:rsidRPr="009222B2">
              <w:rPr>
                <w:szCs w:val="22"/>
              </w:rPr>
              <w:t xml:space="preserve"> and over</w:t>
            </w:r>
          </w:p>
        </w:tc>
      </w:tr>
      <w:tr w:rsidR="00AB6229" w:rsidRPr="009222B2" w14:paraId="29DA8A2F" w14:textId="77777777" w:rsidTr="00AB6229">
        <w:tc>
          <w:tcPr>
            <w:tcW w:w="2122" w:type="dxa"/>
          </w:tcPr>
          <w:p w14:paraId="36C929C4" w14:textId="6C89D89C" w:rsidR="00AB6229" w:rsidRPr="009222B2" w:rsidRDefault="00AB6229" w:rsidP="00AB6229">
            <w:pPr>
              <w:keepLines/>
              <w:spacing w:after="0"/>
              <w:rPr>
                <w:szCs w:val="22"/>
              </w:rPr>
            </w:pPr>
            <w:r w:rsidRPr="009222B2">
              <w:rPr>
                <w:szCs w:val="22"/>
              </w:rPr>
              <w:t>Verorab</w:t>
            </w:r>
          </w:p>
        </w:tc>
        <w:tc>
          <w:tcPr>
            <w:tcW w:w="2386" w:type="dxa"/>
          </w:tcPr>
          <w:p w14:paraId="5E54125A" w14:textId="7FE44B65" w:rsidR="00AB6229" w:rsidRPr="009222B2" w:rsidRDefault="00AB6229" w:rsidP="00AB6229">
            <w:pPr>
              <w:keepLines/>
              <w:spacing w:after="0"/>
              <w:rPr>
                <w:szCs w:val="22"/>
              </w:rPr>
            </w:pPr>
            <w:r w:rsidRPr="009222B2">
              <w:rPr>
                <w:szCs w:val="22"/>
              </w:rPr>
              <w:t>Rabies vaccine</w:t>
            </w:r>
          </w:p>
        </w:tc>
        <w:tc>
          <w:tcPr>
            <w:tcW w:w="2858" w:type="dxa"/>
          </w:tcPr>
          <w:p w14:paraId="5A50F1D7" w14:textId="012CE893" w:rsidR="00AB6229" w:rsidRPr="009222B2" w:rsidRDefault="00AB6229" w:rsidP="00AB6229">
            <w:pPr>
              <w:keepLines/>
              <w:spacing w:after="0"/>
              <w:rPr>
                <w:szCs w:val="22"/>
              </w:rPr>
            </w:pPr>
            <w:r w:rsidRPr="009222B2">
              <w:rPr>
                <w:szCs w:val="22"/>
              </w:rPr>
              <w:t>Rabies</w:t>
            </w:r>
          </w:p>
        </w:tc>
        <w:tc>
          <w:tcPr>
            <w:tcW w:w="1650" w:type="dxa"/>
          </w:tcPr>
          <w:p w14:paraId="6E5ABB91" w14:textId="32E31011" w:rsidR="00AB6229" w:rsidRPr="009222B2" w:rsidRDefault="00AB6229" w:rsidP="00AB6229">
            <w:pPr>
              <w:keepLines/>
              <w:spacing w:after="0"/>
              <w:rPr>
                <w:szCs w:val="22"/>
              </w:rPr>
            </w:pPr>
            <w:r w:rsidRPr="009222B2">
              <w:rPr>
                <w:rFonts w:cs="Calibri"/>
                <w:szCs w:val="22"/>
              </w:rPr>
              <w:t>All ages</w:t>
            </w:r>
          </w:p>
        </w:tc>
      </w:tr>
    </w:tbl>
    <w:p w14:paraId="31E27F7A" w14:textId="77777777" w:rsidR="00AB6229" w:rsidRPr="009222B2" w:rsidRDefault="00AB6229" w:rsidP="00AC5226">
      <w:pPr>
        <w:pStyle w:val="TFIHolderSpace"/>
      </w:pPr>
    </w:p>
    <w:p w14:paraId="47DD44C5" w14:textId="47A0119E" w:rsidR="00920029" w:rsidRPr="009222B2" w:rsidRDefault="00D405A8" w:rsidP="00920029">
      <w:pPr>
        <w:pStyle w:val="Heading2"/>
      </w:pPr>
      <w:bookmarkStart w:id="24" w:name="_Toc72165385"/>
      <w:bookmarkStart w:id="25" w:name="_Toc128991504"/>
      <w:bookmarkEnd w:id="23"/>
      <w:r w:rsidRPr="009222B2">
        <w:t>Vaccine safety</w:t>
      </w:r>
      <w:bookmarkEnd w:id="24"/>
      <w:bookmarkEnd w:id="25"/>
    </w:p>
    <w:p w14:paraId="57032CD2" w14:textId="742D6497" w:rsidR="00716B93" w:rsidRPr="009222B2" w:rsidRDefault="00D24DC7" w:rsidP="00716B93">
      <w:pPr>
        <w:pStyle w:val="NormalBeforeBullet"/>
      </w:pPr>
      <w:r w:rsidRPr="009222B2">
        <w:t>The TGA has overall responsibility for</w:t>
      </w:r>
      <w:r w:rsidR="00103D47" w:rsidRPr="009222B2">
        <w:t xml:space="preserve"> </w:t>
      </w:r>
      <w:r w:rsidR="00926040" w:rsidRPr="009222B2">
        <w:t>vaccine safety surveillance</w:t>
      </w:r>
      <w:r w:rsidRPr="009222B2">
        <w:t xml:space="preserve"> in Australia.</w:t>
      </w:r>
      <w:r w:rsidR="00716B93" w:rsidRPr="009222B2">
        <w:t xml:space="preserve"> </w:t>
      </w:r>
      <w:r w:rsidRPr="009222B2">
        <w:t xml:space="preserve">Vaccine safety surveillance is conducted </w:t>
      </w:r>
      <w:r w:rsidR="00F76C3D" w:rsidRPr="009222B2">
        <w:t xml:space="preserve">in </w:t>
      </w:r>
      <w:r w:rsidR="002038FC" w:rsidRPr="009222B2">
        <w:t>2</w:t>
      </w:r>
      <w:r w:rsidR="007C6318" w:rsidRPr="009222B2">
        <w:t> </w:t>
      </w:r>
      <w:r w:rsidR="00716B93" w:rsidRPr="009222B2">
        <w:t>ways:</w:t>
      </w:r>
    </w:p>
    <w:p w14:paraId="4FBB4807" w14:textId="3E3B8CCA" w:rsidR="00716B93" w:rsidRPr="009222B2" w:rsidRDefault="00E11AD7" w:rsidP="00716B93">
      <w:pPr>
        <w:pStyle w:val="Bullet"/>
      </w:pPr>
      <w:r w:rsidRPr="009222B2">
        <w:t>Spontaneous (p</w:t>
      </w:r>
      <w:r w:rsidR="00716B93" w:rsidRPr="009222B2">
        <w:t>assive</w:t>
      </w:r>
      <w:r w:rsidRPr="009222B2">
        <w:t>)</w:t>
      </w:r>
      <w:r w:rsidR="00716B93" w:rsidRPr="009222B2">
        <w:t xml:space="preserve"> surveillance</w:t>
      </w:r>
      <w:r w:rsidR="009F4413" w:rsidRPr="009222B2">
        <w:t>,</w:t>
      </w:r>
      <w:r w:rsidR="00D24DC7" w:rsidRPr="009222B2">
        <w:t xml:space="preserve"> </w:t>
      </w:r>
      <w:r w:rsidR="009F4413" w:rsidRPr="009222B2">
        <w:t xml:space="preserve">through which </w:t>
      </w:r>
      <w:r w:rsidR="00D405A1" w:rsidRPr="009222B2">
        <w:t xml:space="preserve">people who have been vaccinated </w:t>
      </w:r>
      <w:r w:rsidR="00D24DC7" w:rsidRPr="009222B2">
        <w:t xml:space="preserve">or their carers </w:t>
      </w:r>
      <w:r w:rsidR="00033998" w:rsidRPr="009222B2">
        <w:t xml:space="preserve">can </w:t>
      </w:r>
      <w:hyperlink r:id="rId74" w:history="1">
        <w:r w:rsidR="00033998" w:rsidRPr="009222B2">
          <w:rPr>
            <w:rStyle w:val="Hyperlink"/>
          </w:rPr>
          <w:t>report any vaccine side effects</w:t>
        </w:r>
      </w:hyperlink>
      <w:r w:rsidR="00716B93" w:rsidRPr="009222B2">
        <w:t xml:space="preserve"> they have experienced</w:t>
      </w:r>
      <w:r w:rsidR="00033998" w:rsidRPr="009222B2">
        <w:t>.</w:t>
      </w:r>
      <w:r w:rsidR="00D405A1" w:rsidRPr="009222B2">
        <w:t xml:space="preserve"> </w:t>
      </w:r>
      <w:r w:rsidR="00D24DC7" w:rsidRPr="009222B2">
        <w:t xml:space="preserve">Reports </w:t>
      </w:r>
      <w:r w:rsidR="00E11E56" w:rsidRPr="009222B2">
        <w:t xml:space="preserve">are usually made to the </w:t>
      </w:r>
      <w:r w:rsidR="00E40769" w:rsidRPr="009222B2">
        <w:t>jurisdictional</w:t>
      </w:r>
      <w:r w:rsidR="00E11E56" w:rsidRPr="009222B2">
        <w:t xml:space="preserve"> vaccine safety services, but can also </w:t>
      </w:r>
      <w:r w:rsidR="00D24DC7" w:rsidRPr="009222B2">
        <w:t>be made</w:t>
      </w:r>
      <w:r w:rsidR="00033998" w:rsidRPr="009222B2">
        <w:t xml:space="preserve"> </w:t>
      </w:r>
      <w:r w:rsidR="00D405A1" w:rsidRPr="009222B2">
        <w:t xml:space="preserve">directly </w:t>
      </w:r>
      <w:r w:rsidR="00033998" w:rsidRPr="009222B2">
        <w:t>to the TGA</w:t>
      </w:r>
      <w:r w:rsidR="004C4E55" w:rsidRPr="009222B2">
        <w:t xml:space="preserve"> or</w:t>
      </w:r>
      <w:r w:rsidR="00033998" w:rsidRPr="009222B2">
        <w:t xml:space="preserve"> </w:t>
      </w:r>
      <w:r w:rsidR="00D405A1" w:rsidRPr="009222B2">
        <w:t xml:space="preserve">through </w:t>
      </w:r>
      <w:r w:rsidR="00D24DC7" w:rsidRPr="009222B2">
        <w:t>a</w:t>
      </w:r>
      <w:r w:rsidR="00D405A1" w:rsidRPr="009222B2">
        <w:t xml:space="preserve"> healthcare provider</w:t>
      </w:r>
      <w:r w:rsidR="00033998" w:rsidRPr="009222B2">
        <w:t>.</w:t>
      </w:r>
    </w:p>
    <w:p w14:paraId="14317C9E" w14:textId="7C78FC8A" w:rsidR="00716B93" w:rsidRPr="009222B2" w:rsidRDefault="00D24DC7" w:rsidP="00537371">
      <w:pPr>
        <w:pStyle w:val="BulletLast"/>
      </w:pPr>
      <w:r w:rsidRPr="009222B2">
        <w:t>A</w:t>
      </w:r>
      <w:r w:rsidR="00716B93" w:rsidRPr="009222B2">
        <w:t>ctive surveillance</w:t>
      </w:r>
      <w:r w:rsidR="009F4413" w:rsidRPr="009222B2">
        <w:t>, through which</w:t>
      </w:r>
      <w:r w:rsidRPr="009222B2">
        <w:t xml:space="preserve"> </w:t>
      </w:r>
      <w:r w:rsidR="00D405A1" w:rsidRPr="009222B2">
        <w:t>people who have been vaccinated</w:t>
      </w:r>
      <w:r w:rsidR="006B20B6" w:rsidRPr="009222B2">
        <w:t xml:space="preserve"> </w:t>
      </w:r>
      <w:r w:rsidRPr="009222B2">
        <w:t xml:space="preserve">or their </w:t>
      </w:r>
      <w:proofErr w:type="spellStart"/>
      <w:r w:rsidRPr="009222B2">
        <w:t>carers</w:t>
      </w:r>
      <w:proofErr w:type="spellEnd"/>
      <w:r w:rsidRPr="009222B2">
        <w:t xml:space="preserve"> </w:t>
      </w:r>
      <w:r w:rsidR="006B20B6" w:rsidRPr="009222B2">
        <w:t>are contacted</w:t>
      </w:r>
      <w:r w:rsidR="00716B93" w:rsidRPr="009222B2">
        <w:t xml:space="preserve"> </w:t>
      </w:r>
      <w:r w:rsidRPr="009222B2">
        <w:t>directly and asked</w:t>
      </w:r>
      <w:r w:rsidR="00C64980">
        <w:t xml:space="preserve"> whether</w:t>
      </w:r>
      <w:r w:rsidR="00716B93" w:rsidRPr="009222B2">
        <w:t xml:space="preserve"> they have experienced any vaccine </w:t>
      </w:r>
      <w:r w:rsidR="006B20B6" w:rsidRPr="009222B2">
        <w:t>side effects</w:t>
      </w:r>
      <w:r w:rsidR="00716B93" w:rsidRPr="009222B2">
        <w:t>.</w:t>
      </w:r>
      <w:r w:rsidR="006B20B6" w:rsidRPr="009222B2">
        <w:t xml:space="preserve"> </w:t>
      </w:r>
      <w:r w:rsidRPr="009222B2">
        <w:t>The current</w:t>
      </w:r>
      <w:r w:rsidR="006B20B6" w:rsidRPr="009222B2">
        <w:t xml:space="preserve"> active </w:t>
      </w:r>
      <w:r w:rsidR="00D10C9D" w:rsidRPr="009222B2">
        <w:t xml:space="preserve">vaccine safety </w:t>
      </w:r>
      <w:r w:rsidR="006B20B6" w:rsidRPr="009222B2">
        <w:t xml:space="preserve">surveillance is </w:t>
      </w:r>
      <w:r w:rsidR="00D10C9D" w:rsidRPr="009222B2">
        <w:t xml:space="preserve">known as </w:t>
      </w:r>
      <w:r w:rsidR="006B20B6" w:rsidRPr="009222B2">
        <w:t xml:space="preserve">the </w:t>
      </w:r>
      <w:hyperlink r:id="rId75" w:history="1">
        <w:r w:rsidR="006B20B6" w:rsidRPr="009222B2">
          <w:rPr>
            <w:rStyle w:val="Hyperlink"/>
          </w:rPr>
          <w:t>AusVaxSafety system</w:t>
        </w:r>
      </w:hyperlink>
      <w:r w:rsidR="007E7937" w:rsidRPr="009222B2">
        <w:t>.</w:t>
      </w:r>
    </w:p>
    <w:p w14:paraId="54AA142C" w14:textId="0336F9C0" w:rsidR="00E11AD7" w:rsidRPr="009222B2" w:rsidRDefault="004A7E84" w:rsidP="004A7E84">
      <w:r w:rsidRPr="009222B2">
        <w:t>A</w:t>
      </w:r>
      <w:r w:rsidR="00E11AD7" w:rsidRPr="009222B2">
        <w:t xml:space="preserve">ctive and passive </w:t>
      </w:r>
      <w:r w:rsidRPr="009222B2">
        <w:t xml:space="preserve">vaccine safety </w:t>
      </w:r>
      <w:r w:rsidR="00E11AD7" w:rsidRPr="009222B2">
        <w:t xml:space="preserve">surveillance </w:t>
      </w:r>
      <w:r w:rsidR="009A0E2C" w:rsidRPr="009222B2">
        <w:t>activities</w:t>
      </w:r>
      <w:r w:rsidR="00E11AD7" w:rsidRPr="009222B2">
        <w:t xml:space="preserve"> </w:t>
      </w:r>
      <w:r w:rsidRPr="009222B2">
        <w:t xml:space="preserve">are now integrated </w:t>
      </w:r>
      <w:r w:rsidR="00E11AD7" w:rsidRPr="009222B2">
        <w:t xml:space="preserve">in most </w:t>
      </w:r>
      <w:r w:rsidRPr="009222B2">
        <w:t>states and territories.</w:t>
      </w:r>
      <w:r w:rsidR="00E11AD7" w:rsidRPr="009222B2">
        <w:t xml:space="preserve"> </w:t>
      </w:r>
      <w:r w:rsidR="002038FC" w:rsidRPr="009222B2">
        <w:t>They send a</w:t>
      </w:r>
      <w:r w:rsidR="00E11AD7" w:rsidRPr="009222B2">
        <w:t xml:space="preserve">ll </w:t>
      </w:r>
      <w:r w:rsidRPr="009222B2">
        <w:t xml:space="preserve">reports of </w:t>
      </w:r>
      <w:r w:rsidR="00E11AD7" w:rsidRPr="009222B2">
        <w:t xml:space="preserve">serious </w:t>
      </w:r>
      <w:r w:rsidRPr="009222B2">
        <w:t>adverse events following immunisation</w:t>
      </w:r>
      <w:r w:rsidR="00E11AD7" w:rsidRPr="009222B2">
        <w:t xml:space="preserve"> to the TGA.</w:t>
      </w:r>
    </w:p>
    <w:p w14:paraId="616334B5" w14:textId="264ED086" w:rsidR="00926040" w:rsidRPr="009222B2" w:rsidRDefault="00926040" w:rsidP="00926040">
      <w:pPr>
        <w:rPr>
          <w:iCs/>
        </w:rPr>
      </w:pPr>
      <w:r w:rsidRPr="009222B2">
        <w:rPr>
          <w:iCs/>
        </w:rPr>
        <w:t>ATAGI continue</w:t>
      </w:r>
      <w:r w:rsidR="00D10C9D" w:rsidRPr="009222B2">
        <w:rPr>
          <w:iCs/>
        </w:rPr>
        <w:t>s</w:t>
      </w:r>
      <w:r w:rsidRPr="009222B2">
        <w:rPr>
          <w:iCs/>
        </w:rPr>
        <w:t xml:space="preserve"> to work closely with the TGA to advise </w:t>
      </w:r>
      <w:r w:rsidR="009F67E4" w:rsidRPr="009222B2">
        <w:rPr>
          <w:iCs/>
        </w:rPr>
        <w:t xml:space="preserve">on </w:t>
      </w:r>
      <w:r w:rsidRPr="009222B2">
        <w:rPr>
          <w:iCs/>
        </w:rPr>
        <w:t xml:space="preserve">and promote the safe use of all vaccines, including </w:t>
      </w:r>
      <w:r w:rsidR="008F12C1" w:rsidRPr="009222B2">
        <w:rPr>
          <w:iCs/>
        </w:rPr>
        <w:t>COVID</w:t>
      </w:r>
      <w:r w:rsidR="008F12C1" w:rsidRPr="009222B2">
        <w:rPr>
          <w:iCs/>
        </w:rPr>
        <w:noBreakHyphen/>
        <w:t>19</w:t>
      </w:r>
      <w:r w:rsidRPr="009222B2">
        <w:rPr>
          <w:iCs/>
        </w:rPr>
        <w:t xml:space="preserve"> vaccines</w:t>
      </w:r>
      <w:r w:rsidR="004A7E84" w:rsidRPr="009222B2">
        <w:rPr>
          <w:iCs/>
        </w:rPr>
        <w:t>.</w:t>
      </w:r>
    </w:p>
    <w:p w14:paraId="349EC823" w14:textId="77777777" w:rsidR="00926040" w:rsidRPr="009222B2" w:rsidRDefault="00926040" w:rsidP="00862550">
      <w:pPr>
        <w:pStyle w:val="Heading3"/>
      </w:pPr>
      <w:r w:rsidRPr="009222B2">
        <w:t>Influenza vaccines</w:t>
      </w:r>
    </w:p>
    <w:p w14:paraId="4A70A594" w14:textId="677CF604" w:rsidR="00926040" w:rsidRPr="009222B2" w:rsidRDefault="00F662CF" w:rsidP="00926040">
      <w:pPr>
        <w:rPr>
          <w:iCs/>
        </w:rPr>
      </w:pPr>
      <w:hyperlink r:id="rId76" w:history="1">
        <w:r w:rsidR="00926040" w:rsidRPr="009222B2">
          <w:rPr>
            <w:rStyle w:val="Hyperlink"/>
            <w:iCs/>
          </w:rPr>
          <w:t>AusVaxSafety data</w:t>
        </w:r>
      </w:hyperlink>
      <w:r w:rsidR="00B7618E" w:rsidRPr="009222B2">
        <w:rPr>
          <w:rStyle w:val="Hyperlink"/>
          <w:iCs/>
        </w:rPr>
        <w:t xml:space="preserve"> </w:t>
      </w:r>
      <w:r w:rsidR="00C36E7D" w:rsidRPr="009222B2">
        <w:rPr>
          <w:iCs/>
        </w:rPr>
        <w:t xml:space="preserve">demonstrate the safety of the </w:t>
      </w:r>
      <w:r w:rsidR="00926040" w:rsidRPr="009222B2">
        <w:rPr>
          <w:iCs/>
        </w:rPr>
        <w:t>202</w:t>
      </w:r>
      <w:r w:rsidR="00B83C82" w:rsidRPr="009222B2">
        <w:rPr>
          <w:iCs/>
        </w:rPr>
        <w:t>2</w:t>
      </w:r>
      <w:r w:rsidR="00926040" w:rsidRPr="009222B2">
        <w:rPr>
          <w:iCs/>
        </w:rPr>
        <w:t xml:space="preserve"> seasonal influenza vaccines.</w:t>
      </w:r>
      <w:r w:rsidR="00D10C9D" w:rsidRPr="009222B2">
        <w:rPr>
          <w:iCs/>
        </w:rPr>
        <w:t xml:space="preserve"> </w:t>
      </w:r>
      <w:r w:rsidR="00B24BF4" w:rsidRPr="009222B2">
        <w:rPr>
          <w:iCs/>
        </w:rPr>
        <w:t xml:space="preserve">Of </w:t>
      </w:r>
      <w:r w:rsidR="00F90058" w:rsidRPr="009222B2">
        <w:rPr>
          <w:iCs/>
        </w:rPr>
        <w:t>164,554</w:t>
      </w:r>
      <w:r w:rsidR="00D11BA4" w:rsidRPr="009222B2">
        <w:rPr>
          <w:iCs/>
        </w:rPr>
        <w:t> </w:t>
      </w:r>
      <w:r w:rsidR="00B24BF4" w:rsidRPr="009222B2">
        <w:rPr>
          <w:iCs/>
        </w:rPr>
        <w:t>participants in t</w:t>
      </w:r>
      <w:r w:rsidR="00D10C9D" w:rsidRPr="009222B2">
        <w:rPr>
          <w:iCs/>
        </w:rPr>
        <w:t xml:space="preserve">he </w:t>
      </w:r>
      <w:r w:rsidR="00B24BF4" w:rsidRPr="009222B2">
        <w:rPr>
          <w:iCs/>
        </w:rPr>
        <w:t xml:space="preserve">2022 </w:t>
      </w:r>
      <w:r w:rsidR="00D10C9D" w:rsidRPr="009222B2">
        <w:rPr>
          <w:iCs/>
        </w:rPr>
        <w:t>safety survey</w:t>
      </w:r>
      <w:r w:rsidR="0019685D" w:rsidRPr="009222B2">
        <w:rPr>
          <w:iCs/>
        </w:rPr>
        <w:t xml:space="preserve">, </w:t>
      </w:r>
      <w:r w:rsidR="00F90058" w:rsidRPr="009222B2">
        <w:rPr>
          <w:iCs/>
        </w:rPr>
        <w:t>82</w:t>
      </w:r>
      <w:r w:rsidR="00A32A89" w:rsidRPr="009222B2">
        <w:rPr>
          <w:iCs/>
        </w:rPr>
        <w:t>% reported no adverse event</w:t>
      </w:r>
      <w:r w:rsidR="002038FC" w:rsidRPr="009222B2">
        <w:rPr>
          <w:iCs/>
        </w:rPr>
        <w:t xml:space="preserve"> (minor or severe)</w:t>
      </w:r>
      <w:r w:rsidR="00A32A89" w:rsidRPr="009222B2">
        <w:rPr>
          <w:iCs/>
        </w:rPr>
        <w:t xml:space="preserve">. One in 100 </w:t>
      </w:r>
      <w:r w:rsidR="002038FC" w:rsidRPr="009222B2">
        <w:rPr>
          <w:iCs/>
        </w:rPr>
        <w:t xml:space="preserve">(1%) </w:t>
      </w:r>
      <w:r w:rsidR="00A32A89" w:rsidRPr="009222B2">
        <w:rPr>
          <w:iCs/>
        </w:rPr>
        <w:t xml:space="preserve">parents or carers of children aged </w:t>
      </w:r>
      <w:r w:rsidR="00C64980">
        <w:rPr>
          <w:iCs/>
        </w:rPr>
        <w:t>under</w:t>
      </w:r>
      <w:r w:rsidR="00A32A89" w:rsidRPr="009222B2">
        <w:rPr>
          <w:iCs/>
        </w:rPr>
        <w:t xml:space="preserve"> </w:t>
      </w:r>
      <w:r w:rsidR="002038FC" w:rsidRPr="009222B2">
        <w:rPr>
          <w:iCs/>
        </w:rPr>
        <w:t>5 </w:t>
      </w:r>
      <w:r w:rsidR="00A32A89" w:rsidRPr="009222B2">
        <w:rPr>
          <w:iCs/>
        </w:rPr>
        <w:t xml:space="preserve">years reported taking their child to see a doctor or going to the emergency department in the days after influenza vaccination. Less than </w:t>
      </w:r>
      <w:r w:rsidR="002038FC" w:rsidRPr="009222B2">
        <w:rPr>
          <w:iCs/>
        </w:rPr>
        <w:t>1% of</w:t>
      </w:r>
      <w:r w:rsidR="00F76C3D" w:rsidRPr="009222B2">
        <w:rPr>
          <w:iCs/>
        </w:rPr>
        <w:t xml:space="preserve"> </w:t>
      </w:r>
      <w:r w:rsidR="002038FC" w:rsidRPr="009222B2">
        <w:rPr>
          <w:iCs/>
        </w:rPr>
        <w:t>people</w:t>
      </w:r>
      <w:r w:rsidR="00F76C3D" w:rsidRPr="009222B2">
        <w:rPr>
          <w:iCs/>
        </w:rPr>
        <w:t xml:space="preserve"> aged </w:t>
      </w:r>
      <w:r w:rsidR="002038FC" w:rsidRPr="009222B2">
        <w:rPr>
          <w:iCs/>
        </w:rPr>
        <w:t>5</w:t>
      </w:r>
      <w:r w:rsidR="003C6450" w:rsidRPr="009222B2">
        <w:rPr>
          <w:iCs/>
        </w:rPr>
        <w:t> year</w:t>
      </w:r>
      <w:r w:rsidR="00A32A89" w:rsidRPr="009222B2">
        <w:rPr>
          <w:iCs/>
        </w:rPr>
        <w:t xml:space="preserve">s and </w:t>
      </w:r>
      <w:r w:rsidR="00C64980">
        <w:rPr>
          <w:iCs/>
        </w:rPr>
        <w:t>over</w:t>
      </w:r>
      <w:r w:rsidR="00A32A89" w:rsidRPr="009222B2">
        <w:rPr>
          <w:iCs/>
        </w:rPr>
        <w:t xml:space="preserve"> reported seeing a doctor or going to the emergency department in the days after influenza vaccination.</w:t>
      </w:r>
    </w:p>
    <w:p w14:paraId="6EE24EB3" w14:textId="72EA0795" w:rsidR="00504809" w:rsidRPr="009222B2" w:rsidRDefault="00223BED" w:rsidP="00920029">
      <w:pPr>
        <w:pStyle w:val="Heading3"/>
      </w:pPr>
      <w:r w:rsidRPr="009222B2">
        <w:t>IFN</w:t>
      </w:r>
      <w:r w:rsidR="009F4413" w:rsidRPr="009222B2">
        <w:t>AR</w:t>
      </w:r>
      <w:r w:rsidRPr="009222B2">
        <w:t>1</w:t>
      </w:r>
      <w:r w:rsidR="00601D7B" w:rsidRPr="009222B2">
        <w:t xml:space="preserve"> gene deficiency</w:t>
      </w:r>
    </w:p>
    <w:p w14:paraId="36015E44" w14:textId="3ECABF5B" w:rsidR="00A7352A" w:rsidRPr="009222B2" w:rsidRDefault="002038FC" w:rsidP="008E3C2C">
      <w:r w:rsidRPr="009222B2">
        <w:t xml:space="preserve">IFNAR1 deficiency is a rare inherited condition that affects some people of </w:t>
      </w:r>
      <w:r w:rsidR="00425772" w:rsidRPr="009222B2">
        <w:t>w</w:t>
      </w:r>
      <w:r w:rsidRPr="009222B2">
        <w:t xml:space="preserve">estern Polynesian heritage. </w:t>
      </w:r>
      <w:r w:rsidR="001D4C12" w:rsidRPr="009222B2">
        <w:t>The deficiency in the IFNAR1 protein can lead to a we</w:t>
      </w:r>
      <w:r w:rsidR="6926D78C" w:rsidRPr="009222B2">
        <w:t>a</w:t>
      </w:r>
      <w:r w:rsidR="001D4C12" w:rsidRPr="009222B2">
        <w:t>ken</w:t>
      </w:r>
      <w:r w:rsidR="6D8696E0" w:rsidRPr="009222B2">
        <w:t>e</w:t>
      </w:r>
      <w:r w:rsidR="001D4C12" w:rsidRPr="009222B2">
        <w:t xml:space="preserve">d immune response and a </w:t>
      </w:r>
      <w:r w:rsidR="001D4C12" w:rsidRPr="009222B2">
        <w:lastRenderedPageBreak/>
        <w:t>hi</w:t>
      </w:r>
      <w:r w:rsidR="00965559" w:rsidRPr="009222B2">
        <w:t>gher risk of adverse reactions</w:t>
      </w:r>
      <w:r w:rsidRPr="009222B2">
        <w:t xml:space="preserve"> to live attenuated viral vaccines</w:t>
      </w:r>
      <w:r w:rsidR="00965559" w:rsidRPr="009222B2">
        <w:t xml:space="preserve">. </w:t>
      </w:r>
      <w:r w:rsidR="00A7352A" w:rsidRPr="009222B2">
        <w:t xml:space="preserve">ATAGI reviewed the evidence on </w:t>
      </w:r>
      <w:r w:rsidR="005E71FB" w:rsidRPr="009222B2">
        <w:t>IFN</w:t>
      </w:r>
      <w:r w:rsidR="009F4413" w:rsidRPr="009222B2">
        <w:t>AR</w:t>
      </w:r>
      <w:r w:rsidR="005E71FB" w:rsidRPr="009222B2">
        <w:t>1 deficiency</w:t>
      </w:r>
      <w:r w:rsidRPr="009222B2">
        <w:t xml:space="preserve"> in 2022</w:t>
      </w:r>
      <w:r w:rsidR="005E71FB" w:rsidRPr="009222B2">
        <w:t xml:space="preserve"> and updated </w:t>
      </w:r>
      <w:r w:rsidRPr="009222B2">
        <w:t xml:space="preserve">relevant chapters in </w:t>
      </w:r>
      <w:r w:rsidR="005E71FB" w:rsidRPr="009222B2">
        <w:t>the Australian Immunisation Handbook</w:t>
      </w:r>
      <w:r w:rsidR="003F1CD5" w:rsidRPr="009222B2">
        <w:t>.</w:t>
      </w:r>
    </w:p>
    <w:p w14:paraId="0F6D3D05" w14:textId="1136658B" w:rsidR="00920029" w:rsidRPr="009222B2" w:rsidRDefault="00920029" w:rsidP="00920029">
      <w:pPr>
        <w:pStyle w:val="Heading3"/>
      </w:pPr>
      <w:r w:rsidRPr="009222B2">
        <w:t>Japanese encephalitis vaccines</w:t>
      </w:r>
    </w:p>
    <w:p w14:paraId="57CD0EC3" w14:textId="28D35771" w:rsidR="005C022E" w:rsidRPr="009222B2" w:rsidRDefault="00F662CF" w:rsidP="00920029">
      <w:hyperlink r:id="rId77" w:history="1">
        <w:r w:rsidR="002038FC" w:rsidRPr="009222B2">
          <w:rPr>
            <w:rStyle w:val="Hyperlink"/>
          </w:rPr>
          <w:t xml:space="preserve">A </w:t>
        </w:r>
        <w:r w:rsidR="00C64980">
          <w:rPr>
            <w:rStyle w:val="Hyperlink"/>
          </w:rPr>
          <w:t>2022</w:t>
        </w:r>
        <w:r w:rsidR="000C1EB5" w:rsidRPr="009222B2">
          <w:rPr>
            <w:rStyle w:val="Hyperlink"/>
          </w:rPr>
          <w:t xml:space="preserve"> </w:t>
        </w:r>
        <w:r w:rsidR="002038FC" w:rsidRPr="009222B2">
          <w:rPr>
            <w:rStyle w:val="Hyperlink"/>
          </w:rPr>
          <w:t>study</w:t>
        </w:r>
      </w:hyperlink>
      <w:r w:rsidR="003C5829" w:rsidRPr="009222B2">
        <w:t xml:space="preserve"> </w:t>
      </w:r>
      <w:r w:rsidR="00E32D65" w:rsidRPr="009222B2">
        <w:t xml:space="preserve">found that </w:t>
      </w:r>
      <w:r w:rsidR="0071050F" w:rsidRPr="009222B2">
        <w:t>both</w:t>
      </w:r>
      <w:r w:rsidR="00E83AC0" w:rsidRPr="009222B2">
        <w:t xml:space="preserve"> JE vaccines </w:t>
      </w:r>
      <w:r w:rsidR="0070078C" w:rsidRPr="009222B2">
        <w:t xml:space="preserve">administered </w:t>
      </w:r>
      <w:r w:rsidR="00E83AC0" w:rsidRPr="009222B2">
        <w:t>in Australia</w:t>
      </w:r>
      <w:r w:rsidR="005C022E" w:rsidRPr="009222B2">
        <w:t xml:space="preserve"> </w:t>
      </w:r>
      <w:r w:rsidR="0070078C" w:rsidRPr="009222B2">
        <w:t>between 2015 and 2020</w:t>
      </w:r>
      <w:r w:rsidR="0016024D" w:rsidRPr="009222B2">
        <w:t>,</w:t>
      </w:r>
      <w:r w:rsidR="00485F52" w:rsidRPr="009222B2">
        <w:t xml:space="preserve"> </w:t>
      </w:r>
      <w:r w:rsidR="00E32D65" w:rsidRPr="009222B2">
        <w:t>JEspect and Imojev</w:t>
      </w:r>
      <w:r w:rsidR="0016024D" w:rsidRPr="009222B2">
        <w:t>,</w:t>
      </w:r>
      <w:r w:rsidR="00E32D65" w:rsidRPr="009222B2">
        <w:t xml:space="preserve"> </w:t>
      </w:r>
      <w:r w:rsidR="00F245B1" w:rsidRPr="009222B2">
        <w:t xml:space="preserve">were </w:t>
      </w:r>
      <w:r w:rsidR="00485F52" w:rsidRPr="009222B2">
        <w:t>safe and well tolerated</w:t>
      </w:r>
      <w:r w:rsidR="00E83AC0" w:rsidRPr="009222B2">
        <w:t xml:space="preserve">. </w:t>
      </w:r>
      <w:r w:rsidR="00AE15B1" w:rsidRPr="009222B2">
        <w:t>Using d</w:t>
      </w:r>
      <w:r w:rsidR="00E83AC0" w:rsidRPr="009222B2">
        <w:t xml:space="preserve">ata from </w:t>
      </w:r>
      <w:hyperlink r:id="rId78" w:history="1">
        <w:r w:rsidR="00920029" w:rsidRPr="009222B2">
          <w:rPr>
            <w:rStyle w:val="Hyperlink"/>
          </w:rPr>
          <w:t>SmartVax</w:t>
        </w:r>
      </w:hyperlink>
      <w:r w:rsidR="00920029" w:rsidRPr="009222B2">
        <w:t xml:space="preserve">, </w:t>
      </w:r>
      <w:r w:rsidR="005C022E" w:rsidRPr="009222B2">
        <w:t>the study</w:t>
      </w:r>
      <w:r w:rsidR="004245BE" w:rsidRPr="009222B2">
        <w:t xml:space="preserve"> </w:t>
      </w:r>
      <w:r w:rsidR="00E83AC0" w:rsidRPr="009222B2">
        <w:t>found that in 5</w:t>
      </w:r>
      <w:r w:rsidR="00B26619" w:rsidRPr="009222B2">
        <w:t>,</w:t>
      </w:r>
      <w:r w:rsidR="00E83AC0" w:rsidRPr="009222B2">
        <w:t>389 immunisation records of JE vaccines, adverse events were reported in 7.6%</w:t>
      </w:r>
      <w:r w:rsidR="0070078C" w:rsidRPr="009222B2">
        <w:t xml:space="preserve"> </w:t>
      </w:r>
      <w:r w:rsidR="00204183" w:rsidRPr="009222B2">
        <w:t xml:space="preserve">of people receiving Imojev </w:t>
      </w:r>
      <w:r w:rsidR="0070078C" w:rsidRPr="009222B2">
        <w:t>and 5.9%</w:t>
      </w:r>
      <w:r w:rsidR="00E83AC0" w:rsidRPr="009222B2">
        <w:t xml:space="preserve"> of people receiving JEspect.</w:t>
      </w:r>
      <w:r w:rsidR="0070078C" w:rsidRPr="009222B2">
        <w:t xml:space="preserve"> </w:t>
      </w:r>
      <w:r w:rsidR="005C022E" w:rsidRPr="009222B2">
        <w:t>ATAGI will continue to monitor the safety of JE vaccines following their expanded use in Australia due to the outbreak.</w:t>
      </w:r>
    </w:p>
    <w:p w14:paraId="04E5340F" w14:textId="1E98F902" w:rsidR="0070078C" w:rsidRPr="009222B2" w:rsidRDefault="0070078C" w:rsidP="0070078C">
      <w:pPr>
        <w:pStyle w:val="Heading3"/>
      </w:pPr>
      <w:r w:rsidRPr="009222B2">
        <w:t>Mpox vaccines</w:t>
      </w:r>
    </w:p>
    <w:p w14:paraId="53A857AF" w14:textId="0F46D0EB" w:rsidR="00204183" w:rsidRPr="009222B2" w:rsidRDefault="00F662CF" w:rsidP="00BA03D1">
      <w:pPr>
        <w:pStyle w:val="NormalBeforeBullet"/>
      </w:pPr>
      <w:hyperlink r:id="rId79" w:history="1">
        <w:r w:rsidR="002A301F" w:rsidRPr="009222B2">
          <w:rPr>
            <w:rStyle w:val="Hyperlink"/>
          </w:rPr>
          <w:t>AusVaxSafety data</w:t>
        </w:r>
      </w:hyperlink>
      <w:r w:rsidR="002A301F" w:rsidRPr="009222B2">
        <w:t xml:space="preserve"> showed </w:t>
      </w:r>
      <w:r w:rsidR="009F4413" w:rsidRPr="009222B2">
        <w:t xml:space="preserve">no serious safety concerns with </w:t>
      </w:r>
      <w:r w:rsidR="003859B6" w:rsidRPr="009222B2">
        <w:t>JYNNEOS</w:t>
      </w:r>
      <w:r w:rsidR="00204183" w:rsidRPr="009222B2">
        <w:t xml:space="preserve">, which can be </w:t>
      </w:r>
      <w:r w:rsidR="00BC7875" w:rsidRPr="009222B2">
        <w:t>injected</w:t>
      </w:r>
      <w:r w:rsidR="00204183" w:rsidRPr="009222B2">
        <w:t xml:space="preserve"> </w:t>
      </w:r>
      <w:r w:rsidR="00BC7875" w:rsidRPr="009222B2">
        <w:t xml:space="preserve">either </w:t>
      </w:r>
      <w:r w:rsidR="00204183" w:rsidRPr="009222B2">
        <w:t>into the surface layers of the skin (intradermally) or into the tissue between the skin and underlying muscle (subcutaneously)</w:t>
      </w:r>
      <w:r w:rsidR="00A32A89" w:rsidRPr="009222B2">
        <w:t xml:space="preserve">. </w:t>
      </w:r>
      <w:r w:rsidR="00096CB3" w:rsidRPr="009222B2">
        <w:t xml:space="preserve">As </w:t>
      </w:r>
      <w:r w:rsidR="00E60DBA" w:rsidRPr="009222B2">
        <w:t>of</w:t>
      </w:r>
      <w:r w:rsidR="00096CB3" w:rsidRPr="009222B2">
        <w:t xml:space="preserve"> 12</w:t>
      </w:r>
      <w:r w:rsidR="007C6318" w:rsidRPr="009222B2">
        <w:t> </w:t>
      </w:r>
      <w:r w:rsidR="00096CB3" w:rsidRPr="009222B2">
        <w:t>December 2022, t</w:t>
      </w:r>
      <w:r w:rsidR="002A301F" w:rsidRPr="009222B2">
        <w:t xml:space="preserve">he </w:t>
      </w:r>
      <w:r w:rsidR="00204183" w:rsidRPr="009222B2">
        <w:t xml:space="preserve">responses to the </w:t>
      </w:r>
      <w:r w:rsidR="002A301F" w:rsidRPr="009222B2">
        <w:t>safety survey in 2022</w:t>
      </w:r>
      <w:r w:rsidR="00204183" w:rsidRPr="009222B2">
        <w:t xml:space="preserve"> reported </w:t>
      </w:r>
      <w:r w:rsidR="00204183" w:rsidRPr="009222B2">
        <w:rPr>
          <w:b/>
          <w:bCs/>
        </w:rPr>
        <w:t>no adverse events</w:t>
      </w:r>
      <w:r w:rsidR="00204183" w:rsidRPr="009222B2">
        <w:t xml:space="preserve"> after dose 2 for:</w:t>
      </w:r>
    </w:p>
    <w:p w14:paraId="3125A5E4" w14:textId="31792082" w:rsidR="00204183" w:rsidRPr="009222B2" w:rsidRDefault="00204183" w:rsidP="00BC7875">
      <w:pPr>
        <w:pStyle w:val="Bullet"/>
      </w:pPr>
      <w:r w:rsidRPr="009222B2">
        <w:t xml:space="preserve">60% </w:t>
      </w:r>
      <w:r w:rsidR="00BC7875" w:rsidRPr="009222B2">
        <w:t>with the intradermal route</w:t>
      </w:r>
      <w:r w:rsidRPr="009222B2">
        <w:t xml:space="preserve"> (2,001 participants)</w:t>
      </w:r>
    </w:p>
    <w:p w14:paraId="2FF05E61" w14:textId="484EC2C2" w:rsidR="00204183" w:rsidRPr="009222B2" w:rsidRDefault="00204183" w:rsidP="00BA03D1">
      <w:pPr>
        <w:pStyle w:val="BulletLast"/>
      </w:pPr>
      <w:r w:rsidRPr="009222B2">
        <w:t xml:space="preserve">66% </w:t>
      </w:r>
      <w:r w:rsidR="00BC7875" w:rsidRPr="009222B2">
        <w:t xml:space="preserve">with the </w:t>
      </w:r>
      <w:r w:rsidRPr="009222B2">
        <w:t xml:space="preserve">subcutaneous </w:t>
      </w:r>
      <w:r w:rsidR="00BC7875" w:rsidRPr="009222B2">
        <w:t>route</w:t>
      </w:r>
      <w:r w:rsidRPr="009222B2">
        <w:t xml:space="preserve"> (710 participants).</w:t>
      </w:r>
    </w:p>
    <w:p w14:paraId="3988C722" w14:textId="4D72F9CD" w:rsidR="002E03D0" w:rsidRPr="009222B2" w:rsidRDefault="002A301F" w:rsidP="002E03D0">
      <w:pPr>
        <w:rPr>
          <w:iCs/>
        </w:rPr>
      </w:pPr>
      <w:r w:rsidRPr="009222B2">
        <w:t xml:space="preserve">Vaccines administered via </w:t>
      </w:r>
      <w:r w:rsidR="00074855" w:rsidRPr="009222B2">
        <w:t xml:space="preserve">both </w:t>
      </w:r>
      <w:r w:rsidR="00BC7875" w:rsidRPr="009222B2">
        <w:t>routes</w:t>
      </w:r>
      <w:r w:rsidR="00BC571F" w:rsidRPr="009222B2">
        <w:t xml:space="preserve"> </w:t>
      </w:r>
      <w:r w:rsidRPr="009222B2">
        <w:t xml:space="preserve">were safe, </w:t>
      </w:r>
      <w:r w:rsidR="004F0D8B" w:rsidRPr="009222B2">
        <w:t xml:space="preserve">with </w:t>
      </w:r>
      <w:r w:rsidR="007C6318" w:rsidRPr="009222B2">
        <w:t xml:space="preserve">fewer </w:t>
      </w:r>
      <w:r w:rsidR="00A32A89" w:rsidRPr="009222B2">
        <w:t xml:space="preserve">than </w:t>
      </w:r>
      <w:r w:rsidR="00BC7875" w:rsidRPr="009222B2">
        <w:t>1</w:t>
      </w:r>
      <w:r w:rsidR="00A32A89" w:rsidRPr="009222B2">
        <w:t xml:space="preserve"> in 100 people report</w:t>
      </w:r>
      <w:r w:rsidR="004F0D8B" w:rsidRPr="009222B2">
        <w:t>ing</w:t>
      </w:r>
      <w:r w:rsidR="00A32A89" w:rsidRPr="009222B2">
        <w:t xml:space="preserve"> </w:t>
      </w:r>
      <w:r w:rsidR="00074855" w:rsidRPr="009222B2">
        <w:t>that they sought medical care</w:t>
      </w:r>
      <w:r w:rsidR="00A32A89" w:rsidRPr="009222B2">
        <w:t xml:space="preserve"> in the days after receiving JYNNEOS.</w:t>
      </w:r>
    </w:p>
    <w:p w14:paraId="366C9D94" w14:textId="10D3233C" w:rsidR="00862550" w:rsidRPr="009222B2" w:rsidRDefault="00862550" w:rsidP="00862550">
      <w:pPr>
        <w:pStyle w:val="Heading1"/>
      </w:pPr>
      <w:bookmarkStart w:id="26" w:name="_Toc72165386"/>
      <w:bookmarkStart w:id="27" w:name="_Toc128991505"/>
      <w:r w:rsidRPr="009222B2">
        <w:lastRenderedPageBreak/>
        <w:t xml:space="preserve">Challenges and </w:t>
      </w:r>
      <w:r w:rsidR="0005016F" w:rsidRPr="009222B2">
        <w:t>priorities for immunisation</w:t>
      </w:r>
      <w:r w:rsidRPr="009222B2">
        <w:t xml:space="preserve"> </w:t>
      </w:r>
      <w:r w:rsidR="0005016F" w:rsidRPr="009222B2">
        <w:t xml:space="preserve">in Australia in </w:t>
      </w:r>
      <w:r w:rsidRPr="009222B2">
        <w:t>202</w:t>
      </w:r>
      <w:r w:rsidR="00B83C82" w:rsidRPr="009222B2">
        <w:t>3</w:t>
      </w:r>
      <w:r w:rsidRPr="009222B2">
        <w:t xml:space="preserve"> and beyond</w:t>
      </w:r>
      <w:bookmarkEnd w:id="26"/>
      <w:bookmarkEnd w:id="27"/>
    </w:p>
    <w:p w14:paraId="25087542" w14:textId="47539ECC" w:rsidR="00D405A8" w:rsidRPr="009222B2" w:rsidRDefault="00D405A8" w:rsidP="00D405A8">
      <w:pPr>
        <w:pStyle w:val="Heading2"/>
      </w:pPr>
      <w:bookmarkStart w:id="28" w:name="_Toc72165387"/>
      <w:bookmarkStart w:id="29" w:name="_Toc128991506"/>
      <w:r w:rsidRPr="009222B2">
        <w:t>Key challenges for prevention and control of vaccine-preventable diseases through immunisation</w:t>
      </w:r>
      <w:bookmarkEnd w:id="28"/>
      <w:bookmarkEnd w:id="29"/>
    </w:p>
    <w:p w14:paraId="492BA6DE" w14:textId="5F2BA742" w:rsidR="009F4413" w:rsidRPr="009222B2" w:rsidRDefault="00D23B77" w:rsidP="009F4413">
      <w:pPr>
        <w:pStyle w:val="Bullet"/>
      </w:pPr>
      <w:r w:rsidRPr="009222B2">
        <w:t xml:space="preserve">Maintaining </w:t>
      </w:r>
      <w:r w:rsidR="00DA1919" w:rsidRPr="009222B2">
        <w:t xml:space="preserve">rapid policy response </w:t>
      </w:r>
      <w:r w:rsidR="00730BD0" w:rsidRPr="009222B2">
        <w:t xml:space="preserve">for </w:t>
      </w:r>
      <w:r w:rsidR="009F4413" w:rsidRPr="009222B2">
        <w:t xml:space="preserve">emerging and re-emerging VPDs such as JE, </w:t>
      </w:r>
      <w:r w:rsidR="00AD5E87" w:rsidRPr="009222B2">
        <w:t>m</w:t>
      </w:r>
      <w:r w:rsidR="00AA258F" w:rsidRPr="009222B2">
        <w:t>pox</w:t>
      </w:r>
      <w:r w:rsidR="009F4413" w:rsidRPr="009222B2">
        <w:t>, measles and polio</w:t>
      </w:r>
      <w:r w:rsidR="009A1388" w:rsidRPr="009222B2">
        <w:t>.</w:t>
      </w:r>
    </w:p>
    <w:p w14:paraId="515D25BE" w14:textId="7EF209F8" w:rsidR="000A2302" w:rsidRPr="009222B2" w:rsidRDefault="000A2302" w:rsidP="00D2387A">
      <w:pPr>
        <w:pStyle w:val="Bullet"/>
      </w:pPr>
      <w:r w:rsidRPr="009222B2">
        <w:t>I</w:t>
      </w:r>
      <w:r w:rsidR="00BE59C2" w:rsidRPr="009222B2">
        <w:t>mproving</w:t>
      </w:r>
      <w:r w:rsidRPr="009222B2">
        <w:t xml:space="preserve"> uptake of vaccines </w:t>
      </w:r>
      <w:r w:rsidR="009F4413" w:rsidRPr="009222B2">
        <w:t>in</w:t>
      </w:r>
      <w:r w:rsidRPr="009222B2">
        <w:t xml:space="preserve"> </w:t>
      </w:r>
      <w:r w:rsidR="009F4413" w:rsidRPr="009222B2">
        <w:t xml:space="preserve">risk groups </w:t>
      </w:r>
      <w:r w:rsidR="003E1813" w:rsidRPr="009222B2">
        <w:t>in the context of</w:t>
      </w:r>
      <w:r w:rsidR="009F4413" w:rsidRPr="009222B2">
        <w:t xml:space="preserve"> pandemic-related vaccination fatigue</w:t>
      </w:r>
      <w:r w:rsidR="00D07D86" w:rsidRPr="009222B2">
        <w:t>.</w:t>
      </w:r>
      <w:r w:rsidR="00ED38E6" w:rsidRPr="009222B2">
        <w:t xml:space="preserve"> </w:t>
      </w:r>
      <w:r w:rsidR="00D07D86" w:rsidRPr="009222B2">
        <w:t>During 2022</w:t>
      </w:r>
      <w:r w:rsidR="00CA4BC4" w:rsidRPr="009222B2">
        <w:t xml:space="preserve">, </w:t>
      </w:r>
      <w:hyperlink r:id="rId80" w:history="1">
        <w:r w:rsidR="00CA4BC4" w:rsidRPr="009222B2">
          <w:rPr>
            <w:rStyle w:val="Hyperlink"/>
          </w:rPr>
          <w:t>vaccine sentiment monitoring</w:t>
        </w:r>
      </w:hyperlink>
      <w:r w:rsidR="00CA4BC4" w:rsidRPr="009222B2">
        <w:t xml:space="preserve"> showed that community intentions to vaccinate have decreased</w:t>
      </w:r>
      <w:r w:rsidR="004530FB" w:rsidRPr="009222B2">
        <w:t xml:space="preserve">, particularly </w:t>
      </w:r>
      <w:r w:rsidR="005B3E90" w:rsidRPr="009222B2">
        <w:t>for those considering receiving a third COVID-19 vaccine dose.</w:t>
      </w:r>
    </w:p>
    <w:p w14:paraId="5F5D0BEA" w14:textId="28BC721C" w:rsidR="00DA1919" w:rsidRPr="009222B2" w:rsidRDefault="00DA1919" w:rsidP="00DA1919">
      <w:pPr>
        <w:pStyle w:val="Bullet"/>
      </w:pPr>
      <w:r w:rsidRPr="009222B2">
        <w:t>Maintaining community confidence in Australia’s vaccination program</w:t>
      </w:r>
      <w:r w:rsidR="00F84A57" w:rsidRPr="009222B2">
        <w:t xml:space="preserve">, despite </w:t>
      </w:r>
      <w:r w:rsidR="009A1388" w:rsidRPr="009222B2">
        <w:t>the spread</w:t>
      </w:r>
      <w:r w:rsidR="00F84A57" w:rsidRPr="009222B2">
        <w:t xml:space="preserve"> of misinformation</w:t>
      </w:r>
      <w:r w:rsidR="009A1388" w:rsidRPr="009222B2">
        <w:t>.</w:t>
      </w:r>
    </w:p>
    <w:p w14:paraId="736E8234" w14:textId="60725B8F" w:rsidR="000A2302" w:rsidRPr="009222B2" w:rsidRDefault="000A2302" w:rsidP="00D2387A">
      <w:pPr>
        <w:pStyle w:val="BulletLast"/>
        <w:spacing w:after="120"/>
      </w:pPr>
      <w:r w:rsidRPr="009222B2">
        <w:t xml:space="preserve">Ensuring equitable access to NIP-funded vaccines for First Nations communities and </w:t>
      </w:r>
      <w:r w:rsidR="00D62BF7" w:rsidRPr="009222B2">
        <w:t>other priority populations.</w:t>
      </w:r>
    </w:p>
    <w:p w14:paraId="4E341F90" w14:textId="2A4D6922" w:rsidR="002A301F" w:rsidRPr="009222B2" w:rsidRDefault="005825A2" w:rsidP="00D2387A">
      <w:pPr>
        <w:pStyle w:val="Bullet"/>
      </w:pPr>
      <w:r w:rsidRPr="009222B2">
        <w:t>Monitoring</w:t>
      </w:r>
      <w:r w:rsidR="002A301F" w:rsidRPr="009222B2">
        <w:t xml:space="preserve"> safety of </w:t>
      </w:r>
      <w:r w:rsidR="00C52DCB" w:rsidRPr="009222B2">
        <w:t xml:space="preserve">new and </w:t>
      </w:r>
      <w:r w:rsidR="007C4B14" w:rsidRPr="009222B2">
        <w:t>established</w:t>
      </w:r>
      <w:r w:rsidR="00C52DCB" w:rsidRPr="009222B2">
        <w:t xml:space="preserve"> </w:t>
      </w:r>
      <w:r w:rsidR="002A301F" w:rsidRPr="009222B2">
        <w:t>COVID-19 vaccines</w:t>
      </w:r>
      <w:r w:rsidRPr="009222B2">
        <w:t>, and effectiveness</w:t>
      </w:r>
      <w:r w:rsidR="00C52DCB" w:rsidRPr="009222B2">
        <w:t xml:space="preserve"> </w:t>
      </w:r>
      <w:r w:rsidR="002A301F" w:rsidRPr="009222B2">
        <w:t>against new variants of concern.</w:t>
      </w:r>
    </w:p>
    <w:p w14:paraId="29A69248" w14:textId="1E2F706B" w:rsidR="000C35E8" w:rsidRPr="009222B2" w:rsidRDefault="000C35E8" w:rsidP="00D2387A">
      <w:pPr>
        <w:pStyle w:val="Bullet"/>
      </w:pPr>
      <w:r w:rsidRPr="009222B2">
        <w:t xml:space="preserve">Monitoring safety, effectiveness and </w:t>
      </w:r>
      <w:r w:rsidR="009A1388" w:rsidRPr="009222B2">
        <w:t>the best</w:t>
      </w:r>
      <w:r w:rsidRPr="009222B2">
        <w:t xml:space="preserve"> schedule </w:t>
      </w:r>
      <w:r w:rsidR="00217472" w:rsidRPr="009222B2">
        <w:t>for</w:t>
      </w:r>
      <w:r w:rsidRPr="009222B2">
        <w:t xml:space="preserve"> </w:t>
      </w:r>
      <w:r w:rsidR="0048498F" w:rsidRPr="009222B2">
        <w:t>new</w:t>
      </w:r>
      <w:r w:rsidR="001565E7" w:rsidRPr="009222B2">
        <w:t>ly</w:t>
      </w:r>
      <w:r w:rsidR="00CA4BC4" w:rsidRPr="009222B2">
        <w:t xml:space="preserve"> </w:t>
      </w:r>
      <w:r w:rsidR="001565E7" w:rsidRPr="009222B2">
        <w:t>introduced</w:t>
      </w:r>
      <w:r w:rsidR="0048498F" w:rsidRPr="009222B2">
        <w:t xml:space="preserve"> vaccine</w:t>
      </w:r>
      <w:r w:rsidR="001565E7" w:rsidRPr="009222B2">
        <w:t xml:space="preserve"> programs</w:t>
      </w:r>
      <w:r w:rsidR="0048498F" w:rsidRPr="009222B2">
        <w:t xml:space="preserve"> such as </w:t>
      </w:r>
      <w:r w:rsidRPr="009222B2">
        <w:t xml:space="preserve">JE and </w:t>
      </w:r>
      <w:r w:rsidR="00AD5E87" w:rsidRPr="009222B2">
        <w:t>m</w:t>
      </w:r>
      <w:r w:rsidR="00AA258F" w:rsidRPr="009222B2">
        <w:t>pox</w:t>
      </w:r>
      <w:r w:rsidR="00CA4BC4" w:rsidRPr="009222B2">
        <w:t>.</w:t>
      </w:r>
    </w:p>
    <w:p w14:paraId="473E75CA" w14:textId="1CF868D4" w:rsidR="004C4F04" w:rsidRPr="009222B2" w:rsidRDefault="009F4413" w:rsidP="00D2387A">
      <w:pPr>
        <w:pStyle w:val="Bullet"/>
      </w:pPr>
      <w:r w:rsidRPr="009222B2">
        <w:t xml:space="preserve">Continuous monitoring for </w:t>
      </w:r>
      <w:r w:rsidR="009A1388" w:rsidRPr="009222B2">
        <w:t xml:space="preserve">the entry </w:t>
      </w:r>
      <w:r w:rsidR="005C022E" w:rsidRPr="009222B2">
        <w:t>of high</w:t>
      </w:r>
      <w:r w:rsidRPr="009222B2">
        <w:t xml:space="preserve">-consequence VPDs </w:t>
      </w:r>
      <w:r w:rsidR="009A1388" w:rsidRPr="009222B2">
        <w:t xml:space="preserve">into Australia </w:t>
      </w:r>
      <w:r w:rsidRPr="009222B2">
        <w:t xml:space="preserve">due to increasing travel, including </w:t>
      </w:r>
      <w:r w:rsidR="00085D7C" w:rsidRPr="009222B2">
        <w:t>from</w:t>
      </w:r>
      <w:r w:rsidRPr="009222B2">
        <w:t xml:space="preserve"> areas with reduced vaccination coverage due to the COVID-19 pandemic</w:t>
      </w:r>
      <w:r w:rsidR="00067546" w:rsidRPr="009222B2">
        <w:t>.</w:t>
      </w:r>
    </w:p>
    <w:p w14:paraId="16E8F7CF" w14:textId="66291189" w:rsidR="00555556" w:rsidRPr="009222B2" w:rsidRDefault="00555556" w:rsidP="00BA03D1">
      <w:pPr>
        <w:pStyle w:val="BulletLast"/>
      </w:pPr>
      <w:r w:rsidRPr="009222B2">
        <w:t xml:space="preserve">Maintaining high </w:t>
      </w:r>
      <w:r w:rsidR="009A1388" w:rsidRPr="009222B2">
        <w:t>1</w:t>
      </w:r>
      <w:r w:rsidR="002161F1" w:rsidRPr="009222B2">
        <w:t>-</w:t>
      </w:r>
      <w:r w:rsidR="00E84092" w:rsidRPr="009222B2">
        <w:t xml:space="preserve">dose </w:t>
      </w:r>
      <w:r w:rsidRPr="009222B2">
        <w:t xml:space="preserve">coverage of HPV vaccine through the school-based program </w:t>
      </w:r>
      <w:r w:rsidR="009A1388" w:rsidRPr="009222B2">
        <w:t>after</w:t>
      </w:r>
      <w:r w:rsidRPr="009222B2">
        <w:t xml:space="preserve"> changes to the </w:t>
      </w:r>
      <w:r w:rsidR="00615567" w:rsidRPr="009222B2">
        <w:t xml:space="preserve">NIP </w:t>
      </w:r>
      <w:r w:rsidRPr="009222B2">
        <w:t>HPV vaccination schedule.</w:t>
      </w:r>
    </w:p>
    <w:p w14:paraId="417041A0" w14:textId="28BA57B2" w:rsidR="00D405A8" w:rsidRPr="009222B2" w:rsidRDefault="00D405A8" w:rsidP="00D405A8">
      <w:pPr>
        <w:pStyle w:val="Heading2"/>
      </w:pPr>
      <w:bookmarkStart w:id="30" w:name="_Toc72165388"/>
      <w:bookmarkStart w:id="31" w:name="_Toc128991507"/>
      <w:bookmarkStart w:id="32" w:name="_Hlk128478688"/>
      <w:r w:rsidRPr="009222B2">
        <w:t xml:space="preserve">ATAGI’s priority actions for </w:t>
      </w:r>
      <w:bookmarkEnd w:id="30"/>
      <w:r w:rsidR="004C4F04" w:rsidRPr="009222B2">
        <w:t>2023</w:t>
      </w:r>
      <w:bookmarkEnd w:id="31"/>
    </w:p>
    <w:bookmarkEnd w:id="32"/>
    <w:p w14:paraId="1945F373" w14:textId="4FF13B51" w:rsidR="00851C7A" w:rsidRPr="009222B2" w:rsidRDefault="00851C7A" w:rsidP="00851C7A">
      <w:pPr>
        <w:pStyle w:val="Heading3"/>
      </w:pPr>
      <w:r w:rsidRPr="009222B2">
        <w:t>Ongoing priorities</w:t>
      </w:r>
    </w:p>
    <w:p w14:paraId="44ED9855" w14:textId="70BED022" w:rsidR="00851C7A" w:rsidRPr="009222B2" w:rsidRDefault="00851C7A" w:rsidP="00851C7A">
      <w:pPr>
        <w:pStyle w:val="BulletBeforeDash"/>
      </w:pPr>
      <w:r w:rsidRPr="009222B2">
        <w:t xml:space="preserve">Advise on immunisation policies that </w:t>
      </w:r>
      <w:r w:rsidR="00E16260" w:rsidRPr="009222B2">
        <w:t>improve</w:t>
      </w:r>
      <w:r w:rsidRPr="009222B2">
        <w:t xml:space="preserve"> access to NIP-funded vaccines for </w:t>
      </w:r>
      <w:r w:rsidR="008D21E5" w:rsidRPr="009222B2">
        <w:t xml:space="preserve">priority </w:t>
      </w:r>
      <w:r w:rsidRPr="009222B2">
        <w:t xml:space="preserve">population groups, as well as reliable systems to capture uptake in these groups. Priorities for consideration </w:t>
      </w:r>
      <w:r w:rsidR="00851952" w:rsidRPr="009222B2">
        <w:t>include</w:t>
      </w:r>
      <w:r w:rsidRPr="009222B2">
        <w:t>:</w:t>
      </w:r>
    </w:p>
    <w:p w14:paraId="69F9D71C" w14:textId="06F72BDB" w:rsidR="00851C7A" w:rsidRPr="009222B2" w:rsidRDefault="00851C7A" w:rsidP="00851C7A">
      <w:pPr>
        <w:pStyle w:val="Dash"/>
      </w:pPr>
      <w:r w:rsidRPr="009222B2">
        <w:t xml:space="preserve">hepatitis B vaccination for non-immune adults </w:t>
      </w:r>
      <w:r w:rsidR="00182DCF" w:rsidRPr="009222B2">
        <w:t xml:space="preserve">from </w:t>
      </w:r>
      <w:r w:rsidRPr="009222B2">
        <w:t>First Nations communities</w:t>
      </w:r>
    </w:p>
    <w:p w14:paraId="30BE2C08" w14:textId="6ADCE249" w:rsidR="00851C7A" w:rsidRPr="009222B2" w:rsidRDefault="00851C7A" w:rsidP="00851C7A">
      <w:pPr>
        <w:pStyle w:val="Dash"/>
      </w:pPr>
      <w:r w:rsidRPr="009222B2">
        <w:t xml:space="preserve">pneumococcal vaccination for younger adults </w:t>
      </w:r>
      <w:r w:rsidR="00182DCF" w:rsidRPr="009222B2">
        <w:t>from</w:t>
      </w:r>
      <w:r w:rsidRPr="009222B2">
        <w:t xml:space="preserve"> First Nations communities</w:t>
      </w:r>
      <w:r w:rsidRPr="009222B2" w:rsidDel="007361C9">
        <w:t xml:space="preserve"> </w:t>
      </w:r>
      <w:r w:rsidRPr="009222B2">
        <w:t>(age</w:t>
      </w:r>
      <w:r w:rsidR="00012A9C" w:rsidRPr="009222B2">
        <w:t>d</w:t>
      </w:r>
      <w:r w:rsidRPr="009222B2">
        <w:t xml:space="preserve"> </w:t>
      </w:r>
      <w:r w:rsidR="004D41DD" w:rsidRPr="009222B2">
        <w:t xml:space="preserve">under </w:t>
      </w:r>
      <w:r w:rsidRPr="009222B2">
        <w:t>50 years)</w:t>
      </w:r>
    </w:p>
    <w:p w14:paraId="0AAC071A" w14:textId="0758E34F" w:rsidR="00851C7A" w:rsidRPr="009222B2" w:rsidRDefault="00851C7A" w:rsidP="00851C7A">
      <w:pPr>
        <w:pStyle w:val="Dash"/>
      </w:pPr>
      <w:r w:rsidRPr="009222B2">
        <w:t>expan</w:t>
      </w:r>
      <w:r w:rsidR="004D41DD" w:rsidRPr="009222B2">
        <w:t>ding</w:t>
      </w:r>
      <w:r w:rsidRPr="009222B2">
        <w:t xml:space="preserve"> eligible medical risk conditions for receiving NIP-funded influenza vaccines</w:t>
      </w:r>
    </w:p>
    <w:p w14:paraId="04991BE8" w14:textId="77777777" w:rsidR="00851C7A" w:rsidRPr="009222B2" w:rsidRDefault="00851C7A" w:rsidP="00851C7A">
      <w:pPr>
        <w:pStyle w:val="DashLast"/>
      </w:pPr>
      <w:r w:rsidRPr="009222B2">
        <w:t>catch-up measles vaccination for non-immune people born since 1966.</w:t>
      </w:r>
    </w:p>
    <w:p w14:paraId="2F5BAB0A" w14:textId="1270849B" w:rsidR="00851952" w:rsidRPr="009222B2" w:rsidRDefault="00851952" w:rsidP="00851952">
      <w:pPr>
        <w:pStyle w:val="Bullet"/>
      </w:pPr>
      <w:r w:rsidRPr="009222B2">
        <w:t xml:space="preserve">Strengthen the evaluation of evidence and continue publishing evidence-based immunisation recommendations through the </w:t>
      </w:r>
      <w:hyperlink r:id="rId81">
        <w:r w:rsidR="00C64980">
          <w:rPr>
            <w:rStyle w:val="Hyperlink"/>
          </w:rPr>
          <w:t>Australian Immunisation H</w:t>
        </w:r>
        <w:r w:rsidRPr="009222B2">
          <w:rPr>
            <w:rStyle w:val="Hyperlink"/>
          </w:rPr>
          <w:t>andbook</w:t>
        </w:r>
      </w:hyperlink>
      <w:r w:rsidRPr="009222B2">
        <w:t>.</w:t>
      </w:r>
      <w:r w:rsidR="00516302" w:rsidRPr="009222B2">
        <w:t xml:space="preserve"> This includes continuing to work closely with </w:t>
      </w:r>
      <w:r w:rsidR="00516302" w:rsidRPr="009222B2">
        <w:rPr>
          <w:color w:val="000000" w:themeColor="text1"/>
          <w:szCs w:val="22"/>
        </w:rPr>
        <w:t xml:space="preserve">the National Health and Medical Research Council to </w:t>
      </w:r>
      <w:r w:rsidR="004D41DD" w:rsidRPr="009222B2">
        <w:rPr>
          <w:color w:val="000000" w:themeColor="text1"/>
          <w:szCs w:val="22"/>
        </w:rPr>
        <w:t>streamline its endorsement of</w:t>
      </w:r>
      <w:r w:rsidR="00516302" w:rsidRPr="009222B2">
        <w:rPr>
          <w:color w:val="000000" w:themeColor="text1"/>
          <w:szCs w:val="22"/>
        </w:rPr>
        <w:t xml:space="preserve"> Handbook recommendations.</w:t>
      </w:r>
    </w:p>
    <w:p w14:paraId="780929A3" w14:textId="60FA071E" w:rsidR="00516302" w:rsidRPr="009222B2" w:rsidRDefault="00516302" w:rsidP="00516302">
      <w:pPr>
        <w:pStyle w:val="Bullet"/>
      </w:pPr>
      <w:r w:rsidRPr="009222B2">
        <w:rPr>
          <w:color w:val="000000" w:themeColor="text1"/>
          <w:szCs w:val="22"/>
        </w:rPr>
        <w:t>Continue to work with international partners, including national immunisation technical advisory groups of other countries.</w:t>
      </w:r>
    </w:p>
    <w:p w14:paraId="15BA10CA" w14:textId="667E8B52" w:rsidR="00533065" w:rsidRPr="009222B2" w:rsidRDefault="00516302" w:rsidP="00516302">
      <w:pPr>
        <w:pStyle w:val="Bullet"/>
      </w:pPr>
      <w:r w:rsidRPr="009222B2">
        <w:t xml:space="preserve">Support the development of evidence-based immunisation resources that are culturally sensitive and appropriate </w:t>
      </w:r>
      <w:r w:rsidR="004D41DD" w:rsidRPr="009222B2">
        <w:t>for</w:t>
      </w:r>
      <w:r w:rsidRPr="009222B2">
        <w:t xml:space="preserve"> unique First Nations communities.</w:t>
      </w:r>
    </w:p>
    <w:p w14:paraId="3D082C0F" w14:textId="2683DB4D" w:rsidR="00851952" w:rsidRPr="009222B2" w:rsidRDefault="00851952" w:rsidP="00BA03D1">
      <w:pPr>
        <w:pStyle w:val="BulletLast"/>
      </w:pPr>
      <w:r w:rsidRPr="009222B2">
        <w:lastRenderedPageBreak/>
        <w:t xml:space="preserve">Scope vaccines on the horizon for potential </w:t>
      </w:r>
      <w:r w:rsidR="004D5B04" w:rsidRPr="009222B2">
        <w:t xml:space="preserve">inclusion in the </w:t>
      </w:r>
      <w:r w:rsidRPr="009222B2">
        <w:t>NI</w:t>
      </w:r>
      <w:r w:rsidR="004D5B04" w:rsidRPr="009222B2">
        <w:t>P</w:t>
      </w:r>
      <w:r w:rsidR="003C6450" w:rsidRPr="009222B2">
        <w:t>. These</w:t>
      </w:r>
      <w:r w:rsidR="00533065" w:rsidRPr="009222B2">
        <w:t xml:space="preserve"> </w:t>
      </w:r>
      <w:r w:rsidRPr="009222B2">
        <w:t>may include newer influenza</w:t>
      </w:r>
      <w:r w:rsidR="00674414">
        <w:t xml:space="preserve">, herpes zoster and </w:t>
      </w:r>
      <w:r w:rsidRPr="009222B2">
        <w:t>pneumococcal vaccines</w:t>
      </w:r>
      <w:r w:rsidR="00674414">
        <w:t>;</w:t>
      </w:r>
      <w:r w:rsidR="00480FB2">
        <w:t xml:space="preserve"> and new</w:t>
      </w:r>
      <w:r w:rsidR="003C4A62" w:rsidRPr="009222B2">
        <w:t xml:space="preserve"> RSV vaccine</w:t>
      </w:r>
      <w:r w:rsidR="00D72671" w:rsidRPr="009222B2">
        <w:t>s</w:t>
      </w:r>
      <w:r w:rsidR="003C4A62" w:rsidRPr="009222B2">
        <w:t xml:space="preserve"> and</w:t>
      </w:r>
      <w:r w:rsidR="00533065" w:rsidRPr="009222B2">
        <w:t xml:space="preserve"> </w:t>
      </w:r>
      <w:r w:rsidRPr="009222B2">
        <w:t>group</w:t>
      </w:r>
      <w:r w:rsidR="003C6450" w:rsidRPr="009222B2">
        <w:t> </w:t>
      </w:r>
      <w:r w:rsidR="00906803" w:rsidRPr="009222B2">
        <w:t>B</w:t>
      </w:r>
      <w:r w:rsidRPr="009222B2">
        <w:t xml:space="preserve"> </w:t>
      </w:r>
      <w:r w:rsidRPr="009222B2">
        <w:rPr>
          <w:rStyle w:val="Emphasis"/>
        </w:rPr>
        <w:t>Streptococcus</w:t>
      </w:r>
      <w:r w:rsidRPr="009222B2">
        <w:rPr>
          <w:i/>
          <w:iCs/>
        </w:rPr>
        <w:t xml:space="preserve"> </w:t>
      </w:r>
      <w:r w:rsidRPr="009222B2">
        <w:t xml:space="preserve">vaccines. NIP vaccines must show benefits </w:t>
      </w:r>
      <w:r w:rsidR="004D41DD" w:rsidRPr="009222B2">
        <w:t>for</w:t>
      </w:r>
      <w:r w:rsidRPr="009222B2">
        <w:t xml:space="preserve"> the Australian population or high-risk population groups, and be cost-effective.</w:t>
      </w:r>
    </w:p>
    <w:p w14:paraId="021BDA68" w14:textId="33FC537F" w:rsidR="00851C7A" w:rsidRPr="009222B2" w:rsidRDefault="000C35E8" w:rsidP="00012A9C">
      <w:pPr>
        <w:pStyle w:val="Heading3"/>
      </w:pPr>
      <w:r w:rsidRPr="009222B2">
        <w:t>Specific priorities for 2023</w:t>
      </w:r>
    </w:p>
    <w:p w14:paraId="57A3A0D2" w14:textId="02F661D5" w:rsidR="009941D5" w:rsidRPr="009222B2" w:rsidRDefault="008F12C1" w:rsidP="00012A9C">
      <w:pPr>
        <w:pStyle w:val="Heading4"/>
      </w:pPr>
      <w:r w:rsidRPr="009222B2">
        <w:t>COVID</w:t>
      </w:r>
      <w:r w:rsidR="006317ED" w:rsidRPr="009222B2">
        <w:noBreakHyphen/>
      </w:r>
      <w:r w:rsidRPr="009222B2">
        <w:t>19</w:t>
      </w:r>
      <w:r w:rsidR="009941D5" w:rsidRPr="009222B2">
        <w:t xml:space="preserve"> </w:t>
      </w:r>
      <w:r w:rsidR="005B7013" w:rsidRPr="009222B2">
        <w:t>immunisation</w:t>
      </w:r>
      <w:r w:rsidR="009941D5" w:rsidRPr="009222B2">
        <w:t xml:space="preserve"> program</w:t>
      </w:r>
    </w:p>
    <w:p w14:paraId="3064F3A4" w14:textId="77777777" w:rsidR="000C7654" w:rsidRDefault="00165996" w:rsidP="008F4F0C">
      <w:pPr>
        <w:pStyle w:val="Bullet"/>
      </w:pPr>
      <w:r>
        <w:t>Continuing to provide timely advice as the COVID-19 vaccination program integrates into a more routine national vaccination program</w:t>
      </w:r>
      <w:r w:rsidR="00B00F7B">
        <w:t>.</w:t>
      </w:r>
      <w:r w:rsidRPr="009222B2" w:rsidDel="00165996">
        <w:t xml:space="preserve"> </w:t>
      </w:r>
    </w:p>
    <w:p w14:paraId="3AF291EF" w14:textId="3617214A" w:rsidR="00067546" w:rsidRPr="009222B2" w:rsidRDefault="00067546" w:rsidP="008F4F0C">
      <w:pPr>
        <w:pStyle w:val="Bullet"/>
      </w:pPr>
      <w:r w:rsidRPr="009222B2">
        <w:t>Continu</w:t>
      </w:r>
      <w:r w:rsidR="009F4413" w:rsidRPr="009222B2">
        <w:t>ing</w:t>
      </w:r>
      <w:r w:rsidRPr="009222B2">
        <w:t xml:space="preserve"> to advise on optimal vaccination schedules in light of new variants of concern and changing epidemiology</w:t>
      </w:r>
      <w:r w:rsidR="00A8727C" w:rsidRPr="009222B2">
        <w:t>.</w:t>
      </w:r>
    </w:p>
    <w:p w14:paraId="0802D649" w14:textId="5158E2E4" w:rsidR="00B45C9F" w:rsidRPr="009222B2" w:rsidRDefault="00B45C9F" w:rsidP="00012A9C">
      <w:pPr>
        <w:pStyle w:val="Heading4"/>
      </w:pPr>
      <w:r w:rsidRPr="009222B2">
        <w:t>Routine vaccination in Australia</w:t>
      </w:r>
    </w:p>
    <w:p w14:paraId="7EF45F2C" w14:textId="6BF158F6" w:rsidR="00B45C9F" w:rsidRPr="009222B2" w:rsidRDefault="00B45C9F" w:rsidP="00B45C9F">
      <w:pPr>
        <w:pStyle w:val="Bullet"/>
      </w:pPr>
      <w:r w:rsidRPr="009222B2">
        <w:t>Advis</w:t>
      </w:r>
      <w:r w:rsidR="004F17A2" w:rsidRPr="009222B2">
        <w:t>ing</w:t>
      </w:r>
      <w:r w:rsidRPr="009222B2">
        <w:t xml:space="preserve"> on </w:t>
      </w:r>
      <w:r w:rsidR="004F17A2" w:rsidRPr="009222B2">
        <w:t>ways to</w:t>
      </w:r>
      <w:r w:rsidR="00691A3D" w:rsidRPr="009222B2">
        <w:t xml:space="preserve"> </w:t>
      </w:r>
      <w:r w:rsidR="008F4F0C" w:rsidRPr="009222B2">
        <w:t>i</w:t>
      </w:r>
      <w:r w:rsidR="004F17A2" w:rsidRPr="009222B2">
        <w:t>mprove</w:t>
      </w:r>
      <w:r w:rsidR="008F4F0C" w:rsidRPr="009222B2">
        <w:t xml:space="preserve"> uptake of </w:t>
      </w:r>
      <w:r w:rsidR="00210D1D" w:rsidRPr="009222B2">
        <w:t>influenza vaccine</w:t>
      </w:r>
      <w:r w:rsidR="00224625" w:rsidRPr="009222B2">
        <w:t xml:space="preserve">, </w:t>
      </w:r>
      <w:r w:rsidR="0010067E" w:rsidRPr="009222B2">
        <w:t>given</w:t>
      </w:r>
      <w:r w:rsidR="00067546" w:rsidRPr="009222B2">
        <w:t xml:space="preserve"> </w:t>
      </w:r>
      <w:r w:rsidR="00CD34D4" w:rsidRPr="009222B2">
        <w:t xml:space="preserve">the </w:t>
      </w:r>
      <w:r w:rsidR="008857C3" w:rsidRPr="009222B2">
        <w:t>increasing</w:t>
      </w:r>
      <w:r w:rsidR="00067546" w:rsidRPr="009222B2">
        <w:t xml:space="preserve"> disease burde</w:t>
      </w:r>
      <w:r w:rsidR="00BE4A08" w:rsidRPr="009222B2">
        <w:t>n</w:t>
      </w:r>
      <w:r w:rsidRPr="009222B2">
        <w:t>.</w:t>
      </w:r>
    </w:p>
    <w:p w14:paraId="1F784A4A" w14:textId="58BAE199" w:rsidR="00067546" w:rsidRPr="009222B2" w:rsidRDefault="00067546" w:rsidP="00B45C9F">
      <w:pPr>
        <w:pStyle w:val="Bullet"/>
      </w:pPr>
      <w:r w:rsidRPr="009222B2">
        <w:t>Continu</w:t>
      </w:r>
      <w:r w:rsidR="004F17A2" w:rsidRPr="009222B2">
        <w:t>ing</w:t>
      </w:r>
      <w:r w:rsidRPr="009222B2">
        <w:t xml:space="preserve"> to advise on the optimal schedule fo</w:t>
      </w:r>
      <w:r w:rsidR="007E24DE" w:rsidRPr="009222B2">
        <w:t xml:space="preserve">r </w:t>
      </w:r>
      <w:r w:rsidR="00ED38E6" w:rsidRPr="009222B2">
        <w:t xml:space="preserve">existing </w:t>
      </w:r>
      <w:r w:rsidRPr="009222B2">
        <w:t>vaccination programs in Australia,</w:t>
      </w:r>
      <w:r w:rsidR="00ED38E6" w:rsidRPr="009222B2">
        <w:t xml:space="preserve"> such </w:t>
      </w:r>
      <w:r w:rsidR="007E24DE" w:rsidRPr="009222B2">
        <w:t xml:space="preserve">as </w:t>
      </w:r>
      <w:r w:rsidR="003C6450" w:rsidRPr="009222B2">
        <w:t xml:space="preserve">the program for </w:t>
      </w:r>
      <w:r w:rsidR="00ED38E6" w:rsidRPr="009222B2">
        <w:t>pneumococcal</w:t>
      </w:r>
      <w:r w:rsidR="007E24DE" w:rsidRPr="009222B2">
        <w:t xml:space="preserve"> disease</w:t>
      </w:r>
      <w:r w:rsidR="00C509E6" w:rsidRPr="009222B2">
        <w:t>.</w:t>
      </w:r>
    </w:p>
    <w:p w14:paraId="531C11C0" w14:textId="5A0527CF" w:rsidR="00BE4A08" w:rsidRPr="009222B2" w:rsidRDefault="00BE4A08" w:rsidP="00BA03D1">
      <w:pPr>
        <w:pStyle w:val="BulletLast"/>
      </w:pPr>
      <w:r w:rsidRPr="009222B2">
        <w:t>Maintain</w:t>
      </w:r>
      <w:r w:rsidR="004F17A2" w:rsidRPr="009222B2">
        <w:t>ing</w:t>
      </w:r>
      <w:r w:rsidRPr="009222B2">
        <w:t xml:space="preserve"> high coverage for routine vaccination</w:t>
      </w:r>
      <w:r w:rsidR="001E1B32" w:rsidRPr="009222B2">
        <w:t>s</w:t>
      </w:r>
      <w:r w:rsidRPr="009222B2">
        <w:t xml:space="preserve"> such as measles, diphtheria</w:t>
      </w:r>
      <w:r w:rsidR="004D41DD" w:rsidRPr="009222B2">
        <w:t xml:space="preserve"> and</w:t>
      </w:r>
      <w:r w:rsidRPr="009222B2">
        <w:t xml:space="preserve"> polio</w:t>
      </w:r>
      <w:r w:rsidR="001E1B32" w:rsidRPr="009222B2">
        <w:t>, given re-eme</w:t>
      </w:r>
      <w:r w:rsidR="004E4EBB" w:rsidRPr="009222B2">
        <w:t>rgence</w:t>
      </w:r>
      <w:r w:rsidR="004D41DD" w:rsidRPr="009222B2">
        <w:t xml:space="preserve"> of these diseases</w:t>
      </w:r>
      <w:r w:rsidR="004E4EBB" w:rsidRPr="009222B2">
        <w:t xml:space="preserve"> globally</w:t>
      </w:r>
      <w:r w:rsidR="00C509E6" w:rsidRPr="009222B2">
        <w:t>.</w:t>
      </w:r>
    </w:p>
    <w:p w14:paraId="3ED19433" w14:textId="4ED41307" w:rsidR="007E24DE" w:rsidRPr="009222B2" w:rsidRDefault="007E24DE" w:rsidP="00E7261D">
      <w:pPr>
        <w:pStyle w:val="Heading4"/>
      </w:pPr>
      <w:r w:rsidRPr="009222B2">
        <w:t xml:space="preserve">Emerging </w:t>
      </w:r>
      <w:r w:rsidR="00B93920" w:rsidRPr="009222B2">
        <w:t xml:space="preserve">and re-emerging </w:t>
      </w:r>
      <w:r w:rsidR="00471E6F" w:rsidRPr="009222B2">
        <w:t>vaccine-preventable disease</w:t>
      </w:r>
      <w:r w:rsidRPr="009222B2">
        <w:t>s</w:t>
      </w:r>
    </w:p>
    <w:p w14:paraId="3C999B4A" w14:textId="12D5137B" w:rsidR="007E24DE" w:rsidRPr="009222B2" w:rsidRDefault="007E24DE" w:rsidP="00BA03D1">
      <w:pPr>
        <w:pStyle w:val="BulletLast"/>
      </w:pPr>
      <w:r w:rsidRPr="009222B2">
        <w:t>Advising on implementation of</w:t>
      </w:r>
      <w:r w:rsidR="000C4C33" w:rsidRPr="009222B2">
        <w:t xml:space="preserve"> </w:t>
      </w:r>
      <w:r w:rsidRPr="009222B2">
        <w:t>vaccine programs for emerging</w:t>
      </w:r>
      <w:r w:rsidR="00B93920" w:rsidRPr="009222B2">
        <w:t xml:space="preserve"> and re-emerging</w:t>
      </w:r>
      <w:r w:rsidRPr="009222B2">
        <w:t xml:space="preserve"> diseases</w:t>
      </w:r>
      <w:r w:rsidR="000C4C33" w:rsidRPr="009222B2">
        <w:t>,</w:t>
      </w:r>
      <w:r w:rsidRPr="009222B2">
        <w:t xml:space="preserve"> including JE</w:t>
      </w:r>
      <w:r w:rsidR="00B93920" w:rsidRPr="009222B2">
        <w:t>,</w:t>
      </w:r>
      <w:r w:rsidRPr="009222B2">
        <w:t xml:space="preserve"> </w:t>
      </w:r>
      <w:r w:rsidR="00AD5E87" w:rsidRPr="009222B2">
        <w:t>m</w:t>
      </w:r>
      <w:r w:rsidR="00AA258F" w:rsidRPr="009222B2">
        <w:t>pox</w:t>
      </w:r>
      <w:r w:rsidR="00B93920" w:rsidRPr="009222B2">
        <w:t xml:space="preserve"> and </w:t>
      </w:r>
      <w:r w:rsidR="00344FC1" w:rsidRPr="009222B2">
        <w:t>poliomyelitis</w:t>
      </w:r>
      <w:r w:rsidR="00C509E6" w:rsidRPr="009222B2">
        <w:t>.</w:t>
      </w:r>
    </w:p>
    <w:p w14:paraId="41D511B3" w14:textId="4C56B696" w:rsidR="009941D5" w:rsidRPr="009222B2" w:rsidRDefault="009F4413" w:rsidP="00012A9C">
      <w:pPr>
        <w:pStyle w:val="Heading4"/>
      </w:pPr>
      <w:r w:rsidRPr="009222B2">
        <w:t>Horizon</w:t>
      </w:r>
      <w:r w:rsidR="004D41DD" w:rsidRPr="009222B2">
        <w:t xml:space="preserve"> </w:t>
      </w:r>
      <w:r w:rsidRPr="009222B2">
        <w:t>scanning, m</w:t>
      </w:r>
      <w:r w:rsidR="009941D5" w:rsidRPr="009222B2">
        <w:t>onitoring and evaluation</w:t>
      </w:r>
    </w:p>
    <w:p w14:paraId="6C4DF518" w14:textId="669AAD53" w:rsidR="00BE4A08" w:rsidRPr="009222B2" w:rsidRDefault="009F4413" w:rsidP="00BA03D1">
      <w:pPr>
        <w:pStyle w:val="Bullet"/>
      </w:pPr>
      <w:r w:rsidRPr="009222B2">
        <w:t xml:space="preserve">Planning for the introduction of new vaccines, including </w:t>
      </w:r>
      <w:r w:rsidR="00B3644E" w:rsidRPr="009222B2">
        <w:t>RSV</w:t>
      </w:r>
      <w:r w:rsidRPr="009222B2">
        <w:t xml:space="preserve"> vaccine</w:t>
      </w:r>
      <w:r w:rsidR="00C509E6" w:rsidRPr="009222B2">
        <w:t>.</w:t>
      </w:r>
    </w:p>
    <w:p w14:paraId="6F3C2898" w14:textId="12B71B51" w:rsidR="007C515E" w:rsidRPr="009222B2" w:rsidRDefault="009F4413" w:rsidP="00BA03D1">
      <w:pPr>
        <w:pStyle w:val="Bullet"/>
      </w:pPr>
      <w:r w:rsidRPr="009222B2">
        <w:t>E</w:t>
      </w:r>
      <w:r w:rsidR="00BE4A08" w:rsidRPr="009222B2">
        <w:t>valuat</w:t>
      </w:r>
      <w:r w:rsidRPr="009222B2">
        <w:t xml:space="preserve">ing </w:t>
      </w:r>
      <w:r w:rsidR="00BE4A08" w:rsidRPr="009222B2">
        <w:t xml:space="preserve">the new </w:t>
      </w:r>
      <w:r w:rsidR="004D41DD" w:rsidRPr="009222B2">
        <w:t>1</w:t>
      </w:r>
      <w:r w:rsidR="000265D9" w:rsidRPr="009222B2">
        <w:t>-</w:t>
      </w:r>
      <w:r w:rsidR="00BE4A08" w:rsidRPr="009222B2">
        <w:t xml:space="preserve">dose </w:t>
      </w:r>
      <w:r w:rsidR="00A6632B" w:rsidRPr="009222B2">
        <w:t xml:space="preserve">schedule </w:t>
      </w:r>
      <w:r w:rsidR="005A0CEE" w:rsidRPr="009222B2">
        <w:t>for the</w:t>
      </w:r>
      <w:r w:rsidR="00A6632B" w:rsidRPr="009222B2">
        <w:t xml:space="preserve"> </w:t>
      </w:r>
      <w:r w:rsidR="00BE4A08" w:rsidRPr="009222B2">
        <w:t xml:space="preserve">HPV vaccination </w:t>
      </w:r>
      <w:r w:rsidR="00A6632B" w:rsidRPr="009222B2">
        <w:t>program</w:t>
      </w:r>
      <w:r w:rsidR="00BE4A08" w:rsidRPr="009222B2">
        <w:t>.</w:t>
      </w:r>
    </w:p>
    <w:p w14:paraId="1B748AAC" w14:textId="057559FE" w:rsidR="00F417D6" w:rsidRPr="009222B2" w:rsidRDefault="009F4413" w:rsidP="003C6450">
      <w:pPr>
        <w:pStyle w:val="BulletLast"/>
      </w:pPr>
      <w:r w:rsidRPr="009222B2">
        <w:t>Monitoring and evaluating new</w:t>
      </w:r>
      <w:r w:rsidR="00D56C08" w:rsidRPr="009222B2">
        <w:t>ly</w:t>
      </w:r>
      <w:r w:rsidR="00CA4BC4" w:rsidRPr="009222B2">
        <w:t xml:space="preserve"> </w:t>
      </w:r>
      <w:r w:rsidR="00D56C08" w:rsidRPr="009222B2">
        <w:t>established</w:t>
      </w:r>
      <w:r w:rsidRPr="009222B2">
        <w:t xml:space="preserve"> vaccine programs</w:t>
      </w:r>
      <w:r w:rsidR="00D56C08" w:rsidRPr="009222B2">
        <w:t>,</w:t>
      </w:r>
      <w:r w:rsidRPr="009222B2">
        <w:t xml:space="preserve"> including JE</w:t>
      </w:r>
      <w:r w:rsidR="007C7C74" w:rsidRPr="009222B2">
        <w:t xml:space="preserve"> and </w:t>
      </w:r>
      <w:r w:rsidR="00AD5E87" w:rsidRPr="009222B2">
        <w:t>m</w:t>
      </w:r>
      <w:r w:rsidR="00AA781F" w:rsidRPr="009222B2">
        <w:t>pox</w:t>
      </w:r>
      <w:r w:rsidR="00CA4BC4" w:rsidRPr="009222B2">
        <w:t>.</w:t>
      </w:r>
      <w:bookmarkEnd w:id="0"/>
    </w:p>
    <w:sectPr w:rsidR="00F417D6" w:rsidRPr="009222B2" w:rsidSect="00610DDB">
      <w:headerReference w:type="default" r:id="rId82"/>
      <w:footerReference w:type="even" r:id="rId83"/>
      <w:footerReference w:type="default" r:id="rId84"/>
      <w:footerReference w:type="first" r:id="rId85"/>
      <w:footnotePr>
        <w:numRestart w:val="eachSect"/>
      </w:footnotePr>
      <w:type w:val="oddPage"/>
      <w:pgSz w:w="11906" w:h="16838" w:code="9"/>
      <w:pgMar w:top="1180" w:right="1440" w:bottom="1440" w:left="1440"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ED24" w14:textId="77777777" w:rsidR="008B7712" w:rsidRDefault="008B7712">
      <w:pPr>
        <w:spacing w:after="0"/>
      </w:pPr>
      <w:r>
        <w:separator/>
      </w:r>
    </w:p>
  </w:endnote>
  <w:endnote w:type="continuationSeparator" w:id="0">
    <w:p w14:paraId="6D9469FD" w14:textId="77777777" w:rsidR="008B7712" w:rsidRDefault="008B7712">
      <w:pPr>
        <w:spacing w:after="0"/>
      </w:pPr>
      <w:r>
        <w:continuationSeparator/>
      </w:r>
    </w:p>
  </w:endnote>
  <w:endnote w:type="continuationNotice" w:id="1">
    <w:p w14:paraId="7CF021EF" w14:textId="77777777" w:rsidR="008B7712" w:rsidRDefault="008B77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elle Sans">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A800" w14:textId="61B42C16" w:rsidR="00EF1163" w:rsidRDefault="00EF1163" w:rsidP="00F36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EB0FBFE" w14:textId="77777777" w:rsidR="00EF1163" w:rsidRDefault="00EF1163"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05491"/>
      <w:docPartObj>
        <w:docPartGallery w:val="Page Numbers (Bottom of Page)"/>
        <w:docPartUnique/>
      </w:docPartObj>
    </w:sdtPr>
    <w:sdtEndPr>
      <w:rPr>
        <w:noProof/>
      </w:rPr>
    </w:sdtEndPr>
    <w:sdtContent>
      <w:p w14:paraId="66D5D6D8" w14:textId="4DE2A789" w:rsidR="00EF1163" w:rsidRDefault="00EF1163">
        <w:pPr>
          <w:pStyle w:val="Footer"/>
          <w:ind w:left="990" w:hanging="990"/>
          <w:jc w:val="right"/>
        </w:pPr>
        <w:r>
          <w:fldChar w:fldCharType="begin"/>
        </w:r>
        <w:r>
          <w:instrText xml:space="preserve"> PAGE   \* MERGEFORMAT </w:instrText>
        </w:r>
        <w:r>
          <w:fldChar w:fldCharType="separate"/>
        </w:r>
        <w:r w:rsidR="00F53AF9">
          <w:rPr>
            <w:noProof/>
          </w:rPr>
          <w:t>12</w:t>
        </w:r>
        <w:r>
          <w:rPr>
            <w:noProof/>
          </w:rPr>
          <w:fldChar w:fldCharType="end"/>
        </w:r>
      </w:p>
    </w:sdtContent>
  </w:sdt>
  <w:p w14:paraId="274FF391" w14:textId="77777777" w:rsidR="00EF1163" w:rsidRDefault="00EF1163"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2365" w14:textId="77777777" w:rsidR="00EF1163" w:rsidRDefault="00EF1163" w:rsidP="005A72C4">
    <w:pPr>
      <w:pStyle w:val="Footer"/>
      <w:jc w:val="right"/>
    </w:pPr>
    <w:r>
      <w:fldChar w:fldCharType="begin"/>
    </w:r>
    <w:r>
      <w:instrText xml:space="preserve"> PAGE   \* MERGEFORMAT </w:instrText>
    </w:r>
    <w:r>
      <w:fldChar w:fldCharType="separate"/>
    </w:r>
    <w:r w:rsidR="00F53AF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4D85" w14:textId="77777777" w:rsidR="008B7712" w:rsidRDefault="008B7712">
      <w:pPr>
        <w:spacing w:after="0"/>
      </w:pPr>
      <w:r>
        <w:separator/>
      </w:r>
    </w:p>
  </w:footnote>
  <w:footnote w:type="continuationSeparator" w:id="0">
    <w:p w14:paraId="4CCE7B2B" w14:textId="77777777" w:rsidR="008B7712" w:rsidRDefault="008B7712">
      <w:pPr>
        <w:spacing w:after="0"/>
      </w:pPr>
      <w:r>
        <w:continuationSeparator/>
      </w:r>
    </w:p>
  </w:footnote>
  <w:footnote w:type="continuationNotice" w:id="1">
    <w:p w14:paraId="55946B7B" w14:textId="77777777" w:rsidR="008B7712" w:rsidRDefault="008B77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5D55" w14:textId="497BF757" w:rsidR="00EF1163" w:rsidRPr="00E930E7" w:rsidRDefault="00EF1163" w:rsidP="00E930E7">
    <w:pPr>
      <w:spacing w:after="0"/>
      <w:ind w:firstLine="720"/>
      <w:jc w:val="right"/>
      <w:rPr>
        <w:rFonts w:ascii="Times New Roman" w:hAnsi="Times New Roman"/>
        <w:b/>
        <w:bCs/>
        <w:color w:val="auto"/>
        <w:sz w:val="18"/>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1308995">
    <w:abstractNumId w:val="4"/>
  </w:num>
  <w:num w:numId="2" w16cid:durableId="739451215">
    <w:abstractNumId w:val="5"/>
  </w:num>
  <w:num w:numId="3" w16cid:durableId="376198609">
    <w:abstractNumId w:val="7"/>
  </w:num>
  <w:num w:numId="4" w16cid:durableId="277178707">
    <w:abstractNumId w:val="1"/>
  </w:num>
  <w:num w:numId="5" w16cid:durableId="1413165777">
    <w:abstractNumId w:val="0"/>
  </w:num>
  <w:num w:numId="6" w16cid:durableId="601837354">
    <w:abstractNumId w:val="6"/>
  </w:num>
  <w:num w:numId="7" w16cid:durableId="1950578701">
    <w:abstractNumId w:val="3"/>
  </w:num>
  <w:num w:numId="8" w16cid:durableId="6483677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40"/>
    <w:rsid w:val="000016EA"/>
    <w:rsid w:val="0000373A"/>
    <w:rsid w:val="000042AE"/>
    <w:rsid w:val="00005411"/>
    <w:rsid w:val="00005623"/>
    <w:rsid w:val="000066EF"/>
    <w:rsid w:val="0000762F"/>
    <w:rsid w:val="000079BD"/>
    <w:rsid w:val="000079DC"/>
    <w:rsid w:val="00007BDA"/>
    <w:rsid w:val="0001055E"/>
    <w:rsid w:val="000109D8"/>
    <w:rsid w:val="000119A4"/>
    <w:rsid w:val="000122B0"/>
    <w:rsid w:val="00012A9C"/>
    <w:rsid w:val="00012DBA"/>
    <w:rsid w:val="00013A29"/>
    <w:rsid w:val="00014CF8"/>
    <w:rsid w:val="00015FA2"/>
    <w:rsid w:val="0001781B"/>
    <w:rsid w:val="00017ADE"/>
    <w:rsid w:val="00017E9E"/>
    <w:rsid w:val="00021A78"/>
    <w:rsid w:val="00021C83"/>
    <w:rsid w:val="00022114"/>
    <w:rsid w:val="00022701"/>
    <w:rsid w:val="0002289E"/>
    <w:rsid w:val="00023345"/>
    <w:rsid w:val="00023B4D"/>
    <w:rsid w:val="0002467C"/>
    <w:rsid w:val="00024E1C"/>
    <w:rsid w:val="00025550"/>
    <w:rsid w:val="0002586A"/>
    <w:rsid w:val="00025E23"/>
    <w:rsid w:val="000265D9"/>
    <w:rsid w:val="000269C2"/>
    <w:rsid w:val="00026B8A"/>
    <w:rsid w:val="000270ED"/>
    <w:rsid w:val="000277FD"/>
    <w:rsid w:val="00027C9B"/>
    <w:rsid w:val="00030D1B"/>
    <w:rsid w:val="00031044"/>
    <w:rsid w:val="00031497"/>
    <w:rsid w:val="000327FC"/>
    <w:rsid w:val="00032A9F"/>
    <w:rsid w:val="0003372F"/>
    <w:rsid w:val="0003389E"/>
    <w:rsid w:val="00033998"/>
    <w:rsid w:val="00033E5F"/>
    <w:rsid w:val="00034255"/>
    <w:rsid w:val="00035005"/>
    <w:rsid w:val="000352AD"/>
    <w:rsid w:val="00035524"/>
    <w:rsid w:val="00035D78"/>
    <w:rsid w:val="00037545"/>
    <w:rsid w:val="00037F39"/>
    <w:rsid w:val="000400B0"/>
    <w:rsid w:val="00040162"/>
    <w:rsid w:val="00040715"/>
    <w:rsid w:val="00040BF6"/>
    <w:rsid w:val="0004213C"/>
    <w:rsid w:val="000421BA"/>
    <w:rsid w:val="00042481"/>
    <w:rsid w:val="00042A66"/>
    <w:rsid w:val="00042CBD"/>
    <w:rsid w:val="00042FC9"/>
    <w:rsid w:val="000431D8"/>
    <w:rsid w:val="00044D13"/>
    <w:rsid w:val="000456F1"/>
    <w:rsid w:val="000465ED"/>
    <w:rsid w:val="00046C97"/>
    <w:rsid w:val="000470DA"/>
    <w:rsid w:val="0005016F"/>
    <w:rsid w:val="00050958"/>
    <w:rsid w:val="000511D9"/>
    <w:rsid w:val="00054CDC"/>
    <w:rsid w:val="000555E4"/>
    <w:rsid w:val="00055A45"/>
    <w:rsid w:val="00056EF6"/>
    <w:rsid w:val="00057363"/>
    <w:rsid w:val="00057BA7"/>
    <w:rsid w:val="00060B07"/>
    <w:rsid w:val="00061065"/>
    <w:rsid w:val="000612CB"/>
    <w:rsid w:val="00061435"/>
    <w:rsid w:val="000614AA"/>
    <w:rsid w:val="00063CB8"/>
    <w:rsid w:val="00064141"/>
    <w:rsid w:val="000648EE"/>
    <w:rsid w:val="000670E0"/>
    <w:rsid w:val="00067546"/>
    <w:rsid w:val="0007070D"/>
    <w:rsid w:val="00070F6D"/>
    <w:rsid w:val="00071499"/>
    <w:rsid w:val="000738D1"/>
    <w:rsid w:val="00073B9A"/>
    <w:rsid w:val="00073D41"/>
    <w:rsid w:val="00073E43"/>
    <w:rsid w:val="00074855"/>
    <w:rsid w:val="000750BD"/>
    <w:rsid w:val="0007581B"/>
    <w:rsid w:val="0007614D"/>
    <w:rsid w:val="0007619D"/>
    <w:rsid w:val="00076335"/>
    <w:rsid w:val="0007678D"/>
    <w:rsid w:val="000776C7"/>
    <w:rsid w:val="00077D40"/>
    <w:rsid w:val="00080BF1"/>
    <w:rsid w:val="00080EA9"/>
    <w:rsid w:val="00081A8F"/>
    <w:rsid w:val="0008220C"/>
    <w:rsid w:val="000847F6"/>
    <w:rsid w:val="000855E3"/>
    <w:rsid w:val="00085942"/>
    <w:rsid w:val="00085D7C"/>
    <w:rsid w:val="00087133"/>
    <w:rsid w:val="00092075"/>
    <w:rsid w:val="00092BC4"/>
    <w:rsid w:val="00093BC6"/>
    <w:rsid w:val="00093E9D"/>
    <w:rsid w:val="00093FC5"/>
    <w:rsid w:val="00094BC2"/>
    <w:rsid w:val="00095B40"/>
    <w:rsid w:val="00095C67"/>
    <w:rsid w:val="00096CB3"/>
    <w:rsid w:val="00097FDC"/>
    <w:rsid w:val="000A0AAC"/>
    <w:rsid w:val="000A0E45"/>
    <w:rsid w:val="000A17E7"/>
    <w:rsid w:val="000A2302"/>
    <w:rsid w:val="000A24EB"/>
    <w:rsid w:val="000A2815"/>
    <w:rsid w:val="000B0A3A"/>
    <w:rsid w:val="000B0AE3"/>
    <w:rsid w:val="000B13C5"/>
    <w:rsid w:val="000B1EA5"/>
    <w:rsid w:val="000B236C"/>
    <w:rsid w:val="000B330D"/>
    <w:rsid w:val="000B4662"/>
    <w:rsid w:val="000B4BB6"/>
    <w:rsid w:val="000B4E5E"/>
    <w:rsid w:val="000C10BA"/>
    <w:rsid w:val="000C115F"/>
    <w:rsid w:val="000C19B9"/>
    <w:rsid w:val="000C1EB5"/>
    <w:rsid w:val="000C295D"/>
    <w:rsid w:val="000C35E8"/>
    <w:rsid w:val="000C3824"/>
    <w:rsid w:val="000C40E0"/>
    <w:rsid w:val="000C44C2"/>
    <w:rsid w:val="000C4C33"/>
    <w:rsid w:val="000C51E8"/>
    <w:rsid w:val="000C61FA"/>
    <w:rsid w:val="000C66E2"/>
    <w:rsid w:val="000C6F7A"/>
    <w:rsid w:val="000C7654"/>
    <w:rsid w:val="000C7B6B"/>
    <w:rsid w:val="000D1222"/>
    <w:rsid w:val="000D12C0"/>
    <w:rsid w:val="000D4ED3"/>
    <w:rsid w:val="000D5551"/>
    <w:rsid w:val="000D5965"/>
    <w:rsid w:val="000D6606"/>
    <w:rsid w:val="000D6913"/>
    <w:rsid w:val="000E00DA"/>
    <w:rsid w:val="000E05B6"/>
    <w:rsid w:val="000E07CF"/>
    <w:rsid w:val="000E1071"/>
    <w:rsid w:val="000E1FFC"/>
    <w:rsid w:val="000E2251"/>
    <w:rsid w:val="000E3AD0"/>
    <w:rsid w:val="000E3B91"/>
    <w:rsid w:val="000E6047"/>
    <w:rsid w:val="000E7629"/>
    <w:rsid w:val="000F1020"/>
    <w:rsid w:val="000F1547"/>
    <w:rsid w:val="000F2633"/>
    <w:rsid w:val="000F2B25"/>
    <w:rsid w:val="000F33E9"/>
    <w:rsid w:val="000F3465"/>
    <w:rsid w:val="000F38D7"/>
    <w:rsid w:val="000F3A13"/>
    <w:rsid w:val="000F3AE3"/>
    <w:rsid w:val="000F5A05"/>
    <w:rsid w:val="000F5E78"/>
    <w:rsid w:val="000F6953"/>
    <w:rsid w:val="000F7602"/>
    <w:rsid w:val="0010067E"/>
    <w:rsid w:val="00100909"/>
    <w:rsid w:val="0010148C"/>
    <w:rsid w:val="001034BB"/>
    <w:rsid w:val="00103797"/>
    <w:rsid w:val="00103D2C"/>
    <w:rsid w:val="00103D47"/>
    <w:rsid w:val="001044BA"/>
    <w:rsid w:val="00104CC5"/>
    <w:rsid w:val="00104E39"/>
    <w:rsid w:val="00106201"/>
    <w:rsid w:val="0010624B"/>
    <w:rsid w:val="001079B8"/>
    <w:rsid w:val="00107AFA"/>
    <w:rsid w:val="00107D2B"/>
    <w:rsid w:val="00110406"/>
    <w:rsid w:val="0011050B"/>
    <w:rsid w:val="00110602"/>
    <w:rsid w:val="00110757"/>
    <w:rsid w:val="00110D11"/>
    <w:rsid w:val="001113BA"/>
    <w:rsid w:val="00111FD8"/>
    <w:rsid w:val="0011360F"/>
    <w:rsid w:val="00113933"/>
    <w:rsid w:val="00114857"/>
    <w:rsid w:val="00114BAC"/>
    <w:rsid w:val="00115545"/>
    <w:rsid w:val="00115A3F"/>
    <w:rsid w:val="00116420"/>
    <w:rsid w:val="001168C3"/>
    <w:rsid w:val="00117953"/>
    <w:rsid w:val="00120F90"/>
    <w:rsid w:val="00121FBC"/>
    <w:rsid w:val="00123473"/>
    <w:rsid w:val="00123F6C"/>
    <w:rsid w:val="001243AF"/>
    <w:rsid w:val="00124565"/>
    <w:rsid w:val="00124B7A"/>
    <w:rsid w:val="00124CD3"/>
    <w:rsid w:val="00125F5C"/>
    <w:rsid w:val="001271AD"/>
    <w:rsid w:val="001278C4"/>
    <w:rsid w:val="00127AB4"/>
    <w:rsid w:val="00130F41"/>
    <w:rsid w:val="00130F88"/>
    <w:rsid w:val="00131FD7"/>
    <w:rsid w:val="00134F8A"/>
    <w:rsid w:val="00136017"/>
    <w:rsid w:val="00136899"/>
    <w:rsid w:val="001369A0"/>
    <w:rsid w:val="001369CE"/>
    <w:rsid w:val="00137329"/>
    <w:rsid w:val="001401B1"/>
    <w:rsid w:val="00140A09"/>
    <w:rsid w:val="00140E8F"/>
    <w:rsid w:val="00141516"/>
    <w:rsid w:val="0014249C"/>
    <w:rsid w:val="001453C5"/>
    <w:rsid w:val="00145B9E"/>
    <w:rsid w:val="001465B0"/>
    <w:rsid w:val="001467E2"/>
    <w:rsid w:val="001474F7"/>
    <w:rsid w:val="00151A28"/>
    <w:rsid w:val="00151F11"/>
    <w:rsid w:val="00152515"/>
    <w:rsid w:val="001527AD"/>
    <w:rsid w:val="00152E2E"/>
    <w:rsid w:val="001531C9"/>
    <w:rsid w:val="00153DE5"/>
    <w:rsid w:val="001545C2"/>
    <w:rsid w:val="0015582C"/>
    <w:rsid w:val="0015654B"/>
    <w:rsid w:val="001565E7"/>
    <w:rsid w:val="00156B95"/>
    <w:rsid w:val="00160078"/>
    <w:rsid w:val="0016024D"/>
    <w:rsid w:val="0016031D"/>
    <w:rsid w:val="00162E07"/>
    <w:rsid w:val="0016445F"/>
    <w:rsid w:val="0016558A"/>
    <w:rsid w:val="0016571C"/>
    <w:rsid w:val="00165996"/>
    <w:rsid w:val="00166484"/>
    <w:rsid w:val="00167EFF"/>
    <w:rsid w:val="00170111"/>
    <w:rsid w:val="001703ED"/>
    <w:rsid w:val="0017074B"/>
    <w:rsid w:val="001707EA"/>
    <w:rsid w:val="00171079"/>
    <w:rsid w:val="00171180"/>
    <w:rsid w:val="001712B4"/>
    <w:rsid w:val="00172559"/>
    <w:rsid w:val="001749B8"/>
    <w:rsid w:val="00176043"/>
    <w:rsid w:val="00177DF1"/>
    <w:rsid w:val="00177E40"/>
    <w:rsid w:val="00177F4A"/>
    <w:rsid w:val="00180D24"/>
    <w:rsid w:val="00182DCF"/>
    <w:rsid w:val="00183B1A"/>
    <w:rsid w:val="00185924"/>
    <w:rsid w:val="001859B5"/>
    <w:rsid w:val="00185EC5"/>
    <w:rsid w:val="0019021D"/>
    <w:rsid w:val="00192A9D"/>
    <w:rsid w:val="00192BA4"/>
    <w:rsid w:val="00192CAC"/>
    <w:rsid w:val="00192DA0"/>
    <w:rsid w:val="00195918"/>
    <w:rsid w:val="00195935"/>
    <w:rsid w:val="0019685D"/>
    <w:rsid w:val="00197C73"/>
    <w:rsid w:val="001A0B4B"/>
    <w:rsid w:val="001A0F09"/>
    <w:rsid w:val="001A134D"/>
    <w:rsid w:val="001A1E7C"/>
    <w:rsid w:val="001A2630"/>
    <w:rsid w:val="001A2BCE"/>
    <w:rsid w:val="001A2F90"/>
    <w:rsid w:val="001A56C5"/>
    <w:rsid w:val="001A6409"/>
    <w:rsid w:val="001A68E5"/>
    <w:rsid w:val="001A6990"/>
    <w:rsid w:val="001A6E4D"/>
    <w:rsid w:val="001A6FD6"/>
    <w:rsid w:val="001A77C4"/>
    <w:rsid w:val="001B0414"/>
    <w:rsid w:val="001B0B38"/>
    <w:rsid w:val="001B1190"/>
    <w:rsid w:val="001B2E70"/>
    <w:rsid w:val="001B35F6"/>
    <w:rsid w:val="001B5A2C"/>
    <w:rsid w:val="001B7A0B"/>
    <w:rsid w:val="001C13E7"/>
    <w:rsid w:val="001C14E5"/>
    <w:rsid w:val="001C36F1"/>
    <w:rsid w:val="001C392F"/>
    <w:rsid w:val="001C39C1"/>
    <w:rsid w:val="001C408C"/>
    <w:rsid w:val="001C630D"/>
    <w:rsid w:val="001D0161"/>
    <w:rsid w:val="001D07C1"/>
    <w:rsid w:val="001D0E80"/>
    <w:rsid w:val="001D19E4"/>
    <w:rsid w:val="001D21A2"/>
    <w:rsid w:val="001D36B6"/>
    <w:rsid w:val="001D3798"/>
    <w:rsid w:val="001D3827"/>
    <w:rsid w:val="001D3A7F"/>
    <w:rsid w:val="001D43AD"/>
    <w:rsid w:val="001D4C12"/>
    <w:rsid w:val="001D4D1F"/>
    <w:rsid w:val="001D4DE3"/>
    <w:rsid w:val="001D5732"/>
    <w:rsid w:val="001D609D"/>
    <w:rsid w:val="001D6384"/>
    <w:rsid w:val="001D6C26"/>
    <w:rsid w:val="001D71A1"/>
    <w:rsid w:val="001E118D"/>
    <w:rsid w:val="001E1455"/>
    <w:rsid w:val="001E1B32"/>
    <w:rsid w:val="001E221A"/>
    <w:rsid w:val="001E2FF9"/>
    <w:rsid w:val="001E4D28"/>
    <w:rsid w:val="001E5224"/>
    <w:rsid w:val="001E5530"/>
    <w:rsid w:val="001E5B32"/>
    <w:rsid w:val="001E621E"/>
    <w:rsid w:val="001E630A"/>
    <w:rsid w:val="001E661C"/>
    <w:rsid w:val="001E708F"/>
    <w:rsid w:val="001F0544"/>
    <w:rsid w:val="001F16B7"/>
    <w:rsid w:val="001F1905"/>
    <w:rsid w:val="001F1965"/>
    <w:rsid w:val="001F2049"/>
    <w:rsid w:val="001F3BE6"/>
    <w:rsid w:val="001F52CD"/>
    <w:rsid w:val="001F5A60"/>
    <w:rsid w:val="001F6123"/>
    <w:rsid w:val="001F61D1"/>
    <w:rsid w:val="001F659B"/>
    <w:rsid w:val="001F6DC5"/>
    <w:rsid w:val="001F72F9"/>
    <w:rsid w:val="001F755E"/>
    <w:rsid w:val="0020033E"/>
    <w:rsid w:val="00200E52"/>
    <w:rsid w:val="00202BE2"/>
    <w:rsid w:val="0020319C"/>
    <w:rsid w:val="002038FC"/>
    <w:rsid w:val="00204183"/>
    <w:rsid w:val="00204EFA"/>
    <w:rsid w:val="002055E6"/>
    <w:rsid w:val="00205BE1"/>
    <w:rsid w:val="00206286"/>
    <w:rsid w:val="00206970"/>
    <w:rsid w:val="00206C37"/>
    <w:rsid w:val="00210D1D"/>
    <w:rsid w:val="002111C1"/>
    <w:rsid w:val="002117D6"/>
    <w:rsid w:val="00211A00"/>
    <w:rsid w:val="00213F00"/>
    <w:rsid w:val="00214B51"/>
    <w:rsid w:val="002161F1"/>
    <w:rsid w:val="00217472"/>
    <w:rsid w:val="00217ADC"/>
    <w:rsid w:val="00217C2C"/>
    <w:rsid w:val="00217EF3"/>
    <w:rsid w:val="00220594"/>
    <w:rsid w:val="00220E41"/>
    <w:rsid w:val="002215AD"/>
    <w:rsid w:val="00221937"/>
    <w:rsid w:val="00221B13"/>
    <w:rsid w:val="0022279F"/>
    <w:rsid w:val="00222DA9"/>
    <w:rsid w:val="00222F1A"/>
    <w:rsid w:val="00223521"/>
    <w:rsid w:val="00223BED"/>
    <w:rsid w:val="00223FDC"/>
    <w:rsid w:val="00224625"/>
    <w:rsid w:val="002258CF"/>
    <w:rsid w:val="002262C4"/>
    <w:rsid w:val="00226FD7"/>
    <w:rsid w:val="0022727B"/>
    <w:rsid w:val="002316A8"/>
    <w:rsid w:val="00231B08"/>
    <w:rsid w:val="002322F8"/>
    <w:rsid w:val="00233245"/>
    <w:rsid w:val="00233DF1"/>
    <w:rsid w:val="00234087"/>
    <w:rsid w:val="002346AD"/>
    <w:rsid w:val="00234783"/>
    <w:rsid w:val="00236433"/>
    <w:rsid w:val="00240BB9"/>
    <w:rsid w:val="0024136B"/>
    <w:rsid w:val="00242039"/>
    <w:rsid w:val="00242352"/>
    <w:rsid w:val="002435B2"/>
    <w:rsid w:val="00244E9B"/>
    <w:rsid w:val="00246321"/>
    <w:rsid w:val="0024632C"/>
    <w:rsid w:val="00246CC7"/>
    <w:rsid w:val="002472E4"/>
    <w:rsid w:val="00247687"/>
    <w:rsid w:val="0025096A"/>
    <w:rsid w:val="00250E76"/>
    <w:rsid w:val="00252A99"/>
    <w:rsid w:val="002531A7"/>
    <w:rsid w:val="00254A31"/>
    <w:rsid w:val="002557A1"/>
    <w:rsid w:val="00257500"/>
    <w:rsid w:val="00257FF9"/>
    <w:rsid w:val="002610ED"/>
    <w:rsid w:val="002630D8"/>
    <w:rsid w:val="00263DC7"/>
    <w:rsid w:val="0026438C"/>
    <w:rsid w:val="0026637A"/>
    <w:rsid w:val="002671A2"/>
    <w:rsid w:val="00267389"/>
    <w:rsid w:val="00270DA8"/>
    <w:rsid w:val="0027124E"/>
    <w:rsid w:val="002716B5"/>
    <w:rsid w:val="00271B40"/>
    <w:rsid w:val="00272299"/>
    <w:rsid w:val="00272EC5"/>
    <w:rsid w:val="00273002"/>
    <w:rsid w:val="00273713"/>
    <w:rsid w:val="0027490B"/>
    <w:rsid w:val="002753ED"/>
    <w:rsid w:val="0027544F"/>
    <w:rsid w:val="00276802"/>
    <w:rsid w:val="002777EA"/>
    <w:rsid w:val="00280ED0"/>
    <w:rsid w:val="00282303"/>
    <w:rsid w:val="00282C0E"/>
    <w:rsid w:val="00283479"/>
    <w:rsid w:val="002842E9"/>
    <w:rsid w:val="00284611"/>
    <w:rsid w:val="00284C5F"/>
    <w:rsid w:val="00286E19"/>
    <w:rsid w:val="002901CD"/>
    <w:rsid w:val="00290257"/>
    <w:rsid w:val="0029054F"/>
    <w:rsid w:val="00290AF1"/>
    <w:rsid w:val="00290D15"/>
    <w:rsid w:val="00291E0D"/>
    <w:rsid w:val="0029283D"/>
    <w:rsid w:val="00292BFE"/>
    <w:rsid w:val="00292DC3"/>
    <w:rsid w:val="00292FF2"/>
    <w:rsid w:val="00293176"/>
    <w:rsid w:val="0029345F"/>
    <w:rsid w:val="0029370F"/>
    <w:rsid w:val="00293A70"/>
    <w:rsid w:val="00293F4A"/>
    <w:rsid w:val="0029404A"/>
    <w:rsid w:val="00295700"/>
    <w:rsid w:val="00297D04"/>
    <w:rsid w:val="002A0138"/>
    <w:rsid w:val="002A1A12"/>
    <w:rsid w:val="002A1E87"/>
    <w:rsid w:val="002A301F"/>
    <w:rsid w:val="002A39D6"/>
    <w:rsid w:val="002A3C10"/>
    <w:rsid w:val="002A485C"/>
    <w:rsid w:val="002A4AB1"/>
    <w:rsid w:val="002A5580"/>
    <w:rsid w:val="002A699A"/>
    <w:rsid w:val="002B0324"/>
    <w:rsid w:val="002B134B"/>
    <w:rsid w:val="002B3248"/>
    <w:rsid w:val="002B4A8C"/>
    <w:rsid w:val="002B4E68"/>
    <w:rsid w:val="002B5F2B"/>
    <w:rsid w:val="002B6451"/>
    <w:rsid w:val="002B65E7"/>
    <w:rsid w:val="002B7926"/>
    <w:rsid w:val="002B7B0F"/>
    <w:rsid w:val="002B7EDC"/>
    <w:rsid w:val="002C0094"/>
    <w:rsid w:val="002C0A50"/>
    <w:rsid w:val="002C17DB"/>
    <w:rsid w:val="002C19BF"/>
    <w:rsid w:val="002C1B71"/>
    <w:rsid w:val="002C1D39"/>
    <w:rsid w:val="002C2412"/>
    <w:rsid w:val="002C3F14"/>
    <w:rsid w:val="002C3F92"/>
    <w:rsid w:val="002C58B0"/>
    <w:rsid w:val="002C61F5"/>
    <w:rsid w:val="002C6635"/>
    <w:rsid w:val="002C6F2F"/>
    <w:rsid w:val="002C7A57"/>
    <w:rsid w:val="002D0313"/>
    <w:rsid w:val="002D143B"/>
    <w:rsid w:val="002D1C4E"/>
    <w:rsid w:val="002D20E3"/>
    <w:rsid w:val="002D3601"/>
    <w:rsid w:val="002D37D3"/>
    <w:rsid w:val="002D3F49"/>
    <w:rsid w:val="002D45E9"/>
    <w:rsid w:val="002D469E"/>
    <w:rsid w:val="002D5194"/>
    <w:rsid w:val="002D6900"/>
    <w:rsid w:val="002D7DF2"/>
    <w:rsid w:val="002E03D0"/>
    <w:rsid w:val="002E0896"/>
    <w:rsid w:val="002E08B8"/>
    <w:rsid w:val="002E2C14"/>
    <w:rsid w:val="002E362D"/>
    <w:rsid w:val="002E42C5"/>
    <w:rsid w:val="002E4A47"/>
    <w:rsid w:val="002E52DD"/>
    <w:rsid w:val="002E5473"/>
    <w:rsid w:val="002E5502"/>
    <w:rsid w:val="002E5619"/>
    <w:rsid w:val="002E6060"/>
    <w:rsid w:val="002F015D"/>
    <w:rsid w:val="002F02AB"/>
    <w:rsid w:val="002F1788"/>
    <w:rsid w:val="002F32C3"/>
    <w:rsid w:val="002F3605"/>
    <w:rsid w:val="002F403F"/>
    <w:rsid w:val="002F4C0C"/>
    <w:rsid w:val="002F5FC4"/>
    <w:rsid w:val="002F7B8B"/>
    <w:rsid w:val="00300ED3"/>
    <w:rsid w:val="0030104F"/>
    <w:rsid w:val="0030110B"/>
    <w:rsid w:val="0030240B"/>
    <w:rsid w:val="003027E6"/>
    <w:rsid w:val="003028C8"/>
    <w:rsid w:val="00303E04"/>
    <w:rsid w:val="00303EDD"/>
    <w:rsid w:val="00304BC2"/>
    <w:rsid w:val="00305B4A"/>
    <w:rsid w:val="00305B7E"/>
    <w:rsid w:val="003061F5"/>
    <w:rsid w:val="00307CB3"/>
    <w:rsid w:val="003126D6"/>
    <w:rsid w:val="003154B3"/>
    <w:rsid w:val="003165CE"/>
    <w:rsid w:val="00316C78"/>
    <w:rsid w:val="00317094"/>
    <w:rsid w:val="00320409"/>
    <w:rsid w:val="00320B6A"/>
    <w:rsid w:val="003212B2"/>
    <w:rsid w:val="003227CB"/>
    <w:rsid w:val="00323382"/>
    <w:rsid w:val="003245FF"/>
    <w:rsid w:val="003252EB"/>
    <w:rsid w:val="00325369"/>
    <w:rsid w:val="00325897"/>
    <w:rsid w:val="0032708B"/>
    <w:rsid w:val="003275FA"/>
    <w:rsid w:val="00327A27"/>
    <w:rsid w:val="00330397"/>
    <w:rsid w:val="00330D78"/>
    <w:rsid w:val="00330E0D"/>
    <w:rsid w:val="00331537"/>
    <w:rsid w:val="0033188B"/>
    <w:rsid w:val="00331904"/>
    <w:rsid w:val="00332548"/>
    <w:rsid w:val="003353AC"/>
    <w:rsid w:val="00336DC9"/>
    <w:rsid w:val="00336F14"/>
    <w:rsid w:val="003375F1"/>
    <w:rsid w:val="0034167B"/>
    <w:rsid w:val="00342154"/>
    <w:rsid w:val="00342DC2"/>
    <w:rsid w:val="00343000"/>
    <w:rsid w:val="003431BE"/>
    <w:rsid w:val="003432AA"/>
    <w:rsid w:val="003434CE"/>
    <w:rsid w:val="003445AC"/>
    <w:rsid w:val="00344809"/>
    <w:rsid w:val="00344CF9"/>
    <w:rsid w:val="00344FC1"/>
    <w:rsid w:val="00347D59"/>
    <w:rsid w:val="003507C7"/>
    <w:rsid w:val="00350C4B"/>
    <w:rsid w:val="00351E75"/>
    <w:rsid w:val="0035202E"/>
    <w:rsid w:val="00352039"/>
    <w:rsid w:val="00352471"/>
    <w:rsid w:val="0035316F"/>
    <w:rsid w:val="0035387C"/>
    <w:rsid w:val="00353E86"/>
    <w:rsid w:val="003540EC"/>
    <w:rsid w:val="003579FE"/>
    <w:rsid w:val="00360EB9"/>
    <w:rsid w:val="00361F95"/>
    <w:rsid w:val="00361FFE"/>
    <w:rsid w:val="00362AF8"/>
    <w:rsid w:val="00363E3B"/>
    <w:rsid w:val="00364CC4"/>
    <w:rsid w:val="003651B0"/>
    <w:rsid w:val="00371C6C"/>
    <w:rsid w:val="00371F07"/>
    <w:rsid w:val="00371F90"/>
    <w:rsid w:val="003723E5"/>
    <w:rsid w:val="00372470"/>
    <w:rsid w:val="0037273D"/>
    <w:rsid w:val="00372AEC"/>
    <w:rsid w:val="00372C2A"/>
    <w:rsid w:val="00373061"/>
    <w:rsid w:val="00373D6A"/>
    <w:rsid w:val="003757AC"/>
    <w:rsid w:val="003759DF"/>
    <w:rsid w:val="00376BB5"/>
    <w:rsid w:val="00377848"/>
    <w:rsid w:val="00377BE0"/>
    <w:rsid w:val="00377E6B"/>
    <w:rsid w:val="00380066"/>
    <w:rsid w:val="003801EE"/>
    <w:rsid w:val="0038092E"/>
    <w:rsid w:val="00380B30"/>
    <w:rsid w:val="00380CA4"/>
    <w:rsid w:val="00380F00"/>
    <w:rsid w:val="00382283"/>
    <w:rsid w:val="00384E24"/>
    <w:rsid w:val="00384FFB"/>
    <w:rsid w:val="003859B6"/>
    <w:rsid w:val="00385B52"/>
    <w:rsid w:val="00386617"/>
    <w:rsid w:val="00386D2C"/>
    <w:rsid w:val="00387814"/>
    <w:rsid w:val="003923B4"/>
    <w:rsid w:val="00392AF4"/>
    <w:rsid w:val="0039361E"/>
    <w:rsid w:val="00393BEA"/>
    <w:rsid w:val="00394140"/>
    <w:rsid w:val="003944D4"/>
    <w:rsid w:val="00395961"/>
    <w:rsid w:val="00396608"/>
    <w:rsid w:val="00397845"/>
    <w:rsid w:val="003979A7"/>
    <w:rsid w:val="003A11D1"/>
    <w:rsid w:val="003A1D44"/>
    <w:rsid w:val="003A5085"/>
    <w:rsid w:val="003A509D"/>
    <w:rsid w:val="003A5B89"/>
    <w:rsid w:val="003A6C5E"/>
    <w:rsid w:val="003B1CED"/>
    <w:rsid w:val="003B1DA1"/>
    <w:rsid w:val="003B227B"/>
    <w:rsid w:val="003B24C7"/>
    <w:rsid w:val="003B288E"/>
    <w:rsid w:val="003B2E14"/>
    <w:rsid w:val="003B2FB6"/>
    <w:rsid w:val="003B41E9"/>
    <w:rsid w:val="003B4E21"/>
    <w:rsid w:val="003C270A"/>
    <w:rsid w:val="003C3B0D"/>
    <w:rsid w:val="003C3C2A"/>
    <w:rsid w:val="003C4842"/>
    <w:rsid w:val="003C49C8"/>
    <w:rsid w:val="003C4A62"/>
    <w:rsid w:val="003C570E"/>
    <w:rsid w:val="003C5829"/>
    <w:rsid w:val="003C5FCD"/>
    <w:rsid w:val="003C6450"/>
    <w:rsid w:val="003C699B"/>
    <w:rsid w:val="003C6E5D"/>
    <w:rsid w:val="003D0620"/>
    <w:rsid w:val="003D40A1"/>
    <w:rsid w:val="003D48FC"/>
    <w:rsid w:val="003D49A7"/>
    <w:rsid w:val="003D587D"/>
    <w:rsid w:val="003D5990"/>
    <w:rsid w:val="003D6546"/>
    <w:rsid w:val="003D7B79"/>
    <w:rsid w:val="003E056E"/>
    <w:rsid w:val="003E05FA"/>
    <w:rsid w:val="003E0F04"/>
    <w:rsid w:val="003E1752"/>
    <w:rsid w:val="003E1813"/>
    <w:rsid w:val="003E2313"/>
    <w:rsid w:val="003E2476"/>
    <w:rsid w:val="003E2B2F"/>
    <w:rsid w:val="003E2EDF"/>
    <w:rsid w:val="003E33FC"/>
    <w:rsid w:val="003E4408"/>
    <w:rsid w:val="003E5304"/>
    <w:rsid w:val="003E71CC"/>
    <w:rsid w:val="003F041E"/>
    <w:rsid w:val="003F1236"/>
    <w:rsid w:val="003F1303"/>
    <w:rsid w:val="003F16E5"/>
    <w:rsid w:val="003F1CD5"/>
    <w:rsid w:val="003F276C"/>
    <w:rsid w:val="003F28C5"/>
    <w:rsid w:val="003F4603"/>
    <w:rsid w:val="003F4606"/>
    <w:rsid w:val="003F57CB"/>
    <w:rsid w:val="003F66D2"/>
    <w:rsid w:val="003F6FF6"/>
    <w:rsid w:val="004007D2"/>
    <w:rsid w:val="00402A10"/>
    <w:rsid w:val="00403281"/>
    <w:rsid w:val="00404D13"/>
    <w:rsid w:val="004054F2"/>
    <w:rsid w:val="00405563"/>
    <w:rsid w:val="00405BCF"/>
    <w:rsid w:val="00405E92"/>
    <w:rsid w:val="004064FE"/>
    <w:rsid w:val="0040699F"/>
    <w:rsid w:val="00406BD8"/>
    <w:rsid w:val="00411641"/>
    <w:rsid w:val="004125E4"/>
    <w:rsid w:val="00412860"/>
    <w:rsid w:val="00412A2F"/>
    <w:rsid w:val="004133B3"/>
    <w:rsid w:val="00413528"/>
    <w:rsid w:val="00415052"/>
    <w:rsid w:val="0041505F"/>
    <w:rsid w:val="004153D7"/>
    <w:rsid w:val="0041643D"/>
    <w:rsid w:val="0041648A"/>
    <w:rsid w:val="004166D0"/>
    <w:rsid w:val="004166DB"/>
    <w:rsid w:val="004168D1"/>
    <w:rsid w:val="004177ED"/>
    <w:rsid w:val="0041797B"/>
    <w:rsid w:val="004206C2"/>
    <w:rsid w:val="00420AF4"/>
    <w:rsid w:val="00422EF0"/>
    <w:rsid w:val="0042364E"/>
    <w:rsid w:val="00424171"/>
    <w:rsid w:val="004245BE"/>
    <w:rsid w:val="00424880"/>
    <w:rsid w:val="00425704"/>
    <w:rsid w:val="00425772"/>
    <w:rsid w:val="00427103"/>
    <w:rsid w:val="00427B87"/>
    <w:rsid w:val="00427D24"/>
    <w:rsid w:val="004300B9"/>
    <w:rsid w:val="0043098D"/>
    <w:rsid w:val="00430D94"/>
    <w:rsid w:val="00431872"/>
    <w:rsid w:val="004324D4"/>
    <w:rsid w:val="00432B4D"/>
    <w:rsid w:val="004365FD"/>
    <w:rsid w:val="00440B85"/>
    <w:rsid w:val="0044143B"/>
    <w:rsid w:val="00441AA5"/>
    <w:rsid w:val="00441C77"/>
    <w:rsid w:val="0044385C"/>
    <w:rsid w:val="004440E3"/>
    <w:rsid w:val="00444A99"/>
    <w:rsid w:val="00444EBD"/>
    <w:rsid w:val="0044521B"/>
    <w:rsid w:val="00446111"/>
    <w:rsid w:val="00447E50"/>
    <w:rsid w:val="00447F7A"/>
    <w:rsid w:val="00450DE3"/>
    <w:rsid w:val="004528A6"/>
    <w:rsid w:val="004530FB"/>
    <w:rsid w:val="00453499"/>
    <w:rsid w:val="00453DE5"/>
    <w:rsid w:val="00453E4D"/>
    <w:rsid w:val="00454EA4"/>
    <w:rsid w:val="00455EB4"/>
    <w:rsid w:val="00456479"/>
    <w:rsid w:val="00457641"/>
    <w:rsid w:val="00461683"/>
    <w:rsid w:val="00461AA6"/>
    <w:rsid w:val="004625F0"/>
    <w:rsid w:val="0046324F"/>
    <w:rsid w:val="0046341B"/>
    <w:rsid w:val="004638DA"/>
    <w:rsid w:val="00464DEB"/>
    <w:rsid w:val="004650E8"/>
    <w:rsid w:val="00465427"/>
    <w:rsid w:val="00466003"/>
    <w:rsid w:val="00466696"/>
    <w:rsid w:val="00466A7B"/>
    <w:rsid w:val="00467199"/>
    <w:rsid w:val="00470619"/>
    <w:rsid w:val="0047083B"/>
    <w:rsid w:val="004711A1"/>
    <w:rsid w:val="0047122A"/>
    <w:rsid w:val="004716DD"/>
    <w:rsid w:val="0047179C"/>
    <w:rsid w:val="00471DB9"/>
    <w:rsid w:val="00471E6F"/>
    <w:rsid w:val="004738C9"/>
    <w:rsid w:val="0047490E"/>
    <w:rsid w:val="0047534A"/>
    <w:rsid w:val="004756A4"/>
    <w:rsid w:val="0047676E"/>
    <w:rsid w:val="00477093"/>
    <w:rsid w:val="004777F6"/>
    <w:rsid w:val="00480FB2"/>
    <w:rsid w:val="00481119"/>
    <w:rsid w:val="004822BC"/>
    <w:rsid w:val="0048295D"/>
    <w:rsid w:val="00482E16"/>
    <w:rsid w:val="004831E3"/>
    <w:rsid w:val="00483BE1"/>
    <w:rsid w:val="004845BC"/>
    <w:rsid w:val="004846E7"/>
    <w:rsid w:val="0048498F"/>
    <w:rsid w:val="004854D4"/>
    <w:rsid w:val="00485F52"/>
    <w:rsid w:val="0048716B"/>
    <w:rsid w:val="004900B9"/>
    <w:rsid w:val="0049060C"/>
    <w:rsid w:val="00490FAF"/>
    <w:rsid w:val="00491171"/>
    <w:rsid w:val="00492925"/>
    <w:rsid w:val="00492F6F"/>
    <w:rsid w:val="004949EF"/>
    <w:rsid w:val="004957C3"/>
    <w:rsid w:val="00495DE6"/>
    <w:rsid w:val="004960E2"/>
    <w:rsid w:val="00497D20"/>
    <w:rsid w:val="004A015A"/>
    <w:rsid w:val="004A03F2"/>
    <w:rsid w:val="004A0813"/>
    <w:rsid w:val="004A09E0"/>
    <w:rsid w:val="004A0DBA"/>
    <w:rsid w:val="004A0F9B"/>
    <w:rsid w:val="004A3AC8"/>
    <w:rsid w:val="004A426A"/>
    <w:rsid w:val="004A4783"/>
    <w:rsid w:val="004A4C2B"/>
    <w:rsid w:val="004A4C3D"/>
    <w:rsid w:val="004A60DD"/>
    <w:rsid w:val="004A6B4B"/>
    <w:rsid w:val="004A742B"/>
    <w:rsid w:val="004A7E84"/>
    <w:rsid w:val="004B05E8"/>
    <w:rsid w:val="004B0C67"/>
    <w:rsid w:val="004B0C97"/>
    <w:rsid w:val="004B1E55"/>
    <w:rsid w:val="004B1F51"/>
    <w:rsid w:val="004B2FD4"/>
    <w:rsid w:val="004B51C4"/>
    <w:rsid w:val="004C0A44"/>
    <w:rsid w:val="004C263A"/>
    <w:rsid w:val="004C2CE5"/>
    <w:rsid w:val="004C32D9"/>
    <w:rsid w:val="004C42FA"/>
    <w:rsid w:val="004C4E55"/>
    <w:rsid w:val="004C4F04"/>
    <w:rsid w:val="004C60DE"/>
    <w:rsid w:val="004C62B8"/>
    <w:rsid w:val="004C67C8"/>
    <w:rsid w:val="004D0768"/>
    <w:rsid w:val="004D0995"/>
    <w:rsid w:val="004D270B"/>
    <w:rsid w:val="004D2FF6"/>
    <w:rsid w:val="004D385E"/>
    <w:rsid w:val="004D41DD"/>
    <w:rsid w:val="004D4358"/>
    <w:rsid w:val="004D4B62"/>
    <w:rsid w:val="004D5B04"/>
    <w:rsid w:val="004D5E2A"/>
    <w:rsid w:val="004D6651"/>
    <w:rsid w:val="004D79BE"/>
    <w:rsid w:val="004D7A37"/>
    <w:rsid w:val="004D7CE0"/>
    <w:rsid w:val="004E0629"/>
    <w:rsid w:val="004E2801"/>
    <w:rsid w:val="004E4D62"/>
    <w:rsid w:val="004E4EBB"/>
    <w:rsid w:val="004E508B"/>
    <w:rsid w:val="004E5C1D"/>
    <w:rsid w:val="004E7D93"/>
    <w:rsid w:val="004F01F7"/>
    <w:rsid w:val="004F0D8B"/>
    <w:rsid w:val="004F17A2"/>
    <w:rsid w:val="004F2A39"/>
    <w:rsid w:val="004F354B"/>
    <w:rsid w:val="004F3C68"/>
    <w:rsid w:val="004F6046"/>
    <w:rsid w:val="004F61A7"/>
    <w:rsid w:val="004F6A02"/>
    <w:rsid w:val="0050029F"/>
    <w:rsid w:val="00503137"/>
    <w:rsid w:val="00504809"/>
    <w:rsid w:val="005050BD"/>
    <w:rsid w:val="00510DD6"/>
    <w:rsid w:val="005126FD"/>
    <w:rsid w:val="00512FFB"/>
    <w:rsid w:val="0051345E"/>
    <w:rsid w:val="00516302"/>
    <w:rsid w:val="00520190"/>
    <w:rsid w:val="00520765"/>
    <w:rsid w:val="005229C2"/>
    <w:rsid w:val="00523C71"/>
    <w:rsid w:val="00523F72"/>
    <w:rsid w:val="00523FC3"/>
    <w:rsid w:val="00524470"/>
    <w:rsid w:val="00524759"/>
    <w:rsid w:val="00524FDE"/>
    <w:rsid w:val="005253A1"/>
    <w:rsid w:val="005306FB"/>
    <w:rsid w:val="0053093A"/>
    <w:rsid w:val="00532121"/>
    <w:rsid w:val="00532C16"/>
    <w:rsid w:val="00532D3F"/>
    <w:rsid w:val="00533065"/>
    <w:rsid w:val="005336DB"/>
    <w:rsid w:val="0053545C"/>
    <w:rsid w:val="00536B07"/>
    <w:rsid w:val="00537371"/>
    <w:rsid w:val="00537FFB"/>
    <w:rsid w:val="00542AC2"/>
    <w:rsid w:val="005432E3"/>
    <w:rsid w:val="0054340E"/>
    <w:rsid w:val="0054518B"/>
    <w:rsid w:val="005464A4"/>
    <w:rsid w:val="00546C7D"/>
    <w:rsid w:val="00547C19"/>
    <w:rsid w:val="005514B0"/>
    <w:rsid w:val="005527B5"/>
    <w:rsid w:val="005529A9"/>
    <w:rsid w:val="00552C47"/>
    <w:rsid w:val="00555099"/>
    <w:rsid w:val="00555556"/>
    <w:rsid w:val="00555F61"/>
    <w:rsid w:val="005574E7"/>
    <w:rsid w:val="00560283"/>
    <w:rsid w:val="005617EA"/>
    <w:rsid w:val="00562334"/>
    <w:rsid w:val="0056394F"/>
    <w:rsid w:val="00563FE7"/>
    <w:rsid w:val="005645A2"/>
    <w:rsid w:val="00565317"/>
    <w:rsid w:val="00565D78"/>
    <w:rsid w:val="005663FF"/>
    <w:rsid w:val="00566982"/>
    <w:rsid w:val="0056740A"/>
    <w:rsid w:val="0057010D"/>
    <w:rsid w:val="0057015B"/>
    <w:rsid w:val="005702BA"/>
    <w:rsid w:val="00570387"/>
    <w:rsid w:val="00571BE2"/>
    <w:rsid w:val="00571F40"/>
    <w:rsid w:val="00572775"/>
    <w:rsid w:val="005741C1"/>
    <w:rsid w:val="0057469E"/>
    <w:rsid w:val="00574FF4"/>
    <w:rsid w:val="00575188"/>
    <w:rsid w:val="005758F0"/>
    <w:rsid w:val="00576CB9"/>
    <w:rsid w:val="0057780D"/>
    <w:rsid w:val="0057793D"/>
    <w:rsid w:val="00580B0B"/>
    <w:rsid w:val="00580ED5"/>
    <w:rsid w:val="0058140C"/>
    <w:rsid w:val="005815F6"/>
    <w:rsid w:val="00581873"/>
    <w:rsid w:val="005825A2"/>
    <w:rsid w:val="00582C5B"/>
    <w:rsid w:val="00584B2E"/>
    <w:rsid w:val="00585266"/>
    <w:rsid w:val="00587F9C"/>
    <w:rsid w:val="00587FCB"/>
    <w:rsid w:val="00590559"/>
    <w:rsid w:val="005914EC"/>
    <w:rsid w:val="00591700"/>
    <w:rsid w:val="00591D88"/>
    <w:rsid w:val="00593965"/>
    <w:rsid w:val="00593B7D"/>
    <w:rsid w:val="005948E5"/>
    <w:rsid w:val="00594C1F"/>
    <w:rsid w:val="005965DC"/>
    <w:rsid w:val="00597CA7"/>
    <w:rsid w:val="00597E07"/>
    <w:rsid w:val="005A0CEE"/>
    <w:rsid w:val="005A25AB"/>
    <w:rsid w:val="005A2F08"/>
    <w:rsid w:val="005A3244"/>
    <w:rsid w:val="005A4663"/>
    <w:rsid w:val="005A4DC1"/>
    <w:rsid w:val="005A6327"/>
    <w:rsid w:val="005A72C4"/>
    <w:rsid w:val="005B1CB6"/>
    <w:rsid w:val="005B2227"/>
    <w:rsid w:val="005B28A6"/>
    <w:rsid w:val="005B392C"/>
    <w:rsid w:val="005B3E90"/>
    <w:rsid w:val="005B4234"/>
    <w:rsid w:val="005B492A"/>
    <w:rsid w:val="005B68CF"/>
    <w:rsid w:val="005B6E30"/>
    <w:rsid w:val="005B7013"/>
    <w:rsid w:val="005B7395"/>
    <w:rsid w:val="005B7B30"/>
    <w:rsid w:val="005C022E"/>
    <w:rsid w:val="005C09AF"/>
    <w:rsid w:val="005C0D63"/>
    <w:rsid w:val="005C2A30"/>
    <w:rsid w:val="005C4049"/>
    <w:rsid w:val="005C4A8D"/>
    <w:rsid w:val="005C50A5"/>
    <w:rsid w:val="005C5151"/>
    <w:rsid w:val="005C5711"/>
    <w:rsid w:val="005C5A3A"/>
    <w:rsid w:val="005C5CEC"/>
    <w:rsid w:val="005C61E9"/>
    <w:rsid w:val="005C6256"/>
    <w:rsid w:val="005C7489"/>
    <w:rsid w:val="005D1132"/>
    <w:rsid w:val="005D4477"/>
    <w:rsid w:val="005D46E2"/>
    <w:rsid w:val="005D5ACC"/>
    <w:rsid w:val="005D7383"/>
    <w:rsid w:val="005E05A3"/>
    <w:rsid w:val="005E1718"/>
    <w:rsid w:val="005E189B"/>
    <w:rsid w:val="005E1BD9"/>
    <w:rsid w:val="005E1DA0"/>
    <w:rsid w:val="005E1FC2"/>
    <w:rsid w:val="005E21C8"/>
    <w:rsid w:val="005E2263"/>
    <w:rsid w:val="005E3343"/>
    <w:rsid w:val="005E3C22"/>
    <w:rsid w:val="005E5BDA"/>
    <w:rsid w:val="005E6084"/>
    <w:rsid w:val="005E6674"/>
    <w:rsid w:val="005E6B6C"/>
    <w:rsid w:val="005E71FB"/>
    <w:rsid w:val="005F0030"/>
    <w:rsid w:val="005F04F4"/>
    <w:rsid w:val="005F075E"/>
    <w:rsid w:val="005F0863"/>
    <w:rsid w:val="005F1827"/>
    <w:rsid w:val="005F1CE3"/>
    <w:rsid w:val="005F2E9C"/>
    <w:rsid w:val="005F41C4"/>
    <w:rsid w:val="005F474A"/>
    <w:rsid w:val="005F4792"/>
    <w:rsid w:val="005F565F"/>
    <w:rsid w:val="005F69FD"/>
    <w:rsid w:val="005F7172"/>
    <w:rsid w:val="00600078"/>
    <w:rsid w:val="00600D70"/>
    <w:rsid w:val="00601645"/>
    <w:rsid w:val="00601D07"/>
    <w:rsid w:val="00601D55"/>
    <w:rsid w:val="00601D7B"/>
    <w:rsid w:val="0060260A"/>
    <w:rsid w:val="00602F03"/>
    <w:rsid w:val="00603060"/>
    <w:rsid w:val="00603733"/>
    <w:rsid w:val="00603B79"/>
    <w:rsid w:val="006042A7"/>
    <w:rsid w:val="00610458"/>
    <w:rsid w:val="00610498"/>
    <w:rsid w:val="006106B0"/>
    <w:rsid w:val="00610DDB"/>
    <w:rsid w:val="00610E48"/>
    <w:rsid w:val="00610F6E"/>
    <w:rsid w:val="0061124B"/>
    <w:rsid w:val="006118C4"/>
    <w:rsid w:val="00611A64"/>
    <w:rsid w:val="00611EC2"/>
    <w:rsid w:val="00612A51"/>
    <w:rsid w:val="00614128"/>
    <w:rsid w:val="0061500F"/>
    <w:rsid w:val="00615567"/>
    <w:rsid w:val="00615E8E"/>
    <w:rsid w:val="006164B6"/>
    <w:rsid w:val="0061653C"/>
    <w:rsid w:val="00617F20"/>
    <w:rsid w:val="0062035B"/>
    <w:rsid w:val="00620F0E"/>
    <w:rsid w:val="00620F78"/>
    <w:rsid w:val="006213B8"/>
    <w:rsid w:val="00621B8F"/>
    <w:rsid w:val="00623E9A"/>
    <w:rsid w:val="00624497"/>
    <w:rsid w:val="00624A9C"/>
    <w:rsid w:val="00624F36"/>
    <w:rsid w:val="006258F7"/>
    <w:rsid w:val="00625F55"/>
    <w:rsid w:val="0062616C"/>
    <w:rsid w:val="0062695F"/>
    <w:rsid w:val="00626E96"/>
    <w:rsid w:val="0062704D"/>
    <w:rsid w:val="0062774A"/>
    <w:rsid w:val="0063085C"/>
    <w:rsid w:val="00630934"/>
    <w:rsid w:val="0063131F"/>
    <w:rsid w:val="0063174B"/>
    <w:rsid w:val="006317ED"/>
    <w:rsid w:val="006318D2"/>
    <w:rsid w:val="00631940"/>
    <w:rsid w:val="00631C17"/>
    <w:rsid w:val="00632007"/>
    <w:rsid w:val="00632366"/>
    <w:rsid w:val="0063322E"/>
    <w:rsid w:val="00633B9B"/>
    <w:rsid w:val="00633BA5"/>
    <w:rsid w:val="00633D4F"/>
    <w:rsid w:val="00633F1D"/>
    <w:rsid w:val="0063573E"/>
    <w:rsid w:val="00637321"/>
    <w:rsid w:val="006377EE"/>
    <w:rsid w:val="00637C58"/>
    <w:rsid w:val="00637E96"/>
    <w:rsid w:val="006405A5"/>
    <w:rsid w:val="00640B64"/>
    <w:rsid w:val="00641625"/>
    <w:rsid w:val="00641FC1"/>
    <w:rsid w:val="006440E5"/>
    <w:rsid w:val="00645269"/>
    <w:rsid w:val="0064645A"/>
    <w:rsid w:val="00646CE6"/>
    <w:rsid w:val="00647B44"/>
    <w:rsid w:val="00647CBE"/>
    <w:rsid w:val="00650972"/>
    <w:rsid w:val="00650C26"/>
    <w:rsid w:val="006512E5"/>
    <w:rsid w:val="006512EC"/>
    <w:rsid w:val="00651AA6"/>
    <w:rsid w:val="00652E44"/>
    <w:rsid w:val="00653C19"/>
    <w:rsid w:val="00653EFD"/>
    <w:rsid w:val="00655B19"/>
    <w:rsid w:val="0065688F"/>
    <w:rsid w:val="00656E95"/>
    <w:rsid w:val="006570A1"/>
    <w:rsid w:val="006577D7"/>
    <w:rsid w:val="006609F3"/>
    <w:rsid w:val="00660E46"/>
    <w:rsid w:val="00661F97"/>
    <w:rsid w:val="00662CB5"/>
    <w:rsid w:val="006639DE"/>
    <w:rsid w:val="00665CDF"/>
    <w:rsid w:val="006669E0"/>
    <w:rsid w:val="006678D2"/>
    <w:rsid w:val="0067027F"/>
    <w:rsid w:val="0067052C"/>
    <w:rsid w:val="00671B16"/>
    <w:rsid w:val="00673785"/>
    <w:rsid w:val="00673AFA"/>
    <w:rsid w:val="00674414"/>
    <w:rsid w:val="00674BC7"/>
    <w:rsid w:val="006753AE"/>
    <w:rsid w:val="00675F49"/>
    <w:rsid w:val="00676CBF"/>
    <w:rsid w:val="00677EC3"/>
    <w:rsid w:val="0068000F"/>
    <w:rsid w:val="006813C9"/>
    <w:rsid w:val="00681F64"/>
    <w:rsid w:val="00682371"/>
    <w:rsid w:val="00683557"/>
    <w:rsid w:val="00684157"/>
    <w:rsid w:val="00684732"/>
    <w:rsid w:val="00687DAB"/>
    <w:rsid w:val="00691A3D"/>
    <w:rsid w:val="006928ED"/>
    <w:rsid w:val="00692B58"/>
    <w:rsid w:val="00694723"/>
    <w:rsid w:val="00694FA6"/>
    <w:rsid w:val="0069528C"/>
    <w:rsid w:val="006958EB"/>
    <w:rsid w:val="00695A87"/>
    <w:rsid w:val="006962F5"/>
    <w:rsid w:val="00696AEB"/>
    <w:rsid w:val="006A009E"/>
    <w:rsid w:val="006A011B"/>
    <w:rsid w:val="006A2E6D"/>
    <w:rsid w:val="006A300E"/>
    <w:rsid w:val="006A36A8"/>
    <w:rsid w:val="006A3A42"/>
    <w:rsid w:val="006A3DDA"/>
    <w:rsid w:val="006A4BC8"/>
    <w:rsid w:val="006A4CAA"/>
    <w:rsid w:val="006A4EB7"/>
    <w:rsid w:val="006A61A2"/>
    <w:rsid w:val="006A71F8"/>
    <w:rsid w:val="006A7394"/>
    <w:rsid w:val="006A7713"/>
    <w:rsid w:val="006B0D82"/>
    <w:rsid w:val="006B20B6"/>
    <w:rsid w:val="006B3506"/>
    <w:rsid w:val="006B3BB8"/>
    <w:rsid w:val="006B4086"/>
    <w:rsid w:val="006B541A"/>
    <w:rsid w:val="006C087B"/>
    <w:rsid w:val="006C0A91"/>
    <w:rsid w:val="006C1769"/>
    <w:rsid w:val="006C1E7D"/>
    <w:rsid w:val="006C3A11"/>
    <w:rsid w:val="006C4834"/>
    <w:rsid w:val="006C4CF5"/>
    <w:rsid w:val="006C62B2"/>
    <w:rsid w:val="006C644B"/>
    <w:rsid w:val="006C6DA1"/>
    <w:rsid w:val="006D017B"/>
    <w:rsid w:val="006D0CDB"/>
    <w:rsid w:val="006D106F"/>
    <w:rsid w:val="006D2265"/>
    <w:rsid w:val="006D22DA"/>
    <w:rsid w:val="006D2E9F"/>
    <w:rsid w:val="006D2FA0"/>
    <w:rsid w:val="006D3227"/>
    <w:rsid w:val="006D35D8"/>
    <w:rsid w:val="006D38B5"/>
    <w:rsid w:val="006D7249"/>
    <w:rsid w:val="006D7473"/>
    <w:rsid w:val="006D7B95"/>
    <w:rsid w:val="006D7DC1"/>
    <w:rsid w:val="006E063E"/>
    <w:rsid w:val="006E0B5A"/>
    <w:rsid w:val="006E0CB8"/>
    <w:rsid w:val="006E0F82"/>
    <w:rsid w:val="006E1F39"/>
    <w:rsid w:val="006E23AF"/>
    <w:rsid w:val="006E3757"/>
    <w:rsid w:val="006E4597"/>
    <w:rsid w:val="006E50C6"/>
    <w:rsid w:val="006E6733"/>
    <w:rsid w:val="006E6D20"/>
    <w:rsid w:val="006F07F6"/>
    <w:rsid w:val="006F0A75"/>
    <w:rsid w:val="006F1320"/>
    <w:rsid w:val="006F16ED"/>
    <w:rsid w:val="006F3172"/>
    <w:rsid w:val="006F391C"/>
    <w:rsid w:val="006F3E72"/>
    <w:rsid w:val="006F3FB3"/>
    <w:rsid w:val="006F4159"/>
    <w:rsid w:val="006F4656"/>
    <w:rsid w:val="006F5743"/>
    <w:rsid w:val="006F619D"/>
    <w:rsid w:val="006F6992"/>
    <w:rsid w:val="006F6B0E"/>
    <w:rsid w:val="006F7313"/>
    <w:rsid w:val="006F77D7"/>
    <w:rsid w:val="006F7A99"/>
    <w:rsid w:val="0070078C"/>
    <w:rsid w:val="00701C3C"/>
    <w:rsid w:val="007020FE"/>
    <w:rsid w:val="00703CE1"/>
    <w:rsid w:val="0070417C"/>
    <w:rsid w:val="00704FE3"/>
    <w:rsid w:val="007050DB"/>
    <w:rsid w:val="0070564E"/>
    <w:rsid w:val="007062E1"/>
    <w:rsid w:val="00706D7B"/>
    <w:rsid w:val="007072F8"/>
    <w:rsid w:val="00707D3E"/>
    <w:rsid w:val="00707E8E"/>
    <w:rsid w:val="0071050F"/>
    <w:rsid w:val="007106BF"/>
    <w:rsid w:val="00710B2B"/>
    <w:rsid w:val="00710E2C"/>
    <w:rsid w:val="007111C4"/>
    <w:rsid w:val="007116D5"/>
    <w:rsid w:val="00713881"/>
    <w:rsid w:val="00714E5D"/>
    <w:rsid w:val="0071545D"/>
    <w:rsid w:val="007154A5"/>
    <w:rsid w:val="00716058"/>
    <w:rsid w:val="00716B00"/>
    <w:rsid w:val="00716B93"/>
    <w:rsid w:val="007174B4"/>
    <w:rsid w:val="00717700"/>
    <w:rsid w:val="007200AD"/>
    <w:rsid w:val="00721310"/>
    <w:rsid w:val="0072143E"/>
    <w:rsid w:val="0072151C"/>
    <w:rsid w:val="00721828"/>
    <w:rsid w:val="00721E57"/>
    <w:rsid w:val="00721E6E"/>
    <w:rsid w:val="00722D13"/>
    <w:rsid w:val="007234D3"/>
    <w:rsid w:val="00723570"/>
    <w:rsid w:val="00723BCF"/>
    <w:rsid w:val="00724725"/>
    <w:rsid w:val="00726776"/>
    <w:rsid w:val="00730560"/>
    <w:rsid w:val="00730BD0"/>
    <w:rsid w:val="0073133D"/>
    <w:rsid w:val="00732EB2"/>
    <w:rsid w:val="007333C2"/>
    <w:rsid w:val="0073384F"/>
    <w:rsid w:val="00733884"/>
    <w:rsid w:val="007343C0"/>
    <w:rsid w:val="007355AC"/>
    <w:rsid w:val="00735B2D"/>
    <w:rsid w:val="00735B94"/>
    <w:rsid w:val="007361C9"/>
    <w:rsid w:val="0073630B"/>
    <w:rsid w:val="00737B1E"/>
    <w:rsid w:val="00741223"/>
    <w:rsid w:val="007414BC"/>
    <w:rsid w:val="0074194E"/>
    <w:rsid w:val="007443AF"/>
    <w:rsid w:val="007447B2"/>
    <w:rsid w:val="00745F87"/>
    <w:rsid w:val="00746C88"/>
    <w:rsid w:val="0075005A"/>
    <w:rsid w:val="0075050D"/>
    <w:rsid w:val="00750B92"/>
    <w:rsid w:val="007517FB"/>
    <w:rsid w:val="0075181B"/>
    <w:rsid w:val="0075257F"/>
    <w:rsid w:val="007532F6"/>
    <w:rsid w:val="007534CC"/>
    <w:rsid w:val="00753CC3"/>
    <w:rsid w:val="00756579"/>
    <w:rsid w:val="00757BDE"/>
    <w:rsid w:val="00761253"/>
    <w:rsid w:val="00762029"/>
    <w:rsid w:val="00762CAD"/>
    <w:rsid w:val="00763CB9"/>
    <w:rsid w:val="00764DA2"/>
    <w:rsid w:val="00770969"/>
    <w:rsid w:val="00772D67"/>
    <w:rsid w:val="00773806"/>
    <w:rsid w:val="0077395D"/>
    <w:rsid w:val="00774367"/>
    <w:rsid w:val="007748E6"/>
    <w:rsid w:val="007754ED"/>
    <w:rsid w:val="00776367"/>
    <w:rsid w:val="007775F0"/>
    <w:rsid w:val="00780115"/>
    <w:rsid w:val="007828EB"/>
    <w:rsid w:val="007831BA"/>
    <w:rsid w:val="00783A64"/>
    <w:rsid w:val="00783D26"/>
    <w:rsid w:val="0078445D"/>
    <w:rsid w:val="007844E4"/>
    <w:rsid w:val="0078486B"/>
    <w:rsid w:val="007856D9"/>
    <w:rsid w:val="00786CE0"/>
    <w:rsid w:val="0078751B"/>
    <w:rsid w:val="00790B0F"/>
    <w:rsid w:val="00790BD4"/>
    <w:rsid w:val="00791A38"/>
    <w:rsid w:val="00792066"/>
    <w:rsid w:val="007927EF"/>
    <w:rsid w:val="007929A7"/>
    <w:rsid w:val="00793655"/>
    <w:rsid w:val="00793721"/>
    <w:rsid w:val="00793AA3"/>
    <w:rsid w:val="0079515E"/>
    <w:rsid w:val="0079570A"/>
    <w:rsid w:val="007958E3"/>
    <w:rsid w:val="00795924"/>
    <w:rsid w:val="007A08D6"/>
    <w:rsid w:val="007A15C9"/>
    <w:rsid w:val="007A198D"/>
    <w:rsid w:val="007A2320"/>
    <w:rsid w:val="007A26EF"/>
    <w:rsid w:val="007A2FC7"/>
    <w:rsid w:val="007A39FF"/>
    <w:rsid w:val="007A3DD3"/>
    <w:rsid w:val="007A571E"/>
    <w:rsid w:val="007A62AD"/>
    <w:rsid w:val="007A654C"/>
    <w:rsid w:val="007A6708"/>
    <w:rsid w:val="007A7CCA"/>
    <w:rsid w:val="007B0922"/>
    <w:rsid w:val="007B13ED"/>
    <w:rsid w:val="007B1453"/>
    <w:rsid w:val="007B1533"/>
    <w:rsid w:val="007B1E41"/>
    <w:rsid w:val="007B2705"/>
    <w:rsid w:val="007B28BB"/>
    <w:rsid w:val="007B30F7"/>
    <w:rsid w:val="007B3975"/>
    <w:rsid w:val="007B39D6"/>
    <w:rsid w:val="007B556F"/>
    <w:rsid w:val="007B5654"/>
    <w:rsid w:val="007B5A1D"/>
    <w:rsid w:val="007B6376"/>
    <w:rsid w:val="007B6965"/>
    <w:rsid w:val="007B766E"/>
    <w:rsid w:val="007C1D1B"/>
    <w:rsid w:val="007C1E33"/>
    <w:rsid w:val="007C2EF0"/>
    <w:rsid w:val="007C3613"/>
    <w:rsid w:val="007C38F2"/>
    <w:rsid w:val="007C3B62"/>
    <w:rsid w:val="007C473F"/>
    <w:rsid w:val="007C4B14"/>
    <w:rsid w:val="007C515E"/>
    <w:rsid w:val="007C6318"/>
    <w:rsid w:val="007C7808"/>
    <w:rsid w:val="007C7C74"/>
    <w:rsid w:val="007D1275"/>
    <w:rsid w:val="007D4FCD"/>
    <w:rsid w:val="007D54E2"/>
    <w:rsid w:val="007D7297"/>
    <w:rsid w:val="007D7925"/>
    <w:rsid w:val="007E0AE7"/>
    <w:rsid w:val="007E0BAA"/>
    <w:rsid w:val="007E1222"/>
    <w:rsid w:val="007E1682"/>
    <w:rsid w:val="007E24DE"/>
    <w:rsid w:val="007E2C0C"/>
    <w:rsid w:val="007E35A3"/>
    <w:rsid w:val="007E4887"/>
    <w:rsid w:val="007E63A1"/>
    <w:rsid w:val="007E71FC"/>
    <w:rsid w:val="007E7937"/>
    <w:rsid w:val="007F0178"/>
    <w:rsid w:val="007F26EB"/>
    <w:rsid w:val="007F3759"/>
    <w:rsid w:val="007F4DFF"/>
    <w:rsid w:val="007F5144"/>
    <w:rsid w:val="007F5CB3"/>
    <w:rsid w:val="008008AC"/>
    <w:rsid w:val="00800B1C"/>
    <w:rsid w:val="008019FE"/>
    <w:rsid w:val="00803601"/>
    <w:rsid w:val="008039B2"/>
    <w:rsid w:val="00804F19"/>
    <w:rsid w:val="008053CB"/>
    <w:rsid w:val="00806163"/>
    <w:rsid w:val="00806200"/>
    <w:rsid w:val="0080653C"/>
    <w:rsid w:val="008079D6"/>
    <w:rsid w:val="00807E98"/>
    <w:rsid w:val="00810361"/>
    <w:rsid w:val="00811971"/>
    <w:rsid w:val="00812399"/>
    <w:rsid w:val="0081247B"/>
    <w:rsid w:val="00812FF1"/>
    <w:rsid w:val="00813504"/>
    <w:rsid w:val="0081372F"/>
    <w:rsid w:val="00814A3D"/>
    <w:rsid w:val="008155C3"/>
    <w:rsid w:val="00815637"/>
    <w:rsid w:val="00816E21"/>
    <w:rsid w:val="00817234"/>
    <w:rsid w:val="00817C12"/>
    <w:rsid w:val="00821198"/>
    <w:rsid w:val="00821B01"/>
    <w:rsid w:val="00822378"/>
    <w:rsid w:val="008231FD"/>
    <w:rsid w:val="00823906"/>
    <w:rsid w:val="00824BA8"/>
    <w:rsid w:val="00825378"/>
    <w:rsid w:val="0082711D"/>
    <w:rsid w:val="00830354"/>
    <w:rsid w:val="00830794"/>
    <w:rsid w:val="00832093"/>
    <w:rsid w:val="00832911"/>
    <w:rsid w:val="008335CF"/>
    <w:rsid w:val="00834CEE"/>
    <w:rsid w:val="00834D76"/>
    <w:rsid w:val="00836E1C"/>
    <w:rsid w:val="00840BF6"/>
    <w:rsid w:val="00840FFD"/>
    <w:rsid w:val="00844489"/>
    <w:rsid w:val="008444FD"/>
    <w:rsid w:val="00844A4B"/>
    <w:rsid w:val="00844AF5"/>
    <w:rsid w:val="00844E55"/>
    <w:rsid w:val="00845202"/>
    <w:rsid w:val="00847FFB"/>
    <w:rsid w:val="008508CA"/>
    <w:rsid w:val="008509C2"/>
    <w:rsid w:val="00851228"/>
    <w:rsid w:val="0085142E"/>
    <w:rsid w:val="00851952"/>
    <w:rsid w:val="00851C7A"/>
    <w:rsid w:val="008522B6"/>
    <w:rsid w:val="00853BCD"/>
    <w:rsid w:val="0085479D"/>
    <w:rsid w:val="00854FC5"/>
    <w:rsid w:val="00856783"/>
    <w:rsid w:val="00860661"/>
    <w:rsid w:val="00860E57"/>
    <w:rsid w:val="008617B9"/>
    <w:rsid w:val="00862087"/>
    <w:rsid w:val="00862550"/>
    <w:rsid w:val="0086272A"/>
    <w:rsid w:val="0086297D"/>
    <w:rsid w:val="00862D31"/>
    <w:rsid w:val="00862DC0"/>
    <w:rsid w:val="00863AC7"/>
    <w:rsid w:val="0086579B"/>
    <w:rsid w:val="008657BA"/>
    <w:rsid w:val="0086604A"/>
    <w:rsid w:val="00866343"/>
    <w:rsid w:val="00867BAD"/>
    <w:rsid w:val="0087039F"/>
    <w:rsid w:val="00871AD8"/>
    <w:rsid w:val="008720F2"/>
    <w:rsid w:val="008736F2"/>
    <w:rsid w:val="00873C34"/>
    <w:rsid w:val="008742F8"/>
    <w:rsid w:val="00874925"/>
    <w:rsid w:val="00874CB4"/>
    <w:rsid w:val="00876394"/>
    <w:rsid w:val="00876DDB"/>
    <w:rsid w:val="00877181"/>
    <w:rsid w:val="00877DD5"/>
    <w:rsid w:val="0088030E"/>
    <w:rsid w:val="008822DE"/>
    <w:rsid w:val="00882637"/>
    <w:rsid w:val="0088277F"/>
    <w:rsid w:val="00883C2F"/>
    <w:rsid w:val="00884384"/>
    <w:rsid w:val="0088466B"/>
    <w:rsid w:val="00884AB4"/>
    <w:rsid w:val="0088546B"/>
    <w:rsid w:val="008857C3"/>
    <w:rsid w:val="008865FF"/>
    <w:rsid w:val="008909C3"/>
    <w:rsid w:val="00890D69"/>
    <w:rsid w:val="008910EC"/>
    <w:rsid w:val="008918D6"/>
    <w:rsid w:val="0089261A"/>
    <w:rsid w:val="00893FCC"/>
    <w:rsid w:val="00894EF5"/>
    <w:rsid w:val="00895D4D"/>
    <w:rsid w:val="00897805"/>
    <w:rsid w:val="00897DE4"/>
    <w:rsid w:val="008A0553"/>
    <w:rsid w:val="008A0DB1"/>
    <w:rsid w:val="008A0FAB"/>
    <w:rsid w:val="008A122A"/>
    <w:rsid w:val="008A13CA"/>
    <w:rsid w:val="008A211F"/>
    <w:rsid w:val="008A303E"/>
    <w:rsid w:val="008A53D8"/>
    <w:rsid w:val="008A552D"/>
    <w:rsid w:val="008A6C1D"/>
    <w:rsid w:val="008A7221"/>
    <w:rsid w:val="008A7BA7"/>
    <w:rsid w:val="008B008C"/>
    <w:rsid w:val="008B2566"/>
    <w:rsid w:val="008B269D"/>
    <w:rsid w:val="008B2918"/>
    <w:rsid w:val="008B37AD"/>
    <w:rsid w:val="008B4F94"/>
    <w:rsid w:val="008B6DA6"/>
    <w:rsid w:val="008B700A"/>
    <w:rsid w:val="008B7077"/>
    <w:rsid w:val="008B7712"/>
    <w:rsid w:val="008B7E5F"/>
    <w:rsid w:val="008C0055"/>
    <w:rsid w:val="008C2326"/>
    <w:rsid w:val="008C2B36"/>
    <w:rsid w:val="008C35DD"/>
    <w:rsid w:val="008C3D6C"/>
    <w:rsid w:val="008C4EEE"/>
    <w:rsid w:val="008C551F"/>
    <w:rsid w:val="008C5570"/>
    <w:rsid w:val="008C6183"/>
    <w:rsid w:val="008C6415"/>
    <w:rsid w:val="008C6E48"/>
    <w:rsid w:val="008C7C16"/>
    <w:rsid w:val="008D09FB"/>
    <w:rsid w:val="008D16A5"/>
    <w:rsid w:val="008D21E5"/>
    <w:rsid w:val="008D244A"/>
    <w:rsid w:val="008D2C2D"/>
    <w:rsid w:val="008D32BA"/>
    <w:rsid w:val="008D388B"/>
    <w:rsid w:val="008D3F7F"/>
    <w:rsid w:val="008D3FD5"/>
    <w:rsid w:val="008D5825"/>
    <w:rsid w:val="008D64BA"/>
    <w:rsid w:val="008D6CFD"/>
    <w:rsid w:val="008D7DB4"/>
    <w:rsid w:val="008E274C"/>
    <w:rsid w:val="008E32A4"/>
    <w:rsid w:val="008E35AA"/>
    <w:rsid w:val="008E3C2C"/>
    <w:rsid w:val="008E3E82"/>
    <w:rsid w:val="008E4354"/>
    <w:rsid w:val="008E7612"/>
    <w:rsid w:val="008F0A57"/>
    <w:rsid w:val="008F12C1"/>
    <w:rsid w:val="008F162E"/>
    <w:rsid w:val="008F290F"/>
    <w:rsid w:val="008F3AA8"/>
    <w:rsid w:val="008F40BB"/>
    <w:rsid w:val="008F4F0C"/>
    <w:rsid w:val="008F54B6"/>
    <w:rsid w:val="008F5B79"/>
    <w:rsid w:val="008F5C77"/>
    <w:rsid w:val="008F68FF"/>
    <w:rsid w:val="008F7270"/>
    <w:rsid w:val="008F7381"/>
    <w:rsid w:val="008F744E"/>
    <w:rsid w:val="008F75B8"/>
    <w:rsid w:val="0090105F"/>
    <w:rsid w:val="00902CF2"/>
    <w:rsid w:val="0090582D"/>
    <w:rsid w:val="00905AB8"/>
    <w:rsid w:val="00905D28"/>
    <w:rsid w:val="00906803"/>
    <w:rsid w:val="00906B34"/>
    <w:rsid w:val="00907094"/>
    <w:rsid w:val="009110A5"/>
    <w:rsid w:val="00911A22"/>
    <w:rsid w:val="00911DD0"/>
    <w:rsid w:val="009121AF"/>
    <w:rsid w:val="00914C41"/>
    <w:rsid w:val="00914CDC"/>
    <w:rsid w:val="009158A5"/>
    <w:rsid w:val="00916C82"/>
    <w:rsid w:val="00917360"/>
    <w:rsid w:val="00917689"/>
    <w:rsid w:val="00917D94"/>
    <w:rsid w:val="00920029"/>
    <w:rsid w:val="00920BD4"/>
    <w:rsid w:val="009221C1"/>
    <w:rsid w:val="009222B2"/>
    <w:rsid w:val="00924AA5"/>
    <w:rsid w:val="009250DA"/>
    <w:rsid w:val="00926040"/>
    <w:rsid w:val="00926D8D"/>
    <w:rsid w:val="00930C55"/>
    <w:rsid w:val="00930E6F"/>
    <w:rsid w:val="00930E72"/>
    <w:rsid w:val="00930FFF"/>
    <w:rsid w:val="00931486"/>
    <w:rsid w:val="00932B79"/>
    <w:rsid w:val="00932C6D"/>
    <w:rsid w:val="00932FA4"/>
    <w:rsid w:val="009354D9"/>
    <w:rsid w:val="00935EDE"/>
    <w:rsid w:val="0093631E"/>
    <w:rsid w:val="0093672C"/>
    <w:rsid w:val="00936F0F"/>
    <w:rsid w:val="00943C7F"/>
    <w:rsid w:val="009452D7"/>
    <w:rsid w:val="009457C6"/>
    <w:rsid w:val="0094592D"/>
    <w:rsid w:val="00945AE4"/>
    <w:rsid w:val="00945BDB"/>
    <w:rsid w:val="00945E12"/>
    <w:rsid w:val="00945E3D"/>
    <w:rsid w:val="00947579"/>
    <w:rsid w:val="00947CCF"/>
    <w:rsid w:val="00951196"/>
    <w:rsid w:val="00951954"/>
    <w:rsid w:val="0095346D"/>
    <w:rsid w:val="00953AB3"/>
    <w:rsid w:val="00953B05"/>
    <w:rsid w:val="00954E85"/>
    <w:rsid w:val="00954E9E"/>
    <w:rsid w:val="009553A6"/>
    <w:rsid w:val="0095641B"/>
    <w:rsid w:val="009565BA"/>
    <w:rsid w:val="009579F4"/>
    <w:rsid w:val="0096081E"/>
    <w:rsid w:val="009609F4"/>
    <w:rsid w:val="00960C41"/>
    <w:rsid w:val="00961243"/>
    <w:rsid w:val="00961976"/>
    <w:rsid w:val="00962F60"/>
    <w:rsid w:val="00963986"/>
    <w:rsid w:val="00963AC4"/>
    <w:rsid w:val="00965559"/>
    <w:rsid w:val="00965CCC"/>
    <w:rsid w:val="00966122"/>
    <w:rsid w:val="00967932"/>
    <w:rsid w:val="00970209"/>
    <w:rsid w:val="00970C6E"/>
    <w:rsid w:val="00971EE5"/>
    <w:rsid w:val="00971F0C"/>
    <w:rsid w:val="009725F6"/>
    <w:rsid w:val="00974806"/>
    <w:rsid w:val="00974881"/>
    <w:rsid w:val="00974D41"/>
    <w:rsid w:val="00976D59"/>
    <w:rsid w:val="00980356"/>
    <w:rsid w:val="00980466"/>
    <w:rsid w:val="00980628"/>
    <w:rsid w:val="00983A04"/>
    <w:rsid w:val="009842D4"/>
    <w:rsid w:val="009868F3"/>
    <w:rsid w:val="009901BD"/>
    <w:rsid w:val="00992D58"/>
    <w:rsid w:val="00993030"/>
    <w:rsid w:val="009932CE"/>
    <w:rsid w:val="009934E6"/>
    <w:rsid w:val="00993A1C"/>
    <w:rsid w:val="009941D5"/>
    <w:rsid w:val="0099434E"/>
    <w:rsid w:val="00995757"/>
    <w:rsid w:val="00997FD4"/>
    <w:rsid w:val="009A0E2C"/>
    <w:rsid w:val="009A1388"/>
    <w:rsid w:val="009A14F6"/>
    <w:rsid w:val="009A1A27"/>
    <w:rsid w:val="009A5060"/>
    <w:rsid w:val="009A52AA"/>
    <w:rsid w:val="009A5343"/>
    <w:rsid w:val="009A668F"/>
    <w:rsid w:val="009A6E81"/>
    <w:rsid w:val="009A700F"/>
    <w:rsid w:val="009A73E3"/>
    <w:rsid w:val="009A7E7A"/>
    <w:rsid w:val="009B188A"/>
    <w:rsid w:val="009B1E3B"/>
    <w:rsid w:val="009B3DF9"/>
    <w:rsid w:val="009B4827"/>
    <w:rsid w:val="009B5769"/>
    <w:rsid w:val="009B6162"/>
    <w:rsid w:val="009B7967"/>
    <w:rsid w:val="009B7CEE"/>
    <w:rsid w:val="009C123E"/>
    <w:rsid w:val="009C1B4E"/>
    <w:rsid w:val="009C4E8B"/>
    <w:rsid w:val="009C5AC0"/>
    <w:rsid w:val="009C6182"/>
    <w:rsid w:val="009C6E0C"/>
    <w:rsid w:val="009C7BA5"/>
    <w:rsid w:val="009D182C"/>
    <w:rsid w:val="009D191D"/>
    <w:rsid w:val="009D1CBE"/>
    <w:rsid w:val="009D2B5B"/>
    <w:rsid w:val="009D35E2"/>
    <w:rsid w:val="009D5658"/>
    <w:rsid w:val="009D64F2"/>
    <w:rsid w:val="009D6B17"/>
    <w:rsid w:val="009D6B77"/>
    <w:rsid w:val="009D70CF"/>
    <w:rsid w:val="009D7DAF"/>
    <w:rsid w:val="009E1212"/>
    <w:rsid w:val="009E340F"/>
    <w:rsid w:val="009E3B68"/>
    <w:rsid w:val="009E414A"/>
    <w:rsid w:val="009E4445"/>
    <w:rsid w:val="009E513A"/>
    <w:rsid w:val="009E5C8A"/>
    <w:rsid w:val="009E5FAB"/>
    <w:rsid w:val="009E6D29"/>
    <w:rsid w:val="009E752B"/>
    <w:rsid w:val="009F07F7"/>
    <w:rsid w:val="009F19E5"/>
    <w:rsid w:val="009F245A"/>
    <w:rsid w:val="009F2509"/>
    <w:rsid w:val="009F2EA1"/>
    <w:rsid w:val="009F315C"/>
    <w:rsid w:val="009F32EA"/>
    <w:rsid w:val="009F3763"/>
    <w:rsid w:val="009F3BB4"/>
    <w:rsid w:val="009F4016"/>
    <w:rsid w:val="009F4413"/>
    <w:rsid w:val="009F4F2C"/>
    <w:rsid w:val="009F62E9"/>
    <w:rsid w:val="009F67E4"/>
    <w:rsid w:val="009F68D2"/>
    <w:rsid w:val="009F78B9"/>
    <w:rsid w:val="00A00483"/>
    <w:rsid w:val="00A01608"/>
    <w:rsid w:val="00A0292C"/>
    <w:rsid w:val="00A03AEE"/>
    <w:rsid w:val="00A041E0"/>
    <w:rsid w:val="00A0579D"/>
    <w:rsid w:val="00A064A6"/>
    <w:rsid w:val="00A07970"/>
    <w:rsid w:val="00A1043C"/>
    <w:rsid w:val="00A116DA"/>
    <w:rsid w:val="00A11D40"/>
    <w:rsid w:val="00A13712"/>
    <w:rsid w:val="00A15CF5"/>
    <w:rsid w:val="00A15E10"/>
    <w:rsid w:val="00A174B2"/>
    <w:rsid w:val="00A17591"/>
    <w:rsid w:val="00A17F89"/>
    <w:rsid w:val="00A21180"/>
    <w:rsid w:val="00A212C2"/>
    <w:rsid w:val="00A224C0"/>
    <w:rsid w:val="00A22B83"/>
    <w:rsid w:val="00A23300"/>
    <w:rsid w:val="00A23EF3"/>
    <w:rsid w:val="00A25720"/>
    <w:rsid w:val="00A32A89"/>
    <w:rsid w:val="00A3467D"/>
    <w:rsid w:val="00A349F0"/>
    <w:rsid w:val="00A3518C"/>
    <w:rsid w:val="00A376F2"/>
    <w:rsid w:val="00A37D23"/>
    <w:rsid w:val="00A418E1"/>
    <w:rsid w:val="00A4230B"/>
    <w:rsid w:val="00A4266D"/>
    <w:rsid w:val="00A43449"/>
    <w:rsid w:val="00A435A5"/>
    <w:rsid w:val="00A438C9"/>
    <w:rsid w:val="00A450F6"/>
    <w:rsid w:val="00A4536F"/>
    <w:rsid w:val="00A4560B"/>
    <w:rsid w:val="00A45614"/>
    <w:rsid w:val="00A46334"/>
    <w:rsid w:val="00A4745B"/>
    <w:rsid w:val="00A476DC"/>
    <w:rsid w:val="00A4775B"/>
    <w:rsid w:val="00A47EAB"/>
    <w:rsid w:val="00A50260"/>
    <w:rsid w:val="00A51C8D"/>
    <w:rsid w:val="00A52E6F"/>
    <w:rsid w:val="00A530AA"/>
    <w:rsid w:val="00A536E3"/>
    <w:rsid w:val="00A53F31"/>
    <w:rsid w:val="00A564A7"/>
    <w:rsid w:val="00A57317"/>
    <w:rsid w:val="00A5767C"/>
    <w:rsid w:val="00A605D6"/>
    <w:rsid w:val="00A60CAA"/>
    <w:rsid w:val="00A61A07"/>
    <w:rsid w:val="00A6243E"/>
    <w:rsid w:val="00A631D7"/>
    <w:rsid w:val="00A64232"/>
    <w:rsid w:val="00A6439A"/>
    <w:rsid w:val="00A65F69"/>
    <w:rsid w:val="00A6632B"/>
    <w:rsid w:val="00A66EFA"/>
    <w:rsid w:val="00A674B9"/>
    <w:rsid w:val="00A71072"/>
    <w:rsid w:val="00A71DB4"/>
    <w:rsid w:val="00A7352A"/>
    <w:rsid w:val="00A74D40"/>
    <w:rsid w:val="00A74F99"/>
    <w:rsid w:val="00A751A3"/>
    <w:rsid w:val="00A767C5"/>
    <w:rsid w:val="00A7729C"/>
    <w:rsid w:val="00A77740"/>
    <w:rsid w:val="00A77995"/>
    <w:rsid w:val="00A80B15"/>
    <w:rsid w:val="00A81BF6"/>
    <w:rsid w:val="00A81C56"/>
    <w:rsid w:val="00A822AC"/>
    <w:rsid w:val="00A824DD"/>
    <w:rsid w:val="00A843BF"/>
    <w:rsid w:val="00A856F9"/>
    <w:rsid w:val="00A85A39"/>
    <w:rsid w:val="00A85E43"/>
    <w:rsid w:val="00A8663E"/>
    <w:rsid w:val="00A8727C"/>
    <w:rsid w:val="00A916EA"/>
    <w:rsid w:val="00A91A5D"/>
    <w:rsid w:val="00A91FAD"/>
    <w:rsid w:val="00A9331B"/>
    <w:rsid w:val="00A93394"/>
    <w:rsid w:val="00A938AB"/>
    <w:rsid w:val="00A94905"/>
    <w:rsid w:val="00A94B0D"/>
    <w:rsid w:val="00A94CB9"/>
    <w:rsid w:val="00A9552A"/>
    <w:rsid w:val="00A9556E"/>
    <w:rsid w:val="00A95DC2"/>
    <w:rsid w:val="00A974CF"/>
    <w:rsid w:val="00A975CE"/>
    <w:rsid w:val="00A97FA3"/>
    <w:rsid w:val="00AA258F"/>
    <w:rsid w:val="00AA30B4"/>
    <w:rsid w:val="00AA5C8E"/>
    <w:rsid w:val="00AA6CBF"/>
    <w:rsid w:val="00AA781F"/>
    <w:rsid w:val="00AB096C"/>
    <w:rsid w:val="00AB14AB"/>
    <w:rsid w:val="00AB199B"/>
    <w:rsid w:val="00AB2E24"/>
    <w:rsid w:val="00AB2E43"/>
    <w:rsid w:val="00AB413F"/>
    <w:rsid w:val="00AB4196"/>
    <w:rsid w:val="00AB4B46"/>
    <w:rsid w:val="00AB579D"/>
    <w:rsid w:val="00AB5906"/>
    <w:rsid w:val="00AB6229"/>
    <w:rsid w:val="00AB7094"/>
    <w:rsid w:val="00AC058D"/>
    <w:rsid w:val="00AC05BF"/>
    <w:rsid w:val="00AC13BC"/>
    <w:rsid w:val="00AC14D8"/>
    <w:rsid w:val="00AC2239"/>
    <w:rsid w:val="00AC23DB"/>
    <w:rsid w:val="00AC246D"/>
    <w:rsid w:val="00AC34F0"/>
    <w:rsid w:val="00AC3C2F"/>
    <w:rsid w:val="00AC4CAB"/>
    <w:rsid w:val="00AC4F72"/>
    <w:rsid w:val="00AC5226"/>
    <w:rsid w:val="00AC5353"/>
    <w:rsid w:val="00AC6625"/>
    <w:rsid w:val="00AC6671"/>
    <w:rsid w:val="00AC6CC7"/>
    <w:rsid w:val="00AD0543"/>
    <w:rsid w:val="00AD0CD0"/>
    <w:rsid w:val="00AD13BC"/>
    <w:rsid w:val="00AD1B34"/>
    <w:rsid w:val="00AD43FA"/>
    <w:rsid w:val="00AD5304"/>
    <w:rsid w:val="00AD536F"/>
    <w:rsid w:val="00AD53C6"/>
    <w:rsid w:val="00AD5BDB"/>
    <w:rsid w:val="00AD5E87"/>
    <w:rsid w:val="00AE0A1B"/>
    <w:rsid w:val="00AE0D62"/>
    <w:rsid w:val="00AE127E"/>
    <w:rsid w:val="00AE15B1"/>
    <w:rsid w:val="00AE1915"/>
    <w:rsid w:val="00AE25F7"/>
    <w:rsid w:val="00AE2CC3"/>
    <w:rsid w:val="00AE2D08"/>
    <w:rsid w:val="00AE351F"/>
    <w:rsid w:val="00AE5FD1"/>
    <w:rsid w:val="00AE64AB"/>
    <w:rsid w:val="00AE770B"/>
    <w:rsid w:val="00AE78BF"/>
    <w:rsid w:val="00AF00DD"/>
    <w:rsid w:val="00AF0631"/>
    <w:rsid w:val="00AF15D7"/>
    <w:rsid w:val="00AF2609"/>
    <w:rsid w:val="00AF289A"/>
    <w:rsid w:val="00AF37FD"/>
    <w:rsid w:val="00AF4D69"/>
    <w:rsid w:val="00AF4F8F"/>
    <w:rsid w:val="00AF50C0"/>
    <w:rsid w:val="00AF51FA"/>
    <w:rsid w:val="00AF5276"/>
    <w:rsid w:val="00AF5EAE"/>
    <w:rsid w:val="00AF6708"/>
    <w:rsid w:val="00AF6D24"/>
    <w:rsid w:val="00AF732D"/>
    <w:rsid w:val="00B005AD"/>
    <w:rsid w:val="00B00E1E"/>
    <w:rsid w:val="00B00F7B"/>
    <w:rsid w:val="00B02A5E"/>
    <w:rsid w:val="00B04ADC"/>
    <w:rsid w:val="00B05373"/>
    <w:rsid w:val="00B06FDF"/>
    <w:rsid w:val="00B07BB2"/>
    <w:rsid w:val="00B10AAA"/>
    <w:rsid w:val="00B11360"/>
    <w:rsid w:val="00B114E0"/>
    <w:rsid w:val="00B14574"/>
    <w:rsid w:val="00B1485C"/>
    <w:rsid w:val="00B153D9"/>
    <w:rsid w:val="00B15E96"/>
    <w:rsid w:val="00B1603F"/>
    <w:rsid w:val="00B1647E"/>
    <w:rsid w:val="00B17169"/>
    <w:rsid w:val="00B2064E"/>
    <w:rsid w:val="00B20B13"/>
    <w:rsid w:val="00B20D98"/>
    <w:rsid w:val="00B21A21"/>
    <w:rsid w:val="00B23029"/>
    <w:rsid w:val="00B23CDF"/>
    <w:rsid w:val="00B24311"/>
    <w:rsid w:val="00B24364"/>
    <w:rsid w:val="00B24BF4"/>
    <w:rsid w:val="00B26255"/>
    <w:rsid w:val="00B263DA"/>
    <w:rsid w:val="00B26619"/>
    <w:rsid w:val="00B2715E"/>
    <w:rsid w:val="00B3133F"/>
    <w:rsid w:val="00B328D1"/>
    <w:rsid w:val="00B329C9"/>
    <w:rsid w:val="00B32AE4"/>
    <w:rsid w:val="00B32BB4"/>
    <w:rsid w:val="00B32BCE"/>
    <w:rsid w:val="00B33541"/>
    <w:rsid w:val="00B34CF5"/>
    <w:rsid w:val="00B357C8"/>
    <w:rsid w:val="00B35EB7"/>
    <w:rsid w:val="00B3644E"/>
    <w:rsid w:val="00B36E19"/>
    <w:rsid w:val="00B3711E"/>
    <w:rsid w:val="00B4017D"/>
    <w:rsid w:val="00B40A04"/>
    <w:rsid w:val="00B4292D"/>
    <w:rsid w:val="00B4293A"/>
    <w:rsid w:val="00B44A46"/>
    <w:rsid w:val="00B45554"/>
    <w:rsid w:val="00B45982"/>
    <w:rsid w:val="00B45C9F"/>
    <w:rsid w:val="00B4601A"/>
    <w:rsid w:val="00B4665F"/>
    <w:rsid w:val="00B469F1"/>
    <w:rsid w:val="00B470E5"/>
    <w:rsid w:val="00B47585"/>
    <w:rsid w:val="00B50347"/>
    <w:rsid w:val="00B50D30"/>
    <w:rsid w:val="00B50EDE"/>
    <w:rsid w:val="00B5119B"/>
    <w:rsid w:val="00B51842"/>
    <w:rsid w:val="00B526FF"/>
    <w:rsid w:val="00B53E6E"/>
    <w:rsid w:val="00B53FDA"/>
    <w:rsid w:val="00B55F41"/>
    <w:rsid w:val="00B56CEA"/>
    <w:rsid w:val="00B61637"/>
    <w:rsid w:val="00B618DF"/>
    <w:rsid w:val="00B6192C"/>
    <w:rsid w:val="00B622B1"/>
    <w:rsid w:val="00B6242B"/>
    <w:rsid w:val="00B6245A"/>
    <w:rsid w:val="00B63906"/>
    <w:rsid w:val="00B64994"/>
    <w:rsid w:val="00B653FD"/>
    <w:rsid w:val="00B65D76"/>
    <w:rsid w:val="00B65F17"/>
    <w:rsid w:val="00B66C2F"/>
    <w:rsid w:val="00B67A26"/>
    <w:rsid w:val="00B67F35"/>
    <w:rsid w:val="00B67FE3"/>
    <w:rsid w:val="00B7037D"/>
    <w:rsid w:val="00B70B9C"/>
    <w:rsid w:val="00B70FE6"/>
    <w:rsid w:val="00B718BF"/>
    <w:rsid w:val="00B724C9"/>
    <w:rsid w:val="00B727B4"/>
    <w:rsid w:val="00B73466"/>
    <w:rsid w:val="00B743B7"/>
    <w:rsid w:val="00B752A8"/>
    <w:rsid w:val="00B7618E"/>
    <w:rsid w:val="00B802AE"/>
    <w:rsid w:val="00B807D6"/>
    <w:rsid w:val="00B815BC"/>
    <w:rsid w:val="00B82399"/>
    <w:rsid w:val="00B8242B"/>
    <w:rsid w:val="00B833A5"/>
    <w:rsid w:val="00B837E1"/>
    <w:rsid w:val="00B83C82"/>
    <w:rsid w:val="00B83EFF"/>
    <w:rsid w:val="00B8417B"/>
    <w:rsid w:val="00B859E2"/>
    <w:rsid w:val="00B8690D"/>
    <w:rsid w:val="00B900F6"/>
    <w:rsid w:val="00B902B3"/>
    <w:rsid w:val="00B903DE"/>
    <w:rsid w:val="00B90659"/>
    <w:rsid w:val="00B90877"/>
    <w:rsid w:val="00B90B3B"/>
    <w:rsid w:val="00B913E7"/>
    <w:rsid w:val="00B91E16"/>
    <w:rsid w:val="00B923DF"/>
    <w:rsid w:val="00B92C44"/>
    <w:rsid w:val="00B92E6A"/>
    <w:rsid w:val="00B92FB8"/>
    <w:rsid w:val="00B93920"/>
    <w:rsid w:val="00B93EBA"/>
    <w:rsid w:val="00B93FD5"/>
    <w:rsid w:val="00B950C1"/>
    <w:rsid w:val="00B959BA"/>
    <w:rsid w:val="00B96A42"/>
    <w:rsid w:val="00BA0250"/>
    <w:rsid w:val="00BA03D1"/>
    <w:rsid w:val="00BA04BD"/>
    <w:rsid w:val="00BA1026"/>
    <w:rsid w:val="00BA14D1"/>
    <w:rsid w:val="00BA15CB"/>
    <w:rsid w:val="00BA1EEF"/>
    <w:rsid w:val="00BA1F04"/>
    <w:rsid w:val="00BA28D1"/>
    <w:rsid w:val="00BA2D50"/>
    <w:rsid w:val="00BA3776"/>
    <w:rsid w:val="00BA4FD9"/>
    <w:rsid w:val="00BA529C"/>
    <w:rsid w:val="00BA5CF3"/>
    <w:rsid w:val="00BA658B"/>
    <w:rsid w:val="00BA7CAC"/>
    <w:rsid w:val="00BB0CB7"/>
    <w:rsid w:val="00BB1349"/>
    <w:rsid w:val="00BB1574"/>
    <w:rsid w:val="00BB2BCC"/>
    <w:rsid w:val="00BB2FEA"/>
    <w:rsid w:val="00BB32F4"/>
    <w:rsid w:val="00BB3F73"/>
    <w:rsid w:val="00BB42F2"/>
    <w:rsid w:val="00BB4562"/>
    <w:rsid w:val="00BB5277"/>
    <w:rsid w:val="00BB5800"/>
    <w:rsid w:val="00BB59CA"/>
    <w:rsid w:val="00BB5C91"/>
    <w:rsid w:val="00BB6240"/>
    <w:rsid w:val="00BB63D0"/>
    <w:rsid w:val="00BB6A44"/>
    <w:rsid w:val="00BB6EAF"/>
    <w:rsid w:val="00BB7E0A"/>
    <w:rsid w:val="00BC0530"/>
    <w:rsid w:val="00BC12BE"/>
    <w:rsid w:val="00BC142E"/>
    <w:rsid w:val="00BC32EE"/>
    <w:rsid w:val="00BC36EB"/>
    <w:rsid w:val="00BC5084"/>
    <w:rsid w:val="00BC531C"/>
    <w:rsid w:val="00BC571F"/>
    <w:rsid w:val="00BC75E7"/>
    <w:rsid w:val="00BC7875"/>
    <w:rsid w:val="00BD01C3"/>
    <w:rsid w:val="00BD1177"/>
    <w:rsid w:val="00BD1C95"/>
    <w:rsid w:val="00BD1CAF"/>
    <w:rsid w:val="00BD2BAB"/>
    <w:rsid w:val="00BD346C"/>
    <w:rsid w:val="00BD3B52"/>
    <w:rsid w:val="00BD42C7"/>
    <w:rsid w:val="00BD4461"/>
    <w:rsid w:val="00BD5B3C"/>
    <w:rsid w:val="00BD5DE8"/>
    <w:rsid w:val="00BD6E6F"/>
    <w:rsid w:val="00BD7A94"/>
    <w:rsid w:val="00BE0477"/>
    <w:rsid w:val="00BE0982"/>
    <w:rsid w:val="00BE108B"/>
    <w:rsid w:val="00BE1FB2"/>
    <w:rsid w:val="00BE27DB"/>
    <w:rsid w:val="00BE2EBD"/>
    <w:rsid w:val="00BE4962"/>
    <w:rsid w:val="00BE4A08"/>
    <w:rsid w:val="00BE4A15"/>
    <w:rsid w:val="00BE59C2"/>
    <w:rsid w:val="00BE67F4"/>
    <w:rsid w:val="00BE68AA"/>
    <w:rsid w:val="00BE6A07"/>
    <w:rsid w:val="00BE6CA3"/>
    <w:rsid w:val="00BE7489"/>
    <w:rsid w:val="00BE79F6"/>
    <w:rsid w:val="00BF058F"/>
    <w:rsid w:val="00BF0FCC"/>
    <w:rsid w:val="00BF3B0A"/>
    <w:rsid w:val="00BF4EC4"/>
    <w:rsid w:val="00BF59B4"/>
    <w:rsid w:val="00BF5A98"/>
    <w:rsid w:val="00BF6B59"/>
    <w:rsid w:val="00BF74AC"/>
    <w:rsid w:val="00C00E65"/>
    <w:rsid w:val="00C01B27"/>
    <w:rsid w:val="00C01F55"/>
    <w:rsid w:val="00C030D5"/>
    <w:rsid w:val="00C03338"/>
    <w:rsid w:val="00C040D1"/>
    <w:rsid w:val="00C049B6"/>
    <w:rsid w:val="00C04B05"/>
    <w:rsid w:val="00C0520C"/>
    <w:rsid w:val="00C0588A"/>
    <w:rsid w:val="00C059DC"/>
    <w:rsid w:val="00C06201"/>
    <w:rsid w:val="00C07577"/>
    <w:rsid w:val="00C10BC5"/>
    <w:rsid w:val="00C10E23"/>
    <w:rsid w:val="00C11304"/>
    <w:rsid w:val="00C114FE"/>
    <w:rsid w:val="00C128E8"/>
    <w:rsid w:val="00C13877"/>
    <w:rsid w:val="00C15A7A"/>
    <w:rsid w:val="00C15C36"/>
    <w:rsid w:val="00C2166A"/>
    <w:rsid w:val="00C22F9B"/>
    <w:rsid w:val="00C24589"/>
    <w:rsid w:val="00C2482E"/>
    <w:rsid w:val="00C25950"/>
    <w:rsid w:val="00C25B79"/>
    <w:rsid w:val="00C25E7C"/>
    <w:rsid w:val="00C27AEB"/>
    <w:rsid w:val="00C304CC"/>
    <w:rsid w:val="00C30C0D"/>
    <w:rsid w:val="00C31415"/>
    <w:rsid w:val="00C35C45"/>
    <w:rsid w:val="00C36E7D"/>
    <w:rsid w:val="00C406F0"/>
    <w:rsid w:val="00C40EB7"/>
    <w:rsid w:val="00C418EF"/>
    <w:rsid w:val="00C44A02"/>
    <w:rsid w:val="00C4567F"/>
    <w:rsid w:val="00C458D6"/>
    <w:rsid w:val="00C45C28"/>
    <w:rsid w:val="00C509E6"/>
    <w:rsid w:val="00C52130"/>
    <w:rsid w:val="00C52DCB"/>
    <w:rsid w:val="00C538E4"/>
    <w:rsid w:val="00C53DDD"/>
    <w:rsid w:val="00C5427B"/>
    <w:rsid w:val="00C54B76"/>
    <w:rsid w:val="00C572CB"/>
    <w:rsid w:val="00C60A33"/>
    <w:rsid w:val="00C623EC"/>
    <w:rsid w:val="00C62B07"/>
    <w:rsid w:val="00C62B1B"/>
    <w:rsid w:val="00C63A4F"/>
    <w:rsid w:val="00C640D6"/>
    <w:rsid w:val="00C64980"/>
    <w:rsid w:val="00C64AF2"/>
    <w:rsid w:val="00C64C82"/>
    <w:rsid w:val="00C6565A"/>
    <w:rsid w:val="00C66D7C"/>
    <w:rsid w:val="00C67134"/>
    <w:rsid w:val="00C675A9"/>
    <w:rsid w:val="00C67D78"/>
    <w:rsid w:val="00C712DE"/>
    <w:rsid w:val="00C72F7E"/>
    <w:rsid w:val="00C735D9"/>
    <w:rsid w:val="00C745B8"/>
    <w:rsid w:val="00C752B3"/>
    <w:rsid w:val="00C75A19"/>
    <w:rsid w:val="00C75DE5"/>
    <w:rsid w:val="00C76A54"/>
    <w:rsid w:val="00C76BB7"/>
    <w:rsid w:val="00C76F9A"/>
    <w:rsid w:val="00C77AC7"/>
    <w:rsid w:val="00C80707"/>
    <w:rsid w:val="00C80883"/>
    <w:rsid w:val="00C80A6A"/>
    <w:rsid w:val="00C80B31"/>
    <w:rsid w:val="00C81B02"/>
    <w:rsid w:val="00C82223"/>
    <w:rsid w:val="00C831DF"/>
    <w:rsid w:val="00C8347A"/>
    <w:rsid w:val="00C83DEF"/>
    <w:rsid w:val="00C8454C"/>
    <w:rsid w:val="00C856D3"/>
    <w:rsid w:val="00C86588"/>
    <w:rsid w:val="00C870F7"/>
    <w:rsid w:val="00C917E8"/>
    <w:rsid w:val="00C9182F"/>
    <w:rsid w:val="00C92151"/>
    <w:rsid w:val="00C92341"/>
    <w:rsid w:val="00C9278F"/>
    <w:rsid w:val="00C9356D"/>
    <w:rsid w:val="00C93875"/>
    <w:rsid w:val="00C9434A"/>
    <w:rsid w:val="00C9562E"/>
    <w:rsid w:val="00C95816"/>
    <w:rsid w:val="00C962EB"/>
    <w:rsid w:val="00C96633"/>
    <w:rsid w:val="00C96764"/>
    <w:rsid w:val="00C97473"/>
    <w:rsid w:val="00C97901"/>
    <w:rsid w:val="00CA0209"/>
    <w:rsid w:val="00CA089A"/>
    <w:rsid w:val="00CA15C8"/>
    <w:rsid w:val="00CA2653"/>
    <w:rsid w:val="00CA2E46"/>
    <w:rsid w:val="00CA2E87"/>
    <w:rsid w:val="00CA3763"/>
    <w:rsid w:val="00CA4545"/>
    <w:rsid w:val="00CA4BC4"/>
    <w:rsid w:val="00CA4D16"/>
    <w:rsid w:val="00CA5F92"/>
    <w:rsid w:val="00CA6987"/>
    <w:rsid w:val="00CA704B"/>
    <w:rsid w:val="00CA7950"/>
    <w:rsid w:val="00CA7BDA"/>
    <w:rsid w:val="00CA7CB9"/>
    <w:rsid w:val="00CA7E87"/>
    <w:rsid w:val="00CB0316"/>
    <w:rsid w:val="00CB11B4"/>
    <w:rsid w:val="00CB232B"/>
    <w:rsid w:val="00CB2811"/>
    <w:rsid w:val="00CB2AB7"/>
    <w:rsid w:val="00CB32F5"/>
    <w:rsid w:val="00CB35CB"/>
    <w:rsid w:val="00CB3699"/>
    <w:rsid w:val="00CB3A33"/>
    <w:rsid w:val="00CB3ABD"/>
    <w:rsid w:val="00CB3B54"/>
    <w:rsid w:val="00CB3F2C"/>
    <w:rsid w:val="00CB4CDD"/>
    <w:rsid w:val="00CB4F26"/>
    <w:rsid w:val="00CB5B71"/>
    <w:rsid w:val="00CB70CE"/>
    <w:rsid w:val="00CB7A09"/>
    <w:rsid w:val="00CB7C78"/>
    <w:rsid w:val="00CB7F1E"/>
    <w:rsid w:val="00CC28D8"/>
    <w:rsid w:val="00CC41B9"/>
    <w:rsid w:val="00CC4AB0"/>
    <w:rsid w:val="00CC4ADB"/>
    <w:rsid w:val="00CC4DE0"/>
    <w:rsid w:val="00CC4E6D"/>
    <w:rsid w:val="00CC50DA"/>
    <w:rsid w:val="00CC512E"/>
    <w:rsid w:val="00CC51A4"/>
    <w:rsid w:val="00CC56F8"/>
    <w:rsid w:val="00CC60D1"/>
    <w:rsid w:val="00CC6E16"/>
    <w:rsid w:val="00CC7689"/>
    <w:rsid w:val="00CD00EC"/>
    <w:rsid w:val="00CD156E"/>
    <w:rsid w:val="00CD34D4"/>
    <w:rsid w:val="00CD36D8"/>
    <w:rsid w:val="00CD3737"/>
    <w:rsid w:val="00CD49E3"/>
    <w:rsid w:val="00CD4E02"/>
    <w:rsid w:val="00CD5E15"/>
    <w:rsid w:val="00CD6389"/>
    <w:rsid w:val="00CD653A"/>
    <w:rsid w:val="00CE0AAC"/>
    <w:rsid w:val="00CE0C9E"/>
    <w:rsid w:val="00CE14FC"/>
    <w:rsid w:val="00CE14FD"/>
    <w:rsid w:val="00CE20FF"/>
    <w:rsid w:val="00CE44BA"/>
    <w:rsid w:val="00CE5850"/>
    <w:rsid w:val="00CE5940"/>
    <w:rsid w:val="00CE6253"/>
    <w:rsid w:val="00CE6828"/>
    <w:rsid w:val="00CE6CDF"/>
    <w:rsid w:val="00CE6D10"/>
    <w:rsid w:val="00CE6FCE"/>
    <w:rsid w:val="00CE75CE"/>
    <w:rsid w:val="00CF07D2"/>
    <w:rsid w:val="00CF091A"/>
    <w:rsid w:val="00CF0C09"/>
    <w:rsid w:val="00CF197A"/>
    <w:rsid w:val="00CF2A99"/>
    <w:rsid w:val="00CF2AFE"/>
    <w:rsid w:val="00CF2F51"/>
    <w:rsid w:val="00CF3091"/>
    <w:rsid w:val="00CF33B7"/>
    <w:rsid w:val="00CF35E1"/>
    <w:rsid w:val="00CF48EE"/>
    <w:rsid w:val="00CF4C32"/>
    <w:rsid w:val="00CF527D"/>
    <w:rsid w:val="00CF5375"/>
    <w:rsid w:val="00CF5F6D"/>
    <w:rsid w:val="00CF5F95"/>
    <w:rsid w:val="00CF5FA6"/>
    <w:rsid w:val="00CF66A0"/>
    <w:rsid w:val="00CF67FA"/>
    <w:rsid w:val="00CF6BAC"/>
    <w:rsid w:val="00CF6C64"/>
    <w:rsid w:val="00CF6CDF"/>
    <w:rsid w:val="00D006C5"/>
    <w:rsid w:val="00D02DD9"/>
    <w:rsid w:val="00D038AE"/>
    <w:rsid w:val="00D03A2F"/>
    <w:rsid w:val="00D03C40"/>
    <w:rsid w:val="00D05207"/>
    <w:rsid w:val="00D059F3"/>
    <w:rsid w:val="00D05C64"/>
    <w:rsid w:val="00D07BAB"/>
    <w:rsid w:val="00D07D86"/>
    <w:rsid w:val="00D10C9D"/>
    <w:rsid w:val="00D113F5"/>
    <w:rsid w:val="00D11BA4"/>
    <w:rsid w:val="00D11CBA"/>
    <w:rsid w:val="00D12C7C"/>
    <w:rsid w:val="00D14091"/>
    <w:rsid w:val="00D1417E"/>
    <w:rsid w:val="00D153BA"/>
    <w:rsid w:val="00D155B7"/>
    <w:rsid w:val="00D15E81"/>
    <w:rsid w:val="00D16F26"/>
    <w:rsid w:val="00D201E6"/>
    <w:rsid w:val="00D20325"/>
    <w:rsid w:val="00D20FD9"/>
    <w:rsid w:val="00D22752"/>
    <w:rsid w:val="00D22C64"/>
    <w:rsid w:val="00D2387A"/>
    <w:rsid w:val="00D23B77"/>
    <w:rsid w:val="00D24457"/>
    <w:rsid w:val="00D24DC7"/>
    <w:rsid w:val="00D25958"/>
    <w:rsid w:val="00D25F9C"/>
    <w:rsid w:val="00D32101"/>
    <w:rsid w:val="00D32A25"/>
    <w:rsid w:val="00D33BA4"/>
    <w:rsid w:val="00D343EF"/>
    <w:rsid w:val="00D34811"/>
    <w:rsid w:val="00D35600"/>
    <w:rsid w:val="00D37863"/>
    <w:rsid w:val="00D37980"/>
    <w:rsid w:val="00D37FAE"/>
    <w:rsid w:val="00D405A1"/>
    <w:rsid w:val="00D405A8"/>
    <w:rsid w:val="00D4064D"/>
    <w:rsid w:val="00D4145F"/>
    <w:rsid w:val="00D42272"/>
    <w:rsid w:val="00D4234C"/>
    <w:rsid w:val="00D4238E"/>
    <w:rsid w:val="00D43E5D"/>
    <w:rsid w:val="00D44422"/>
    <w:rsid w:val="00D45CB4"/>
    <w:rsid w:val="00D46EE6"/>
    <w:rsid w:val="00D47A6E"/>
    <w:rsid w:val="00D500A5"/>
    <w:rsid w:val="00D50BD1"/>
    <w:rsid w:val="00D50CA4"/>
    <w:rsid w:val="00D5162C"/>
    <w:rsid w:val="00D537C6"/>
    <w:rsid w:val="00D54348"/>
    <w:rsid w:val="00D54D45"/>
    <w:rsid w:val="00D55375"/>
    <w:rsid w:val="00D55725"/>
    <w:rsid w:val="00D5580D"/>
    <w:rsid w:val="00D55EBB"/>
    <w:rsid w:val="00D5626F"/>
    <w:rsid w:val="00D56616"/>
    <w:rsid w:val="00D56C08"/>
    <w:rsid w:val="00D5735C"/>
    <w:rsid w:val="00D60EC6"/>
    <w:rsid w:val="00D6291A"/>
    <w:rsid w:val="00D62BF7"/>
    <w:rsid w:val="00D6312D"/>
    <w:rsid w:val="00D63AA3"/>
    <w:rsid w:val="00D6562C"/>
    <w:rsid w:val="00D658B1"/>
    <w:rsid w:val="00D6621D"/>
    <w:rsid w:val="00D67F3B"/>
    <w:rsid w:val="00D7022E"/>
    <w:rsid w:val="00D714D0"/>
    <w:rsid w:val="00D719D4"/>
    <w:rsid w:val="00D7257A"/>
    <w:rsid w:val="00D72671"/>
    <w:rsid w:val="00D7363A"/>
    <w:rsid w:val="00D7416A"/>
    <w:rsid w:val="00D755CC"/>
    <w:rsid w:val="00D75F03"/>
    <w:rsid w:val="00D77FE8"/>
    <w:rsid w:val="00D8001A"/>
    <w:rsid w:val="00D818EC"/>
    <w:rsid w:val="00D81996"/>
    <w:rsid w:val="00D82622"/>
    <w:rsid w:val="00D82D2A"/>
    <w:rsid w:val="00D83C17"/>
    <w:rsid w:val="00D84100"/>
    <w:rsid w:val="00D84C1A"/>
    <w:rsid w:val="00D85147"/>
    <w:rsid w:val="00D854D6"/>
    <w:rsid w:val="00D854D7"/>
    <w:rsid w:val="00D85DA8"/>
    <w:rsid w:val="00D86098"/>
    <w:rsid w:val="00D86597"/>
    <w:rsid w:val="00D910D1"/>
    <w:rsid w:val="00D9281B"/>
    <w:rsid w:val="00D9372E"/>
    <w:rsid w:val="00D937F3"/>
    <w:rsid w:val="00D94428"/>
    <w:rsid w:val="00D94D20"/>
    <w:rsid w:val="00D96350"/>
    <w:rsid w:val="00D96F7C"/>
    <w:rsid w:val="00D97525"/>
    <w:rsid w:val="00D9762B"/>
    <w:rsid w:val="00DA0528"/>
    <w:rsid w:val="00DA062B"/>
    <w:rsid w:val="00DA1919"/>
    <w:rsid w:val="00DA2647"/>
    <w:rsid w:val="00DA2B4C"/>
    <w:rsid w:val="00DA41FF"/>
    <w:rsid w:val="00DA4EA1"/>
    <w:rsid w:val="00DA5452"/>
    <w:rsid w:val="00DA546E"/>
    <w:rsid w:val="00DA5A33"/>
    <w:rsid w:val="00DB0BC3"/>
    <w:rsid w:val="00DB2870"/>
    <w:rsid w:val="00DB3091"/>
    <w:rsid w:val="00DB3668"/>
    <w:rsid w:val="00DB3832"/>
    <w:rsid w:val="00DB3BD2"/>
    <w:rsid w:val="00DB5225"/>
    <w:rsid w:val="00DB576B"/>
    <w:rsid w:val="00DB6193"/>
    <w:rsid w:val="00DB6E17"/>
    <w:rsid w:val="00DB7449"/>
    <w:rsid w:val="00DC122C"/>
    <w:rsid w:val="00DC16DC"/>
    <w:rsid w:val="00DC2CE4"/>
    <w:rsid w:val="00DC3DF1"/>
    <w:rsid w:val="00DC3FD9"/>
    <w:rsid w:val="00DC45C9"/>
    <w:rsid w:val="00DC5438"/>
    <w:rsid w:val="00DC5BD4"/>
    <w:rsid w:val="00DC62FC"/>
    <w:rsid w:val="00DC6CA9"/>
    <w:rsid w:val="00DD0DF6"/>
    <w:rsid w:val="00DD2B2D"/>
    <w:rsid w:val="00DD3759"/>
    <w:rsid w:val="00DD54ED"/>
    <w:rsid w:val="00DD6A7B"/>
    <w:rsid w:val="00DD7FD5"/>
    <w:rsid w:val="00DE0283"/>
    <w:rsid w:val="00DE1908"/>
    <w:rsid w:val="00DE31B0"/>
    <w:rsid w:val="00DE37AC"/>
    <w:rsid w:val="00DE3FBF"/>
    <w:rsid w:val="00DE45D7"/>
    <w:rsid w:val="00DE49FE"/>
    <w:rsid w:val="00DE5085"/>
    <w:rsid w:val="00DE6126"/>
    <w:rsid w:val="00DE62AD"/>
    <w:rsid w:val="00DE6C9D"/>
    <w:rsid w:val="00DE7FEC"/>
    <w:rsid w:val="00DF0080"/>
    <w:rsid w:val="00DF04D3"/>
    <w:rsid w:val="00DF08ED"/>
    <w:rsid w:val="00DF21AA"/>
    <w:rsid w:val="00DF2C32"/>
    <w:rsid w:val="00DF3380"/>
    <w:rsid w:val="00DF38AF"/>
    <w:rsid w:val="00DF434A"/>
    <w:rsid w:val="00DF4603"/>
    <w:rsid w:val="00DF4E4E"/>
    <w:rsid w:val="00DF4EFD"/>
    <w:rsid w:val="00DF56DD"/>
    <w:rsid w:val="00DF7023"/>
    <w:rsid w:val="00DF78BC"/>
    <w:rsid w:val="00E02B69"/>
    <w:rsid w:val="00E02EEC"/>
    <w:rsid w:val="00E036DF"/>
    <w:rsid w:val="00E039FE"/>
    <w:rsid w:val="00E040DB"/>
    <w:rsid w:val="00E0489D"/>
    <w:rsid w:val="00E0581B"/>
    <w:rsid w:val="00E06E83"/>
    <w:rsid w:val="00E10272"/>
    <w:rsid w:val="00E10DC2"/>
    <w:rsid w:val="00E10E2D"/>
    <w:rsid w:val="00E11AD7"/>
    <w:rsid w:val="00E11E56"/>
    <w:rsid w:val="00E12E34"/>
    <w:rsid w:val="00E1324A"/>
    <w:rsid w:val="00E13CF6"/>
    <w:rsid w:val="00E14415"/>
    <w:rsid w:val="00E149A2"/>
    <w:rsid w:val="00E15BEC"/>
    <w:rsid w:val="00E16260"/>
    <w:rsid w:val="00E163DC"/>
    <w:rsid w:val="00E169AC"/>
    <w:rsid w:val="00E16EFE"/>
    <w:rsid w:val="00E20960"/>
    <w:rsid w:val="00E2157C"/>
    <w:rsid w:val="00E226C7"/>
    <w:rsid w:val="00E230A1"/>
    <w:rsid w:val="00E2332F"/>
    <w:rsid w:val="00E3033A"/>
    <w:rsid w:val="00E30C29"/>
    <w:rsid w:val="00E31DDC"/>
    <w:rsid w:val="00E32445"/>
    <w:rsid w:val="00E32475"/>
    <w:rsid w:val="00E324DE"/>
    <w:rsid w:val="00E32D65"/>
    <w:rsid w:val="00E346D8"/>
    <w:rsid w:val="00E35675"/>
    <w:rsid w:val="00E3595C"/>
    <w:rsid w:val="00E35DF1"/>
    <w:rsid w:val="00E369C7"/>
    <w:rsid w:val="00E369EA"/>
    <w:rsid w:val="00E373C5"/>
    <w:rsid w:val="00E37B10"/>
    <w:rsid w:val="00E40769"/>
    <w:rsid w:val="00E40AD3"/>
    <w:rsid w:val="00E412CB"/>
    <w:rsid w:val="00E42DE8"/>
    <w:rsid w:val="00E43667"/>
    <w:rsid w:val="00E44E69"/>
    <w:rsid w:val="00E450B5"/>
    <w:rsid w:val="00E45380"/>
    <w:rsid w:val="00E45578"/>
    <w:rsid w:val="00E45F36"/>
    <w:rsid w:val="00E46144"/>
    <w:rsid w:val="00E47226"/>
    <w:rsid w:val="00E473C7"/>
    <w:rsid w:val="00E50CBE"/>
    <w:rsid w:val="00E50D54"/>
    <w:rsid w:val="00E50EE3"/>
    <w:rsid w:val="00E514D5"/>
    <w:rsid w:val="00E5200C"/>
    <w:rsid w:val="00E52641"/>
    <w:rsid w:val="00E544EC"/>
    <w:rsid w:val="00E5469E"/>
    <w:rsid w:val="00E54F48"/>
    <w:rsid w:val="00E55D86"/>
    <w:rsid w:val="00E56464"/>
    <w:rsid w:val="00E56A28"/>
    <w:rsid w:val="00E5757C"/>
    <w:rsid w:val="00E576F7"/>
    <w:rsid w:val="00E57AAB"/>
    <w:rsid w:val="00E57FF7"/>
    <w:rsid w:val="00E601A6"/>
    <w:rsid w:val="00E60647"/>
    <w:rsid w:val="00E6071A"/>
    <w:rsid w:val="00E60DBA"/>
    <w:rsid w:val="00E60E00"/>
    <w:rsid w:val="00E61B30"/>
    <w:rsid w:val="00E61CC5"/>
    <w:rsid w:val="00E61F70"/>
    <w:rsid w:val="00E6200F"/>
    <w:rsid w:val="00E6461F"/>
    <w:rsid w:val="00E64D31"/>
    <w:rsid w:val="00E6541D"/>
    <w:rsid w:val="00E66E35"/>
    <w:rsid w:val="00E66FB4"/>
    <w:rsid w:val="00E672BF"/>
    <w:rsid w:val="00E6734A"/>
    <w:rsid w:val="00E67520"/>
    <w:rsid w:val="00E70D8F"/>
    <w:rsid w:val="00E7261D"/>
    <w:rsid w:val="00E726C9"/>
    <w:rsid w:val="00E73C44"/>
    <w:rsid w:val="00E73E3F"/>
    <w:rsid w:val="00E74172"/>
    <w:rsid w:val="00E76A47"/>
    <w:rsid w:val="00E77288"/>
    <w:rsid w:val="00E77350"/>
    <w:rsid w:val="00E77A14"/>
    <w:rsid w:val="00E8091E"/>
    <w:rsid w:val="00E81513"/>
    <w:rsid w:val="00E82DB2"/>
    <w:rsid w:val="00E83AC0"/>
    <w:rsid w:val="00E84092"/>
    <w:rsid w:val="00E84F02"/>
    <w:rsid w:val="00E85E8C"/>
    <w:rsid w:val="00E90F07"/>
    <w:rsid w:val="00E914CA"/>
    <w:rsid w:val="00E930E7"/>
    <w:rsid w:val="00E934AB"/>
    <w:rsid w:val="00E94003"/>
    <w:rsid w:val="00E9433F"/>
    <w:rsid w:val="00E965D1"/>
    <w:rsid w:val="00E975A1"/>
    <w:rsid w:val="00E97644"/>
    <w:rsid w:val="00EA01BD"/>
    <w:rsid w:val="00EA0C59"/>
    <w:rsid w:val="00EA1D4B"/>
    <w:rsid w:val="00EA243C"/>
    <w:rsid w:val="00EA2A23"/>
    <w:rsid w:val="00EA2CB2"/>
    <w:rsid w:val="00EA346F"/>
    <w:rsid w:val="00EA3EB4"/>
    <w:rsid w:val="00EA4331"/>
    <w:rsid w:val="00EA4EBF"/>
    <w:rsid w:val="00EA4FED"/>
    <w:rsid w:val="00EA5CAE"/>
    <w:rsid w:val="00EA5E5D"/>
    <w:rsid w:val="00EA63D1"/>
    <w:rsid w:val="00EA6668"/>
    <w:rsid w:val="00EA6D80"/>
    <w:rsid w:val="00EA6F21"/>
    <w:rsid w:val="00EA79C8"/>
    <w:rsid w:val="00EB0B7D"/>
    <w:rsid w:val="00EB189C"/>
    <w:rsid w:val="00EB1F74"/>
    <w:rsid w:val="00EB2268"/>
    <w:rsid w:val="00EB24FA"/>
    <w:rsid w:val="00EB3E14"/>
    <w:rsid w:val="00EB4D44"/>
    <w:rsid w:val="00EB5942"/>
    <w:rsid w:val="00EB5AA0"/>
    <w:rsid w:val="00EB64DC"/>
    <w:rsid w:val="00EB7D1A"/>
    <w:rsid w:val="00EC03D6"/>
    <w:rsid w:val="00EC2844"/>
    <w:rsid w:val="00EC36C2"/>
    <w:rsid w:val="00EC4C11"/>
    <w:rsid w:val="00EC4C8B"/>
    <w:rsid w:val="00EC4C97"/>
    <w:rsid w:val="00EC510C"/>
    <w:rsid w:val="00EC5436"/>
    <w:rsid w:val="00EC563A"/>
    <w:rsid w:val="00EC5692"/>
    <w:rsid w:val="00EC7387"/>
    <w:rsid w:val="00ED0170"/>
    <w:rsid w:val="00ED0179"/>
    <w:rsid w:val="00ED0733"/>
    <w:rsid w:val="00ED0F30"/>
    <w:rsid w:val="00ED153B"/>
    <w:rsid w:val="00ED22F9"/>
    <w:rsid w:val="00ED286A"/>
    <w:rsid w:val="00ED2B50"/>
    <w:rsid w:val="00ED2EAA"/>
    <w:rsid w:val="00ED38E6"/>
    <w:rsid w:val="00ED4033"/>
    <w:rsid w:val="00ED5996"/>
    <w:rsid w:val="00ED6114"/>
    <w:rsid w:val="00ED6FD5"/>
    <w:rsid w:val="00EE02FA"/>
    <w:rsid w:val="00EE0F24"/>
    <w:rsid w:val="00EE151A"/>
    <w:rsid w:val="00EE2261"/>
    <w:rsid w:val="00EE4545"/>
    <w:rsid w:val="00EE4C0D"/>
    <w:rsid w:val="00EE5162"/>
    <w:rsid w:val="00EE571E"/>
    <w:rsid w:val="00EE5899"/>
    <w:rsid w:val="00EE5AA7"/>
    <w:rsid w:val="00EE5FDD"/>
    <w:rsid w:val="00EE789B"/>
    <w:rsid w:val="00EE7AA6"/>
    <w:rsid w:val="00EE7B06"/>
    <w:rsid w:val="00EF1163"/>
    <w:rsid w:val="00EF1707"/>
    <w:rsid w:val="00EF2514"/>
    <w:rsid w:val="00EF2B9A"/>
    <w:rsid w:val="00EF2EE7"/>
    <w:rsid w:val="00EF3308"/>
    <w:rsid w:val="00EF3581"/>
    <w:rsid w:val="00EF41D5"/>
    <w:rsid w:val="00EF4616"/>
    <w:rsid w:val="00EF51AF"/>
    <w:rsid w:val="00EF53B5"/>
    <w:rsid w:val="00EF5641"/>
    <w:rsid w:val="00EF577F"/>
    <w:rsid w:val="00EF58EE"/>
    <w:rsid w:val="00EF5C4B"/>
    <w:rsid w:val="00F00371"/>
    <w:rsid w:val="00F010CB"/>
    <w:rsid w:val="00F01130"/>
    <w:rsid w:val="00F0134A"/>
    <w:rsid w:val="00F01DF6"/>
    <w:rsid w:val="00F0516C"/>
    <w:rsid w:val="00F053B5"/>
    <w:rsid w:val="00F05F7D"/>
    <w:rsid w:val="00F06CE2"/>
    <w:rsid w:val="00F075C8"/>
    <w:rsid w:val="00F1092C"/>
    <w:rsid w:val="00F110C2"/>
    <w:rsid w:val="00F11E44"/>
    <w:rsid w:val="00F12E56"/>
    <w:rsid w:val="00F136B1"/>
    <w:rsid w:val="00F14061"/>
    <w:rsid w:val="00F17269"/>
    <w:rsid w:val="00F17972"/>
    <w:rsid w:val="00F17C09"/>
    <w:rsid w:val="00F20405"/>
    <w:rsid w:val="00F20E85"/>
    <w:rsid w:val="00F231EF"/>
    <w:rsid w:val="00F23C05"/>
    <w:rsid w:val="00F2444C"/>
    <w:rsid w:val="00F245B1"/>
    <w:rsid w:val="00F24C5B"/>
    <w:rsid w:val="00F2572F"/>
    <w:rsid w:val="00F26470"/>
    <w:rsid w:val="00F27255"/>
    <w:rsid w:val="00F30041"/>
    <w:rsid w:val="00F3040B"/>
    <w:rsid w:val="00F307BF"/>
    <w:rsid w:val="00F30939"/>
    <w:rsid w:val="00F30BD3"/>
    <w:rsid w:val="00F31128"/>
    <w:rsid w:val="00F317B1"/>
    <w:rsid w:val="00F33035"/>
    <w:rsid w:val="00F331AC"/>
    <w:rsid w:val="00F33B60"/>
    <w:rsid w:val="00F35EC2"/>
    <w:rsid w:val="00F35EE4"/>
    <w:rsid w:val="00F35FB9"/>
    <w:rsid w:val="00F35FC5"/>
    <w:rsid w:val="00F360CA"/>
    <w:rsid w:val="00F36AA4"/>
    <w:rsid w:val="00F36F7C"/>
    <w:rsid w:val="00F37E9B"/>
    <w:rsid w:val="00F417D6"/>
    <w:rsid w:val="00F41945"/>
    <w:rsid w:val="00F4199A"/>
    <w:rsid w:val="00F420FF"/>
    <w:rsid w:val="00F42D14"/>
    <w:rsid w:val="00F42FAF"/>
    <w:rsid w:val="00F43EC9"/>
    <w:rsid w:val="00F442C6"/>
    <w:rsid w:val="00F45CAC"/>
    <w:rsid w:val="00F4602F"/>
    <w:rsid w:val="00F46CD4"/>
    <w:rsid w:val="00F479BC"/>
    <w:rsid w:val="00F506FC"/>
    <w:rsid w:val="00F50ABB"/>
    <w:rsid w:val="00F51485"/>
    <w:rsid w:val="00F52490"/>
    <w:rsid w:val="00F52ADB"/>
    <w:rsid w:val="00F52C20"/>
    <w:rsid w:val="00F52F51"/>
    <w:rsid w:val="00F52FE9"/>
    <w:rsid w:val="00F53AF9"/>
    <w:rsid w:val="00F53CB3"/>
    <w:rsid w:val="00F56A51"/>
    <w:rsid w:val="00F57798"/>
    <w:rsid w:val="00F60B62"/>
    <w:rsid w:val="00F61243"/>
    <w:rsid w:val="00F6286E"/>
    <w:rsid w:val="00F62894"/>
    <w:rsid w:val="00F62AA6"/>
    <w:rsid w:val="00F63644"/>
    <w:rsid w:val="00F64562"/>
    <w:rsid w:val="00F64B2F"/>
    <w:rsid w:val="00F655F8"/>
    <w:rsid w:val="00F658D5"/>
    <w:rsid w:val="00F660A7"/>
    <w:rsid w:val="00F662CF"/>
    <w:rsid w:val="00F669D7"/>
    <w:rsid w:val="00F66A50"/>
    <w:rsid w:val="00F70156"/>
    <w:rsid w:val="00F71A11"/>
    <w:rsid w:val="00F72332"/>
    <w:rsid w:val="00F732D9"/>
    <w:rsid w:val="00F73AC6"/>
    <w:rsid w:val="00F73C0C"/>
    <w:rsid w:val="00F749E7"/>
    <w:rsid w:val="00F75BAD"/>
    <w:rsid w:val="00F75DF7"/>
    <w:rsid w:val="00F766AD"/>
    <w:rsid w:val="00F7673E"/>
    <w:rsid w:val="00F76AC8"/>
    <w:rsid w:val="00F76B8D"/>
    <w:rsid w:val="00F76C3D"/>
    <w:rsid w:val="00F80D32"/>
    <w:rsid w:val="00F828E3"/>
    <w:rsid w:val="00F84348"/>
    <w:rsid w:val="00F84A57"/>
    <w:rsid w:val="00F851C0"/>
    <w:rsid w:val="00F85749"/>
    <w:rsid w:val="00F858D0"/>
    <w:rsid w:val="00F8742B"/>
    <w:rsid w:val="00F90058"/>
    <w:rsid w:val="00F90515"/>
    <w:rsid w:val="00F90D07"/>
    <w:rsid w:val="00F915FD"/>
    <w:rsid w:val="00F916C6"/>
    <w:rsid w:val="00F92357"/>
    <w:rsid w:val="00F929BF"/>
    <w:rsid w:val="00F94E1B"/>
    <w:rsid w:val="00F950FC"/>
    <w:rsid w:val="00F9550C"/>
    <w:rsid w:val="00F967AA"/>
    <w:rsid w:val="00F96BBE"/>
    <w:rsid w:val="00F975AB"/>
    <w:rsid w:val="00F97F99"/>
    <w:rsid w:val="00FA1823"/>
    <w:rsid w:val="00FA3570"/>
    <w:rsid w:val="00FA5DE1"/>
    <w:rsid w:val="00FA62B2"/>
    <w:rsid w:val="00FA682A"/>
    <w:rsid w:val="00FA6B77"/>
    <w:rsid w:val="00FA7449"/>
    <w:rsid w:val="00FB0194"/>
    <w:rsid w:val="00FB07FC"/>
    <w:rsid w:val="00FB12C4"/>
    <w:rsid w:val="00FB14BA"/>
    <w:rsid w:val="00FB1D48"/>
    <w:rsid w:val="00FB1DAF"/>
    <w:rsid w:val="00FB2918"/>
    <w:rsid w:val="00FB3AEF"/>
    <w:rsid w:val="00FB45D9"/>
    <w:rsid w:val="00FB4D72"/>
    <w:rsid w:val="00FB4ECE"/>
    <w:rsid w:val="00FB6504"/>
    <w:rsid w:val="00FB6A7C"/>
    <w:rsid w:val="00FB7721"/>
    <w:rsid w:val="00FB798A"/>
    <w:rsid w:val="00FC101F"/>
    <w:rsid w:val="00FC39C2"/>
    <w:rsid w:val="00FC47D3"/>
    <w:rsid w:val="00FC4B9C"/>
    <w:rsid w:val="00FC4F58"/>
    <w:rsid w:val="00FC5227"/>
    <w:rsid w:val="00FC6A68"/>
    <w:rsid w:val="00FC75F6"/>
    <w:rsid w:val="00FD0EF6"/>
    <w:rsid w:val="00FD2804"/>
    <w:rsid w:val="00FD290F"/>
    <w:rsid w:val="00FD2FAD"/>
    <w:rsid w:val="00FD3096"/>
    <w:rsid w:val="00FD3A0F"/>
    <w:rsid w:val="00FD6763"/>
    <w:rsid w:val="00FD7835"/>
    <w:rsid w:val="00FE070C"/>
    <w:rsid w:val="00FE07A9"/>
    <w:rsid w:val="00FE122B"/>
    <w:rsid w:val="00FE1708"/>
    <w:rsid w:val="00FE22F9"/>
    <w:rsid w:val="00FE3217"/>
    <w:rsid w:val="00FE46E3"/>
    <w:rsid w:val="00FE5301"/>
    <w:rsid w:val="00FE640F"/>
    <w:rsid w:val="00FE72B6"/>
    <w:rsid w:val="00FE7D8D"/>
    <w:rsid w:val="00FF05FE"/>
    <w:rsid w:val="00FF0BEE"/>
    <w:rsid w:val="00FF106A"/>
    <w:rsid w:val="00FF1766"/>
    <w:rsid w:val="00FF2C0A"/>
    <w:rsid w:val="00FF36CF"/>
    <w:rsid w:val="00FF4104"/>
    <w:rsid w:val="00FF5C8E"/>
    <w:rsid w:val="00FF66CF"/>
    <w:rsid w:val="00FF6A18"/>
    <w:rsid w:val="032DF7C6"/>
    <w:rsid w:val="03527796"/>
    <w:rsid w:val="04CDAA1D"/>
    <w:rsid w:val="06659888"/>
    <w:rsid w:val="07EFE223"/>
    <w:rsid w:val="0844CC41"/>
    <w:rsid w:val="09081D9A"/>
    <w:rsid w:val="0BC5EF93"/>
    <w:rsid w:val="0C540FC9"/>
    <w:rsid w:val="0F7801DE"/>
    <w:rsid w:val="105B4800"/>
    <w:rsid w:val="10F36B67"/>
    <w:rsid w:val="12624DF3"/>
    <w:rsid w:val="13319D03"/>
    <w:rsid w:val="13D31FA7"/>
    <w:rsid w:val="13ED427B"/>
    <w:rsid w:val="146CF6DA"/>
    <w:rsid w:val="15D5754C"/>
    <w:rsid w:val="17490065"/>
    <w:rsid w:val="18E8BFDF"/>
    <w:rsid w:val="1B602002"/>
    <w:rsid w:val="1F6C7D81"/>
    <w:rsid w:val="1FBA7074"/>
    <w:rsid w:val="1FBA9A83"/>
    <w:rsid w:val="1FD70671"/>
    <w:rsid w:val="206E610B"/>
    <w:rsid w:val="21C0CC53"/>
    <w:rsid w:val="22272878"/>
    <w:rsid w:val="23771F45"/>
    <w:rsid w:val="27DE34F7"/>
    <w:rsid w:val="2878CA51"/>
    <w:rsid w:val="290D064D"/>
    <w:rsid w:val="29682146"/>
    <w:rsid w:val="2B1DF932"/>
    <w:rsid w:val="2B41F82A"/>
    <w:rsid w:val="2BDF0B6B"/>
    <w:rsid w:val="2C1EDFAF"/>
    <w:rsid w:val="2DDD15E7"/>
    <w:rsid w:val="2F26806C"/>
    <w:rsid w:val="2FF17EAB"/>
    <w:rsid w:val="300CE124"/>
    <w:rsid w:val="30CF2842"/>
    <w:rsid w:val="31B4A98D"/>
    <w:rsid w:val="3209B09C"/>
    <w:rsid w:val="349936CD"/>
    <w:rsid w:val="36B07963"/>
    <w:rsid w:val="375EB042"/>
    <w:rsid w:val="385DACC3"/>
    <w:rsid w:val="38785298"/>
    <w:rsid w:val="387EE7E2"/>
    <w:rsid w:val="38DBCB72"/>
    <w:rsid w:val="39434DFE"/>
    <w:rsid w:val="3A277010"/>
    <w:rsid w:val="3AC8D694"/>
    <w:rsid w:val="3BE79DD0"/>
    <w:rsid w:val="3C76AA6D"/>
    <w:rsid w:val="3D137F7A"/>
    <w:rsid w:val="3E39D6DF"/>
    <w:rsid w:val="3F2D6FC3"/>
    <w:rsid w:val="40D58774"/>
    <w:rsid w:val="42BAC01C"/>
    <w:rsid w:val="4330FB39"/>
    <w:rsid w:val="43E6D3D1"/>
    <w:rsid w:val="46467C5B"/>
    <w:rsid w:val="47E69B1B"/>
    <w:rsid w:val="4BE01E63"/>
    <w:rsid w:val="4BF24F2F"/>
    <w:rsid w:val="4C051D9D"/>
    <w:rsid w:val="4C8283CC"/>
    <w:rsid w:val="4DFEFBA9"/>
    <w:rsid w:val="4DFF7CEC"/>
    <w:rsid w:val="4EAD4FAC"/>
    <w:rsid w:val="4F6A88E2"/>
    <w:rsid w:val="50967946"/>
    <w:rsid w:val="5216A82F"/>
    <w:rsid w:val="5223A0C8"/>
    <w:rsid w:val="52360919"/>
    <w:rsid w:val="524493D0"/>
    <w:rsid w:val="53D6AA51"/>
    <w:rsid w:val="548EF58A"/>
    <w:rsid w:val="5523C439"/>
    <w:rsid w:val="5647CDA7"/>
    <w:rsid w:val="5B096DB5"/>
    <w:rsid w:val="5BDD3670"/>
    <w:rsid w:val="5BE490F2"/>
    <w:rsid w:val="5CDFD081"/>
    <w:rsid w:val="5D5260C2"/>
    <w:rsid w:val="5DE2731E"/>
    <w:rsid w:val="5ECE78A9"/>
    <w:rsid w:val="5F6AB35D"/>
    <w:rsid w:val="5F9F71A5"/>
    <w:rsid w:val="6004B8B5"/>
    <w:rsid w:val="608A0184"/>
    <w:rsid w:val="609D78F2"/>
    <w:rsid w:val="60A46D97"/>
    <w:rsid w:val="60A7908C"/>
    <w:rsid w:val="60DFCCFB"/>
    <w:rsid w:val="63DC0E59"/>
    <w:rsid w:val="63E99AA7"/>
    <w:rsid w:val="6468B77C"/>
    <w:rsid w:val="655C3F5F"/>
    <w:rsid w:val="672A4763"/>
    <w:rsid w:val="6738E9D8"/>
    <w:rsid w:val="678FDE76"/>
    <w:rsid w:val="6879A468"/>
    <w:rsid w:val="68DFA3A6"/>
    <w:rsid w:val="6926D78C"/>
    <w:rsid w:val="69F45270"/>
    <w:rsid w:val="6A2AFC33"/>
    <w:rsid w:val="6B1D9875"/>
    <w:rsid w:val="6C6756F0"/>
    <w:rsid w:val="6D8696E0"/>
    <w:rsid w:val="6F5EA04A"/>
    <w:rsid w:val="70BA164C"/>
    <w:rsid w:val="70D478DE"/>
    <w:rsid w:val="70E234C0"/>
    <w:rsid w:val="710A7D88"/>
    <w:rsid w:val="71DE169F"/>
    <w:rsid w:val="737F16B3"/>
    <w:rsid w:val="745481FE"/>
    <w:rsid w:val="7466B88C"/>
    <w:rsid w:val="747F96F7"/>
    <w:rsid w:val="75E9A479"/>
    <w:rsid w:val="761E51F9"/>
    <w:rsid w:val="76A87C64"/>
    <w:rsid w:val="77296D9B"/>
    <w:rsid w:val="77705E99"/>
    <w:rsid w:val="79BF1A15"/>
    <w:rsid w:val="7AA1CB39"/>
    <w:rsid w:val="7B1E7D72"/>
    <w:rsid w:val="7E58E531"/>
    <w:rsid w:val="7E743E67"/>
    <w:rsid w:val="7F26074F"/>
    <w:rsid w:val="7F43D5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70493"/>
  <w15:docId w15:val="{896FE30D-B206-4A6C-9901-67A1691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9A"/>
    <w:pPr>
      <w:spacing w:after="240"/>
    </w:pPr>
    <w:rPr>
      <w:rFonts w:ascii="Calibri" w:hAnsi="Calibri"/>
      <w:color w:val="000000"/>
      <w:sz w:val="22"/>
      <w:lang w:eastAsia="en-US"/>
    </w:rPr>
  </w:style>
  <w:style w:type="paragraph" w:styleId="Heading1">
    <w:name w:val="heading 1"/>
    <w:basedOn w:val="Normal"/>
    <w:next w:val="Normal"/>
    <w:qFormat/>
    <w:rsid w:val="00221937"/>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221937"/>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221937"/>
    <w:pPr>
      <w:keepNext/>
      <w:spacing w:before="240"/>
      <w:ind w:left="720" w:hanging="720"/>
      <w:outlineLvl w:val="2"/>
    </w:pPr>
    <w:rPr>
      <w:rFonts w:cs="Arial"/>
      <w:b/>
      <w:bCs/>
      <w:szCs w:val="26"/>
    </w:rPr>
  </w:style>
  <w:style w:type="paragraph" w:styleId="Heading4">
    <w:name w:val="heading 4"/>
    <w:basedOn w:val="Normal"/>
    <w:next w:val="Normal"/>
    <w:link w:val="Heading4Char"/>
    <w:rsid w:val="00221937"/>
    <w:pPr>
      <w:keepNext/>
      <w:spacing w:before="120" w:after="120"/>
      <w:outlineLvl w:val="3"/>
    </w:pPr>
    <w:rPr>
      <w:b/>
      <w:bCs/>
      <w:i/>
      <w:szCs w:val="28"/>
    </w:rPr>
  </w:style>
  <w:style w:type="paragraph" w:styleId="Heading5">
    <w:name w:val="heading 5"/>
    <w:basedOn w:val="Normal"/>
    <w:next w:val="Normal"/>
    <w:rsid w:val="00221937"/>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221937"/>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221937"/>
    <w:rPr>
      <w:b/>
      <w:color w:val="76923C" w:themeColor="accent3" w:themeShade="BF"/>
    </w:rPr>
  </w:style>
  <w:style w:type="paragraph" w:customStyle="1" w:styleId="ReportDate">
    <w:name w:val="ReportDate"/>
    <w:basedOn w:val="Normal"/>
    <w:rsid w:val="00221937"/>
    <w:pPr>
      <w:jc w:val="center"/>
    </w:pPr>
    <w:rPr>
      <w:sz w:val="40"/>
    </w:rPr>
  </w:style>
  <w:style w:type="paragraph" w:customStyle="1" w:styleId="Heading1a">
    <w:name w:val="Heading 1a"/>
    <w:basedOn w:val="Heading1"/>
    <w:next w:val="Normal"/>
    <w:rsid w:val="00221937"/>
    <w:pPr>
      <w:outlineLvl w:val="9"/>
    </w:pPr>
  </w:style>
  <w:style w:type="paragraph" w:customStyle="1" w:styleId="Heading2a">
    <w:name w:val="Heading 2a"/>
    <w:basedOn w:val="Heading2"/>
    <w:next w:val="Normal"/>
    <w:rsid w:val="00221937"/>
    <w:pPr>
      <w:ind w:left="0" w:firstLine="0"/>
      <w:outlineLvl w:val="9"/>
    </w:pPr>
  </w:style>
  <w:style w:type="paragraph" w:customStyle="1" w:styleId="Heading3a">
    <w:name w:val="Heading 3a"/>
    <w:basedOn w:val="Heading3"/>
    <w:next w:val="Normal"/>
    <w:rsid w:val="00221937"/>
    <w:pPr>
      <w:ind w:left="0" w:firstLine="0"/>
      <w:outlineLvl w:val="9"/>
    </w:pPr>
  </w:style>
  <w:style w:type="paragraph" w:styleId="Header">
    <w:name w:val="header"/>
    <w:basedOn w:val="Normal"/>
    <w:link w:val="HeaderChar"/>
    <w:rsid w:val="00221937"/>
    <w:pPr>
      <w:tabs>
        <w:tab w:val="right" w:pos="9000"/>
      </w:tabs>
      <w:spacing w:after="0"/>
    </w:pPr>
    <w:rPr>
      <w:sz w:val="18"/>
    </w:rPr>
  </w:style>
  <w:style w:type="paragraph" w:styleId="Footer">
    <w:name w:val="footer"/>
    <w:basedOn w:val="Normal"/>
    <w:link w:val="FooterChar"/>
    <w:uiPriority w:val="99"/>
    <w:rsid w:val="00221937"/>
    <w:pPr>
      <w:tabs>
        <w:tab w:val="right" w:pos="9000"/>
      </w:tabs>
      <w:spacing w:after="0"/>
    </w:pPr>
    <w:rPr>
      <w:sz w:val="20"/>
    </w:rPr>
  </w:style>
  <w:style w:type="character" w:styleId="PageNumber">
    <w:name w:val="page number"/>
    <w:basedOn w:val="DefaultParagraphFont"/>
    <w:semiHidden/>
    <w:rsid w:val="00221937"/>
    <w:rPr>
      <w:rFonts w:ascii="Times New Roman" w:hAnsi="Times New Roman"/>
      <w:b/>
      <w:sz w:val="20"/>
    </w:rPr>
  </w:style>
  <w:style w:type="paragraph" w:customStyle="1" w:styleId="TableText">
    <w:name w:val="TableText"/>
    <w:basedOn w:val="Normal"/>
    <w:rsid w:val="00221937"/>
    <w:pPr>
      <w:keepNext/>
      <w:spacing w:before="60" w:after="60"/>
    </w:pPr>
    <w:rPr>
      <w:sz w:val="21"/>
      <w:szCs w:val="21"/>
    </w:rPr>
  </w:style>
  <w:style w:type="paragraph" w:customStyle="1" w:styleId="TFListNotesSpace">
    <w:name w:val="TFListNotes+Space"/>
    <w:basedOn w:val="TableText"/>
    <w:next w:val="Normal"/>
    <w:rsid w:val="00221937"/>
    <w:pPr>
      <w:keepNext w:val="0"/>
      <w:keepLines/>
      <w:spacing w:before="0" w:after="360"/>
      <w:ind w:left="170" w:hanging="170"/>
    </w:pPr>
    <w:rPr>
      <w:sz w:val="18"/>
      <w:szCs w:val="18"/>
    </w:rPr>
  </w:style>
  <w:style w:type="paragraph" w:customStyle="1" w:styleId="TFListNotes">
    <w:name w:val="TFListNotes"/>
    <w:basedOn w:val="TFListNotesSpace"/>
    <w:rsid w:val="00221937"/>
    <w:pPr>
      <w:keepNext/>
      <w:spacing w:after="0"/>
    </w:pPr>
  </w:style>
  <w:style w:type="paragraph" w:customStyle="1" w:styleId="TableName">
    <w:name w:val="TableName"/>
    <w:basedOn w:val="TableText"/>
    <w:rsid w:val="007B30F7"/>
    <w:pPr>
      <w:tabs>
        <w:tab w:val="left" w:pos="1080"/>
      </w:tabs>
      <w:spacing w:before="120" w:after="120"/>
      <w:ind w:left="1080" w:hanging="1080"/>
    </w:pPr>
    <w:rPr>
      <w:b/>
      <w:bCs/>
      <w:sz w:val="22"/>
    </w:rPr>
  </w:style>
  <w:style w:type="paragraph" w:customStyle="1" w:styleId="TableHeading">
    <w:name w:val="TableHeading"/>
    <w:basedOn w:val="TableText"/>
    <w:rsid w:val="00221937"/>
    <w:rPr>
      <w:b/>
      <w:bCs/>
    </w:rPr>
  </w:style>
  <w:style w:type="paragraph" w:customStyle="1" w:styleId="TableBullet">
    <w:name w:val="TableBullet"/>
    <w:basedOn w:val="TableText"/>
    <w:rsid w:val="00221937"/>
    <w:pPr>
      <w:numPr>
        <w:numId w:val="1"/>
      </w:numPr>
      <w:tabs>
        <w:tab w:val="clear" w:pos="360"/>
        <w:tab w:val="left" w:pos="216"/>
      </w:tabs>
      <w:ind w:left="216" w:hanging="216"/>
    </w:pPr>
  </w:style>
  <w:style w:type="paragraph" w:customStyle="1" w:styleId="TableDash">
    <w:name w:val="TableDash"/>
    <w:basedOn w:val="TableText"/>
    <w:rsid w:val="00221937"/>
    <w:pPr>
      <w:numPr>
        <w:numId w:val="2"/>
      </w:numPr>
      <w:tabs>
        <w:tab w:val="clear" w:pos="216"/>
        <w:tab w:val="num" w:pos="432"/>
      </w:tabs>
    </w:pPr>
  </w:style>
  <w:style w:type="paragraph" w:styleId="Quote">
    <w:name w:val="Quote"/>
    <w:basedOn w:val="Normal"/>
    <w:rsid w:val="00221937"/>
    <w:pPr>
      <w:ind w:left="720" w:right="720"/>
    </w:pPr>
    <w:rPr>
      <w:sz w:val="20"/>
    </w:rPr>
  </w:style>
  <w:style w:type="paragraph" w:customStyle="1" w:styleId="References">
    <w:name w:val="References"/>
    <w:basedOn w:val="Normal"/>
    <w:rsid w:val="00221937"/>
    <w:pPr>
      <w:keepLines/>
      <w:ind w:left="720" w:hanging="720"/>
    </w:pPr>
  </w:style>
  <w:style w:type="character" w:customStyle="1" w:styleId="FooterChar">
    <w:name w:val="Footer Char"/>
    <w:basedOn w:val="DefaultParagraphFont"/>
    <w:link w:val="Footer"/>
    <w:uiPriority w:val="99"/>
    <w:rsid w:val="00221937"/>
    <w:rPr>
      <w:rFonts w:ascii="Calibri" w:hAnsi="Calibri"/>
      <w:color w:val="000000"/>
      <w:lang w:eastAsia="en-US"/>
    </w:rPr>
  </w:style>
  <w:style w:type="paragraph" w:styleId="FootnoteText">
    <w:name w:val="footnote text"/>
    <w:basedOn w:val="Normal"/>
    <w:semiHidden/>
    <w:rsid w:val="00221937"/>
    <w:pPr>
      <w:spacing w:after="0"/>
      <w:ind w:left="360" w:hanging="360"/>
    </w:pPr>
    <w:rPr>
      <w:sz w:val="20"/>
    </w:rPr>
  </w:style>
  <w:style w:type="character" w:styleId="FootnoteReference">
    <w:name w:val="footnote reference"/>
    <w:basedOn w:val="DefaultParagraphFont"/>
    <w:semiHidden/>
    <w:rsid w:val="00221937"/>
    <w:rPr>
      <w:vertAlign w:val="superscript"/>
    </w:rPr>
  </w:style>
  <w:style w:type="paragraph" w:customStyle="1" w:styleId="FigTabPara">
    <w:name w:val="FigTabPara"/>
    <w:basedOn w:val="Normal"/>
    <w:next w:val="TFIHolder"/>
    <w:rsid w:val="00221937"/>
    <w:pPr>
      <w:keepNext/>
      <w:spacing w:after="120"/>
      <w:ind w:left="1077"/>
    </w:pPr>
  </w:style>
  <w:style w:type="paragraph" w:customStyle="1" w:styleId="TFIHolder">
    <w:name w:val="TFIHolder"/>
    <w:basedOn w:val="TFAbbrevs"/>
    <w:qFormat/>
    <w:rsid w:val="00221937"/>
    <w:rPr>
      <w:sz w:val="12"/>
    </w:rPr>
  </w:style>
  <w:style w:type="paragraph" w:customStyle="1" w:styleId="TFAbbrevs">
    <w:name w:val="TFAbbrevs"/>
    <w:basedOn w:val="TFListNotes"/>
    <w:rsid w:val="00221937"/>
  </w:style>
  <w:style w:type="paragraph" w:customStyle="1" w:styleId="FigureNameSpace">
    <w:name w:val="FigureName+Space"/>
    <w:basedOn w:val="Normal"/>
    <w:next w:val="Normal"/>
    <w:rsid w:val="00221937"/>
    <w:pPr>
      <w:keepLines/>
      <w:tabs>
        <w:tab w:val="left" w:pos="1080"/>
      </w:tabs>
      <w:spacing w:before="120" w:after="360"/>
      <w:ind w:left="1080" w:hanging="1080"/>
    </w:pPr>
    <w:rPr>
      <w:b/>
      <w:bCs/>
    </w:rPr>
  </w:style>
  <w:style w:type="paragraph" w:styleId="TOC1">
    <w:name w:val="toc 1"/>
    <w:basedOn w:val="Normal"/>
    <w:next w:val="Normal"/>
    <w:autoRedefine/>
    <w:uiPriority w:val="39"/>
    <w:rsid w:val="009E5C8A"/>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221937"/>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221937"/>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221937"/>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221937"/>
    <w:pPr>
      <w:numPr>
        <w:numId w:val="3"/>
      </w:numPr>
      <w:spacing w:after="0"/>
    </w:pPr>
  </w:style>
  <w:style w:type="paragraph" w:customStyle="1" w:styleId="Bullet">
    <w:name w:val="Bullet"/>
    <w:basedOn w:val="BulletBeforeDash"/>
    <w:qFormat/>
    <w:rsid w:val="00221937"/>
    <w:pPr>
      <w:spacing w:after="120"/>
    </w:pPr>
  </w:style>
  <w:style w:type="paragraph" w:customStyle="1" w:styleId="BulletLast">
    <w:name w:val="BulletLast"/>
    <w:basedOn w:val="Bullet"/>
    <w:qFormat/>
    <w:rsid w:val="00221937"/>
    <w:pPr>
      <w:spacing w:after="240"/>
    </w:pPr>
  </w:style>
  <w:style w:type="paragraph" w:customStyle="1" w:styleId="Dash">
    <w:name w:val="Dash"/>
    <w:basedOn w:val="Normal"/>
    <w:rsid w:val="00221937"/>
    <w:pPr>
      <w:numPr>
        <w:numId w:val="4"/>
      </w:numPr>
      <w:tabs>
        <w:tab w:val="clear" w:pos="216"/>
        <w:tab w:val="left" w:pos="720"/>
      </w:tabs>
      <w:spacing w:after="0"/>
      <w:ind w:left="714" w:hanging="357"/>
    </w:pPr>
  </w:style>
  <w:style w:type="paragraph" w:customStyle="1" w:styleId="DashLast">
    <w:name w:val="DashLast"/>
    <w:basedOn w:val="Dash"/>
    <w:rsid w:val="00221937"/>
    <w:pPr>
      <w:spacing w:after="120"/>
    </w:pPr>
  </w:style>
  <w:style w:type="paragraph" w:customStyle="1" w:styleId="DashLastSpace">
    <w:name w:val="DashLast+Space"/>
    <w:basedOn w:val="DashLast"/>
    <w:rsid w:val="00221937"/>
    <w:pPr>
      <w:spacing w:after="240"/>
    </w:pPr>
  </w:style>
  <w:style w:type="paragraph" w:customStyle="1" w:styleId="NormalBeforeBullet">
    <w:name w:val="NormalBeforeBullet"/>
    <w:basedOn w:val="Normal"/>
    <w:qFormat/>
    <w:rsid w:val="00221937"/>
    <w:pPr>
      <w:keepNext/>
      <w:spacing w:after="120"/>
    </w:pPr>
  </w:style>
  <w:style w:type="paragraph" w:customStyle="1" w:styleId="BoxText">
    <w:name w:val="BoxText"/>
    <w:basedOn w:val="Normal"/>
    <w:qFormat/>
    <w:rsid w:val="00221937"/>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221937"/>
    <w:pPr>
      <w:spacing w:before="120" w:after="60"/>
    </w:pPr>
    <w:rPr>
      <w:sz w:val="18"/>
    </w:rPr>
  </w:style>
  <w:style w:type="paragraph" w:customStyle="1" w:styleId="BoxName">
    <w:name w:val="BoxName"/>
    <w:basedOn w:val="BoxText"/>
    <w:rsid w:val="007B30F7"/>
    <w:pPr>
      <w:keepNext/>
      <w:spacing w:before="180"/>
      <w:ind w:left="1080" w:hanging="1080"/>
    </w:pPr>
    <w:rPr>
      <w:b/>
      <w:bCs/>
      <w:sz w:val="24"/>
    </w:rPr>
  </w:style>
  <w:style w:type="paragraph" w:customStyle="1" w:styleId="BoxHeading">
    <w:name w:val="BoxHeading"/>
    <w:basedOn w:val="BoxText"/>
    <w:rsid w:val="00221937"/>
    <w:pPr>
      <w:keepNext/>
      <w:spacing w:before="120" w:after="60"/>
    </w:pPr>
    <w:rPr>
      <w:b/>
      <w:bCs/>
    </w:rPr>
  </w:style>
  <w:style w:type="paragraph" w:customStyle="1" w:styleId="BoxBullet">
    <w:name w:val="BoxBullet"/>
    <w:basedOn w:val="BoxText"/>
    <w:rsid w:val="00221937"/>
    <w:pPr>
      <w:numPr>
        <w:numId w:val="8"/>
      </w:numPr>
    </w:pPr>
  </w:style>
  <w:style w:type="paragraph" w:customStyle="1" w:styleId="BoxDashManual">
    <w:name w:val="BoxDashManual"/>
    <w:basedOn w:val="BoxText"/>
    <w:rsid w:val="00221937"/>
    <w:pPr>
      <w:tabs>
        <w:tab w:val="left" w:pos="360"/>
        <w:tab w:val="left" w:pos="720"/>
      </w:tabs>
      <w:ind w:left="720" w:hanging="720"/>
    </w:pPr>
  </w:style>
  <w:style w:type="paragraph" w:customStyle="1" w:styleId="FigureName">
    <w:name w:val="FigureName"/>
    <w:basedOn w:val="FigureNameSpace"/>
    <w:next w:val="Normal"/>
    <w:rsid w:val="007B30F7"/>
    <w:pPr>
      <w:keepNext/>
      <w:spacing w:after="120"/>
      <w:ind w:left="1077" w:hanging="1077"/>
    </w:pPr>
  </w:style>
  <w:style w:type="paragraph" w:styleId="Index1">
    <w:name w:val="index 1"/>
    <w:basedOn w:val="Normal"/>
    <w:next w:val="Normal"/>
    <w:rsid w:val="00221937"/>
    <w:pPr>
      <w:spacing w:after="0"/>
      <w:ind w:left="518" w:hanging="518"/>
    </w:pPr>
    <w:rPr>
      <w:noProof/>
    </w:rPr>
  </w:style>
  <w:style w:type="paragraph" w:styleId="Index2">
    <w:name w:val="index 2"/>
    <w:basedOn w:val="Index1"/>
    <w:next w:val="Normal"/>
    <w:rsid w:val="00221937"/>
    <w:pPr>
      <w:ind w:left="816" w:hanging="476"/>
    </w:pPr>
  </w:style>
  <w:style w:type="paragraph" w:styleId="TOC4">
    <w:name w:val="toc 4"/>
    <w:basedOn w:val="Normal"/>
    <w:next w:val="Normal"/>
    <w:autoRedefine/>
    <w:semiHidden/>
    <w:rsid w:val="00221937"/>
    <w:pPr>
      <w:tabs>
        <w:tab w:val="right" w:leader="dot" w:pos="9016"/>
      </w:tabs>
      <w:spacing w:after="0"/>
      <w:ind w:left="2160" w:right="720"/>
    </w:pPr>
    <w:rPr>
      <w:noProof/>
      <w:szCs w:val="24"/>
    </w:rPr>
  </w:style>
  <w:style w:type="paragraph" w:customStyle="1" w:styleId="NumberList">
    <w:name w:val="NumberList"/>
    <w:basedOn w:val="Normal"/>
    <w:rsid w:val="00221937"/>
    <w:pPr>
      <w:tabs>
        <w:tab w:val="left" w:pos="360"/>
      </w:tabs>
      <w:ind w:left="357" w:hanging="357"/>
    </w:pPr>
  </w:style>
  <w:style w:type="paragraph" w:customStyle="1" w:styleId="TFNoteSourceSpace">
    <w:name w:val="TFNoteSource+Space"/>
    <w:basedOn w:val="TFListNotesSpace"/>
    <w:next w:val="Normal"/>
    <w:rsid w:val="00221937"/>
  </w:style>
  <w:style w:type="paragraph" w:customStyle="1" w:styleId="TFNoteSource">
    <w:name w:val="TFNoteSource"/>
    <w:basedOn w:val="TFNoteSourceSpace"/>
    <w:rsid w:val="00221937"/>
    <w:pPr>
      <w:spacing w:after="0"/>
    </w:pPr>
  </w:style>
  <w:style w:type="character" w:customStyle="1" w:styleId="DesignerNotesChar">
    <w:name w:val="DesignerNotesChar"/>
    <w:basedOn w:val="DefaultParagraphFont"/>
    <w:rsid w:val="00221937"/>
    <w:rPr>
      <w:rFonts w:ascii="Arial" w:hAnsi="Arial"/>
      <w:b/>
      <w:color w:val="3366FF"/>
      <w:sz w:val="20"/>
    </w:rPr>
  </w:style>
  <w:style w:type="paragraph" w:customStyle="1" w:styleId="TFAbbrevsSpace">
    <w:name w:val="TFAbbrevs+Space"/>
    <w:basedOn w:val="TFAbbrevs"/>
    <w:next w:val="Normal"/>
    <w:rsid w:val="00221937"/>
    <w:pPr>
      <w:spacing w:after="360"/>
    </w:pPr>
  </w:style>
  <w:style w:type="character" w:styleId="Strong">
    <w:name w:val="Strong"/>
    <w:basedOn w:val="DefaultParagraphFont"/>
    <w:uiPriority w:val="22"/>
    <w:qFormat/>
    <w:rsid w:val="00221937"/>
    <w:rPr>
      <w:b/>
      <w:bCs/>
    </w:rPr>
  </w:style>
  <w:style w:type="character" w:styleId="Emphasis">
    <w:name w:val="Emphasis"/>
    <w:basedOn w:val="DefaultParagraphFont"/>
    <w:uiPriority w:val="20"/>
    <w:qFormat/>
    <w:rsid w:val="00221937"/>
    <w:rPr>
      <w:i/>
      <w:iCs/>
    </w:rPr>
  </w:style>
  <w:style w:type="character" w:customStyle="1" w:styleId="Roman">
    <w:name w:val="Roman"/>
    <w:uiPriority w:val="1"/>
    <w:rsid w:val="00221937"/>
    <w:rPr>
      <w:b w:val="0"/>
      <w:i/>
    </w:rPr>
  </w:style>
  <w:style w:type="character" w:customStyle="1" w:styleId="PullQuoteOrigin">
    <w:name w:val="PullQuoteOrigin"/>
    <w:basedOn w:val="DefaultParagraphFont"/>
    <w:uiPriority w:val="1"/>
    <w:rsid w:val="00221937"/>
    <w:rPr>
      <w:b/>
      <w:noProof/>
      <w:color w:val="76923C" w:themeColor="accent3" w:themeShade="BF"/>
    </w:rPr>
  </w:style>
  <w:style w:type="table" w:styleId="TableGrid">
    <w:name w:val="Table Grid"/>
    <w:basedOn w:val="TableNormal"/>
    <w:uiPriority w:val="59"/>
    <w:rsid w:val="002219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221937"/>
    <w:pPr>
      <w:spacing w:after="240"/>
    </w:pPr>
  </w:style>
  <w:style w:type="paragraph" w:customStyle="1" w:styleId="DesignerNotes">
    <w:name w:val="DesignerNotes"/>
    <w:basedOn w:val="Normal"/>
    <w:rsid w:val="00221937"/>
    <w:rPr>
      <w:rFonts w:ascii="Arial" w:hAnsi="Arial"/>
      <w:b/>
      <w:color w:val="3366FF"/>
      <w:sz w:val="20"/>
    </w:rPr>
  </w:style>
  <w:style w:type="character" w:customStyle="1" w:styleId="Subscript">
    <w:name w:val="Subscript"/>
    <w:basedOn w:val="DefaultParagraphFont"/>
    <w:uiPriority w:val="1"/>
    <w:rsid w:val="00221937"/>
    <w:rPr>
      <w:noProof/>
      <w:vertAlign w:val="subscript"/>
    </w:rPr>
  </w:style>
  <w:style w:type="character" w:customStyle="1" w:styleId="Superscript">
    <w:name w:val="Superscript"/>
    <w:basedOn w:val="DefaultParagraphFont"/>
    <w:uiPriority w:val="1"/>
    <w:rsid w:val="00221937"/>
    <w:rPr>
      <w:noProof/>
      <w:vertAlign w:val="superscript"/>
    </w:rPr>
  </w:style>
  <w:style w:type="character" w:customStyle="1" w:styleId="Symbol">
    <w:name w:val="Symbol"/>
    <w:basedOn w:val="DefaultParagraphFont"/>
    <w:uiPriority w:val="1"/>
    <w:rsid w:val="00221937"/>
    <w:rPr>
      <w:noProof/>
    </w:rPr>
  </w:style>
  <w:style w:type="character" w:customStyle="1" w:styleId="NoBreak">
    <w:name w:val="NoBreak"/>
    <w:basedOn w:val="DefaultParagraphFont"/>
    <w:uiPriority w:val="1"/>
    <w:rsid w:val="00221937"/>
    <w:rPr>
      <w:noProof/>
    </w:rPr>
  </w:style>
  <w:style w:type="paragraph" w:customStyle="1" w:styleId="MathEquation">
    <w:name w:val="MathEquation"/>
    <w:basedOn w:val="Normal"/>
    <w:rsid w:val="00221937"/>
    <w:rPr>
      <w:rFonts w:ascii="Cambria Math" w:hAnsi="Cambria Math"/>
      <w:i/>
      <w:noProof/>
    </w:rPr>
  </w:style>
  <w:style w:type="paragraph" w:customStyle="1" w:styleId="ComputerCode">
    <w:name w:val="ComputerCode"/>
    <w:basedOn w:val="Normal"/>
    <w:rsid w:val="00221937"/>
    <w:pPr>
      <w:ind w:left="567"/>
      <w:contextualSpacing/>
    </w:pPr>
    <w:rPr>
      <w:rFonts w:ascii="Courier New" w:hAnsi="Courier New"/>
      <w:color w:val="auto"/>
      <w:sz w:val="20"/>
      <w:szCs w:val="24"/>
    </w:rPr>
  </w:style>
  <w:style w:type="paragraph" w:customStyle="1" w:styleId="BulletChecklist">
    <w:name w:val="BulletChecklist"/>
    <w:basedOn w:val="Bullet"/>
    <w:rsid w:val="00221937"/>
    <w:pPr>
      <w:numPr>
        <w:numId w:val="6"/>
      </w:numPr>
    </w:pPr>
    <w:rPr>
      <w:noProof/>
    </w:rPr>
  </w:style>
  <w:style w:type="paragraph" w:customStyle="1" w:styleId="ImprintText">
    <w:name w:val="ImprintText"/>
    <w:basedOn w:val="Normal"/>
    <w:rsid w:val="00221937"/>
    <w:pPr>
      <w:spacing w:after="120"/>
    </w:pPr>
    <w:rPr>
      <w:sz w:val="20"/>
    </w:rPr>
  </w:style>
  <w:style w:type="paragraph" w:customStyle="1" w:styleId="AltText">
    <w:name w:val="AltText"/>
    <w:basedOn w:val="Normal"/>
    <w:rsid w:val="00221937"/>
    <w:rPr>
      <w:rFonts w:ascii="Arial" w:hAnsi="Arial"/>
      <w:color w:val="E36C0A" w:themeColor="accent6" w:themeShade="BF"/>
      <w:sz w:val="20"/>
    </w:rPr>
  </w:style>
  <w:style w:type="paragraph" w:styleId="Caption">
    <w:name w:val="caption"/>
    <w:basedOn w:val="Normal"/>
    <w:next w:val="Credit"/>
    <w:uiPriority w:val="35"/>
    <w:unhideWhenUsed/>
    <w:rsid w:val="00221937"/>
    <w:pPr>
      <w:spacing w:after="0"/>
    </w:pPr>
    <w:rPr>
      <w:b/>
      <w:bCs/>
      <w:color w:val="auto"/>
      <w:sz w:val="18"/>
      <w:szCs w:val="18"/>
    </w:rPr>
  </w:style>
  <w:style w:type="paragraph" w:customStyle="1" w:styleId="Credit">
    <w:name w:val="Credit"/>
    <w:basedOn w:val="Caption"/>
    <w:next w:val="Normal"/>
    <w:rsid w:val="00221937"/>
    <w:pPr>
      <w:spacing w:after="240"/>
    </w:pPr>
    <w:rPr>
      <w:b w:val="0"/>
      <w:noProof/>
    </w:rPr>
  </w:style>
  <w:style w:type="paragraph" w:customStyle="1" w:styleId="NormalFirstPara">
    <w:name w:val="NormalFirstPara"/>
    <w:basedOn w:val="Normal"/>
    <w:rsid w:val="00221937"/>
    <w:rPr>
      <w:noProof/>
      <w:color w:val="9BBB59" w:themeColor="accent3"/>
    </w:rPr>
  </w:style>
  <w:style w:type="paragraph" w:customStyle="1" w:styleId="TableHeadingCA">
    <w:name w:val="TableHeadingCA"/>
    <w:basedOn w:val="TableHeading"/>
    <w:rsid w:val="00221937"/>
    <w:pPr>
      <w:jc w:val="center"/>
    </w:pPr>
  </w:style>
  <w:style w:type="paragraph" w:customStyle="1" w:styleId="TableTextCA">
    <w:name w:val="TableTextCA"/>
    <w:basedOn w:val="TableText"/>
    <w:rsid w:val="00221937"/>
    <w:pPr>
      <w:jc w:val="center"/>
    </w:pPr>
  </w:style>
  <w:style w:type="paragraph" w:customStyle="1" w:styleId="TableTextDecimalAlign">
    <w:name w:val="TableTextDecimalAlign"/>
    <w:basedOn w:val="TableText"/>
    <w:rsid w:val="00221937"/>
    <w:pPr>
      <w:tabs>
        <w:tab w:val="decimal" w:pos="1119"/>
      </w:tabs>
    </w:pPr>
  </w:style>
  <w:style w:type="paragraph" w:customStyle="1" w:styleId="NormalIndent">
    <w:name w:val="NormalIndent"/>
    <w:basedOn w:val="Normal"/>
    <w:rsid w:val="00221937"/>
    <w:pPr>
      <w:ind w:left="357"/>
    </w:pPr>
  </w:style>
  <w:style w:type="paragraph" w:styleId="BalloonText">
    <w:name w:val="Balloon Text"/>
    <w:basedOn w:val="Normal"/>
    <w:link w:val="BalloonTextChar"/>
    <w:uiPriority w:val="99"/>
    <w:semiHidden/>
    <w:unhideWhenUsed/>
    <w:rsid w:val="002219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37"/>
    <w:rPr>
      <w:rFonts w:ascii="Tahoma" w:hAnsi="Tahoma" w:cs="Tahoma"/>
      <w:color w:val="000000"/>
      <w:sz w:val="16"/>
      <w:szCs w:val="16"/>
      <w:lang w:eastAsia="en-US"/>
    </w:rPr>
  </w:style>
  <w:style w:type="paragraph" w:styleId="Title">
    <w:name w:val="Title"/>
    <w:basedOn w:val="Normal"/>
    <w:next w:val="Normal"/>
    <w:link w:val="TitleChar"/>
    <w:uiPriority w:val="10"/>
    <w:rsid w:val="00221937"/>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221937"/>
    <w:rPr>
      <w:rFonts w:ascii="Calibri" w:eastAsiaTheme="majorEastAsia" w:hAnsi="Calibri" w:cstheme="majorBidi"/>
      <w:b/>
      <w:spacing w:val="5"/>
      <w:kern w:val="28"/>
      <w:sz w:val="48"/>
      <w:szCs w:val="52"/>
      <w:lang w:eastAsia="en-US"/>
    </w:rPr>
  </w:style>
  <w:style w:type="character" w:customStyle="1" w:styleId="SubtitleChar">
    <w:name w:val="Subtitle Char"/>
    <w:basedOn w:val="DefaultParagraphFont"/>
    <w:link w:val="Subtitle"/>
    <w:uiPriority w:val="11"/>
    <w:rsid w:val="00221937"/>
    <w:rPr>
      <w:rFonts w:ascii="Calibri" w:eastAsiaTheme="majorEastAsia" w:hAnsi="Calibri" w:cstheme="majorBidi"/>
      <w:b/>
      <w:iCs/>
      <w:sz w:val="40"/>
      <w:szCs w:val="24"/>
      <w:lang w:eastAsia="en-US"/>
    </w:rPr>
  </w:style>
  <w:style w:type="paragraph" w:customStyle="1" w:styleId="SectionTitle">
    <w:name w:val="SectionTitle"/>
    <w:basedOn w:val="Normal"/>
    <w:next w:val="Normal"/>
    <w:rsid w:val="00221937"/>
    <w:pPr>
      <w:jc w:val="center"/>
    </w:pPr>
    <w:rPr>
      <w:b/>
      <w:sz w:val="40"/>
    </w:rPr>
  </w:style>
  <w:style w:type="paragraph" w:customStyle="1" w:styleId="SectionSubtitle">
    <w:name w:val="SectionSubtitle"/>
    <w:basedOn w:val="Normal"/>
    <w:rsid w:val="00221937"/>
    <w:pPr>
      <w:spacing w:after="0"/>
      <w:jc w:val="center"/>
    </w:pPr>
    <w:rPr>
      <w:sz w:val="32"/>
    </w:rPr>
  </w:style>
  <w:style w:type="paragraph" w:customStyle="1" w:styleId="QuoteNumberList">
    <w:name w:val="QuoteNumberList"/>
    <w:basedOn w:val="Quote"/>
    <w:rsid w:val="00221937"/>
    <w:pPr>
      <w:ind w:left="1117" w:hanging="397"/>
    </w:pPr>
    <w:rPr>
      <w:noProof/>
    </w:rPr>
  </w:style>
  <w:style w:type="paragraph" w:customStyle="1" w:styleId="QuoteBullet">
    <w:name w:val="QuoteBullet"/>
    <w:basedOn w:val="Quote"/>
    <w:rsid w:val="00221937"/>
    <w:pPr>
      <w:numPr>
        <w:numId w:val="7"/>
      </w:numPr>
      <w:ind w:left="1117" w:hanging="397"/>
    </w:pPr>
    <w:rPr>
      <w:noProof/>
    </w:rPr>
  </w:style>
  <w:style w:type="paragraph" w:customStyle="1" w:styleId="BoxDash">
    <w:name w:val="BoxDash"/>
    <w:basedOn w:val="BoxBullet"/>
    <w:rsid w:val="00221937"/>
    <w:pPr>
      <w:numPr>
        <w:numId w:val="5"/>
      </w:numPr>
    </w:pPr>
  </w:style>
  <w:style w:type="character" w:customStyle="1" w:styleId="CrossRef">
    <w:name w:val="CrossRef"/>
    <w:basedOn w:val="DefaultParagraphFont"/>
    <w:uiPriority w:val="1"/>
    <w:rsid w:val="00221937"/>
    <w:rPr>
      <w:rFonts w:ascii="Calibri" w:hAnsi="Calibri"/>
      <w:b/>
      <w:noProof/>
      <w:color w:val="C0504D" w:themeColor="accent2"/>
      <w:sz w:val="24"/>
    </w:rPr>
  </w:style>
  <w:style w:type="character" w:customStyle="1" w:styleId="StrongEmphasis">
    <w:name w:val="StrongEmphasis"/>
    <w:basedOn w:val="DefaultParagraphFont"/>
    <w:rsid w:val="00221937"/>
    <w:rPr>
      <w:b/>
      <w:bCs/>
      <w:i/>
      <w:iCs/>
    </w:rPr>
  </w:style>
  <w:style w:type="character" w:customStyle="1" w:styleId="MathEquationChar">
    <w:name w:val="MathEquationChar"/>
    <w:basedOn w:val="DefaultParagraphFont"/>
    <w:uiPriority w:val="1"/>
    <w:rsid w:val="00221937"/>
    <w:rPr>
      <w:rFonts w:ascii="Cambria Math" w:hAnsi="Cambria Math"/>
      <w:noProof/>
    </w:rPr>
  </w:style>
  <w:style w:type="character" w:customStyle="1" w:styleId="SubscriptEmphasis">
    <w:name w:val="SubscriptEmphasis"/>
    <w:basedOn w:val="DefaultParagraphFont"/>
    <w:uiPriority w:val="1"/>
    <w:rsid w:val="00221937"/>
    <w:rPr>
      <w:i/>
      <w:noProof/>
      <w:vertAlign w:val="subscript"/>
    </w:rPr>
  </w:style>
  <w:style w:type="character" w:styleId="Hyperlink">
    <w:name w:val="Hyperlink"/>
    <w:basedOn w:val="DefaultParagraphFont"/>
    <w:uiPriority w:val="99"/>
    <w:unhideWhenUsed/>
    <w:rsid w:val="00926040"/>
    <w:rPr>
      <w:color w:val="0000FF" w:themeColor="hyperlink"/>
      <w:u w:val="single"/>
    </w:rPr>
  </w:style>
  <w:style w:type="character" w:customStyle="1" w:styleId="UnresolvedMention1">
    <w:name w:val="Unresolved Mention1"/>
    <w:basedOn w:val="DefaultParagraphFont"/>
    <w:uiPriority w:val="99"/>
    <w:rsid w:val="00926040"/>
    <w:rPr>
      <w:color w:val="605E5C"/>
      <w:shd w:val="clear" w:color="auto" w:fill="E1DFDD"/>
    </w:rPr>
  </w:style>
  <w:style w:type="paragraph" w:styleId="ListParagraph">
    <w:name w:val="List Paragraph"/>
    <w:aliases w:val="List Paragraph1,List Paragraph11,Recommendation,Bulletr List Paragraph,FooterText,List Paragraph2,List Paragraph21,Paragraphe de liste1,numbered,列出段落,列出段落1,Bullet point,Bullets,CV text,Dot pt,F5 List Paragraph,L,List Paragraph111,lp1,列,LP"/>
    <w:basedOn w:val="Normal"/>
    <w:link w:val="ListParagraphChar"/>
    <w:uiPriority w:val="34"/>
    <w:qFormat/>
    <w:rsid w:val="00926040"/>
    <w:pPr>
      <w:spacing w:after="200" w:line="276" w:lineRule="auto"/>
      <w:ind w:left="720"/>
      <w:contextualSpacing/>
    </w:pPr>
    <w:rPr>
      <w:rFonts w:asciiTheme="minorHAnsi" w:eastAsiaTheme="minorHAnsi" w:hAnsiTheme="minorHAnsi" w:cstheme="minorBidi"/>
      <w:color w:val="auto"/>
      <w:szCs w:val="22"/>
    </w:rPr>
  </w:style>
  <w:style w:type="character" w:customStyle="1" w:styleId="ListParagraphChar">
    <w:name w:val="List Paragraph Char"/>
    <w:aliases w:val="List Paragraph1 Char,List Paragraph11 Char,Recommendation Char,Bulletr List Paragraph Char,FooterText Char,List Paragraph2 Char,List Paragraph21 Char,Paragraphe de liste1 Char,numbered Char,列出段落 Char,列出段落1 Char,Bullet point Char"/>
    <w:link w:val="ListParagraph"/>
    <w:uiPriority w:val="34"/>
    <w:qFormat/>
    <w:rsid w:val="0092604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26040"/>
    <w:rPr>
      <w:sz w:val="16"/>
      <w:szCs w:val="16"/>
    </w:rPr>
  </w:style>
  <w:style w:type="paragraph" w:styleId="CommentText">
    <w:name w:val="annotation text"/>
    <w:basedOn w:val="Normal"/>
    <w:link w:val="CommentTextChar"/>
    <w:uiPriority w:val="99"/>
    <w:unhideWhenUsed/>
    <w:rsid w:val="00926040"/>
    <w:pPr>
      <w:spacing w:after="200"/>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926040"/>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CE14F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06FDF"/>
    <w:pPr>
      <w:spacing w:after="240"/>
    </w:pPr>
    <w:rPr>
      <w:rFonts w:ascii="Calibri" w:eastAsia="Times New Roman" w:hAnsi="Calibri" w:cs="Times New Roman"/>
      <w:b/>
      <w:bCs/>
      <w:color w:val="000000"/>
      <w:lang w:eastAsia="en-AU"/>
    </w:rPr>
  </w:style>
  <w:style w:type="character" w:customStyle="1" w:styleId="CommentSubjectChar">
    <w:name w:val="Comment Subject Char"/>
    <w:basedOn w:val="CommentTextChar"/>
    <w:link w:val="CommentSubject"/>
    <w:uiPriority w:val="99"/>
    <w:semiHidden/>
    <w:rsid w:val="00B06FDF"/>
    <w:rPr>
      <w:rFonts w:ascii="Calibri" w:eastAsiaTheme="minorHAnsi" w:hAnsi="Calibri" w:cstheme="minorBidi"/>
      <w:b/>
      <w:bCs/>
      <w:color w:val="000000"/>
      <w:lang w:eastAsia="en-US"/>
    </w:rPr>
  </w:style>
  <w:style w:type="character" w:customStyle="1" w:styleId="UnresolvedMention2">
    <w:name w:val="Unresolved Mention2"/>
    <w:basedOn w:val="DefaultParagraphFont"/>
    <w:uiPriority w:val="99"/>
    <w:semiHidden/>
    <w:unhideWhenUsed/>
    <w:rsid w:val="006B20B6"/>
    <w:rPr>
      <w:color w:val="605E5C"/>
      <w:shd w:val="clear" w:color="auto" w:fill="E1DFDD"/>
    </w:rPr>
  </w:style>
  <w:style w:type="paragraph" w:styleId="NormalWeb">
    <w:name w:val="Normal (Web)"/>
    <w:basedOn w:val="Normal"/>
    <w:uiPriority w:val="99"/>
    <w:unhideWhenUsed/>
    <w:rsid w:val="00D854D6"/>
    <w:pPr>
      <w:spacing w:before="100" w:beforeAutospacing="1" w:after="100" w:afterAutospacing="1"/>
    </w:pPr>
    <w:rPr>
      <w:rFonts w:ascii="Times New Roman" w:hAnsi="Times New Roman"/>
      <w:color w:val="auto"/>
      <w:sz w:val="24"/>
      <w:szCs w:val="24"/>
    </w:rPr>
  </w:style>
  <w:style w:type="character" w:customStyle="1" w:styleId="UnresolvedMention3">
    <w:name w:val="Unresolved Mention3"/>
    <w:basedOn w:val="DefaultParagraphFont"/>
    <w:uiPriority w:val="99"/>
    <w:semiHidden/>
    <w:unhideWhenUsed/>
    <w:rsid w:val="00D34811"/>
    <w:rPr>
      <w:color w:val="605E5C"/>
      <w:shd w:val="clear" w:color="auto" w:fill="E1DFDD"/>
    </w:rPr>
  </w:style>
  <w:style w:type="character" w:customStyle="1" w:styleId="UnresolvedMention4">
    <w:name w:val="Unresolved Mention4"/>
    <w:basedOn w:val="DefaultParagraphFont"/>
    <w:uiPriority w:val="99"/>
    <w:semiHidden/>
    <w:unhideWhenUsed/>
    <w:rsid w:val="001453C5"/>
    <w:rPr>
      <w:color w:val="605E5C"/>
      <w:shd w:val="clear" w:color="auto" w:fill="E1DFDD"/>
    </w:rPr>
  </w:style>
  <w:style w:type="character" w:styleId="PlaceholderText">
    <w:name w:val="Placeholder Text"/>
    <w:basedOn w:val="DefaultParagraphFont"/>
    <w:uiPriority w:val="99"/>
    <w:semiHidden/>
    <w:rsid w:val="00CC4AB0"/>
    <w:rPr>
      <w:color w:val="808080"/>
    </w:rPr>
  </w:style>
  <w:style w:type="character" w:customStyle="1" w:styleId="HyperlinkItalics">
    <w:name w:val="HyperlinkItalics"/>
    <w:basedOn w:val="Hyperlink"/>
    <w:uiPriority w:val="1"/>
    <w:qFormat/>
    <w:rsid w:val="000A0E45"/>
    <w:rPr>
      <w:i/>
      <w:color w:val="0000FF" w:themeColor="hyperlink"/>
      <w:u w:val="single"/>
    </w:rPr>
  </w:style>
  <w:style w:type="character" w:customStyle="1" w:styleId="field-wrapper">
    <w:name w:val="field-wrapper"/>
    <w:basedOn w:val="DefaultParagraphFont"/>
    <w:rsid w:val="00B96A42"/>
  </w:style>
  <w:style w:type="paragraph" w:customStyle="1" w:styleId="gmail-msolistparagraph">
    <w:name w:val="gmail-msolistparagraph"/>
    <w:basedOn w:val="Normal"/>
    <w:rsid w:val="00E934AB"/>
    <w:pPr>
      <w:spacing w:before="100" w:beforeAutospacing="1" w:after="100" w:afterAutospacing="1"/>
    </w:pPr>
    <w:rPr>
      <w:rFonts w:ascii="Times New Roman" w:hAnsi="Times New Roman"/>
      <w:color w:val="auto"/>
      <w:sz w:val="24"/>
      <w:szCs w:val="24"/>
    </w:rPr>
  </w:style>
  <w:style w:type="character" w:customStyle="1" w:styleId="UnresolvedMention5">
    <w:name w:val="Unresolved Mention5"/>
    <w:basedOn w:val="DefaultParagraphFont"/>
    <w:uiPriority w:val="99"/>
    <w:semiHidden/>
    <w:unhideWhenUsed/>
    <w:rsid w:val="00CF5375"/>
    <w:rPr>
      <w:color w:val="605E5C"/>
      <w:shd w:val="clear" w:color="auto" w:fill="E1DFDD"/>
    </w:rPr>
  </w:style>
  <w:style w:type="character" w:customStyle="1" w:styleId="UnresolvedMention6">
    <w:name w:val="Unresolved Mention6"/>
    <w:basedOn w:val="DefaultParagraphFont"/>
    <w:uiPriority w:val="99"/>
    <w:semiHidden/>
    <w:unhideWhenUsed/>
    <w:rsid w:val="00C76F9A"/>
    <w:rPr>
      <w:color w:val="605E5C"/>
      <w:shd w:val="clear" w:color="auto" w:fill="E1DFDD"/>
    </w:rPr>
  </w:style>
  <w:style w:type="character" w:customStyle="1" w:styleId="HeaderChar">
    <w:name w:val="Header Char"/>
    <w:basedOn w:val="DefaultParagraphFont"/>
    <w:link w:val="Header"/>
    <w:rsid w:val="0029283D"/>
    <w:rPr>
      <w:rFonts w:ascii="Calibri" w:hAnsi="Calibri"/>
      <w:color w:val="000000"/>
      <w:sz w:val="18"/>
      <w:lang w:eastAsia="en-US"/>
    </w:rPr>
  </w:style>
  <w:style w:type="paragraph" w:styleId="Revision">
    <w:name w:val="Revision"/>
    <w:hidden/>
    <w:uiPriority w:val="99"/>
    <w:semiHidden/>
    <w:rsid w:val="007361C9"/>
    <w:rPr>
      <w:rFonts w:ascii="Calibri" w:hAnsi="Calibri"/>
      <w:color w:val="000000"/>
      <w:sz w:val="22"/>
    </w:rPr>
  </w:style>
  <w:style w:type="character" w:customStyle="1" w:styleId="UnresolvedMention7">
    <w:name w:val="Unresolved Mention7"/>
    <w:basedOn w:val="DefaultParagraphFont"/>
    <w:uiPriority w:val="99"/>
    <w:semiHidden/>
    <w:unhideWhenUsed/>
    <w:rsid w:val="009868F3"/>
    <w:rPr>
      <w:color w:val="605E5C"/>
      <w:shd w:val="clear" w:color="auto" w:fill="E1DFDD"/>
    </w:rPr>
  </w:style>
  <w:style w:type="character" w:styleId="HTMLDefinition">
    <w:name w:val="HTML Definition"/>
    <w:basedOn w:val="DefaultParagraphFont"/>
    <w:uiPriority w:val="99"/>
    <w:semiHidden/>
    <w:unhideWhenUsed/>
    <w:rsid w:val="00DA5A33"/>
    <w:rPr>
      <w:i/>
      <w:iCs/>
    </w:rPr>
  </w:style>
  <w:style w:type="character" w:customStyle="1" w:styleId="UnresolvedMention8">
    <w:name w:val="Unresolved Mention8"/>
    <w:basedOn w:val="DefaultParagraphFont"/>
    <w:uiPriority w:val="99"/>
    <w:semiHidden/>
    <w:unhideWhenUsed/>
    <w:rsid w:val="00580ED5"/>
    <w:rPr>
      <w:color w:val="605E5C"/>
      <w:shd w:val="clear" w:color="auto" w:fill="E1DFDD"/>
    </w:rPr>
  </w:style>
  <w:style w:type="character" w:customStyle="1" w:styleId="UnresolvedMention9">
    <w:name w:val="Unresolved Mention9"/>
    <w:basedOn w:val="DefaultParagraphFont"/>
    <w:uiPriority w:val="99"/>
    <w:semiHidden/>
    <w:unhideWhenUsed/>
    <w:rsid w:val="00111FD8"/>
    <w:rPr>
      <w:color w:val="605E5C"/>
      <w:shd w:val="clear" w:color="auto" w:fill="E1DFDD"/>
    </w:rPr>
  </w:style>
  <w:style w:type="character" w:customStyle="1" w:styleId="UnresolvedMention10">
    <w:name w:val="Unresolved Mention10"/>
    <w:basedOn w:val="DefaultParagraphFont"/>
    <w:uiPriority w:val="99"/>
    <w:semiHidden/>
    <w:unhideWhenUsed/>
    <w:rsid w:val="00FA62B2"/>
    <w:rPr>
      <w:color w:val="605E5C"/>
      <w:shd w:val="clear" w:color="auto" w:fill="E1DFDD"/>
    </w:rPr>
  </w:style>
  <w:style w:type="paragraph" w:customStyle="1" w:styleId="Default">
    <w:name w:val="Default"/>
    <w:rsid w:val="0070564E"/>
    <w:pPr>
      <w:autoSpaceDE w:val="0"/>
      <w:autoSpaceDN w:val="0"/>
      <w:adjustRightInd w:val="0"/>
    </w:pPr>
    <w:rPr>
      <w:rFonts w:ascii="Adelle Sans" w:hAnsi="Adelle Sans" w:cs="Adelle Sans"/>
      <w:color w:val="000000"/>
      <w:sz w:val="24"/>
      <w:szCs w:val="24"/>
      <w:lang w:val="en-GB"/>
    </w:rPr>
  </w:style>
  <w:style w:type="paragraph" w:customStyle="1" w:styleId="Pa11">
    <w:name w:val="Pa11"/>
    <w:basedOn w:val="Default"/>
    <w:next w:val="Default"/>
    <w:uiPriority w:val="99"/>
    <w:rsid w:val="0070564E"/>
    <w:pPr>
      <w:spacing w:line="181" w:lineRule="atLeast"/>
    </w:pPr>
    <w:rPr>
      <w:rFonts w:cs="Times New Roman"/>
      <w:color w:val="auto"/>
    </w:rPr>
  </w:style>
  <w:style w:type="character" w:customStyle="1" w:styleId="UnresolvedMention11">
    <w:name w:val="Unresolved Mention11"/>
    <w:basedOn w:val="DefaultParagraphFont"/>
    <w:uiPriority w:val="99"/>
    <w:semiHidden/>
    <w:unhideWhenUsed/>
    <w:rsid w:val="008F54B6"/>
    <w:rPr>
      <w:color w:val="605E5C"/>
      <w:shd w:val="clear" w:color="auto" w:fill="E1DFDD"/>
    </w:rPr>
  </w:style>
  <w:style w:type="character" w:customStyle="1" w:styleId="Heading3Char">
    <w:name w:val="Heading 3 Char"/>
    <w:basedOn w:val="DefaultParagraphFont"/>
    <w:link w:val="Heading3"/>
    <w:rsid w:val="002E03D0"/>
    <w:rPr>
      <w:rFonts w:ascii="Calibri" w:hAnsi="Calibri" w:cs="Arial"/>
      <w:b/>
      <w:bCs/>
      <w:color w:val="000000"/>
      <w:sz w:val="22"/>
      <w:szCs w:val="26"/>
      <w:lang w:eastAsia="en-US"/>
    </w:rPr>
  </w:style>
  <w:style w:type="character" w:customStyle="1" w:styleId="UnresolvedMention12">
    <w:name w:val="Unresolved Mention12"/>
    <w:basedOn w:val="DefaultParagraphFont"/>
    <w:uiPriority w:val="99"/>
    <w:semiHidden/>
    <w:unhideWhenUsed/>
    <w:rsid w:val="000B4E5E"/>
    <w:rPr>
      <w:color w:val="605E5C"/>
      <w:shd w:val="clear" w:color="auto" w:fill="E1DFDD"/>
    </w:rPr>
  </w:style>
  <w:style w:type="character" w:customStyle="1" w:styleId="UnresolvedMention13">
    <w:name w:val="Unresolved Mention13"/>
    <w:basedOn w:val="DefaultParagraphFont"/>
    <w:uiPriority w:val="99"/>
    <w:semiHidden/>
    <w:unhideWhenUsed/>
    <w:rsid w:val="006E23AF"/>
    <w:rPr>
      <w:color w:val="605E5C"/>
      <w:shd w:val="clear" w:color="auto" w:fill="E1DFDD"/>
    </w:rPr>
  </w:style>
  <w:style w:type="character" w:customStyle="1" w:styleId="normaltextrun">
    <w:name w:val="normaltextrun"/>
    <w:basedOn w:val="DefaultParagraphFont"/>
    <w:rsid w:val="00AE2D08"/>
  </w:style>
  <w:style w:type="character" w:customStyle="1" w:styleId="Mention1">
    <w:name w:val="Mention1"/>
    <w:basedOn w:val="DefaultParagraphFont"/>
    <w:uiPriority w:val="99"/>
    <w:unhideWhenUsed/>
    <w:rsid w:val="000F3AE3"/>
    <w:rPr>
      <w:color w:val="2B579A"/>
      <w:shd w:val="clear" w:color="auto" w:fill="E1DFDD"/>
    </w:rPr>
  </w:style>
  <w:style w:type="character" w:customStyle="1" w:styleId="Mention2">
    <w:name w:val="Mention2"/>
    <w:basedOn w:val="DefaultParagraphFont"/>
    <w:uiPriority w:val="99"/>
    <w:unhideWhenUsed/>
    <w:rsid w:val="009A73E3"/>
    <w:rPr>
      <w:color w:val="2B579A"/>
      <w:shd w:val="clear" w:color="auto" w:fill="E1DFDD"/>
    </w:rPr>
  </w:style>
  <w:style w:type="character" w:customStyle="1" w:styleId="UnresolvedMention14">
    <w:name w:val="Unresolved Mention14"/>
    <w:basedOn w:val="DefaultParagraphFont"/>
    <w:uiPriority w:val="99"/>
    <w:semiHidden/>
    <w:unhideWhenUsed/>
    <w:rsid w:val="007111C4"/>
    <w:rPr>
      <w:color w:val="605E5C"/>
      <w:shd w:val="clear" w:color="auto" w:fill="E1DFDD"/>
    </w:rPr>
  </w:style>
  <w:style w:type="paragraph" w:customStyle="1" w:styleId="TableTitle">
    <w:name w:val="TableTitle"/>
    <w:basedOn w:val="TableText"/>
    <w:rsid w:val="00221937"/>
    <w:pPr>
      <w:tabs>
        <w:tab w:val="left" w:pos="1080"/>
      </w:tabs>
      <w:spacing w:before="120" w:after="120"/>
      <w:ind w:left="1080" w:hanging="1080"/>
    </w:pPr>
    <w:rPr>
      <w:b/>
      <w:bCs/>
      <w:sz w:val="22"/>
    </w:rPr>
  </w:style>
  <w:style w:type="paragraph" w:customStyle="1" w:styleId="BoxTitle">
    <w:name w:val="BoxTitle"/>
    <w:basedOn w:val="BoxText"/>
    <w:rsid w:val="00221937"/>
    <w:pPr>
      <w:keepNext/>
      <w:spacing w:before="180"/>
      <w:ind w:left="1080" w:hanging="1080"/>
    </w:pPr>
    <w:rPr>
      <w:b/>
      <w:bCs/>
      <w:sz w:val="24"/>
    </w:rPr>
  </w:style>
  <w:style w:type="paragraph" w:customStyle="1" w:styleId="FigureTitle">
    <w:name w:val="FigureTitle"/>
    <w:basedOn w:val="FigureNameSpace"/>
    <w:next w:val="Normal"/>
    <w:rsid w:val="00221937"/>
    <w:pPr>
      <w:keepNext/>
      <w:spacing w:after="120"/>
      <w:ind w:left="1077" w:hanging="1077"/>
    </w:pPr>
  </w:style>
  <w:style w:type="paragraph" w:customStyle="1" w:styleId="pf0">
    <w:name w:val="pf0"/>
    <w:basedOn w:val="Normal"/>
    <w:rsid w:val="00023345"/>
    <w:pPr>
      <w:spacing w:before="100" w:beforeAutospacing="1" w:after="100" w:afterAutospacing="1"/>
    </w:pPr>
    <w:rPr>
      <w:rFonts w:ascii="Times New Roman" w:hAnsi="Times New Roman"/>
      <w:color w:val="auto"/>
      <w:sz w:val="24"/>
      <w:szCs w:val="24"/>
      <w:lang w:eastAsia="en-AU"/>
    </w:rPr>
  </w:style>
  <w:style w:type="character" w:customStyle="1" w:styleId="cf01">
    <w:name w:val="cf01"/>
    <w:basedOn w:val="DefaultParagraphFont"/>
    <w:rsid w:val="00023345"/>
    <w:rPr>
      <w:rFonts w:ascii="Segoe UI" w:hAnsi="Segoe UI" w:cs="Segoe UI" w:hint="default"/>
      <w:sz w:val="18"/>
      <w:szCs w:val="18"/>
    </w:rPr>
  </w:style>
  <w:style w:type="character" w:customStyle="1" w:styleId="Heading4Char">
    <w:name w:val="Heading 4 Char"/>
    <w:basedOn w:val="DefaultParagraphFont"/>
    <w:link w:val="Heading4"/>
    <w:rsid w:val="00073B9A"/>
    <w:rPr>
      <w:rFonts w:ascii="Calibri" w:hAnsi="Calibri"/>
      <w:b/>
      <w:bCs/>
      <w:i/>
      <w:color w:val="000000"/>
      <w:sz w:val="22"/>
      <w:szCs w:val="28"/>
      <w:lang w:eastAsia="en-US"/>
    </w:rPr>
  </w:style>
  <w:style w:type="character" w:styleId="UnresolvedMention">
    <w:name w:val="Unresolved Mention"/>
    <w:basedOn w:val="DefaultParagraphFont"/>
    <w:uiPriority w:val="99"/>
    <w:semiHidden/>
    <w:unhideWhenUsed/>
    <w:rsid w:val="009A5343"/>
    <w:rPr>
      <w:color w:val="605E5C"/>
      <w:shd w:val="clear" w:color="auto" w:fill="E1DFDD"/>
    </w:rPr>
  </w:style>
  <w:style w:type="character" w:customStyle="1" w:styleId="eop">
    <w:name w:val="eop"/>
    <w:basedOn w:val="DefaultParagraphFont"/>
    <w:rsid w:val="00F97F99"/>
  </w:style>
  <w:style w:type="paragraph" w:styleId="EndnoteText">
    <w:name w:val="endnote text"/>
    <w:basedOn w:val="Normal"/>
    <w:link w:val="EndnoteTextChar"/>
    <w:uiPriority w:val="99"/>
    <w:unhideWhenUsed/>
    <w:rsid w:val="004756A4"/>
    <w:pPr>
      <w:spacing w:after="0"/>
    </w:pPr>
    <w:rPr>
      <w:sz w:val="20"/>
    </w:rPr>
  </w:style>
  <w:style w:type="character" w:customStyle="1" w:styleId="EndnoteTextChar">
    <w:name w:val="Endnote Text Char"/>
    <w:basedOn w:val="DefaultParagraphFont"/>
    <w:link w:val="EndnoteText"/>
    <w:uiPriority w:val="99"/>
    <w:rsid w:val="004756A4"/>
    <w:rPr>
      <w:rFonts w:ascii="Calibri" w:hAnsi="Calibri"/>
      <w:color w:val="000000"/>
      <w:lang w:eastAsia="en-US"/>
    </w:rPr>
  </w:style>
  <w:style w:type="paragraph" w:customStyle="1" w:styleId="xmsonormal">
    <w:name w:val="x_msonormal"/>
    <w:basedOn w:val="Normal"/>
    <w:rsid w:val="00117953"/>
    <w:pPr>
      <w:spacing w:after="0"/>
    </w:pPr>
    <w:rPr>
      <w:rFonts w:eastAsiaTheme="minorHAns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7917">
      <w:bodyDiv w:val="1"/>
      <w:marLeft w:val="0"/>
      <w:marRight w:val="0"/>
      <w:marTop w:val="0"/>
      <w:marBottom w:val="0"/>
      <w:divBdr>
        <w:top w:val="none" w:sz="0" w:space="0" w:color="auto"/>
        <w:left w:val="none" w:sz="0" w:space="0" w:color="auto"/>
        <w:bottom w:val="none" w:sz="0" w:space="0" w:color="auto"/>
        <w:right w:val="none" w:sz="0" w:space="0" w:color="auto"/>
      </w:divBdr>
    </w:div>
    <w:div w:id="41448997">
      <w:bodyDiv w:val="1"/>
      <w:marLeft w:val="0"/>
      <w:marRight w:val="0"/>
      <w:marTop w:val="0"/>
      <w:marBottom w:val="0"/>
      <w:divBdr>
        <w:top w:val="none" w:sz="0" w:space="0" w:color="auto"/>
        <w:left w:val="none" w:sz="0" w:space="0" w:color="auto"/>
        <w:bottom w:val="none" w:sz="0" w:space="0" w:color="auto"/>
        <w:right w:val="none" w:sz="0" w:space="0" w:color="auto"/>
      </w:divBdr>
    </w:div>
    <w:div w:id="45840687">
      <w:bodyDiv w:val="1"/>
      <w:marLeft w:val="0"/>
      <w:marRight w:val="0"/>
      <w:marTop w:val="0"/>
      <w:marBottom w:val="0"/>
      <w:divBdr>
        <w:top w:val="none" w:sz="0" w:space="0" w:color="auto"/>
        <w:left w:val="none" w:sz="0" w:space="0" w:color="auto"/>
        <w:bottom w:val="none" w:sz="0" w:space="0" w:color="auto"/>
        <w:right w:val="none" w:sz="0" w:space="0" w:color="auto"/>
      </w:divBdr>
    </w:div>
    <w:div w:id="74594007">
      <w:bodyDiv w:val="1"/>
      <w:marLeft w:val="0"/>
      <w:marRight w:val="0"/>
      <w:marTop w:val="0"/>
      <w:marBottom w:val="0"/>
      <w:divBdr>
        <w:top w:val="none" w:sz="0" w:space="0" w:color="auto"/>
        <w:left w:val="none" w:sz="0" w:space="0" w:color="auto"/>
        <w:bottom w:val="none" w:sz="0" w:space="0" w:color="auto"/>
        <w:right w:val="none" w:sz="0" w:space="0" w:color="auto"/>
      </w:divBdr>
    </w:div>
    <w:div w:id="89544571">
      <w:bodyDiv w:val="1"/>
      <w:marLeft w:val="0"/>
      <w:marRight w:val="0"/>
      <w:marTop w:val="0"/>
      <w:marBottom w:val="0"/>
      <w:divBdr>
        <w:top w:val="none" w:sz="0" w:space="0" w:color="auto"/>
        <w:left w:val="none" w:sz="0" w:space="0" w:color="auto"/>
        <w:bottom w:val="none" w:sz="0" w:space="0" w:color="auto"/>
        <w:right w:val="none" w:sz="0" w:space="0" w:color="auto"/>
      </w:divBdr>
    </w:div>
    <w:div w:id="107702392">
      <w:bodyDiv w:val="1"/>
      <w:marLeft w:val="0"/>
      <w:marRight w:val="0"/>
      <w:marTop w:val="0"/>
      <w:marBottom w:val="0"/>
      <w:divBdr>
        <w:top w:val="none" w:sz="0" w:space="0" w:color="auto"/>
        <w:left w:val="none" w:sz="0" w:space="0" w:color="auto"/>
        <w:bottom w:val="none" w:sz="0" w:space="0" w:color="auto"/>
        <w:right w:val="none" w:sz="0" w:space="0" w:color="auto"/>
      </w:divBdr>
    </w:div>
    <w:div w:id="153910242">
      <w:bodyDiv w:val="1"/>
      <w:marLeft w:val="0"/>
      <w:marRight w:val="0"/>
      <w:marTop w:val="0"/>
      <w:marBottom w:val="0"/>
      <w:divBdr>
        <w:top w:val="none" w:sz="0" w:space="0" w:color="auto"/>
        <w:left w:val="none" w:sz="0" w:space="0" w:color="auto"/>
        <w:bottom w:val="none" w:sz="0" w:space="0" w:color="auto"/>
        <w:right w:val="none" w:sz="0" w:space="0" w:color="auto"/>
      </w:divBdr>
    </w:div>
    <w:div w:id="212667686">
      <w:bodyDiv w:val="1"/>
      <w:marLeft w:val="0"/>
      <w:marRight w:val="0"/>
      <w:marTop w:val="0"/>
      <w:marBottom w:val="0"/>
      <w:divBdr>
        <w:top w:val="none" w:sz="0" w:space="0" w:color="auto"/>
        <w:left w:val="none" w:sz="0" w:space="0" w:color="auto"/>
        <w:bottom w:val="none" w:sz="0" w:space="0" w:color="auto"/>
        <w:right w:val="none" w:sz="0" w:space="0" w:color="auto"/>
      </w:divBdr>
    </w:div>
    <w:div w:id="236012914">
      <w:bodyDiv w:val="1"/>
      <w:marLeft w:val="0"/>
      <w:marRight w:val="0"/>
      <w:marTop w:val="0"/>
      <w:marBottom w:val="0"/>
      <w:divBdr>
        <w:top w:val="none" w:sz="0" w:space="0" w:color="auto"/>
        <w:left w:val="none" w:sz="0" w:space="0" w:color="auto"/>
        <w:bottom w:val="none" w:sz="0" w:space="0" w:color="auto"/>
        <w:right w:val="none" w:sz="0" w:space="0" w:color="auto"/>
      </w:divBdr>
    </w:div>
    <w:div w:id="263879853">
      <w:bodyDiv w:val="1"/>
      <w:marLeft w:val="0"/>
      <w:marRight w:val="0"/>
      <w:marTop w:val="0"/>
      <w:marBottom w:val="0"/>
      <w:divBdr>
        <w:top w:val="none" w:sz="0" w:space="0" w:color="auto"/>
        <w:left w:val="none" w:sz="0" w:space="0" w:color="auto"/>
        <w:bottom w:val="none" w:sz="0" w:space="0" w:color="auto"/>
        <w:right w:val="none" w:sz="0" w:space="0" w:color="auto"/>
      </w:divBdr>
    </w:div>
    <w:div w:id="266500334">
      <w:bodyDiv w:val="1"/>
      <w:marLeft w:val="0"/>
      <w:marRight w:val="0"/>
      <w:marTop w:val="0"/>
      <w:marBottom w:val="0"/>
      <w:divBdr>
        <w:top w:val="none" w:sz="0" w:space="0" w:color="auto"/>
        <w:left w:val="none" w:sz="0" w:space="0" w:color="auto"/>
        <w:bottom w:val="none" w:sz="0" w:space="0" w:color="auto"/>
        <w:right w:val="none" w:sz="0" w:space="0" w:color="auto"/>
      </w:divBdr>
    </w:div>
    <w:div w:id="277375896">
      <w:bodyDiv w:val="1"/>
      <w:marLeft w:val="0"/>
      <w:marRight w:val="0"/>
      <w:marTop w:val="0"/>
      <w:marBottom w:val="0"/>
      <w:divBdr>
        <w:top w:val="none" w:sz="0" w:space="0" w:color="auto"/>
        <w:left w:val="none" w:sz="0" w:space="0" w:color="auto"/>
        <w:bottom w:val="none" w:sz="0" w:space="0" w:color="auto"/>
        <w:right w:val="none" w:sz="0" w:space="0" w:color="auto"/>
      </w:divBdr>
    </w:div>
    <w:div w:id="283197382">
      <w:bodyDiv w:val="1"/>
      <w:marLeft w:val="0"/>
      <w:marRight w:val="0"/>
      <w:marTop w:val="0"/>
      <w:marBottom w:val="0"/>
      <w:divBdr>
        <w:top w:val="none" w:sz="0" w:space="0" w:color="auto"/>
        <w:left w:val="none" w:sz="0" w:space="0" w:color="auto"/>
        <w:bottom w:val="none" w:sz="0" w:space="0" w:color="auto"/>
        <w:right w:val="none" w:sz="0" w:space="0" w:color="auto"/>
      </w:divBdr>
    </w:div>
    <w:div w:id="381295588">
      <w:bodyDiv w:val="1"/>
      <w:marLeft w:val="0"/>
      <w:marRight w:val="0"/>
      <w:marTop w:val="0"/>
      <w:marBottom w:val="0"/>
      <w:divBdr>
        <w:top w:val="none" w:sz="0" w:space="0" w:color="auto"/>
        <w:left w:val="none" w:sz="0" w:space="0" w:color="auto"/>
        <w:bottom w:val="none" w:sz="0" w:space="0" w:color="auto"/>
        <w:right w:val="none" w:sz="0" w:space="0" w:color="auto"/>
      </w:divBdr>
    </w:div>
    <w:div w:id="394164154">
      <w:bodyDiv w:val="1"/>
      <w:marLeft w:val="0"/>
      <w:marRight w:val="0"/>
      <w:marTop w:val="0"/>
      <w:marBottom w:val="0"/>
      <w:divBdr>
        <w:top w:val="none" w:sz="0" w:space="0" w:color="auto"/>
        <w:left w:val="none" w:sz="0" w:space="0" w:color="auto"/>
        <w:bottom w:val="none" w:sz="0" w:space="0" w:color="auto"/>
        <w:right w:val="none" w:sz="0" w:space="0" w:color="auto"/>
      </w:divBdr>
    </w:div>
    <w:div w:id="394356199">
      <w:bodyDiv w:val="1"/>
      <w:marLeft w:val="0"/>
      <w:marRight w:val="0"/>
      <w:marTop w:val="0"/>
      <w:marBottom w:val="0"/>
      <w:divBdr>
        <w:top w:val="none" w:sz="0" w:space="0" w:color="auto"/>
        <w:left w:val="none" w:sz="0" w:space="0" w:color="auto"/>
        <w:bottom w:val="none" w:sz="0" w:space="0" w:color="auto"/>
        <w:right w:val="none" w:sz="0" w:space="0" w:color="auto"/>
      </w:divBdr>
    </w:div>
    <w:div w:id="395126239">
      <w:bodyDiv w:val="1"/>
      <w:marLeft w:val="0"/>
      <w:marRight w:val="0"/>
      <w:marTop w:val="0"/>
      <w:marBottom w:val="0"/>
      <w:divBdr>
        <w:top w:val="none" w:sz="0" w:space="0" w:color="auto"/>
        <w:left w:val="none" w:sz="0" w:space="0" w:color="auto"/>
        <w:bottom w:val="none" w:sz="0" w:space="0" w:color="auto"/>
        <w:right w:val="none" w:sz="0" w:space="0" w:color="auto"/>
      </w:divBdr>
    </w:div>
    <w:div w:id="419301451">
      <w:bodyDiv w:val="1"/>
      <w:marLeft w:val="0"/>
      <w:marRight w:val="0"/>
      <w:marTop w:val="0"/>
      <w:marBottom w:val="0"/>
      <w:divBdr>
        <w:top w:val="none" w:sz="0" w:space="0" w:color="auto"/>
        <w:left w:val="none" w:sz="0" w:space="0" w:color="auto"/>
        <w:bottom w:val="none" w:sz="0" w:space="0" w:color="auto"/>
        <w:right w:val="none" w:sz="0" w:space="0" w:color="auto"/>
      </w:divBdr>
    </w:div>
    <w:div w:id="421144204">
      <w:bodyDiv w:val="1"/>
      <w:marLeft w:val="0"/>
      <w:marRight w:val="0"/>
      <w:marTop w:val="0"/>
      <w:marBottom w:val="0"/>
      <w:divBdr>
        <w:top w:val="none" w:sz="0" w:space="0" w:color="auto"/>
        <w:left w:val="none" w:sz="0" w:space="0" w:color="auto"/>
        <w:bottom w:val="none" w:sz="0" w:space="0" w:color="auto"/>
        <w:right w:val="none" w:sz="0" w:space="0" w:color="auto"/>
      </w:divBdr>
    </w:div>
    <w:div w:id="452141774">
      <w:bodyDiv w:val="1"/>
      <w:marLeft w:val="0"/>
      <w:marRight w:val="0"/>
      <w:marTop w:val="0"/>
      <w:marBottom w:val="0"/>
      <w:divBdr>
        <w:top w:val="none" w:sz="0" w:space="0" w:color="auto"/>
        <w:left w:val="none" w:sz="0" w:space="0" w:color="auto"/>
        <w:bottom w:val="none" w:sz="0" w:space="0" w:color="auto"/>
        <w:right w:val="none" w:sz="0" w:space="0" w:color="auto"/>
      </w:divBdr>
    </w:div>
    <w:div w:id="608852320">
      <w:bodyDiv w:val="1"/>
      <w:marLeft w:val="0"/>
      <w:marRight w:val="0"/>
      <w:marTop w:val="0"/>
      <w:marBottom w:val="0"/>
      <w:divBdr>
        <w:top w:val="none" w:sz="0" w:space="0" w:color="auto"/>
        <w:left w:val="none" w:sz="0" w:space="0" w:color="auto"/>
        <w:bottom w:val="none" w:sz="0" w:space="0" w:color="auto"/>
        <w:right w:val="none" w:sz="0" w:space="0" w:color="auto"/>
      </w:divBdr>
      <w:divsChild>
        <w:div w:id="1249658068">
          <w:marLeft w:val="274"/>
          <w:marRight w:val="0"/>
          <w:marTop w:val="40"/>
          <w:marBottom w:val="40"/>
          <w:divBdr>
            <w:top w:val="none" w:sz="0" w:space="0" w:color="auto"/>
            <w:left w:val="none" w:sz="0" w:space="0" w:color="auto"/>
            <w:bottom w:val="none" w:sz="0" w:space="0" w:color="auto"/>
            <w:right w:val="none" w:sz="0" w:space="0" w:color="auto"/>
          </w:divBdr>
        </w:div>
      </w:divsChild>
    </w:div>
    <w:div w:id="700860140">
      <w:bodyDiv w:val="1"/>
      <w:marLeft w:val="0"/>
      <w:marRight w:val="0"/>
      <w:marTop w:val="0"/>
      <w:marBottom w:val="0"/>
      <w:divBdr>
        <w:top w:val="none" w:sz="0" w:space="0" w:color="auto"/>
        <w:left w:val="none" w:sz="0" w:space="0" w:color="auto"/>
        <w:bottom w:val="none" w:sz="0" w:space="0" w:color="auto"/>
        <w:right w:val="none" w:sz="0" w:space="0" w:color="auto"/>
      </w:divBdr>
    </w:div>
    <w:div w:id="833296526">
      <w:bodyDiv w:val="1"/>
      <w:marLeft w:val="0"/>
      <w:marRight w:val="0"/>
      <w:marTop w:val="0"/>
      <w:marBottom w:val="0"/>
      <w:divBdr>
        <w:top w:val="none" w:sz="0" w:space="0" w:color="auto"/>
        <w:left w:val="none" w:sz="0" w:space="0" w:color="auto"/>
        <w:bottom w:val="none" w:sz="0" w:space="0" w:color="auto"/>
        <w:right w:val="none" w:sz="0" w:space="0" w:color="auto"/>
      </w:divBdr>
      <w:divsChild>
        <w:div w:id="799500075">
          <w:marLeft w:val="0"/>
          <w:marRight w:val="0"/>
          <w:marTop w:val="0"/>
          <w:marBottom w:val="0"/>
          <w:divBdr>
            <w:top w:val="none" w:sz="0" w:space="0" w:color="auto"/>
            <w:left w:val="none" w:sz="0" w:space="0" w:color="auto"/>
            <w:bottom w:val="none" w:sz="0" w:space="0" w:color="auto"/>
            <w:right w:val="none" w:sz="0" w:space="0" w:color="auto"/>
          </w:divBdr>
        </w:div>
        <w:div w:id="1997565230">
          <w:marLeft w:val="0"/>
          <w:marRight w:val="0"/>
          <w:marTop w:val="0"/>
          <w:marBottom w:val="0"/>
          <w:divBdr>
            <w:top w:val="none" w:sz="0" w:space="0" w:color="auto"/>
            <w:left w:val="none" w:sz="0" w:space="0" w:color="auto"/>
            <w:bottom w:val="none" w:sz="0" w:space="0" w:color="auto"/>
            <w:right w:val="none" w:sz="0" w:space="0" w:color="auto"/>
          </w:divBdr>
        </w:div>
      </w:divsChild>
    </w:div>
    <w:div w:id="840202409">
      <w:bodyDiv w:val="1"/>
      <w:marLeft w:val="0"/>
      <w:marRight w:val="0"/>
      <w:marTop w:val="0"/>
      <w:marBottom w:val="0"/>
      <w:divBdr>
        <w:top w:val="none" w:sz="0" w:space="0" w:color="auto"/>
        <w:left w:val="none" w:sz="0" w:space="0" w:color="auto"/>
        <w:bottom w:val="none" w:sz="0" w:space="0" w:color="auto"/>
        <w:right w:val="none" w:sz="0" w:space="0" w:color="auto"/>
      </w:divBdr>
    </w:div>
    <w:div w:id="849294120">
      <w:bodyDiv w:val="1"/>
      <w:marLeft w:val="0"/>
      <w:marRight w:val="0"/>
      <w:marTop w:val="0"/>
      <w:marBottom w:val="0"/>
      <w:divBdr>
        <w:top w:val="none" w:sz="0" w:space="0" w:color="auto"/>
        <w:left w:val="none" w:sz="0" w:space="0" w:color="auto"/>
        <w:bottom w:val="none" w:sz="0" w:space="0" w:color="auto"/>
        <w:right w:val="none" w:sz="0" w:space="0" w:color="auto"/>
      </w:divBdr>
    </w:div>
    <w:div w:id="858010774">
      <w:bodyDiv w:val="1"/>
      <w:marLeft w:val="0"/>
      <w:marRight w:val="0"/>
      <w:marTop w:val="0"/>
      <w:marBottom w:val="0"/>
      <w:divBdr>
        <w:top w:val="none" w:sz="0" w:space="0" w:color="auto"/>
        <w:left w:val="none" w:sz="0" w:space="0" w:color="auto"/>
        <w:bottom w:val="none" w:sz="0" w:space="0" w:color="auto"/>
        <w:right w:val="none" w:sz="0" w:space="0" w:color="auto"/>
      </w:divBdr>
    </w:div>
    <w:div w:id="867452634">
      <w:bodyDiv w:val="1"/>
      <w:marLeft w:val="0"/>
      <w:marRight w:val="0"/>
      <w:marTop w:val="0"/>
      <w:marBottom w:val="0"/>
      <w:divBdr>
        <w:top w:val="none" w:sz="0" w:space="0" w:color="auto"/>
        <w:left w:val="none" w:sz="0" w:space="0" w:color="auto"/>
        <w:bottom w:val="none" w:sz="0" w:space="0" w:color="auto"/>
        <w:right w:val="none" w:sz="0" w:space="0" w:color="auto"/>
      </w:divBdr>
    </w:div>
    <w:div w:id="913316509">
      <w:bodyDiv w:val="1"/>
      <w:marLeft w:val="0"/>
      <w:marRight w:val="0"/>
      <w:marTop w:val="0"/>
      <w:marBottom w:val="0"/>
      <w:divBdr>
        <w:top w:val="none" w:sz="0" w:space="0" w:color="auto"/>
        <w:left w:val="none" w:sz="0" w:space="0" w:color="auto"/>
        <w:bottom w:val="none" w:sz="0" w:space="0" w:color="auto"/>
        <w:right w:val="none" w:sz="0" w:space="0" w:color="auto"/>
      </w:divBdr>
    </w:div>
    <w:div w:id="959267467">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985355135">
      <w:bodyDiv w:val="1"/>
      <w:marLeft w:val="0"/>
      <w:marRight w:val="0"/>
      <w:marTop w:val="0"/>
      <w:marBottom w:val="0"/>
      <w:divBdr>
        <w:top w:val="none" w:sz="0" w:space="0" w:color="auto"/>
        <w:left w:val="none" w:sz="0" w:space="0" w:color="auto"/>
        <w:bottom w:val="none" w:sz="0" w:space="0" w:color="auto"/>
        <w:right w:val="none" w:sz="0" w:space="0" w:color="auto"/>
      </w:divBdr>
    </w:div>
    <w:div w:id="1078137657">
      <w:bodyDiv w:val="1"/>
      <w:marLeft w:val="0"/>
      <w:marRight w:val="0"/>
      <w:marTop w:val="0"/>
      <w:marBottom w:val="0"/>
      <w:divBdr>
        <w:top w:val="none" w:sz="0" w:space="0" w:color="auto"/>
        <w:left w:val="none" w:sz="0" w:space="0" w:color="auto"/>
        <w:bottom w:val="none" w:sz="0" w:space="0" w:color="auto"/>
        <w:right w:val="none" w:sz="0" w:space="0" w:color="auto"/>
      </w:divBdr>
    </w:div>
    <w:div w:id="1108698664">
      <w:bodyDiv w:val="1"/>
      <w:marLeft w:val="0"/>
      <w:marRight w:val="0"/>
      <w:marTop w:val="0"/>
      <w:marBottom w:val="0"/>
      <w:divBdr>
        <w:top w:val="none" w:sz="0" w:space="0" w:color="auto"/>
        <w:left w:val="none" w:sz="0" w:space="0" w:color="auto"/>
        <w:bottom w:val="none" w:sz="0" w:space="0" w:color="auto"/>
        <w:right w:val="none" w:sz="0" w:space="0" w:color="auto"/>
      </w:divBdr>
    </w:div>
    <w:div w:id="1135104188">
      <w:bodyDiv w:val="1"/>
      <w:marLeft w:val="0"/>
      <w:marRight w:val="0"/>
      <w:marTop w:val="0"/>
      <w:marBottom w:val="0"/>
      <w:divBdr>
        <w:top w:val="none" w:sz="0" w:space="0" w:color="auto"/>
        <w:left w:val="none" w:sz="0" w:space="0" w:color="auto"/>
        <w:bottom w:val="none" w:sz="0" w:space="0" w:color="auto"/>
        <w:right w:val="none" w:sz="0" w:space="0" w:color="auto"/>
      </w:divBdr>
      <w:divsChild>
        <w:div w:id="536551515">
          <w:marLeft w:val="274"/>
          <w:marRight w:val="0"/>
          <w:marTop w:val="40"/>
          <w:marBottom w:val="40"/>
          <w:divBdr>
            <w:top w:val="none" w:sz="0" w:space="0" w:color="auto"/>
            <w:left w:val="none" w:sz="0" w:space="0" w:color="auto"/>
            <w:bottom w:val="none" w:sz="0" w:space="0" w:color="auto"/>
            <w:right w:val="none" w:sz="0" w:space="0" w:color="auto"/>
          </w:divBdr>
        </w:div>
      </w:divsChild>
    </w:div>
    <w:div w:id="1148938852">
      <w:bodyDiv w:val="1"/>
      <w:marLeft w:val="0"/>
      <w:marRight w:val="0"/>
      <w:marTop w:val="0"/>
      <w:marBottom w:val="0"/>
      <w:divBdr>
        <w:top w:val="none" w:sz="0" w:space="0" w:color="auto"/>
        <w:left w:val="none" w:sz="0" w:space="0" w:color="auto"/>
        <w:bottom w:val="none" w:sz="0" w:space="0" w:color="auto"/>
        <w:right w:val="none" w:sz="0" w:space="0" w:color="auto"/>
      </w:divBdr>
      <w:divsChild>
        <w:div w:id="873276476">
          <w:marLeft w:val="274"/>
          <w:marRight w:val="0"/>
          <w:marTop w:val="40"/>
          <w:marBottom w:val="40"/>
          <w:divBdr>
            <w:top w:val="none" w:sz="0" w:space="0" w:color="auto"/>
            <w:left w:val="none" w:sz="0" w:space="0" w:color="auto"/>
            <w:bottom w:val="none" w:sz="0" w:space="0" w:color="auto"/>
            <w:right w:val="none" w:sz="0" w:space="0" w:color="auto"/>
          </w:divBdr>
        </w:div>
        <w:div w:id="924923155">
          <w:marLeft w:val="274"/>
          <w:marRight w:val="0"/>
          <w:marTop w:val="40"/>
          <w:marBottom w:val="40"/>
          <w:divBdr>
            <w:top w:val="none" w:sz="0" w:space="0" w:color="auto"/>
            <w:left w:val="none" w:sz="0" w:space="0" w:color="auto"/>
            <w:bottom w:val="none" w:sz="0" w:space="0" w:color="auto"/>
            <w:right w:val="none" w:sz="0" w:space="0" w:color="auto"/>
          </w:divBdr>
        </w:div>
      </w:divsChild>
    </w:div>
    <w:div w:id="1179587500">
      <w:bodyDiv w:val="1"/>
      <w:marLeft w:val="0"/>
      <w:marRight w:val="0"/>
      <w:marTop w:val="0"/>
      <w:marBottom w:val="0"/>
      <w:divBdr>
        <w:top w:val="none" w:sz="0" w:space="0" w:color="auto"/>
        <w:left w:val="none" w:sz="0" w:space="0" w:color="auto"/>
        <w:bottom w:val="none" w:sz="0" w:space="0" w:color="auto"/>
        <w:right w:val="none" w:sz="0" w:space="0" w:color="auto"/>
      </w:divBdr>
    </w:div>
    <w:div w:id="1184048676">
      <w:bodyDiv w:val="1"/>
      <w:marLeft w:val="0"/>
      <w:marRight w:val="0"/>
      <w:marTop w:val="0"/>
      <w:marBottom w:val="0"/>
      <w:divBdr>
        <w:top w:val="none" w:sz="0" w:space="0" w:color="auto"/>
        <w:left w:val="none" w:sz="0" w:space="0" w:color="auto"/>
        <w:bottom w:val="none" w:sz="0" w:space="0" w:color="auto"/>
        <w:right w:val="none" w:sz="0" w:space="0" w:color="auto"/>
      </w:divBdr>
    </w:div>
    <w:div w:id="1185364173">
      <w:bodyDiv w:val="1"/>
      <w:marLeft w:val="0"/>
      <w:marRight w:val="0"/>
      <w:marTop w:val="0"/>
      <w:marBottom w:val="0"/>
      <w:divBdr>
        <w:top w:val="none" w:sz="0" w:space="0" w:color="auto"/>
        <w:left w:val="none" w:sz="0" w:space="0" w:color="auto"/>
        <w:bottom w:val="none" w:sz="0" w:space="0" w:color="auto"/>
        <w:right w:val="none" w:sz="0" w:space="0" w:color="auto"/>
      </w:divBdr>
    </w:div>
    <w:div w:id="1288777490">
      <w:bodyDiv w:val="1"/>
      <w:marLeft w:val="0"/>
      <w:marRight w:val="0"/>
      <w:marTop w:val="0"/>
      <w:marBottom w:val="0"/>
      <w:divBdr>
        <w:top w:val="none" w:sz="0" w:space="0" w:color="auto"/>
        <w:left w:val="none" w:sz="0" w:space="0" w:color="auto"/>
        <w:bottom w:val="none" w:sz="0" w:space="0" w:color="auto"/>
        <w:right w:val="none" w:sz="0" w:space="0" w:color="auto"/>
      </w:divBdr>
    </w:div>
    <w:div w:id="1311402923">
      <w:bodyDiv w:val="1"/>
      <w:marLeft w:val="0"/>
      <w:marRight w:val="0"/>
      <w:marTop w:val="0"/>
      <w:marBottom w:val="0"/>
      <w:divBdr>
        <w:top w:val="none" w:sz="0" w:space="0" w:color="auto"/>
        <w:left w:val="none" w:sz="0" w:space="0" w:color="auto"/>
        <w:bottom w:val="none" w:sz="0" w:space="0" w:color="auto"/>
        <w:right w:val="none" w:sz="0" w:space="0" w:color="auto"/>
      </w:divBdr>
      <w:divsChild>
        <w:div w:id="667371704">
          <w:marLeft w:val="274"/>
          <w:marRight w:val="0"/>
          <w:marTop w:val="40"/>
          <w:marBottom w:val="40"/>
          <w:divBdr>
            <w:top w:val="none" w:sz="0" w:space="0" w:color="auto"/>
            <w:left w:val="none" w:sz="0" w:space="0" w:color="auto"/>
            <w:bottom w:val="none" w:sz="0" w:space="0" w:color="auto"/>
            <w:right w:val="none" w:sz="0" w:space="0" w:color="auto"/>
          </w:divBdr>
        </w:div>
      </w:divsChild>
    </w:div>
    <w:div w:id="1339507472">
      <w:bodyDiv w:val="1"/>
      <w:marLeft w:val="0"/>
      <w:marRight w:val="0"/>
      <w:marTop w:val="0"/>
      <w:marBottom w:val="0"/>
      <w:divBdr>
        <w:top w:val="none" w:sz="0" w:space="0" w:color="auto"/>
        <w:left w:val="none" w:sz="0" w:space="0" w:color="auto"/>
        <w:bottom w:val="none" w:sz="0" w:space="0" w:color="auto"/>
        <w:right w:val="none" w:sz="0" w:space="0" w:color="auto"/>
      </w:divBdr>
    </w:div>
    <w:div w:id="1351682971">
      <w:bodyDiv w:val="1"/>
      <w:marLeft w:val="0"/>
      <w:marRight w:val="0"/>
      <w:marTop w:val="0"/>
      <w:marBottom w:val="0"/>
      <w:divBdr>
        <w:top w:val="none" w:sz="0" w:space="0" w:color="auto"/>
        <w:left w:val="none" w:sz="0" w:space="0" w:color="auto"/>
        <w:bottom w:val="none" w:sz="0" w:space="0" w:color="auto"/>
        <w:right w:val="none" w:sz="0" w:space="0" w:color="auto"/>
      </w:divBdr>
      <w:divsChild>
        <w:div w:id="1616406601">
          <w:marLeft w:val="274"/>
          <w:marRight w:val="0"/>
          <w:marTop w:val="40"/>
          <w:marBottom w:val="40"/>
          <w:divBdr>
            <w:top w:val="none" w:sz="0" w:space="0" w:color="auto"/>
            <w:left w:val="none" w:sz="0" w:space="0" w:color="auto"/>
            <w:bottom w:val="none" w:sz="0" w:space="0" w:color="auto"/>
            <w:right w:val="none" w:sz="0" w:space="0" w:color="auto"/>
          </w:divBdr>
        </w:div>
        <w:div w:id="1883134791">
          <w:marLeft w:val="274"/>
          <w:marRight w:val="0"/>
          <w:marTop w:val="40"/>
          <w:marBottom w:val="40"/>
          <w:divBdr>
            <w:top w:val="none" w:sz="0" w:space="0" w:color="auto"/>
            <w:left w:val="none" w:sz="0" w:space="0" w:color="auto"/>
            <w:bottom w:val="none" w:sz="0" w:space="0" w:color="auto"/>
            <w:right w:val="none" w:sz="0" w:space="0" w:color="auto"/>
          </w:divBdr>
        </w:div>
      </w:divsChild>
    </w:div>
    <w:div w:id="1403604261">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86046285">
      <w:bodyDiv w:val="1"/>
      <w:marLeft w:val="0"/>
      <w:marRight w:val="0"/>
      <w:marTop w:val="0"/>
      <w:marBottom w:val="0"/>
      <w:divBdr>
        <w:top w:val="none" w:sz="0" w:space="0" w:color="auto"/>
        <w:left w:val="none" w:sz="0" w:space="0" w:color="auto"/>
        <w:bottom w:val="none" w:sz="0" w:space="0" w:color="auto"/>
        <w:right w:val="none" w:sz="0" w:space="0" w:color="auto"/>
      </w:divBdr>
    </w:div>
    <w:div w:id="1561012498">
      <w:bodyDiv w:val="1"/>
      <w:marLeft w:val="0"/>
      <w:marRight w:val="0"/>
      <w:marTop w:val="0"/>
      <w:marBottom w:val="0"/>
      <w:divBdr>
        <w:top w:val="none" w:sz="0" w:space="0" w:color="auto"/>
        <w:left w:val="none" w:sz="0" w:space="0" w:color="auto"/>
        <w:bottom w:val="none" w:sz="0" w:space="0" w:color="auto"/>
        <w:right w:val="none" w:sz="0" w:space="0" w:color="auto"/>
      </w:divBdr>
    </w:div>
    <w:div w:id="1620601338">
      <w:bodyDiv w:val="1"/>
      <w:marLeft w:val="0"/>
      <w:marRight w:val="0"/>
      <w:marTop w:val="0"/>
      <w:marBottom w:val="0"/>
      <w:divBdr>
        <w:top w:val="none" w:sz="0" w:space="0" w:color="auto"/>
        <w:left w:val="none" w:sz="0" w:space="0" w:color="auto"/>
        <w:bottom w:val="none" w:sz="0" w:space="0" w:color="auto"/>
        <w:right w:val="none" w:sz="0" w:space="0" w:color="auto"/>
      </w:divBdr>
    </w:div>
    <w:div w:id="1630352880">
      <w:bodyDiv w:val="1"/>
      <w:marLeft w:val="0"/>
      <w:marRight w:val="0"/>
      <w:marTop w:val="0"/>
      <w:marBottom w:val="0"/>
      <w:divBdr>
        <w:top w:val="none" w:sz="0" w:space="0" w:color="auto"/>
        <w:left w:val="none" w:sz="0" w:space="0" w:color="auto"/>
        <w:bottom w:val="none" w:sz="0" w:space="0" w:color="auto"/>
        <w:right w:val="none" w:sz="0" w:space="0" w:color="auto"/>
      </w:divBdr>
    </w:div>
    <w:div w:id="1669863466">
      <w:bodyDiv w:val="1"/>
      <w:marLeft w:val="0"/>
      <w:marRight w:val="0"/>
      <w:marTop w:val="0"/>
      <w:marBottom w:val="0"/>
      <w:divBdr>
        <w:top w:val="none" w:sz="0" w:space="0" w:color="auto"/>
        <w:left w:val="none" w:sz="0" w:space="0" w:color="auto"/>
        <w:bottom w:val="none" w:sz="0" w:space="0" w:color="auto"/>
        <w:right w:val="none" w:sz="0" w:space="0" w:color="auto"/>
      </w:divBdr>
    </w:div>
    <w:div w:id="1702239266">
      <w:bodyDiv w:val="1"/>
      <w:marLeft w:val="0"/>
      <w:marRight w:val="0"/>
      <w:marTop w:val="0"/>
      <w:marBottom w:val="0"/>
      <w:divBdr>
        <w:top w:val="none" w:sz="0" w:space="0" w:color="auto"/>
        <w:left w:val="none" w:sz="0" w:space="0" w:color="auto"/>
        <w:bottom w:val="none" w:sz="0" w:space="0" w:color="auto"/>
        <w:right w:val="none" w:sz="0" w:space="0" w:color="auto"/>
      </w:divBdr>
    </w:div>
    <w:div w:id="1718356720">
      <w:bodyDiv w:val="1"/>
      <w:marLeft w:val="0"/>
      <w:marRight w:val="0"/>
      <w:marTop w:val="0"/>
      <w:marBottom w:val="0"/>
      <w:divBdr>
        <w:top w:val="none" w:sz="0" w:space="0" w:color="auto"/>
        <w:left w:val="none" w:sz="0" w:space="0" w:color="auto"/>
        <w:bottom w:val="none" w:sz="0" w:space="0" w:color="auto"/>
        <w:right w:val="none" w:sz="0" w:space="0" w:color="auto"/>
      </w:divBdr>
    </w:div>
    <w:div w:id="1742557806">
      <w:bodyDiv w:val="1"/>
      <w:marLeft w:val="0"/>
      <w:marRight w:val="0"/>
      <w:marTop w:val="0"/>
      <w:marBottom w:val="0"/>
      <w:divBdr>
        <w:top w:val="none" w:sz="0" w:space="0" w:color="auto"/>
        <w:left w:val="none" w:sz="0" w:space="0" w:color="auto"/>
        <w:bottom w:val="none" w:sz="0" w:space="0" w:color="auto"/>
        <w:right w:val="none" w:sz="0" w:space="0" w:color="auto"/>
      </w:divBdr>
    </w:div>
    <w:div w:id="174476497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06776232">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37842101">
      <w:bodyDiv w:val="1"/>
      <w:marLeft w:val="0"/>
      <w:marRight w:val="0"/>
      <w:marTop w:val="0"/>
      <w:marBottom w:val="0"/>
      <w:divBdr>
        <w:top w:val="none" w:sz="0" w:space="0" w:color="auto"/>
        <w:left w:val="none" w:sz="0" w:space="0" w:color="auto"/>
        <w:bottom w:val="none" w:sz="0" w:space="0" w:color="auto"/>
        <w:right w:val="none" w:sz="0" w:space="0" w:color="auto"/>
      </w:divBdr>
    </w:div>
    <w:div w:id="1854419077">
      <w:bodyDiv w:val="1"/>
      <w:marLeft w:val="0"/>
      <w:marRight w:val="0"/>
      <w:marTop w:val="0"/>
      <w:marBottom w:val="0"/>
      <w:divBdr>
        <w:top w:val="none" w:sz="0" w:space="0" w:color="auto"/>
        <w:left w:val="none" w:sz="0" w:space="0" w:color="auto"/>
        <w:bottom w:val="none" w:sz="0" w:space="0" w:color="auto"/>
        <w:right w:val="none" w:sz="0" w:space="0" w:color="auto"/>
      </w:divBdr>
    </w:div>
    <w:div w:id="1869830375">
      <w:bodyDiv w:val="1"/>
      <w:marLeft w:val="0"/>
      <w:marRight w:val="0"/>
      <w:marTop w:val="0"/>
      <w:marBottom w:val="0"/>
      <w:divBdr>
        <w:top w:val="none" w:sz="0" w:space="0" w:color="auto"/>
        <w:left w:val="none" w:sz="0" w:space="0" w:color="auto"/>
        <w:bottom w:val="none" w:sz="0" w:space="0" w:color="auto"/>
        <w:right w:val="none" w:sz="0" w:space="0" w:color="auto"/>
      </w:divBdr>
    </w:div>
    <w:div w:id="1904943169">
      <w:bodyDiv w:val="1"/>
      <w:marLeft w:val="0"/>
      <w:marRight w:val="0"/>
      <w:marTop w:val="0"/>
      <w:marBottom w:val="0"/>
      <w:divBdr>
        <w:top w:val="none" w:sz="0" w:space="0" w:color="auto"/>
        <w:left w:val="none" w:sz="0" w:space="0" w:color="auto"/>
        <w:bottom w:val="none" w:sz="0" w:space="0" w:color="auto"/>
        <w:right w:val="none" w:sz="0" w:space="0" w:color="auto"/>
      </w:divBdr>
    </w:div>
    <w:div w:id="1918588074">
      <w:bodyDiv w:val="1"/>
      <w:marLeft w:val="0"/>
      <w:marRight w:val="0"/>
      <w:marTop w:val="0"/>
      <w:marBottom w:val="0"/>
      <w:divBdr>
        <w:top w:val="none" w:sz="0" w:space="0" w:color="auto"/>
        <w:left w:val="none" w:sz="0" w:space="0" w:color="auto"/>
        <w:bottom w:val="none" w:sz="0" w:space="0" w:color="auto"/>
        <w:right w:val="none" w:sz="0" w:space="0" w:color="auto"/>
      </w:divBdr>
    </w:div>
    <w:div w:id="1932346436">
      <w:bodyDiv w:val="1"/>
      <w:marLeft w:val="0"/>
      <w:marRight w:val="0"/>
      <w:marTop w:val="0"/>
      <w:marBottom w:val="0"/>
      <w:divBdr>
        <w:top w:val="none" w:sz="0" w:space="0" w:color="auto"/>
        <w:left w:val="none" w:sz="0" w:space="0" w:color="auto"/>
        <w:bottom w:val="none" w:sz="0" w:space="0" w:color="auto"/>
        <w:right w:val="none" w:sz="0" w:space="0" w:color="auto"/>
      </w:divBdr>
    </w:div>
    <w:div w:id="1980105718">
      <w:bodyDiv w:val="1"/>
      <w:marLeft w:val="0"/>
      <w:marRight w:val="0"/>
      <w:marTop w:val="0"/>
      <w:marBottom w:val="0"/>
      <w:divBdr>
        <w:top w:val="none" w:sz="0" w:space="0" w:color="auto"/>
        <w:left w:val="none" w:sz="0" w:space="0" w:color="auto"/>
        <w:bottom w:val="none" w:sz="0" w:space="0" w:color="auto"/>
        <w:right w:val="none" w:sz="0" w:space="0" w:color="auto"/>
      </w:divBdr>
    </w:div>
    <w:div w:id="2003728050">
      <w:bodyDiv w:val="1"/>
      <w:marLeft w:val="0"/>
      <w:marRight w:val="0"/>
      <w:marTop w:val="0"/>
      <w:marBottom w:val="0"/>
      <w:divBdr>
        <w:top w:val="none" w:sz="0" w:space="0" w:color="auto"/>
        <w:left w:val="none" w:sz="0" w:space="0" w:color="auto"/>
        <w:bottom w:val="none" w:sz="0" w:space="0" w:color="auto"/>
        <w:right w:val="none" w:sz="0" w:space="0" w:color="auto"/>
      </w:divBdr>
    </w:div>
    <w:div w:id="2033413425">
      <w:bodyDiv w:val="1"/>
      <w:marLeft w:val="0"/>
      <w:marRight w:val="0"/>
      <w:marTop w:val="0"/>
      <w:marBottom w:val="0"/>
      <w:divBdr>
        <w:top w:val="none" w:sz="0" w:space="0" w:color="auto"/>
        <w:left w:val="none" w:sz="0" w:space="0" w:color="auto"/>
        <w:bottom w:val="none" w:sz="0" w:space="0" w:color="auto"/>
        <w:right w:val="none" w:sz="0" w:space="0" w:color="auto"/>
      </w:divBdr>
    </w:div>
    <w:div w:id="20687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au/resources/collections/covid-19-vaccination-patient-resources" TargetMode="External"/><Relationship Id="rId21" Type="http://schemas.openxmlformats.org/officeDocument/2006/relationships/hyperlink" Target="https://www.who.int/news/item/23-11-2022-nearly-40-million-children-are-dangerously-susceptible-to-growing-measles-threat" TargetMode="External"/><Relationship Id="rId42" Type="http://schemas.openxmlformats.org/officeDocument/2006/relationships/hyperlink" Target="https://www.health.gov.au/news/atagi-updated-recommendations-for-a-winter-dose-of-covid-19-vaccine" TargetMode="External"/><Relationship Id="rId47" Type="http://schemas.openxmlformats.org/officeDocument/2006/relationships/hyperlink" Target="https://www.tga.gov.au/news/media-releases/tga-provisionally-approves-pfizers-covid-19-vaccine-comirnaty-tozinameran-use-children-aged-6-months-less-5-years" TargetMode="External"/><Relationship Id="rId63" Type="http://schemas.openxmlformats.org/officeDocument/2006/relationships/hyperlink" Target="https://www.qld.gov.au/health/conditions/immunisation/free-influenza-vaccinations-2022" TargetMode="External"/><Relationship Id="rId68" Type="http://schemas.openxmlformats.org/officeDocument/2006/relationships/hyperlink" Target="https://www.health.vic.gov.au/immunisation/victorian-pharmacist-administered-vaccination-program-guidelines" TargetMode="External"/><Relationship Id="rId84" Type="http://schemas.openxmlformats.org/officeDocument/2006/relationships/footer" Target="footer2.xml"/><Relationship Id="rId16" Type="http://schemas.openxmlformats.org/officeDocument/2006/relationships/hyperlink" Target="https://www.health.gov.au/health-alerts/japanese-encephalitis-virus-jev/clinical-guidance" TargetMode="External"/><Relationship Id="rId11" Type="http://schemas.openxmlformats.org/officeDocument/2006/relationships/hyperlink" Target="https://www.health.gov.au/committees-and-groups/australian-technical-advisory-group-on-immunisation-atagi" TargetMode="External"/><Relationship Id="rId32" Type="http://schemas.openxmlformats.org/officeDocument/2006/relationships/hyperlink" Target="https://www.tga.gov.au/news/media-releases/modernas-covid-19-vaccine-spikevax-provisionally-approved-use-individuals-6-years-and-older" TargetMode="External"/><Relationship Id="rId37" Type="http://schemas.openxmlformats.org/officeDocument/2006/relationships/hyperlink" Target="https://www.health.gov.au/news/expanded-atagi-recommendations-on-winter-covid-19-booster-doses-for-people-at-increased-risk-of-severe-covid-19" TargetMode="External"/><Relationship Id="rId53" Type="http://schemas.openxmlformats.org/officeDocument/2006/relationships/hyperlink" Target="https://www.health.gov.au/news/atagi-recommendations-on-use-of-the-pfizer-covid-19-vaccine-for-children-aged-6-months-to-4-years" TargetMode="External"/><Relationship Id="rId58" Type="http://schemas.openxmlformats.org/officeDocument/2006/relationships/hyperlink" Target="https://www.health.gov.au/our-work/covid-19-vaccine-claims-scheme" TargetMode="External"/><Relationship Id="rId74" Type="http://schemas.openxmlformats.org/officeDocument/2006/relationships/hyperlink" Target="https://www.tga.gov.au/reporting-problems" TargetMode="External"/><Relationship Id="rId79" Type="http://schemas.openxmlformats.org/officeDocument/2006/relationships/hyperlink" Target="https://ausvaxsafety.org.au/vaccine-safety-data/monkeypox-vaccine" TargetMode="External"/><Relationship Id="rId5" Type="http://schemas.openxmlformats.org/officeDocument/2006/relationships/numbering" Target="numbering.xml"/><Relationship Id="rId19" Type="http://schemas.openxmlformats.org/officeDocument/2006/relationships/hyperlink" Target="https://www.health.gov.au/resources/publications/atagi-clinical-guidance-on-vaccination-against-monkeypox" TargetMode="External"/><Relationship Id="rId14" Type="http://schemas.openxmlformats.org/officeDocument/2006/relationships/hyperlink" Target="mailto:copyright@health.gov.au" TargetMode="External"/><Relationship Id="rId22" Type="http://schemas.openxmlformats.org/officeDocument/2006/relationships/image" Target="media/image1.png"/><Relationship Id="rId27" Type="http://schemas.openxmlformats.org/officeDocument/2006/relationships/hyperlink" Target="https://www.tga.gov.au/news/media-releases/tga-provisionally-approves-novavax-biocelect-pty-ltds-covid-19-vaccine-nuvaxovid" TargetMode="External"/><Relationship Id="rId30" Type="http://schemas.openxmlformats.org/officeDocument/2006/relationships/hyperlink" Target="https://www.health.gov.au/news/atagi-statement-on-the-use-of-novavax-covid-19-vaccine-nuvaxovid" TargetMode="External"/><Relationship Id="rId35" Type="http://schemas.openxmlformats.org/officeDocument/2006/relationships/hyperlink" Target="https://www.health.gov.au/news/atagi-statement-on-recommendations-on-a-winter-booster-dose-of-covid-19-vaccine" TargetMode="External"/><Relationship Id="rId43" Type="http://schemas.openxmlformats.org/officeDocument/2006/relationships/hyperlink" Target="https://www.tga.gov.au/news/media-releases/tga-provisionally-approves-moderna-bivalent-covid-19-vaccine-use-booster-dose-adults" TargetMode="External"/><Relationship Id="rId48" Type="http://schemas.openxmlformats.org/officeDocument/2006/relationships/hyperlink" Target="https://www.health.gov.au/news/atagi-statement-on-use-of-the-moderna-bivalent-originalomicron-vaccine" TargetMode="External"/><Relationship Id="rId56" Type="http://schemas.openxmlformats.org/officeDocument/2006/relationships/hyperlink" Target="https://ausvaxsafety.org.au/safety-data/covid-19-vaccines" TargetMode="External"/><Relationship Id="rId64" Type="http://schemas.openxmlformats.org/officeDocument/2006/relationships/hyperlink" Target="https://www.wa.gov.au/government/announcements/free-flu-vaccines-remain-available-all-western-australians-july" TargetMode="External"/><Relationship Id="rId69" Type="http://schemas.openxmlformats.org/officeDocument/2006/relationships/hyperlink" Target="https://www.health.nsw.gov.au/immunisation/Pages/pharmacist-vaccination-expansion.aspx" TargetMode="External"/><Relationship Id="rId77" Type="http://schemas.openxmlformats.org/officeDocument/2006/relationships/hyperlink" Target="https://www.tandfonline.com/doi/full/10.1080/21645515.2021.2020573" TargetMode="External"/><Relationship Id="rId8" Type="http://schemas.openxmlformats.org/officeDocument/2006/relationships/webSettings" Target="webSettings.xml"/><Relationship Id="rId51" Type="http://schemas.openxmlformats.org/officeDocument/2006/relationships/hyperlink" Target="https://www.health.gov.au/news/atagi-recommendations-for-a-booster-dose-of-the-paediatric-pfizer-covid-19-vaccine-in-children-aged-5-to-11-years" TargetMode="External"/><Relationship Id="rId72" Type="http://schemas.openxmlformats.org/officeDocument/2006/relationships/hyperlink" Target="https://immunisationhandbook.health.gov.au/contents/vaccine-preventable-diseases/tuberculosis" TargetMode="External"/><Relationship Id="rId80" Type="http://schemas.openxmlformats.org/officeDocument/2006/relationships/hyperlink" Target="https://www.health.gov.au/resources/collections/operation-covid-shield-covid-19-vaccine-sentiment-summaries"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health.gov.au/resources/publications/atagi-strategic-intent" TargetMode="External"/><Relationship Id="rId17" Type="http://schemas.openxmlformats.org/officeDocument/2006/relationships/hyperlink" Target="https://www.who.int/emergencies/disease-outbreak-news/item/2022-DON385" TargetMode="External"/><Relationship Id="rId25" Type="http://schemas.openxmlformats.org/officeDocument/2006/relationships/hyperlink" Target="https://www.health.gov.au/our-work/covid-19-vaccines/advice-for-providers/resources" TargetMode="External"/><Relationship Id="rId33" Type="http://schemas.openxmlformats.org/officeDocument/2006/relationships/hyperlink" Target="https://www.health.gov.au/news/atagi-recommendations-for-use-of-pfizer-covid-19-vaccine-as-a-booster-dose-in-adolescents-aged-16-17-years" TargetMode="External"/><Relationship Id="rId38" Type="http://schemas.openxmlformats.org/officeDocument/2006/relationships/hyperlink" Target="https://www.tga.gov.au/products/covid-19/covid-19-vaccines/covid-19-vaccine-provisional-registrations" TargetMode="External"/><Relationship Id="rId46" Type="http://schemas.openxmlformats.org/officeDocument/2006/relationships/hyperlink" Target="https://www.tga.gov.au/news/media-releases/tga-provisionally-approves-pfizers-covid-19-vaccine-comirnaty-tozinameran-use-booster-dose-individuals-5-years-and-older" TargetMode="External"/><Relationship Id="rId59" Type="http://schemas.openxmlformats.org/officeDocument/2006/relationships/hyperlink" Target="https://www.health.gov.au/resources/publications/aisr-2022-national-influenza-season-summary" TargetMode="External"/><Relationship Id="rId67" Type="http://schemas.openxmlformats.org/officeDocument/2006/relationships/hyperlink" Target="https://www.health.gov.au/resources/publications/covid-19-vaccine-rollout-update-22-december-2022?language=en" TargetMode="External"/><Relationship Id="rId20" Type="http://schemas.openxmlformats.org/officeDocument/2006/relationships/hyperlink" Target="https://polioeradication.org/where-we-work/polio-outbreak-countries/" TargetMode="External"/><Relationship Id="rId41" Type="http://schemas.openxmlformats.org/officeDocument/2006/relationships/hyperlink" Target="https://www.tga.gov.au/news/media-releases/tga-provisionally-approves-moderna-covid-19-vaccine-spikevax-use-children-6-months" TargetMode="External"/><Relationship Id="rId54" Type="http://schemas.openxmlformats.org/officeDocument/2006/relationships/hyperlink" Target="https://www.health.gov.au/our-work/covid-19-vaccines/advice-for-providers/clinical-guidance" TargetMode="External"/><Relationship Id="rId62" Type="http://schemas.openxmlformats.org/officeDocument/2006/relationships/hyperlink" Target="https://www.health.vic.gov.au/news/free-flu-vaccinations-for-all-victorians" TargetMode="External"/><Relationship Id="rId70" Type="http://schemas.openxmlformats.org/officeDocument/2006/relationships/hyperlink" Target="https://immunisationhandbook.health.gov.au/contents/vaccine-preventable-diseases/zoster-herpes-zoster" TargetMode="External"/><Relationship Id="rId75" Type="http://schemas.openxmlformats.org/officeDocument/2006/relationships/hyperlink" Target="https://www.ausvaxsafety.org.au/"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news/japanese-encephalitis-virus-situation-declared-a-communicable-disease-incident-of-national-significance?language=en" TargetMode="External"/><Relationship Id="rId23" Type="http://schemas.openxmlformats.org/officeDocument/2006/relationships/hyperlink" Target="https://www.health.gov.au/health-alerts/covid-19/case-numbers-and-statistics" TargetMode="External"/><Relationship Id="rId28" Type="http://schemas.openxmlformats.org/officeDocument/2006/relationships/hyperlink" Target="https://www.tga.gov.au/news/media-releases/pfizers-covid-19-vaccine-comirnaty-provisionally-approved-use-booster-individuals-aged-16-17-years-old" TargetMode="External"/><Relationship Id="rId36" Type="http://schemas.openxmlformats.org/officeDocument/2006/relationships/hyperlink" Target="https://www.tga.gov.au/news/media-releases/tga-provisionally-approves-pfizers-covid-19-vaccine-comirnaty-use-booster-individual-aged-12-15-years-old" TargetMode="External"/><Relationship Id="rId49" Type="http://schemas.openxmlformats.org/officeDocument/2006/relationships/hyperlink" Target="https://www.tga.gov.au/news/media-releases/tga-provisionally-approves-pfizer-bivalent-covid-19-vaccine-use-booster-dose-adults" TargetMode="External"/><Relationship Id="rId57" Type="http://schemas.openxmlformats.org/officeDocument/2006/relationships/hyperlink" Target="https://www.health.gov.au/resources/publications/covid-19-vaccination-guidance-on-myocarditis-and-pericarditis-after-covid-19-vaccines" TargetMode="External"/><Relationship Id="rId10" Type="http://schemas.openxmlformats.org/officeDocument/2006/relationships/endnotes" Target="endnotes.xml"/><Relationship Id="rId31" Type="http://schemas.openxmlformats.org/officeDocument/2006/relationships/hyperlink" Target="https://www.tga.gov.au/news/media-releases/tga-provisionally-approves-astrazenecas-covid-19-vaccine-booster-dose" TargetMode="External"/><Relationship Id="rId44" Type="http://schemas.openxmlformats.org/officeDocument/2006/relationships/hyperlink" Target="https://www.health.gov.au/news/atagi-recommendations-on-covid-19-vaccine-use-in-children-aged-6-months-to" TargetMode="External"/><Relationship Id="rId52" Type="http://schemas.openxmlformats.org/officeDocument/2006/relationships/hyperlink" Target="https://www.health.gov.au/news/atagi-recommendations-on-use-of-the-pfizer-bivalent-originalomicron-ba1-covid-19-vaccine" TargetMode="External"/><Relationship Id="rId60" Type="http://schemas.openxmlformats.org/officeDocument/2006/relationships/hyperlink" Target="https://www1.health.gov.au/internet/main/publishing.nsf/Content/cda-pubs-cdi-2000-cdi2406-cdi2406f.htm" TargetMode="External"/><Relationship Id="rId65" Type="http://schemas.openxmlformats.org/officeDocument/2006/relationships/hyperlink" Target="https://www.premier.sa.gov.au/media-releases/news-items-2022/south-australians-urged-to-keep-rolling-up-their-sleeves-for-a-free-flu-shot" TargetMode="External"/><Relationship Id="rId73" Type="http://schemas.openxmlformats.org/officeDocument/2006/relationships/hyperlink" Target="https://immunisationhandbook.health.gov.au/vaccination-for-special-risk-groups" TargetMode="External"/><Relationship Id="rId78" Type="http://schemas.openxmlformats.org/officeDocument/2006/relationships/hyperlink" Target="https://www.smartvax.com.au/" TargetMode="External"/><Relationship Id="rId81" Type="http://schemas.openxmlformats.org/officeDocument/2006/relationships/hyperlink" Target="https://immunisationhandbook.health.gov.au/"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munisationhandbook.health.gov.au/" TargetMode="External"/><Relationship Id="rId18" Type="http://schemas.openxmlformats.org/officeDocument/2006/relationships/hyperlink" Target="https://www.health.gov.au/news/chief-medical-officers-statement-declaring-monkeypox-a-communicable-disease-incident-of-national-significance?language=en" TargetMode="External"/><Relationship Id="rId39" Type="http://schemas.openxmlformats.org/officeDocument/2006/relationships/hyperlink" Target="https://www.health.gov.au/news/atagi-recommendations-on-first-booster-dose-in-adolescents-aged-12-15-years" TargetMode="External"/><Relationship Id="rId34" Type="http://schemas.openxmlformats.org/officeDocument/2006/relationships/hyperlink" Target="https://www.health.gov.au/news/atagi-recommendations-on-the-use-of-spikevax-moderna-covid-19-vaccine-in-children-aged-6-to-11-years" TargetMode="External"/><Relationship Id="rId50" Type="http://schemas.openxmlformats.org/officeDocument/2006/relationships/hyperlink" Target="https://www.tga.gov.au/news/media-releases/tga-provisionally-approves-modernas-covid-19-vaccine-use-booster-dose-individuals-12-years-and-older" TargetMode="External"/><Relationship Id="rId55" Type="http://schemas.openxmlformats.org/officeDocument/2006/relationships/hyperlink" Target="https://www.tga.gov.au/resources/article?f%5B0%5D=published%3A2022&amp;f%5B1%5D=type%3A189" TargetMode="External"/><Relationship Id="rId76" Type="http://schemas.openxmlformats.org/officeDocument/2006/relationships/hyperlink" Target="https://ausvaxsafety.org.au/safety-data/influenza-vaccine" TargetMode="External"/><Relationship Id="rId7" Type="http://schemas.openxmlformats.org/officeDocument/2006/relationships/settings" Target="settings.xml"/><Relationship Id="rId71" Type="http://schemas.openxmlformats.org/officeDocument/2006/relationships/hyperlink" Target="https://immunisationhandbook.health.gov.au/contents/vaccine-preventable-diseases/meningococcal-disease" TargetMode="External"/><Relationship Id="rId2" Type="http://schemas.openxmlformats.org/officeDocument/2006/relationships/customXml" Target="../customXml/item2.xml"/><Relationship Id="rId29" Type="http://schemas.openxmlformats.org/officeDocument/2006/relationships/hyperlink" Target="https://www.health.gov.au/news/atagi-update-following-weekly-covid-19-meeting-12-january-2022?language=en" TargetMode="External"/><Relationship Id="rId24" Type="http://schemas.openxmlformats.org/officeDocument/2006/relationships/hyperlink" Target="https://www.health.gov.au/our-work/covid-19-vaccines/advice-for-providers/clinical-guidance" TargetMode="External"/><Relationship Id="rId40" Type="http://schemas.openxmlformats.org/officeDocument/2006/relationships/hyperlink" Target="https://www.tga.gov.au/news/media-releases/tga-provisionally-approves-biocelect-pty-ltd-novavax-covid-19-vaccine-nuvaxovid-use-individuals-aged-12-17-years" TargetMode="External"/><Relationship Id="rId45" Type="http://schemas.openxmlformats.org/officeDocument/2006/relationships/hyperlink" Target="https://www.health.gov.au/news/novavax-vaccine-for-adolescents-aged-12-17-years" TargetMode="External"/><Relationship Id="rId66" Type="http://schemas.openxmlformats.org/officeDocument/2006/relationships/hyperlink" Target="https://www.premier.tas.gov.au/site_resources_2015/additional_releases/free_flu_vaccine_program_extended" TargetMode="External"/><Relationship Id="rId87" Type="http://schemas.openxmlformats.org/officeDocument/2006/relationships/theme" Target="theme/theme1.xml"/><Relationship Id="rId61" Type="http://schemas.openxmlformats.org/officeDocument/2006/relationships/hyperlink" Target="https://www.health.nsw.gov.au/news/Pages/20220630_00.aspx"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38b4c2-fefe-455e-8c18-c742153daeba" xsi:nil="true"/>
    <lcf76f155ced4ddcb4097134ff3c332f xmlns="94d44d9d-fdcf-40ea-9ec9-5f834f6d2f8e">
      <Terms xmlns="http://schemas.microsoft.com/office/infopath/2007/PartnerControls"/>
    </lcf76f155ced4ddcb4097134ff3c332f>
    <_x0031_strvdone xmlns="94d44d9d-fdcf-40ea-9ec9-5f834f6d2f8e">false</_x0031_strvdone>
    <_x0031_streviewer xmlns="94d44d9d-fdcf-40ea-9ec9-5f834f6d2f8e">
      <UserInfo>
        <DisplayName/>
        <AccountId xsi:nil="true"/>
        <AccountType/>
      </UserInfo>
    </_x0031_streview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F8ACAD2397F549A09E5DC1A69C41E4" ma:contentTypeVersion="16" ma:contentTypeDescription="Create a new document." ma:contentTypeScope="" ma:versionID="282071dd1aba9e5b972c505e0b3f1801">
  <xsd:schema xmlns:xsd="http://www.w3.org/2001/XMLSchema" xmlns:xs="http://www.w3.org/2001/XMLSchema" xmlns:p="http://schemas.microsoft.com/office/2006/metadata/properties" xmlns:ns2="94d44d9d-fdcf-40ea-9ec9-5f834f6d2f8e" xmlns:ns3="5d38b4c2-fefe-455e-8c18-c742153daeba" targetNamespace="http://schemas.microsoft.com/office/2006/metadata/properties" ma:root="true" ma:fieldsID="5035f2f1177ce5fe2c14119600e1d2b4" ns2:_="" ns3:_="">
    <xsd:import namespace="94d44d9d-fdcf-40ea-9ec9-5f834f6d2f8e"/>
    <xsd:import namespace="5d38b4c2-fefe-455e-8c18-c742153dae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x0031_streviewer" minOccurs="0"/>
                <xsd:element ref="ns2:_x0031_strv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44d9d-fdcf-40ea-9ec9-5f834f6d2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x0031_streviewer" ma:index="22" nillable="true" ma:displayName="1st reviewer" ma:description="Person assigned to review" ma:format="Dropdown" ma:list="UserInfo" ma:SharePointGroup="0" ma:internalName="_x0031_st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1_strvdone" ma:index="23" nillable="true" ma:displayName="1st rv done" ma:default="0" ma:format="RadioButtons" ma:internalName="_x0031_strvdo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38b4c2-fefe-455e-8c18-c742153dae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1dc8ac-16f9-4f3d-bdaa-168c3a52b8a5}" ma:internalName="TaxCatchAll" ma:showField="CatchAllData" ma:web="5d38b4c2-fefe-455e-8c18-c742153dae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1A676-94FB-4B89-8FAB-D93CED5FC2A5}">
  <ds:schemaRefs>
    <ds:schemaRef ds:uri="http://schemas.microsoft.com/sharepoint/v3/contenttype/forms"/>
  </ds:schemaRefs>
</ds:datastoreItem>
</file>

<file path=customXml/itemProps2.xml><?xml version="1.0" encoding="utf-8"?>
<ds:datastoreItem xmlns:ds="http://schemas.openxmlformats.org/officeDocument/2006/customXml" ds:itemID="{9CFE1E73-8672-4FB9-B2D2-8507A3AD1358}">
  <ds:schemaRefs>
    <ds:schemaRef ds:uri="http://schemas.openxmlformats.org/officeDocument/2006/bibliography"/>
  </ds:schemaRefs>
</ds:datastoreItem>
</file>

<file path=customXml/itemProps3.xml><?xml version="1.0" encoding="utf-8"?>
<ds:datastoreItem xmlns:ds="http://schemas.openxmlformats.org/officeDocument/2006/customXml" ds:itemID="{D4B09430-34B8-4BA8-84E0-28C6F185B543}">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94d44d9d-fdcf-40ea-9ec9-5f834f6d2f8e"/>
    <ds:schemaRef ds:uri="5d38b4c2-fefe-455e-8c18-c742153daeba"/>
    <ds:schemaRef ds:uri="http://purl.org/dc/terms/"/>
  </ds:schemaRefs>
</ds:datastoreItem>
</file>

<file path=customXml/itemProps4.xml><?xml version="1.0" encoding="utf-8"?>
<ds:datastoreItem xmlns:ds="http://schemas.openxmlformats.org/officeDocument/2006/customXml" ds:itemID="{D0FE6073-B0C2-4E9E-A4FB-C561DEA5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44d9d-fdcf-40ea-9ec9-5f834f6d2f8e"/>
    <ds:schemaRef ds:uri="5d38b4c2-fefe-455e-8c18-c742153da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5484</Words>
  <Characters>39356</Characters>
  <Application>Microsoft Office Word</Application>
  <DocSecurity>0</DocSecurity>
  <Lines>327</Lines>
  <Paragraphs>89</Paragraphs>
  <ScaleCrop>false</ScaleCrop>
  <HeadingPairs>
    <vt:vector size="2" baseType="variant">
      <vt:variant>
        <vt:lpstr>Title</vt:lpstr>
      </vt:variant>
      <vt:variant>
        <vt:i4>1</vt:i4>
      </vt:variant>
    </vt:vector>
  </HeadingPairs>
  <TitlesOfParts>
    <vt:vector size="1" baseType="lpstr">
      <vt:lpstr>ATAGI 2023 annual statement on immunisation</vt:lpstr>
    </vt:vector>
  </TitlesOfParts>
  <Company>dpplus</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2023 annual statement on immunisation</dc:title>
  <dc:subject/>
  <dc:creator>Australian Government Department of Health and Aged Care</dc:creator>
  <cp:keywords>Immunisation</cp:keywords>
  <dc:description/>
  <cp:lastModifiedBy>Biotext</cp:lastModifiedBy>
  <cp:revision>5</cp:revision>
  <cp:lastPrinted>2012-11-10T14:35:00Z</cp:lastPrinted>
  <dcterms:created xsi:type="dcterms:W3CDTF">2023-04-03T01:30:00Z</dcterms:created>
  <dcterms:modified xsi:type="dcterms:W3CDTF">2023-04-04T04:04:00Z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0x010100D0F8ACAD2397F549A09E5DC1A69C41E4</vt:lpwstr>
  </property>
  <property fmtid="{D5CDD505-2E9C-101B-9397-08002B2CF9AE}" pid="3" name="MediaServiceImageTags">
    <vt:lpwstr/>
  </property>
</Properties>
</file>