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A9C55" w14:textId="1C1DD919" w:rsidR="002B3EE7" w:rsidRPr="00214382" w:rsidRDefault="002B3EE7" w:rsidP="00214382">
      <w:pPr>
        <w:pStyle w:val="PartHeading-TOC"/>
      </w:pPr>
      <w:bookmarkStart w:id="0" w:name="_GoBack"/>
      <w:bookmarkEnd w:id="0"/>
      <w:r w:rsidRPr="00214382">
        <w:t>National Health and Medical Research Council</w:t>
      </w:r>
    </w:p>
    <w:p w14:paraId="46BC6110" w14:textId="1831C485" w:rsidR="00913388" w:rsidRPr="00214382" w:rsidRDefault="00913388" w:rsidP="00214382">
      <w:pPr>
        <w:pStyle w:val="PartHeading-TOC"/>
      </w:pPr>
      <w:r w:rsidRPr="00214382">
        <w:t xml:space="preserve">Entity </w:t>
      </w:r>
      <w:r w:rsidR="00896C9C">
        <w:t>r</w:t>
      </w:r>
      <w:r w:rsidRPr="00214382">
        <w:t xml:space="preserve">esources and </w:t>
      </w:r>
      <w:r w:rsidR="00896C9C">
        <w:t>p</w:t>
      </w:r>
      <w:r w:rsidRPr="00214382">
        <w:t>lanned </w:t>
      </w:r>
      <w:r w:rsidR="00896C9C">
        <w:t>p</w:t>
      </w:r>
      <w:r w:rsidRPr="00214382">
        <w:t>erformance</w:t>
      </w:r>
    </w:p>
    <w:p w14:paraId="43E48A24" w14:textId="77777777" w:rsidR="00913388" w:rsidRPr="005407C4" w:rsidRDefault="00913388" w:rsidP="00913388">
      <w:pPr>
        <w:rPr>
          <w:color w:val="000000" w:themeColor="text1"/>
        </w:rPr>
      </w:pPr>
      <w:r w:rsidRPr="005407C4">
        <w:rPr>
          <w:color w:val="000000" w:themeColor="text1"/>
        </w:rPr>
        <w:br w:type="page"/>
      </w:r>
    </w:p>
    <w:p w14:paraId="31944D10" w14:textId="77777777" w:rsidR="00913388" w:rsidRPr="005407C4" w:rsidRDefault="00913388" w:rsidP="00913388">
      <w:pPr>
        <w:rPr>
          <w:color w:val="000000" w:themeColor="text1"/>
        </w:rPr>
      </w:pPr>
    </w:p>
    <w:p w14:paraId="215D2B51" w14:textId="77777777" w:rsidR="00913388" w:rsidRPr="005407C4" w:rsidRDefault="00913388">
      <w:pPr>
        <w:rPr>
          <w:color w:val="000000" w:themeColor="text1"/>
        </w:rPr>
        <w:sectPr w:rsidR="00913388" w:rsidRPr="005407C4" w:rsidSect="0077542C">
          <w:headerReference w:type="default" r:id="rId8"/>
          <w:footerReference w:type="even" r:id="rId9"/>
          <w:footerReference w:type="default" r:id="rId10"/>
          <w:pgSz w:w="11906" w:h="16838"/>
          <w:pgMar w:top="7053" w:right="2268" w:bottom="2126" w:left="2268" w:header="1899" w:footer="1899" w:gutter="0"/>
          <w:pgNumType w:start="359"/>
          <w:cols w:space="708"/>
          <w:docGrid w:linePitch="360"/>
        </w:sectPr>
      </w:pPr>
    </w:p>
    <w:p w14:paraId="0E53875D" w14:textId="43888C63" w:rsidR="002B3EE7" w:rsidRDefault="002B3EE7" w:rsidP="009647A8">
      <w:pPr>
        <w:pStyle w:val="Heading1"/>
      </w:pPr>
      <w:r w:rsidRPr="005407C4">
        <w:lastRenderedPageBreak/>
        <w:t>National Health and Medical Research Council</w:t>
      </w:r>
    </w:p>
    <w:p w14:paraId="136E39EA" w14:textId="511A6654" w:rsidR="00076C36" w:rsidRDefault="00913388">
      <w:pPr>
        <w:pStyle w:val="TOC1"/>
        <w:rPr>
          <w:rFonts w:asciiTheme="minorHAnsi" w:eastAsiaTheme="minorEastAsia" w:hAnsiTheme="minorHAnsi" w:cstheme="minorBidi"/>
          <w:b w:val="0"/>
          <w:color w:val="auto"/>
          <w:sz w:val="22"/>
          <w:szCs w:val="22"/>
        </w:rPr>
      </w:pPr>
      <w:r w:rsidRPr="005407C4">
        <w:rPr>
          <w:rFonts w:ascii="Arial" w:hAnsi="Arial" w:cs="Arial"/>
          <w:color w:val="000000" w:themeColor="text1"/>
        </w:rPr>
        <w:fldChar w:fldCharType="begin"/>
      </w:r>
      <w:r w:rsidRPr="005407C4">
        <w:rPr>
          <w:rFonts w:ascii="Arial" w:hAnsi="Arial" w:cs="Arial"/>
          <w:color w:val="000000" w:themeColor="text1"/>
        </w:rPr>
        <w:instrText xml:space="preserve"> TOC \h \z \t "Heading 2,1,Heading 3,2" </w:instrText>
      </w:r>
      <w:r w:rsidRPr="005407C4">
        <w:rPr>
          <w:rFonts w:ascii="Arial" w:hAnsi="Arial" w:cs="Arial"/>
          <w:color w:val="000000" w:themeColor="text1"/>
        </w:rPr>
        <w:fldChar w:fldCharType="separate"/>
      </w:r>
      <w:hyperlink w:anchor="_Toc117407528" w:history="1">
        <w:r w:rsidR="00076C36" w:rsidRPr="008A0971">
          <w:rPr>
            <w:rStyle w:val="Hyperlink"/>
          </w:rPr>
          <w:t>Section 1: Entity overview and resources</w:t>
        </w:r>
        <w:r w:rsidR="00076C36">
          <w:rPr>
            <w:webHidden/>
          </w:rPr>
          <w:tab/>
        </w:r>
        <w:r w:rsidR="00076C36">
          <w:rPr>
            <w:webHidden/>
          </w:rPr>
          <w:fldChar w:fldCharType="begin"/>
        </w:r>
        <w:r w:rsidR="00076C36">
          <w:rPr>
            <w:webHidden/>
          </w:rPr>
          <w:instrText xml:space="preserve"> PAGEREF _Toc117407528 \h </w:instrText>
        </w:r>
        <w:r w:rsidR="00076C36">
          <w:rPr>
            <w:webHidden/>
          </w:rPr>
        </w:r>
        <w:r w:rsidR="00076C36">
          <w:rPr>
            <w:webHidden/>
          </w:rPr>
          <w:fldChar w:fldCharType="separate"/>
        </w:r>
        <w:r w:rsidR="00353F7F">
          <w:rPr>
            <w:webHidden/>
          </w:rPr>
          <w:t>362</w:t>
        </w:r>
        <w:r w:rsidR="00076C36">
          <w:rPr>
            <w:webHidden/>
          </w:rPr>
          <w:fldChar w:fldCharType="end"/>
        </w:r>
      </w:hyperlink>
    </w:p>
    <w:p w14:paraId="06B08E64" w14:textId="42CDEEFB" w:rsidR="00076C36" w:rsidRDefault="008C077A">
      <w:pPr>
        <w:pStyle w:val="TOC2"/>
        <w:rPr>
          <w:rFonts w:asciiTheme="minorHAnsi" w:eastAsiaTheme="minorEastAsia" w:hAnsiTheme="minorHAnsi" w:cstheme="minorBidi"/>
          <w:noProof/>
          <w:color w:val="auto"/>
          <w:sz w:val="22"/>
          <w:szCs w:val="22"/>
        </w:rPr>
      </w:pPr>
      <w:hyperlink w:anchor="_Toc117407529" w:history="1">
        <w:r w:rsidR="00076C36" w:rsidRPr="008A0971">
          <w:rPr>
            <w:rStyle w:val="Hyperlink"/>
            <w:noProof/>
          </w:rPr>
          <w:t>1.1</w:t>
        </w:r>
        <w:r w:rsidR="00076C36">
          <w:rPr>
            <w:rFonts w:asciiTheme="minorHAnsi" w:eastAsiaTheme="minorEastAsia" w:hAnsiTheme="minorHAnsi" w:cstheme="minorBidi"/>
            <w:noProof/>
            <w:color w:val="auto"/>
            <w:sz w:val="22"/>
            <w:szCs w:val="22"/>
          </w:rPr>
          <w:tab/>
        </w:r>
        <w:r w:rsidR="00076C36" w:rsidRPr="008A0971">
          <w:rPr>
            <w:rStyle w:val="Hyperlink"/>
            <w:noProof/>
          </w:rPr>
          <w:t>Strategic Direction Statement</w:t>
        </w:r>
        <w:r w:rsidR="00076C36">
          <w:rPr>
            <w:noProof/>
            <w:webHidden/>
          </w:rPr>
          <w:tab/>
        </w:r>
        <w:r w:rsidR="00076C36">
          <w:rPr>
            <w:noProof/>
            <w:webHidden/>
          </w:rPr>
          <w:fldChar w:fldCharType="begin"/>
        </w:r>
        <w:r w:rsidR="00076C36">
          <w:rPr>
            <w:noProof/>
            <w:webHidden/>
          </w:rPr>
          <w:instrText xml:space="preserve"> PAGEREF _Toc117407529 \h </w:instrText>
        </w:r>
        <w:r w:rsidR="00076C36">
          <w:rPr>
            <w:noProof/>
            <w:webHidden/>
          </w:rPr>
        </w:r>
        <w:r w:rsidR="00076C36">
          <w:rPr>
            <w:noProof/>
            <w:webHidden/>
          </w:rPr>
          <w:fldChar w:fldCharType="separate"/>
        </w:r>
        <w:r w:rsidR="00353F7F">
          <w:rPr>
            <w:noProof/>
            <w:webHidden/>
          </w:rPr>
          <w:t>362</w:t>
        </w:r>
        <w:r w:rsidR="00076C36">
          <w:rPr>
            <w:noProof/>
            <w:webHidden/>
          </w:rPr>
          <w:fldChar w:fldCharType="end"/>
        </w:r>
      </w:hyperlink>
    </w:p>
    <w:p w14:paraId="3E5357A3" w14:textId="4D2B55DD" w:rsidR="00076C36" w:rsidRDefault="008C077A">
      <w:pPr>
        <w:pStyle w:val="TOC2"/>
        <w:rPr>
          <w:rFonts w:asciiTheme="minorHAnsi" w:eastAsiaTheme="minorEastAsia" w:hAnsiTheme="minorHAnsi" w:cstheme="minorBidi"/>
          <w:noProof/>
          <w:color w:val="auto"/>
          <w:sz w:val="22"/>
          <w:szCs w:val="22"/>
        </w:rPr>
      </w:pPr>
      <w:hyperlink w:anchor="_Toc117407530" w:history="1">
        <w:r w:rsidR="00076C36" w:rsidRPr="008A0971">
          <w:rPr>
            <w:rStyle w:val="Hyperlink"/>
            <w:noProof/>
          </w:rPr>
          <w:t>1.2</w:t>
        </w:r>
        <w:r w:rsidR="00076C36">
          <w:rPr>
            <w:rFonts w:asciiTheme="minorHAnsi" w:eastAsiaTheme="minorEastAsia" w:hAnsiTheme="minorHAnsi" w:cstheme="minorBidi"/>
            <w:noProof/>
            <w:color w:val="auto"/>
            <w:sz w:val="22"/>
            <w:szCs w:val="22"/>
          </w:rPr>
          <w:tab/>
        </w:r>
        <w:r w:rsidR="00076C36" w:rsidRPr="008A0971">
          <w:rPr>
            <w:rStyle w:val="Hyperlink"/>
            <w:noProof/>
          </w:rPr>
          <w:t>Entity resource statement</w:t>
        </w:r>
        <w:r w:rsidR="00076C36">
          <w:rPr>
            <w:noProof/>
            <w:webHidden/>
          </w:rPr>
          <w:tab/>
        </w:r>
        <w:r w:rsidR="00076C36">
          <w:rPr>
            <w:noProof/>
            <w:webHidden/>
          </w:rPr>
          <w:fldChar w:fldCharType="begin"/>
        </w:r>
        <w:r w:rsidR="00076C36">
          <w:rPr>
            <w:noProof/>
            <w:webHidden/>
          </w:rPr>
          <w:instrText xml:space="preserve"> PAGEREF _Toc117407530 \h </w:instrText>
        </w:r>
        <w:r w:rsidR="00076C36">
          <w:rPr>
            <w:noProof/>
            <w:webHidden/>
          </w:rPr>
        </w:r>
        <w:r w:rsidR="00076C36">
          <w:rPr>
            <w:noProof/>
            <w:webHidden/>
          </w:rPr>
          <w:fldChar w:fldCharType="separate"/>
        </w:r>
        <w:r w:rsidR="00353F7F">
          <w:rPr>
            <w:noProof/>
            <w:webHidden/>
          </w:rPr>
          <w:t>363</w:t>
        </w:r>
        <w:r w:rsidR="00076C36">
          <w:rPr>
            <w:noProof/>
            <w:webHidden/>
          </w:rPr>
          <w:fldChar w:fldCharType="end"/>
        </w:r>
      </w:hyperlink>
    </w:p>
    <w:p w14:paraId="1E55E2BB" w14:textId="00F8F73F" w:rsidR="00076C36" w:rsidRDefault="008C077A">
      <w:pPr>
        <w:pStyle w:val="TOC2"/>
        <w:rPr>
          <w:rFonts w:asciiTheme="minorHAnsi" w:eastAsiaTheme="minorEastAsia" w:hAnsiTheme="minorHAnsi" w:cstheme="minorBidi"/>
          <w:noProof/>
          <w:color w:val="auto"/>
          <w:sz w:val="22"/>
          <w:szCs w:val="22"/>
        </w:rPr>
      </w:pPr>
      <w:hyperlink w:anchor="_Toc117407531" w:history="1">
        <w:r w:rsidR="00076C36" w:rsidRPr="008A0971">
          <w:rPr>
            <w:rStyle w:val="Hyperlink"/>
            <w:noProof/>
          </w:rPr>
          <w:t>1.3</w:t>
        </w:r>
        <w:r w:rsidR="00076C36">
          <w:rPr>
            <w:rFonts w:asciiTheme="minorHAnsi" w:eastAsiaTheme="minorEastAsia" w:hAnsiTheme="minorHAnsi" w:cstheme="minorBidi"/>
            <w:noProof/>
            <w:color w:val="auto"/>
            <w:sz w:val="22"/>
            <w:szCs w:val="22"/>
          </w:rPr>
          <w:tab/>
        </w:r>
        <w:r w:rsidR="00076C36" w:rsidRPr="008A0971">
          <w:rPr>
            <w:rStyle w:val="Hyperlink"/>
            <w:noProof/>
          </w:rPr>
          <w:t>Budget measures</w:t>
        </w:r>
        <w:r w:rsidR="00076C36">
          <w:rPr>
            <w:noProof/>
            <w:webHidden/>
          </w:rPr>
          <w:tab/>
        </w:r>
        <w:r w:rsidR="00076C36">
          <w:rPr>
            <w:noProof/>
            <w:webHidden/>
          </w:rPr>
          <w:fldChar w:fldCharType="begin"/>
        </w:r>
        <w:r w:rsidR="00076C36">
          <w:rPr>
            <w:noProof/>
            <w:webHidden/>
          </w:rPr>
          <w:instrText xml:space="preserve"> PAGEREF _Toc117407531 \h </w:instrText>
        </w:r>
        <w:r w:rsidR="00076C36">
          <w:rPr>
            <w:noProof/>
            <w:webHidden/>
          </w:rPr>
        </w:r>
        <w:r w:rsidR="00076C36">
          <w:rPr>
            <w:noProof/>
            <w:webHidden/>
          </w:rPr>
          <w:fldChar w:fldCharType="separate"/>
        </w:r>
        <w:r w:rsidR="00353F7F">
          <w:rPr>
            <w:noProof/>
            <w:webHidden/>
          </w:rPr>
          <w:t>363</w:t>
        </w:r>
        <w:r w:rsidR="00076C36">
          <w:rPr>
            <w:noProof/>
            <w:webHidden/>
          </w:rPr>
          <w:fldChar w:fldCharType="end"/>
        </w:r>
      </w:hyperlink>
    </w:p>
    <w:p w14:paraId="5FE7E398" w14:textId="3DAB857A" w:rsidR="00076C36" w:rsidRDefault="008C077A">
      <w:pPr>
        <w:pStyle w:val="TOC1"/>
        <w:rPr>
          <w:rFonts w:asciiTheme="minorHAnsi" w:eastAsiaTheme="minorEastAsia" w:hAnsiTheme="minorHAnsi" w:cstheme="minorBidi"/>
          <w:b w:val="0"/>
          <w:color w:val="auto"/>
          <w:sz w:val="22"/>
          <w:szCs w:val="22"/>
        </w:rPr>
      </w:pPr>
      <w:hyperlink w:anchor="_Toc117407532" w:history="1">
        <w:r w:rsidR="00076C36" w:rsidRPr="008A0971">
          <w:rPr>
            <w:rStyle w:val="Hyperlink"/>
          </w:rPr>
          <w:t>Section 2: Outcomes and planned performance</w:t>
        </w:r>
        <w:r w:rsidR="00076C36">
          <w:rPr>
            <w:webHidden/>
          </w:rPr>
          <w:tab/>
        </w:r>
        <w:r w:rsidR="00076C36">
          <w:rPr>
            <w:webHidden/>
          </w:rPr>
          <w:fldChar w:fldCharType="begin"/>
        </w:r>
        <w:r w:rsidR="00076C36">
          <w:rPr>
            <w:webHidden/>
          </w:rPr>
          <w:instrText xml:space="preserve"> PAGEREF _Toc117407532 \h </w:instrText>
        </w:r>
        <w:r w:rsidR="00076C36">
          <w:rPr>
            <w:webHidden/>
          </w:rPr>
        </w:r>
        <w:r w:rsidR="00076C36">
          <w:rPr>
            <w:webHidden/>
          </w:rPr>
          <w:fldChar w:fldCharType="separate"/>
        </w:r>
        <w:r w:rsidR="00353F7F">
          <w:rPr>
            <w:webHidden/>
          </w:rPr>
          <w:t>366</w:t>
        </w:r>
        <w:r w:rsidR="00076C36">
          <w:rPr>
            <w:webHidden/>
          </w:rPr>
          <w:fldChar w:fldCharType="end"/>
        </w:r>
      </w:hyperlink>
    </w:p>
    <w:p w14:paraId="5E1318E1" w14:textId="2AE1E258" w:rsidR="00076C36" w:rsidRDefault="008C077A">
      <w:pPr>
        <w:pStyle w:val="TOC2"/>
        <w:rPr>
          <w:rFonts w:asciiTheme="minorHAnsi" w:eastAsiaTheme="minorEastAsia" w:hAnsiTheme="minorHAnsi" w:cstheme="minorBidi"/>
          <w:noProof/>
          <w:color w:val="auto"/>
          <w:sz w:val="22"/>
          <w:szCs w:val="22"/>
        </w:rPr>
      </w:pPr>
      <w:hyperlink w:anchor="_Toc117407533" w:history="1">
        <w:r w:rsidR="00076C36" w:rsidRPr="008A0971">
          <w:rPr>
            <w:rStyle w:val="Hyperlink"/>
            <w:noProof/>
          </w:rPr>
          <w:t>2.1</w:t>
        </w:r>
        <w:r w:rsidR="00076C36">
          <w:rPr>
            <w:rFonts w:asciiTheme="minorHAnsi" w:eastAsiaTheme="minorEastAsia" w:hAnsiTheme="minorHAnsi" w:cstheme="minorBidi"/>
            <w:noProof/>
            <w:color w:val="auto"/>
            <w:sz w:val="22"/>
            <w:szCs w:val="22"/>
          </w:rPr>
          <w:tab/>
        </w:r>
        <w:r w:rsidR="00076C36" w:rsidRPr="008A0971">
          <w:rPr>
            <w:rStyle w:val="Hyperlink"/>
            <w:noProof/>
          </w:rPr>
          <w:t>Budgeted expenses and performance</w:t>
        </w:r>
        <w:r w:rsidR="00076C36">
          <w:rPr>
            <w:noProof/>
            <w:webHidden/>
          </w:rPr>
          <w:tab/>
        </w:r>
        <w:r w:rsidR="00076C36">
          <w:rPr>
            <w:noProof/>
            <w:webHidden/>
          </w:rPr>
          <w:fldChar w:fldCharType="begin"/>
        </w:r>
        <w:r w:rsidR="00076C36">
          <w:rPr>
            <w:noProof/>
            <w:webHidden/>
          </w:rPr>
          <w:instrText xml:space="preserve"> PAGEREF _Toc117407533 \h </w:instrText>
        </w:r>
        <w:r w:rsidR="00076C36">
          <w:rPr>
            <w:noProof/>
            <w:webHidden/>
          </w:rPr>
        </w:r>
        <w:r w:rsidR="00076C36">
          <w:rPr>
            <w:noProof/>
            <w:webHidden/>
          </w:rPr>
          <w:fldChar w:fldCharType="separate"/>
        </w:r>
        <w:r w:rsidR="00353F7F">
          <w:rPr>
            <w:noProof/>
            <w:webHidden/>
          </w:rPr>
          <w:t>366</w:t>
        </w:r>
        <w:r w:rsidR="00076C36">
          <w:rPr>
            <w:noProof/>
            <w:webHidden/>
          </w:rPr>
          <w:fldChar w:fldCharType="end"/>
        </w:r>
      </w:hyperlink>
    </w:p>
    <w:p w14:paraId="1DAE67B3" w14:textId="42D562BF" w:rsidR="00076C36" w:rsidRDefault="008C077A">
      <w:pPr>
        <w:pStyle w:val="TOC1"/>
        <w:rPr>
          <w:rFonts w:asciiTheme="minorHAnsi" w:eastAsiaTheme="minorEastAsia" w:hAnsiTheme="minorHAnsi" w:cstheme="minorBidi"/>
          <w:b w:val="0"/>
          <w:color w:val="auto"/>
          <w:sz w:val="22"/>
          <w:szCs w:val="22"/>
        </w:rPr>
      </w:pPr>
      <w:hyperlink w:anchor="_Toc117407534" w:history="1">
        <w:r w:rsidR="00076C36" w:rsidRPr="008A0971">
          <w:rPr>
            <w:rStyle w:val="Hyperlink"/>
          </w:rPr>
          <w:t>Section 3: Budgeted financial statements</w:t>
        </w:r>
        <w:r w:rsidR="00076C36">
          <w:rPr>
            <w:webHidden/>
          </w:rPr>
          <w:tab/>
        </w:r>
        <w:r w:rsidR="00076C36">
          <w:rPr>
            <w:webHidden/>
          </w:rPr>
          <w:fldChar w:fldCharType="begin"/>
        </w:r>
        <w:r w:rsidR="00076C36">
          <w:rPr>
            <w:webHidden/>
          </w:rPr>
          <w:instrText xml:space="preserve"> PAGEREF _Toc117407534 \h </w:instrText>
        </w:r>
        <w:r w:rsidR="00076C36">
          <w:rPr>
            <w:webHidden/>
          </w:rPr>
        </w:r>
        <w:r w:rsidR="00076C36">
          <w:rPr>
            <w:webHidden/>
          </w:rPr>
          <w:fldChar w:fldCharType="separate"/>
        </w:r>
        <w:r w:rsidR="00353F7F">
          <w:rPr>
            <w:webHidden/>
          </w:rPr>
          <w:t>372</w:t>
        </w:r>
        <w:r w:rsidR="00076C36">
          <w:rPr>
            <w:webHidden/>
          </w:rPr>
          <w:fldChar w:fldCharType="end"/>
        </w:r>
      </w:hyperlink>
    </w:p>
    <w:p w14:paraId="46CD1073" w14:textId="7A14F526" w:rsidR="00076C36" w:rsidRDefault="008C077A">
      <w:pPr>
        <w:pStyle w:val="TOC2"/>
        <w:rPr>
          <w:rFonts w:asciiTheme="minorHAnsi" w:eastAsiaTheme="minorEastAsia" w:hAnsiTheme="minorHAnsi" w:cstheme="minorBidi"/>
          <w:noProof/>
          <w:color w:val="auto"/>
          <w:sz w:val="22"/>
          <w:szCs w:val="22"/>
        </w:rPr>
      </w:pPr>
      <w:hyperlink w:anchor="_Toc117407535" w:history="1">
        <w:r w:rsidR="00076C36" w:rsidRPr="008A0971">
          <w:rPr>
            <w:rStyle w:val="Hyperlink"/>
            <w:noProof/>
          </w:rPr>
          <w:t>3.1</w:t>
        </w:r>
        <w:r w:rsidR="00076C36">
          <w:rPr>
            <w:rFonts w:asciiTheme="minorHAnsi" w:eastAsiaTheme="minorEastAsia" w:hAnsiTheme="minorHAnsi" w:cstheme="minorBidi"/>
            <w:noProof/>
            <w:color w:val="auto"/>
            <w:sz w:val="22"/>
            <w:szCs w:val="22"/>
          </w:rPr>
          <w:tab/>
        </w:r>
        <w:r w:rsidR="00076C36" w:rsidRPr="008A0971">
          <w:rPr>
            <w:rStyle w:val="Hyperlink"/>
            <w:noProof/>
          </w:rPr>
          <w:t>Budgeted financial statements</w:t>
        </w:r>
        <w:r w:rsidR="00076C36">
          <w:rPr>
            <w:noProof/>
            <w:webHidden/>
          </w:rPr>
          <w:tab/>
        </w:r>
        <w:r w:rsidR="00076C36">
          <w:rPr>
            <w:noProof/>
            <w:webHidden/>
          </w:rPr>
          <w:fldChar w:fldCharType="begin"/>
        </w:r>
        <w:r w:rsidR="00076C36">
          <w:rPr>
            <w:noProof/>
            <w:webHidden/>
          </w:rPr>
          <w:instrText xml:space="preserve"> PAGEREF _Toc117407535 \h </w:instrText>
        </w:r>
        <w:r w:rsidR="00076C36">
          <w:rPr>
            <w:noProof/>
            <w:webHidden/>
          </w:rPr>
        </w:r>
        <w:r w:rsidR="00076C36">
          <w:rPr>
            <w:noProof/>
            <w:webHidden/>
          </w:rPr>
          <w:fldChar w:fldCharType="separate"/>
        </w:r>
        <w:r w:rsidR="00353F7F">
          <w:rPr>
            <w:noProof/>
            <w:webHidden/>
          </w:rPr>
          <w:t>372</w:t>
        </w:r>
        <w:r w:rsidR="00076C36">
          <w:rPr>
            <w:noProof/>
            <w:webHidden/>
          </w:rPr>
          <w:fldChar w:fldCharType="end"/>
        </w:r>
      </w:hyperlink>
    </w:p>
    <w:p w14:paraId="43FCDE20" w14:textId="7B034325" w:rsidR="00076C36" w:rsidRDefault="008C077A">
      <w:pPr>
        <w:pStyle w:val="TOC2"/>
        <w:rPr>
          <w:rFonts w:asciiTheme="minorHAnsi" w:eastAsiaTheme="minorEastAsia" w:hAnsiTheme="minorHAnsi" w:cstheme="minorBidi"/>
          <w:noProof/>
          <w:color w:val="auto"/>
          <w:sz w:val="22"/>
          <w:szCs w:val="22"/>
        </w:rPr>
      </w:pPr>
      <w:hyperlink w:anchor="_Toc117407536" w:history="1">
        <w:r w:rsidR="00076C36" w:rsidRPr="008A0971">
          <w:rPr>
            <w:rStyle w:val="Hyperlink"/>
            <w:noProof/>
          </w:rPr>
          <w:t>3.2</w:t>
        </w:r>
        <w:r w:rsidR="00076C36">
          <w:rPr>
            <w:rFonts w:asciiTheme="minorHAnsi" w:eastAsiaTheme="minorEastAsia" w:hAnsiTheme="minorHAnsi" w:cstheme="minorBidi"/>
            <w:noProof/>
            <w:color w:val="auto"/>
            <w:sz w:val="22"/>
            <w:szCs w:val="22"/>
          </w:rPr>
          <w:tab/>
        </w:r>
        <w:r w:rsidR="00076C36" w:rsidRPr="008A0971">
          <w:rPr>
            <w:rStyle w:val="Hyperlink"/>
            <w:noProof/>
          </w:rPr>
          <w:t>Budgeted financial statements tables</w:t>
        </w:r>
        <w:r w:rsidR="00076C36">
          <w:rPr>
            <w:noProof/>
            <w:webHidden/>
          </w:rPr>
          <w:tab/>
        </w:r>
        <w:r w:rsidR="00076C36">
          <w:rPr>
            <w:noProof/>
            <w:webHidden/>
          </w:rPr>
          <w:fldChar w:fldCharType="begin"/>
        </w:r>
        <w:r w:rsidR="00076C36">
          <w:rPr>
            <w:noProof/>
            <w:webHidden/>
          </w:rPr>
          <w:instrText xml:space="preserve"> PAGEREF _Toc117407536 \h </w:instrText>
        </w:r>
        <w:r w:rsidR="00076C36">
          <w:rPr>
            <w:noProof/>
            <w:webHidden/>
          </w:rPr>
        </w:r>
        <w:r w:rsidR="00076C36">
          <w:rPr>
            <w:noProof/>
            <w:webHidden/>
          </w:rPr>
          <w:fldChar w:fldCharType="separate"/>
        </w:r>
        <w:r w:rsidR="00353F7F">
          <w:rPr>
            <w:noProof/>
            <w:webHidden/>
          </w:rPr>
          <w:t>373</w:t>
        </w:r>
        <w:r w:rsidR="00076C36">
          <w:rPr>
            <w:noProof/>
            <w:webHidden/>
          </w:rPr>
          <w:fldChar w:fldCharType="end"/>
        </w:r>
      </w:hyperlink>
    </w:p>
    <w:p w14:paraId="1636B589" w14:textId="5683A56D" w:rsidR="0024539A" w:rsidRPr="005407C4" w:rsidRDefault="00913388" w:rsidP="00913388">
      <w:pPr>
        <w:rPr>
          <w:rFonts w:ascii="Arial" w:hAnsi="Arial" w:cs="Arial"/>
          <w:b/>
          <w:color w:val="000000" w:themeColor="text1"/>
        </w:rPr>
        <w:sectPr w:rsidR="0024539A" w:rsidRPr="005407C4" w:rsidSect="00357948">
          <w:headerReference w:type="even" r:id="rId11"/>
          <w:headerReference w:type="default" r:id="rId12"/>
          <w:footerReference w:type="default" r:id="rId13"/>
          <w:headerReference w:type="first" r:id="rId14"/>
          <w:pgSz w:w="11906" w:h="16838"/>
          <w:pgMar w:top="2466" w:right="2268" w:bottom="2126" w:left="2268" w:header="1899" w:footer="1899" w:gutter="0"/>
          <w:cols w:space="708"/>
          <w:docGrid w:linePitch="360"/>
        </w:sectPr>
      </w:pPr>
      <w:r w:rsidRPr="005407C4">
        <w:rPr>
          <w:rFonts w:ascii="Arial" w:hAnsi="Arial" w:cs="Arial"/>
          <w:b/>
          <w:color w:val="000000" w:themeColor="text1"/>
        </w:rPr>
        <w:fldChar w:fldCharType="end"/>
      </w:r>
    </w:p>
    <w:p w14:paraId="4BDEFFB1" w14:textId="31A9275A" w:rsidR="0024539A" w:rsidRPr="005407C4" w:rsidRDefault="0024539A" w:rsidP="009647A8">
      <w:pPr>
        <w:pStyle w:val="Heading2"/>
      </w:pPr>
      <w:bookmarkStart w:id="1" w:name="_Toc117407528"/>
      <w:r w:rsidRPr="005407C4">
        <w:lastRenderedPageBreak/>
        <w:t xml:space="preserve">Section 1: Entity </w:t>
      </w:r>
      <w:r w:rsidR="009647A8">
        <w:t>o</w:t>
      </w:r>
      <w:r w:rsidRPr="005407C4">
        <w:t xml:space="preserve">verview and </w:t>
      </w:r>
      <w:r w:rsidR="009647A8">
        <w:t>r</w:t>
      </w:r>
      <w:r w:rsidRPr="005407C4">
        <w:t>esources</w:t>
      </w:r>
      <w:bookmarkEnd w:id="1"/>
    </w:p>
    <w:p w14:paraId="4504089C" w14:textId="77777777" w:rsidR="0024539A" w:rsidRPr="005407C4" w:rsidRDefault="0024539A" w:rsidP="009647A8">
      <w:pPr>
        <w:pStyle w:val="Heading3"/>
      </w:pPr>
      <w:bookmarkStart w:id="2" w:name="_Toc117407529"/>
      <w:r w:rsidRPr="005407C4">
        <w:t>1.1</w:t>
      </w:r>
      <w:r w:rsidRPr="005407C4">
        <w:tab/>
        <w:t>Strategic Direction Statement</w:t>
      </w:r>
      <w:r w:rsidRPr="005407C4">
        <w:rPr>
          <w:vertAlign w:val="superscript"/>
        </w:rPr>
        <w:footnoteReference w:id="1"/>
      </w:r>
      <w:bookmarkEnd w:id="2"/>
    </w:p>
    <w:p w14:paraId="46CB244F" w14:textId="35064BF3" w:rsidR="002B3EE7" w:rsidRDefault="002B3EE7" w:rsidP="002B3EE7">
      <w:pPr>
        <w:rPr>
          <w:color w:val="000000" w:themeColor="text1"/>
        </w:rPr>
      </w:pPr>
      <w:r w:rsidRPr="005407C4">
        <w:rPr>
          <w:color w:val="000000" w:themeColor="text1"/>
        </w:rPr>
        <w:t>The National Health and Medical Research Council (NHMRC) is the Australian Government’s key entity for managing investment in health and medical research. NHMRC is also responsible for developing evidence-based health advice for the Australian community, health professionals and governments, and</w:t>
      </w:r>
      <w:r w:rsidR="00417A33" w:rsidRPr="005407C4">
        <w:rPr>
          <w:color w:val="000000" w:themeColor="text1"/>
        </w:rPr>
        <w:t xml:space="preserve"> for</w:t>
      </w:r>
      <w:r w:rsidRPr="005407C4">
        <w:rPr>
          <w:color w:val="000000" w:themeColor="text1"/>
        </w:rPr>
        <w:t xml:space="preserve"> promoting the highest standards of ethics and integrity in health and medical research.</w:t>
      </w:r>
    </w:p>
    <w:p w14:paraId="7A3CCA28" w14:textId="6EE24252" w:rsidR="00417A33" w:rsidRPr="005407C4" w:rsidRDefault="002B3EE7" w:rsidP="00417A33">
      <w:pPr>
        <w:rPr>
          <w:color w:val="000000" w:themeColor="text1"/>
        </w:rPr>
      </w:pPr>
      <w:r w:rsidRPr="005407C4">
        <w:rPr>
          <w:color w:val="000000" w:themeColor="text1"/>
        </w:rPr>
        <w:t xml:space="preserve">NHMRC continues to support high quality research through </w:t>
      </w:r>
      <w:r w:rsidR="00417A33" w:rsidRPr="005407C4">
        <w:rPr>
          <w:color w:val="000000" w:themeColor="text1"/>
        </w:rPr>
        <w:t>its</w:t>
      </w:r>
      <w:r w:rsidRPr="005407C4">
        <w:rPr>
          <w:color w:val="000000" w:themeColor="text1"/>
        </w:rPr>
        <w:t xml:space="preserve"> grant program</w:t>
      </w:r>
      <w:r w:rsidR="00262FD6" w:rsidRPr="005407C4">
        <w:rPr>
          <w:color w:val="000000" w:themeColor="text1"/>
        </w:rPr>
        <w:t>,</w:t>
      </w:r>
      <w:r w:rsidRPr="005407C4">
        <w:rPr>
          <w:color w:val="000000" w:themeColor="text1"/>
        </w:rPr>
        <w:t xml:space="preserve"> </w:t>
      </w:r>
      <w:r w:rsidR="003C7C6D" w:rsidRPr="005407C4">
        <w:rPr>
          <w:color w:val="000000" w:themeColor="text1"/>
        </w:rPr>
        <w:t xml:space="preserve">which </w:t>
      </w:r>
      <w:r w:rsidRPr="005407C4">
        <w:rPr>
          <w:color w:val="000000" w:themeColor="text1"/>
        </w:rPr>
        <w:t>encourages innovation in research and provides opportunities for talented researchers at all career stages.</w:t>
      </w:r>
      <w:r w:rsidR="008855AD">
        <w:rPr>
          <w:color w:val="000000" w:themeColor="text1"/>
        </w:rPr>
        <w:t xml:space="preserve"> This work is facilitated by </w:t>
      </w:r>
      <w:r w:rsidR="008855AD" w:rsidRPr="005407C4">
        <w:rPr>
          <w:color w:val="000000" w:themeColor="text1"/>
        </w:rPr>
        <w:t>NHMRC</w:t>
      </w:r>
      <w:r w:rsidR="008855AD">
        <w:rPr>
          <w:color w:val="000000" w:themeColor="text1"/>
        </w:rPr>
        <w:t>’s modern</w:t>
      </w:r>
      <w:r w:rsidR="008855AD" w:rsidRPr="005407C4">
        <w:rPr>
          <w:color w:val="000000" w:themeColor="text1"/>
        </w:rPr>
        <w:t xml:space="preserve"> grants management solution, Sapphire, </w:t>
      </w:r>
      <w:r w:rsidR="00C01755">
        <w:rPr>
          <w:color w:val="000000" w:themeColor="text1"/>
        </w:rPr>
        <w:t>which has</w:t>
      </w:r>
      <w:r w:rsidR="008855AD">
        <w:rPr>
          <w:color w:val="000000" w:themeColor="text1"/>
        </w:rPr>
        <w:t xml:space="preserve"> </w:t>
      </w:r>
      <w:r w:rsidR="008855AD" w:rsidRPr="005407C4">
        <w:rPr>
          <w:color w:val="000000" w:themeColor="text1"/>
        </w:rPr>
        <w:t>streamlin</w:t>
      </w:r>
      <w:r w:rsidR="008855AD">
        <w:rPr>
          <w:color w:val="000000" w:themeColor="text1"/>
        </w:rPr>
        <w:t>e</w:t>
      </w:r>
      <w:r w:rsidR="00C01755">
        <w:rPr>
          <w:color w:val="000000" w:themeColor="text1"/>
        </w:rPr>
        <w:t>d the</w:t>
      </w:r>
      <w:r w:rsidR="008855AD" w:rsidRPr="005407C4">
        <w:rPr>
          <w:color w:val="000000" w:themeColor="text1"/>
        </w:rPr>
        <w:t xml:space="preserve"> app</w:t>
      </w:r>
      <w:r w:rsidR="000B09E6">
        <w:rPr>
          <w:color w:val="000000" w:themeColor="text1"/>
        </w:rPr>
        <w:t>lication, peer review assessment</w:t>
      </w:r>
      <w:r w:rsidR="008855AD" w:rsidRPr="005407C4">
        <w:rPr>
          <w:color w:val="000000" w:themeColor="text1"/>
        </w:rPr>
        <w:t xml:space="preserve"> and grant management processes.</w:t>
      </w:r>
    </w:p>
    <w:p w14:paraId="62AA484E" w14:textId="77777777" w:rsidR="00446F71" w:rsidRPr="00446F71" w:rsidRDefault="00446F71" w:rsidP="00446F71">
      <w:pPr>
        <w:rPr>
          <w:color w:val="000000" w:themeColor="text1"/>
        </w:rPr>
      </w:pPr>
      <w:r w:rsidRPr="00446F71">
        <w:rPr>
          <w:color w:val="000000" w:themeColor="text1"/>
        </w:rPr>
        <w:t>NHMRC’s work also facilitates and promotes the translation of evidence from health and medical research into practices, policies and products designed to prevent and treat illness and improve the health of the Australian community. NHMRC’s guidelines and advice support states and territories in achieving consistent standards in public and environmental health. NHMRC continues to consider strategic alignment with, and support the delivery of, Medical Research Future Fund grant opportunities.</w:t>
      </w:r>
    </w:p>
    <w:p w14:paraId="503BC519" w14:textId="560AACCF" w:rsidR="002B3EE7" w:rsidRPr="005407C4" w:rsidRDefault="002B3EE7" w:rsidP="000A4EB7">
      <w:pPr>
        <w:rPr>
          <w:color w:val="000000" w:themeColor="text1"/>
        </w:rPr>
      </w:pPr>
      <w:r w:rsidRPr="005407C4">
        <w:rPr>
          <w:color w:val="000000" w:themeColor="text1"/>
        </w:rPr>
        <w:t xml:space="preserve">The role and functions of NHMRC are set out in the </w:t>
      </w:r>
      <w:r w:rsidRPr="005407C4">
        <w:rPr>
          <w:i/>
          <w:color w:val="000000" w:themeColor="text1"/>
        </w:rPr>
        <w:t>National Health and Medical Research Council Act 1992</w:t>
      </w:r>
      <w:r w:rsidRPr="005407C4">
        <w:rPr>
          <w:color w:val="000000" w:themeColor="text1"/>
        </w:rPr>
        <w:t xml:space="preserve">. NHMRC also has statutory obligations under the </w:t>
      </w:r>
      <w:r w:rsidRPr="005407C4">
        <w:rPr>
          <w:i/>
          <w:color w:val="000000" w:themeColor="text1"/>
        </w:rPr>
        <w:t>Prohibition of Human Cloning for Reproduction Act 2002,</w:t>
      </w:r>
      <w:r w:rsidRPr="005407C4">
        <w:rPr>
          <w:color w:val="000000" w:themeColor="text1"/>
        </w:rPr>
        <w:t xml:space="preserve"> the </w:t>
      </w:r>
      <w:r w:rsidRPr="005407C4">
        <w:rPr>
          <w:i/>
          <w:color w:val="000000" w:themeColor="text1"/>
        </w:rPr>
        <w:t>Research Involving Human Embryos Act 2002</w:t>
      </w:r>
      <w:r w:rsidR="008A35CC">
        <w:rPr>
          <w:color w:val="000000" w:themeColor="text1"/>
        </w:rPr>
        <w:t>,</w:t>
      </w:r>
      <w:r w:rsidRPr="005407C4">
        <w:rPr>
          <w:color w:val="000000" w:themeColor="text1"/>
        </w:rPr>
        <w:t xml:space="preserve"> and the </w:t>
      </w:r>
      <w:r w:rsidRPr="005407C4">
        <w:rPr>
          <w:i/>
          <w:iCs/>
          <w:color w:val="000000" w:themeColor="text1"/>
        </w:rPr>
        <w:t>Medical Research Future Fund Act 2015</w:t>
      </w:r>
      <w:r w:rsidRPr="005407C4">
        <w:rPr>
          <w:color w:val="000000" w:themeColor="text1"/>
        </w:rPr>
        <w:t>. NHMRC is a non</w:t>
      </w:r>
      <w:r w:rsidRPr="005407C4">
        <w:rPr>
          <w:color w:val="000000" w:themeColor="text1"/>
        </w:rPr>
        <w:noBreakHyphen/>
        <w:t xml:space="preserve">corporate Commonwealth entity under the </w:t>
      </w:r>
      <w:r w:rsidRPr="005407C4">
        <w:rPr>
          <w:i/>
          <w:color w:val="000000" w:themeColor="text1"/>
        </w:rPr>
        <w:t>Public Governance, Performance and Accountability Act 2013</w:t>
      </w:r>
      <w:r w:rsidRPr="005407C4">
        <w:rPr>
          <w:color w:val="000000" w:themeColor="text1"/>
        </w:rPr>
        <w:t>.</w:t>
      </w:r>
    </w:p>
    <w:p w14:paraId="20054160" w14:textId="77777777" w:rsidR="00BB47AA" w:rsidRPr="005407C4" w:rsidRDefault="00BB47AA">
      <w:pPr>
        <w:spacing w:after="160" w:line="259" w:lineRule="auto"/>
        <w:rPr>
          <w:rFonts w:ascii="Arial" w:hAnsi="Arial"/>
          <w:b/>
          <w:smallCaps/>
          <w:color w:val="000000" w:themeColor="text1"/>
          <w:sz w:val="26"/>
          <w:szCs w:val="26"/>
        </w:rPr>
      </w:pPr>
      <w:r w:rsidRPr="005407C4">
        <w:rPr>
          <w:color w:val="000000" w:themeColor="text1"/>
        </w:rPr>
        <w:br w:type="page"/>
      </w:r>
    </w:p>
    <w:p w14:paraId="04A9CBEE" w14:textId="73B8A851" w:rsidR="0024539A" w:rsidRPr="005407C4" w:rsidRDefault="0024539A" w:rsidP="009647A8">
      <w:pPr>
        <w:pStyle w:val="Heading3"/>
      </w:pPr>
      <w:bookmarkStart w:id="3" w:name="_Toc117407530"/>
      <w:r w:rsidRPr="005407C4">
        <w:lastRenderedPageBreak/>
        <w:t>1.2</w:t>
      </w:r>
      <w:r w:rsidRPr="005407C4">
        <w:tab/>
        <w:t xml:space="preserve">Entity </w:t>
      </w:r>
      <w:r w:rsidR="00127628">
        <w:t>r</w:t>
      </w:r>
      <w:r w:rsidRPr="005407C4">
        <w:t xml:space="preserve">esource </w:t>
      </w:r>
      <w:r w:rsidR="00C6413A">
        <w:t>s</w:t>
      </w:r>
      <w:r w:rsidRPr="005407C4">
        <w:t>tatement</w:t>
      </w:r>
      <w:bookmarkEnd w:id="3"/>
    </w:p>
    <w:p w14:paraId="258FC711" w14:textId="77777777" w:rsidR="00127628" w:rsidRPr="00127628" w:rsidRDefault="00127628" w:rsidP="00127628">
      <w:pPr>
        <w:rPr>
          <w:szCs w:val="19"/>
        </w:rPr>
      </w:pPr>
      <w:r w:rsidRPr="00127628">
        <w:rPr>
          <w:szCs w:val="19"/>
        </w:rPr>
        <w:t>Table 1.1 shows the total funding from all sources available to the entity for its operations and to deliver programs and services on behalf of the Government.</w:t>
      </w:r>
    </w:p>
    <w:p w14:paraId="17D49C43" w14:textId="77777777" w:rsidR="00127628" w:rsidRPr="00127628" w:rsidRDefault="00127628" w:rsidP="00127628">
      <w:pPr>
        <w:rPr>
          <w:szCs w:val="19"/>
        </w:rPr>
      </w:pPr>
      <w:r w:rsidRPr="00127628">
        <w:rPr>
          <w:szCs w:val="19"/>
        </w:rPr>
        <w:t>The table summarises how resources will be applied by outcome (government strategic policy objectives) and by administered (on behalf of the Government or the public) and departmental (for the entity’s operations) classification.</w:t>
      </w:r>
    </w:p>
    <w:p w14:paraId="527B7BF3" w14:textId="77777777" w:rsidR="00127628" w:rsidRPr="00127628" w:rsidRDefault="00127628" w:rsidP="00127628">
      <w:pPr>
        <w:rPr>
          <w:szCs w:val="19"/>
        </w:rPr>
      </w:pPr>
      <w:r w:rsidRPr="00127628">
        <w:rPr>
          <w:szCs w:val="19"/>
        </w:rPr>
        <w:t xml:space="preserve">For more detailed information on special accounts and special appropriations, refer to </w:t>
      </w:r>
      <w:r w:rsidRPr="00127628">
        <w:rPr>
          <w:i/>
          <w:szCs w:val="19"/>
        </w:rPr>
        <w:t>Budget Paper No. 4 – Agency Resourcing</w:t>
      </w:r>
      <w:r w:rsidRPr="00127628">
        <w:rPr>
          <w:szCs w:val="19"/>
        </w:rPr>
        <w:t>.</w:t>
      </w:r>
    </w:p>
    <w:p w14:paraId="664EE94C" w14:textId="1245BC8D" w:rsidR="00127628" w:rsidRDefault="00127628" w:rsidP="00127628">
      <w:pPr>
        <w:rPr>
          <w:szCs w:val="19"/>
        </w:rPr>
      </w:pPr>
      <w:r w:rsidRPr="00127628">
        <w:rPr>
          <w:szCs w:val="19"/>
        </w:rPr>
        <w:t>Information in this table is presented on a resourcing (that is, appropriations/cash available) basis, whilst the ‛Bu</w:t>
      </w:r>
      <w:r w:rsidR="003A0420">
        <w:rPr>
          <w:szCs w:val="19"/>
        </w:rPr>
        <w:t>dgeted expenses by O</w:t>
      </w:r>
      <w:r w:rsidRPr="00127628">
        <w:rPr>
          <w:szCs w:val="19"/>
        </w:rPr>
        <w:t>utcome’ tables in Section 2 and the financial statements in Section 3 are presented on an accrual basis.</w:t>
      </w:r>
    </w:p>
    <w:p w14:paraId="44410761" w14:textId="77777777" w:rsidR="00B32450" w:rsidRPr="008C3C13" w:rsidRDefault="00B32450" w:rsidP="0022319A">
      <w:pPr>
        <w:pStyle w:val="Heading4"/>
        <w:spacing w:before="120"/>
      </w:pPr>
      <w:r w:rsidRPr="008C3C13">
        <w:t>Changes to indexation framework for various programs</w:t>
      </w:r>
    </w:p>
    <w:p w14:paraId="0DC4F5B9" w14:textId="77777777" w:rsidR="00B32450" w:rsidRDefault="00B32450" w:rsidP="00B32450">
      <w:r>
        <w:t>The indexation framework for programs indexed by Wage Cost Indices, including for government supported services, has been updated to better align with wages and prices movements.</w:t>
      </w:r>
    </w:p>
    <w:p w14:paraId="581379BF" w14:textId="77777777" w:rsidR="00B32450" w:rsidRDefault="00B32450" w:rsidP="00B32450">
      <w:r>
        <w:t>Increased funding has been provided to the following program:</w:t>
      </w:r>
    </w:p>
    <w:p w14:paraId="7E326F6C" w14:textId="77777777" w:rsidR="00B32450" w:rsidRPr="008C3C13" w:rsidRDefault="00B32450" w:rsidP="00B32450">
      <w:r w:rsidRPr="008C3C13">
        <w:t>Program 1.1</w:t>
      </w:r>
      <w:r>
        <w:t>:</w:t>
      </w:r>
      <w:r w:rsidRPr="008C3C13">
        <w:t xml:space="preserve"> </w:t>
      </w:r>
      <w:r>
        <w:t>Health and Medical Research</w:t>
      </w:r>
    </w:p>
    <w:p w14:paraId="0867A402" w14:textId="3E84075D" w:rsidR="00127628" w:rsidRDefault="0024539A" w:rsidP="00B32450">
      <w:pPr>
        <w:pStyle w:val="Tablenumberandreference"/>
        <w:spacing w:before="240"/>
      </w:pPr>
      <w:r w:rsidRPr="005407C4">
        <w:rPr>
          <w:color w:val="000000" w:themeColor="text1"/>
        </w:rPr>
        <w:t xml:space="preserve">Table 1.1: </w:t>
      </w:r>
      <w:r w:rsidR="002B3EE7" w:rsidRPr="005407C4">
        <w:rPr>
          <w:color w:val="000000" w:themeColor="text1"/>
        </w:rPr>
        <w:t>NHMRC</w:t>
      </w:r>
      <w:r w:rsidRPr="005407C4">
        <w:rPr>
          <w:color w:val="000000" w:themeColor="text1"/>
        </w:rPr>
        <w:t xml:space="preserve"> </w:t>
      </w:r>
      <w:r w:rsidR="00127628">
        <w:t>r</w:t>
      </w:r>
      <w:r w:rsidR="00127628" w:rsidRPr="003322E9">
        <w:t xml:space="preserve">esource </w:t>
      </w:r>
      <w:r w:rsidR="00127628">
        <w:t>s</w:t>
      </w:r>
      <w:r w:rsidR="00127628" w:rsidRPr="003322E9">
        <w:t xml:space="preserve">tatement – Budget </w:t>
      </w:r>
      <w:r w:rsidR="00127628">
        <w:t>e</w:t>
      </w:r>
      <w:r w:rsidR="00127628" w:rsidRPr="003322E9">
        <w:t xml:space="preserve">stimates </w:t>
      </w:r>
      <w:r w:rsidR="0069211D">
        <w:t>for 2023</w:t>
      </w:r>
      <w:r w:rsidR="00127628">
        <w:t>–</w:t>
      </w:r>
      <w:r w:rsidR="0069211D">
        <w:t xml:space="preserve">24 </w:t>
      </w:r>
      <w:r w:rsidR="00127628" w:rsidRPr="00626350">
        <w:t>as at Budget </w:t>
      </w:r>
      <w:r w:rsidR="003A0420">
        <w:t xml:space="preserve">May </w:t>
      </w:r>
      <w:r w:rsidR="00127628" w:rsidRPr="00626350">
        <w:t>202</w:t>
      </w:r>
      <w:r w:rsidR="006E42DA">
        <w:t>3</w:t>
      </w:r>
    </w:p>
    <w:tbl>
      <w:tblPr>
        <w:tblW w:w="7300" w:type="dxa"/>
        <w:tblLayout w:type="fixed"/>
        <w:tblLook w:val="04A0" w:firstRow="1" w:lastRow="0" w:firstColumn="1" w:lastColumn="0" w:noHBand="0" w:noVBand="1"/>
      </w:tblPr>
      <w:tblGrid>
        <w:gridCol w:w="4660"/>
        <w:gridCol w:w="1320"/>
        <w:gridCol w:w="1320"/>
      </w:tblGrid>
      <w:tr w:rsidR="000A380F" w:rsidRPr="000A380F" w14:paraId="6FB5CCFA" w14:textId="77777777" w:rsidTr="000A380F">
        <w:trPr>
          <w:trHeight w:val="765"/>
        </w:trPr>
        <w:tc>
          <w:tcPr>
            <w:tcW w:w="4660" w:type="dxa"/>
            <w:tcBorders>
              <w:top w:val="single" w:sz="4" w:space="0" w:color="auto"/>
              <w:left w:val="nil"/>
              <w:bottom w:val="nil"/>
              <w:right w:val="nil"/>
            </w:tcBorders>
            <w:shd w:val="clear" w:color="auto" w:fill="auto"/>
            <w:vAlign w:val="bottom"/>
            <w:hideMark/>
          </w:tcPr>
          <w:p w14:paraId="7FBCA107" w14:textId="77777777" w:rsidR="000A380F" w:rsidRPr="000A380F" w:rsidRDefault="000A380F" w:rsidP="000A380F">
            <w:pPr>
              <w:spacing w:before="40" w:after="0"/>
              <w:jc w:val="right"/>
              <w:rPr>
                <w:rFonts w:ascii="Arial" w:hAnsi="Arial" w:cs="Arial"/>
                <w:b/>
                <w:bCs/>
                <w:color w:val="auto"/>
                <w:sz w:val="16"/>
                <w:szCs w:val="16"/>
              </w:rPr>
            </w:pPr>
            <w:bookmarkStart w:id="4" w:name="_Toc117407531"/>
            <w:r w:rsidRPr="000A380F">
              <w:rPr>
                <w:rFonts w:ascii="Arial" w:hAnsi="Arial" w:cs="Arial"/>
                <w:b/>
                <w:bCs/>
                <w:color w:val="auto"/>
                <w:sz w:val="16"/>
                <w:szCs w:val="16"/>
              </w:rPr>
              <w:t> </w:t>
            </w:r>
          </w:p>
        </w:tc>
        <w:tc>
          <w:tcPr>
            <w:tcW w:w="1320" w:type="dxa"/>
            <w:tcBorders>
              <w:top w:val="single" w:sz="4" w:space="0" w:color="auto"/>
              <w:left w:val="nil"/>
              <w:bottom w:val="single" w:sz="4" w:space="0" w:color="auto"/>
              <w:right w:val="nil"/>
            </w:tcBorders>
            <w:shd w:val="clear" w:color="auto" w:fill="auto"/>
            <w:vAlign w:val="bottom"/>
            <w:hideMark/>
          </w:tcPr>
          <w:p w14:paraId="027A816F" w14:textId="77777777" w:rsidR="000A380F" w:rsidRPr="000A380F" w:rsidRDefault="000A380F" w:rsidP="000A380F">
            <w:pPr>
              <w:spacing w:before="40" w:after="0"/>
              <w:jc w:val="right"/>
              <w:rPr>
                <w:rFonts w:ascii="Arial" w:hAnsi="Arial" w:cs="Arial"/>
                <w:b/>
                <w:bCs/>
                <w:color w:val="auto"/>
                <w:sz w:val="16"/>
                <w:szCs w:val="16"/>
              </w:rPr>
            </w:pPr>
            <w:r w:rsidRPr="000A380F">
              <w:rPr>
                <w:rFonts w:ascii="Arial" w:hAnsi="Arial" w:cs="Arial"/>
                <w:b/>
                <w:bCs/>
                <w:color w:val="auto"/>
                <w:sz w:val="16"/>
                <w:szCs w:val="16"/>
              </w:rPr>
              <w:t>2022–23 Estimated actual</w:t>
            </w:r>
            <w:r w:rsidRPr="000A380F">
              <w:rPr>
                <w:rFonts w:ascii="Arial" w:hAnsi="Arial" w:cs="Arial"/>
                <w:b/>
                <w:bCs/>
                <w:color w:val="auto"/>
                <w:sz w:val="16"/>
                <w:szCs w:val="16"/>
              </w:rPr>
              <w:br/>
              <w:t>$'000</w:t>
            </w:r>
          </w:p>
        </w:tc>
        <w:tc>
          <w:tcPr>
            <w:tcW w:w="1320" w:type="dxa"/>
            <w:tcBorders>
              <w:top w:val="single" w:sz="4" w:space="0" w:color="auto"/>
              <w:left w:val="nil"/>
              <w:bottom w:val="single" w:sz="4" w:space="0" w:color="auto"/>
              <w:right w:val="nil"/>
            </w:tcBorders>
            <w:shd w:val="clear" w:color="000000" w:fill="D9D9D9"/>
            <w:vAlign w:val="bottom"/>
            <w:hideMark/>
          </w:tcPr>
          <w:p w14:paraId="30C4246A" w14:textId="77777777" w:rsidR="000A380F" w:rsidRPr="000A380F" w:rsidRDefault="000A380F" w:rsidP="000A380F">
            <w:pPr>
              <w:spacing w:before="40" w:after="0"/>
              <w:jc w:val="right"/>
              <w:rPr>
                <w:rFonts w:ascii="Arial" w:hAnsi="Arial" w:cs="Arial"/>
                <w:b/>
                <w:bCs/>
                <w:color w:val="auto"/>
                <w:sz w:val="16"/>
                <w:szCs w:val="16"/>
              </w:rPr>
            </w:pPr>
            <w:r w:rsidRPr="000A380F">
              <w:rPr>
                <w:rFonts w:ascii="Arial" w:hAnsi="Arial" w:cs="Arial"/>
                <w:b/>
                <w:bCs/>
                <w:color w:val="auto"/>
                <w:sz w:val="16"/>
                <w:szCs w:val="16"/>
              </w:rPr>
              <w:t>2023–24</w:t>
            </w:r>
            <w:r w:rsidRPr="000A380F">
              <w:rPr>
                <w:rFonts w:ascii="Arial" w:hAnsi="Arial" w:cs="Arial"/>
                <w:b/>
                <w:bCs/>
                <w:color w:val="auto"/>
                <w:sz w:val="16"/>
                <w:szCs w:val="16"/>
              </w:rPr>
              <w:br/>
              <w:t>Estimate</w:t>
            </w:r>
            <w:r w:rsidRPr="000A380F">
              <w:rPr>
                <w:rFonts w:ascii="Arial" w:hAnsi="Arial" w:cs="Arial"/>
                <w:b/>
                <w:bCs/>
                <w:color w:val="auto"/>
                <w:sz w:val="16"/>
                <w:szCs w:val="16"/>
              </w:rPr>
              <w:br/>
            </w:r>
            <w:r w:rsidRPr="000A380F">
              <w:rPr>
                <w:rFonts w:ascii="Arial" w:hAnsi="Arial" w:cs="Arial"/>
                <w:b/>
                <w:bCs/>
                <w:color w:val="auto"/>
                <w:sz w:val="16"/>
                <w:szCs w:val="16"/>
              </w:rPr>
              <w:br/>
              <w:t>$'000</w:t>
            </w:r>
          </w:p>
        </w:tc>
      </w:tr>
      <w:tr w:rsidR="000A380F" w:rsidRPr="000A380F" w14:paraId="54758900" w14:textId="77777777" w:rsidTr="000A380F">
        <w:trPr>
          <w:trHeight w:val="225"/>
        </w:trPr>
        <w:tc>
          <w:tcPr>
            <w:tcW w:w="4660" w:type="dxa"/>
            <w:tcBorders>
              <w:top w:val="nil"/>
              <w:left w:val="nil"/>
              <w:bottom w:val="nil"/>
              <w:right w:val="nil"/>
            </w:tcBorders>
            <w:shd w:val="clear" w:color="auto" w:fill="auto"/>
            <w:noWrap/>
            <w:vAlign w:val="bottom"/>
            <w:hideMark/>
          </w:tcPr>
          <w:p w14:paraId="2C8574D4" w14:textId="77777777" w:rsidR="000A380F" w:rsidRPr="000A380F" w:rsidRDefault="000A380F" w:rsidP="000A380F">
            <w:pPr>
              <w:spacing w:after="0"/>
              <w:rPr>
                <w:rFonts w:ascii="Arial" w:hAnsi="Arial" w:cs="Arial"/>
                <w:b/>
                <w:bCs/>
                <w:color w:val="auto"/>
                <w:sz w:val="16"/>
                <w:szCs w:val="16"/>
              </w:rPr>
            </w:pPr>
            <w:r w:rsidRPr="000A380F">
              <w:rPr>
                <w:rFonts w:ascii="Arial" w:hAnsi="Arial" w:cs="Arial"/>
                <w:b/>
                <w:bCs/>
                <w:color w:val="auto"/>
                <w:sz w:val="16"/>
                <w:szCs w:val="16"/>
              </w:rPr>
              <w:t>DEPARTMENTAL</w:t>
            </w:r>
          </w:p>
        </w:tc>
        <w:tc>
          <w:tcPr>
            <w:tcW w:w="1320" w:type="dxa"/>
            <w:tcBorders>
              <w:top w:val="nil"/>
              <w:left w:val="nil"/>
              <w:bottom w:val="nil"/>
              <w:right w:val="nil"/>
            </w:tcBorders>
            <w:shd w:val="clear" w:color="auto" w:fill="auto"/>
            <w:vAlign w:val="bottom"/>
            <w:hideMark/>
          </w:tcPr>
          <w:p w14:paraId="16DFB2F9" w14:textId="77777777" w:rsidR="000A380F" w:rsidRPr="000A380F" w:rsidRDefault="000A380F" w:rsidP="000A380F">
            <w:pPr>
              <w:spacing w:after="0"/>
              <w:jc w:val="right"/>
              <w:rPr>
                <w:rFonts w:ascii="Arial" w:hAnsi="Arial" w:cs="Arial"/>
                <w:color w:val="auto"/>
                <w:sz w:val="16"/>
                <w:szCs w:val="16"/>
              </w:rPr>
            </w:pPr>
          </w:p>
        </w:tc>
        <w:tc>
          <w:tcPr>
            <w:tcW w:w="1320" w:type="dxa"/>
            <w:tcBorders>
              <w:top w:val="nil"/>
              <w:left w:val="nil"/>
              <w:bottom w:val="nil"/>
              <w:right w:val="nil"/>
            </w:tcBorders>
            <w:shd w:val="clear" w:color="000000" w:fill="D9D9D9"/>
            <w:noWrap/>
            <w:vAlign w:val="bottom"/>
            <w:hideMark/>
          </w:tcPr>
          <w:p w14:paraId="1EE1B8A6" w14:textId="77777777" w:rsidR="000A380F" w:rsidRPr="000A380F" w:rsidRDefault="000A380F" w:rsidP="000A380F">
            <w:pPr>
              <w:spacing w:after="0"/>
              <w:jc w:val="right"/>
              <w:rPr>
                <w:rFonts w:ascii="Arial" w:hAnsi="Arial" w:cs="Arial"/>
                <w:color w:val="auto"/>
                <w:sz w:val="16"/>
                <w:szCs w:val="16"/>
              </w:rPr>
            </w:pPr>
            <w:r w:rsidRPr="000A380F">
              <w:rPr>
                <w:rFonts w:ascii="Arial" w:hAnsi="Arial" w:cs="Arial"/>
                <w:color w:val="auto"/>
                <w:sz w:val="16"/>
                <w:szCs w:val="16"/>
              </w:rPr>
              <w:t> </w:t>
            </w:r>
          </w:p>
        </w:tc>
      </w:tr>
      <w:tr w:rsidR="000A380F" w:rsidRPr="000A380F" w14:paraId="0896DEE4" w14:textId="77777777" w:rsidTr="000A380F">
        <w:trPr>
          <w:trHeight w:val="225"/>
        </w:trPr>
        <w:tc>
          <w:tcPr>
            <w:tcW w:w="4660" w:type="dxa"/>
            <w:tcBorders>
              <w:top w:val="nil"/>
              <w:left w:val="nil"/>
              <w:bottom w:val="nil"/>
              <w:right w:val="nil"/>
            </w:tcBorders>
            <w:shd w:val="clear" w:color="auto" w:fill="auto"/>
            <w:noWrap/>
            <w:vAlign w:val="bottom"/>
            <w:hideMark/>
          </w:tcPr>
          <w:p w14:paraId="3C15B6E4" w14:textId="77777777" w:rsidR="000A380F" w:rsidRPr="000A380F" w:rsidRDefault="000A380F" w:rsidP="000A380F">
            <w:pPr>
              <w:spacing w:after="0"/>
              <w:ind w:firstLineChars="100" w:firstLine="160"/>
              <w:rPr>
                <w:rFonts w:ascii="Arial" w:hAnsi="Arial" w:cs="Arial"/>
                <w:color w:val="auto"/>
                <w:sz w:val="16"/>
                <w:szCs w:val="16"/>
              </w:rPr>
            </w:pPr>
            <w:r w:rsidRPr="000A380F">
              <w:rPr>
                <w:rFonts w:ascii="Arial" w:hAnsi="Arial" w:cs="Arial"/>
                <w:color w:val="auto"/>
                <w:sz w:val="16"/>
                <w:szCs w:val="16"/>
              </w:rPr>
              <w:t>Prior year appropriation available</w:t>
            </w:r>
          </w:p>
        </w:tc>
        <w:tc>
          <w:tcPr>
            <w:tcW w:w="1320" w:type="dxa"/>
            <w:tcBorders>
              <w:top w:val="nil"/>
              <w:left w:val="nil"/>
              <w:bottom w:val="nil"/>
              <w:right w:val="nil"/>
            </w:tcBorders>
            <w:shd w:val="clear" w:color="auto" w:fill="auto"/>
            <w:noWrap/>
            <w:vAlign w:val="bottom"/>
            <w:hideMark/>
          </w:tcPr>
          <w:p w14:paraId="28162644" w14:textId="77777777" w:rsidR="000A380F" w:rsidRPr="000A380F" w:rsidRDefault="000A380F" w:rsidP="000A380F">
            <w:pPr>
              <w:spacing w:after="0"/>
              <w:jc w:val="right"/>
              <w:rPr>
                <w:rFonts w:ascii="Arial" w:hAnsi="Arial" w:cs="Arial"/>
                <w:color w:val="auto"/>
                <w:sz w:val="16"/>
                <w:szCs w:val="16"/>
              </w:rPr>
            </w:pPr>
            <w:r w:rsidRPr="000A380F">
              <w:rPr>
                <w:rFonts w:ascii="Arial" w:hAnsi="Arial" w:cs="Arial"/>
                <w:color w:val="auto"/>
                <w:sz w:val="16"/>
                <w:szCs w:val="16"/>
              </w:rPr>
              <w:t>3,965</w:t>
            </w:r>
          </w:p>
        </w:tc>
        <w:tc>
          <w:tcPr>
            <w:tcW w:w="1320" w:type="dxa"/>
            <w:tcBorders>
              <w:top w:val="nil"/>
              <w:left w:val="nil"/>
              <w:bottom w:val="nil"/>
              <w:right w:val="nil"/>
            </w:tcBorders>
            <w:shd w:val="clear" w:color="000000" w:fill="D9D9D9"/>
            <w:noWrap/>
            <w:vAlign w:val="bottom"/>
            <w:hideMark/>
          </w:tcPr>
          <w:p w14:paraId="74C6C595" w14:textId="77777777" w:rsidR="000A380F" w:rsidRPr="000A380F" w:rsidRDefault="000A380F" w:rsidP="000A380F">
            <w:pPr>
              <w:spacing w:after="0"/>
              <w:jc w:val="right"/>
              <w:rPr>
                <w:rFonts w:ascii="Arial" w:hAnsi="Arial" w:cs="Arial"/>
                <w:color w:val="auto"/>
                <w:sz w:val="16"/>
                <w:szCs w:val="16"/>
              </w:rPr>
            </w:pPr>
            <w:r w:rsidRPr="000A380F">
              <w:rPr>
                <w:rFonts w:ascii="Arial" w:hAnsi="Arial" w:cs="Arial"/>
                <w:color w:val="auto"/>
                <w:sz w:val="16"/>
                <w:szCs w:val="16"/>
              </w:rPr>
              <w:t>3,465</w:t>
            </w:r>
          </w:p>
        </w:tc>
      </w:tr>
      <w:tr w:rsidR="000A380F" w:rsidRPr="000A380F" w14:paraId="702EB28F" w14:textId="77777777" w:rsidTr="000A380F">
        <w:trPr>
          <w:trHeight w:val="300"/>
        </w:trPr>
        <w:tc>
          <w:tcPr>
            <w:tcW w:w="4660" w:type="dxa"/>
            <w:tcBorders>
              <w:top w:val="nil"/>
              <w:left w:val="nil"/>
              <w:bottom w:val="nil"/>
              <w:right w:val="nil"/>
            </w:tcBorders>
            <w:shd w:val="clear" w:color="auto" w:fill="auto"/>
            <w:noWrap/>
            <w:vAlign w:val="bottom"/>
            <w:hideMark/>
          </w:tcPr>
          <w:p w14:paraId="1EF18AC0" w14:textId="77777777" w:rsidR="000A380F" w:rsidRPr="000A380F" w:rsidRDefault="000A380F" w:rsidP="000A380F">
            <w:pPr>
              <w:spacing w:after="0"/>
              <w:ind w:firstLineChars="100" w:firstLine="160"/>
              <w:rPr>
                <w:rFonts w:ascii="Arial" w:hAnsi="Arial" w:cs="Arial"/>
                <w:b/>
                <w:bCs/>
                <w:color w:val="auto"/>
                <w:sz w:val="16"/>
                <w:szCs w:val="16"/>
              </w:rPr>
            </w:pPr>
            <w:r w:rsidRPr="000A380F">
              <w:rPr>
                <w:rFonts w:ascii="Arial" w:hAnsi="Arial" w:cs="Arial"/>
                <w:b/>
                <w:bCs/>
                <w:color w:val="auto"/>
                <w:sz w:val="16"/>
                <w:szCs w:val="16"/>
              </w:rPr>
              <w:t>Annual appropriations</w:t>
            </w:r>
          </w:p>
        </w:tc>
        <w:tc>
          <w:tcPr>
            <w:tcW w:w="1320" w:type="dxa"/>
            <w:tcBorders>
              <w:top w:val="nil"/>
              <w:left w:val="nil"/>
              <w:bottom w:val="nil"/>
              <w:right w:val="nil"/>
            </w:tcBorders>
            <w:shd w:val="clear" w:color="auto" w:fill="auto"/>
            <w:noWrap/>
            <w:vAlign w:val="bottom"/>
            <w:hideMark/>
          </w:tcPr>
          <w:p w14:paraId="3364AAE3" w14:textId="77777777" w:rsidR="000A380F" w:rsidRPr="000A380F" w:rsidRDefault="000A380F" w:rsidP="000A380F">
            <w:pPr>
              <w:spacing w:after="0"/>
              <w:ind w:firstLineChars="100" w:firstLine="160"/>
              <w:rPr>
                <w:rFonts w:ascii="Arial" w:hAnsi="Arial" w:cs="Arial"/>
                <w:b/>
                <w:bCs/>
                <w:color w:val="auto"/>
                <w:sz w:val="16"/>
                <w:szCs w:val="16"/>
              </w:rPr>
            </w:pPr>
          </w:p>
        </w:tc>
        <w:tc>
          <w:tcPr>
            <w:tcW w:w="1320" w:type="dxa"/>
            <w:tcBorders>
              <w:top w:val="nil"/>
              <w:left w:val="nil"/>
              <w:bottom w:val="nil"/>
              <w:right w:val="nil"/>
            </w:tcBorders>
            <w:shd w:val="clear" w:color="000000" w:fill="D9D9D9"/>
            <w:noWrap/>
            <w:vAlign w:val="bottom"/>
            <w:hideMark/>
          </w:tcPr>
          <w:p w14:paraId="37FC96B7" w14:textId="77777777" w:rsidR="000A380F" w:rsidRPr="000A380F" w:rsidRDefault="000A380F" w:rsidP="000A380F">
            <w:pPr>
              <w:spacing w:after="0"/>
              <w:jc w:val="right"/>
              <w:rPr>
                <w:rFonts w:ascii="Arial" w:hAnsi="Arial" w:cs="Arial"/>
                <w:b/>
                <w:bCs/>
                <w:color w:val="auto"/>
                <w:sz w:val="16"/>
                <w:szCs w:val="16"/>
              </w:rPr>
            </w:pPr>
            <w:r w:rsidRPr="000A380F">
              <w:rPr>
                <w:rFonts w:ascii="Arial" w:hAnsi="Arial" w:cs="Arial"/>
                <w:b/>
                <w:bCs/>
                <w:color w:val="auto"/>
                <w:sz w:val="16"/>
                <w:szCs w:val="16"/>
              </w:rPr>
              <w:t> </w:t>
            </w:r>
          </w:p>
        </w:tc>
      </w:tr>
      <w:tr w:rsidR="000A380F" w:rsidRPr="000A380F" w14:paraId="361E9B15" w14:textId="77777777" w:rsidTr="000A380F">
        <w:trPr>
          <w:trHeight w:val="225"/>
        </w:trPr>
        <w:tc>
          <w:tcPr>
            <w:tcW w:w="4660" w:type="dxa"/>
            <w:tcBorders>
              <w:top w:val="nil"/>
              <w:left w:val="nil"/>
              <w:bottom w:val="nil"/>
              <w:right w:val="nil"/>
            </w:tcBorders>
            <w:shd w:val="clear" w:color="auto" w:fill="auto"/>
            <w:noWrap/>
            <w:vAlign w:val="bottom"/>
            <w:hideMark/>
          </w:tcPr>
          <w:p w14:paraId="4A850E1C" w14:textId="77777777" w:rsidR="000A380F" w:rsidRPr="000A380F" w:rsidRDefault="000A380F" w:rsidP="000A380F">
            <w:pPr>
              <w:spacing w:after="0"/>
              <w:ind w:firstLineChars="200" w:firstLine="320"/>
              <w:rPr>
                <w:rFonts w:ascii="Arial" w:hAnsi="Arial" w:cs="Arial"/>
                <w:color w:val="auto"/>
                <w:sz w:val="16"/>
                <w:szCs w:val="16"/>
              </w:rPr>
            </w:pPr>
            <w:r w:rsidRPr="000A380F">
              <w:rPr>
                <w:rFonts w:ascii="Arial" w:hAnsi="Arial" w:cs="Arial"/>
                <w:color w:val="auto"/>
                <w:sz w:val="16"/>
                <w:szCs w:val="16"/>
              </w:rPr>
              <w:t>Ordinary annual services</w:t>
            </w:r>
            <w:r w:rsidRPr="000A380F">
              <w:rPr>
                <w:rFonts w:ascii="Arial" w:hAnsi="Arial" w:cs="Arial"/>
                <w:color w:val="auto"/>
                <w:sz w:val="16"/>
                <w:szCs w:val="16"/>
                <w:vertAlign w:val="superscript"/>
              </w:rPr>
              <w:t xml:space="preserve"> (a)</w:t>
            </w:r>
          </w:p>
        </w:tc>
        <w:tc>
          <w:tcPr>
            <w:tcW w:w="1320" w:type="dxa"/>
            <w:tcBorders>
              <w:top w:val="nil"/>
              <w:left w:val="nil"/>
              <w:bottom w:val="nil"/>
              <w:right w:val="nil"/>
            </w:tcBorders>
            <w:shd w:val="clear" w:color="auto" w:fill="auto"/>
            <w:noWrap/>
            <w:vAlign w:val="bottom"/>
            <w:hideMark/>
          </w:tcPr>
          <w:p w14:paraId="6D7B333E" w14:textId="77777777" w:rsidR="000A380F" w:rsidRPr="000A380F" w:rsidRDefault="000A380F" w:rsidP="000A380F">
            <w:pPr>
              <w:spacing w:after="0"/>
              <w:ind w:firstLineChars="200" w:firstLine="320"/>
              <w:rPr>
                <w:rFonts w:ascii="Arial" w:hAnsi="Arial" w:cs="Arial"/>
                <w:color w:val="auto"/>
                <w:sz w:val="16"/>
                <w:szCs w:val="16"/>
              </w:rPr>
            </w:pPr>
          </w:p>
        </w:tc>
        <w:tc>
          <w:tcPr>
            <w:tcW w:w="1320" w:type="dxa"/>
            <w:tcBorders>
              <w:top w:val="nil"/>
              <w:left w:val="nil"/>
              <w:bottom w:val="nil"/>
              <w:right w:val="nil"/>
            </w:tcBorders>
            <w:shd w:val="clear" w:color="000000" w:fill="D9D9D9"/>
            <w:noWrap/>
            <w:vAlign w:val="bottom"/>
            <w:hideMark/>
          </w:tcPr>
          <w:p w14:paraId="2A69C105" w14:textId="77777777" w:rsidR="000A380F" w:rsidRPr="000A380F" w:rsidRDefault="000A380F" w:rsidP="000A380F">
            <w:pPr>
              <w:spacing w:after="0"/>
              <w:jc w:val="right"/>
              <w:rPr>
                <w:rFonts w:ascii="Arial" w:hAnsi="Arial" w:cs="Arial"/>
                <w:b/>
                <w:bCs/>
                <w:color w:val="auto"/>
                <w:sz w:val="16"/>
                <w:szCs w:val="16"/>
              </w:rPr>
            </w:pPr>
            <w:r w:rsidRPr="000A380F">
              <w:rPr>
                <w:rFonts w:ascii="Arial" w:hAnsi="Arial" w:cs="Arial"/>
                <w:b/>
                <w:bCs/>
                <w:color w:val="auto"/>
                <w:sz w:val="16"/>
                <w:szCs w:val="16"/>
              </w:rPr>
              <w:t> </w:t>
            </w:r>
          </w:p>
        </w:tc>
      </w:tr>
      <w:tr w:rsidR="000A380F" w:rsidRPr="000A380F" w14:paraId="0CAF6E11" w14:textId="77777777" w:rsidTr="000A380F">
        <w:trPr>
          <w:trHeight w:val="225"/>
        </w:trPr>
        <w:tc>
          <w:tcPr>
            <w:tcW w:w="4660" w:type="dxa"/>
            <w:tcBorders>
              <w:top w:val="nil"/>
              <w:left w:val="nil"/>
              <w:bottom w:val="nil"/>
              <w:right w:val="nil"/>
            </w:tcBorders>
            <w:shd w:val="clear" w:color="auto" w:fill="auto"/>
            <w:noWrap/>
            <w:vAlign w:val="bottom"/>
            <w:hideMark/>
          </w:tcPr>
          <w:p w14:paraId="4F304C4B" w14:textId="77777777" w:rsidR="000A380F" w:rsidRPr="000A380F" w:rsidRDefault="000A380F" w:rsidP="000A380F">
            <w:pPr>
              <w:spacing w:after="0"/>
              <w:ind w:firstLineChars="300" w:firstLine="480"/>
              <w:rPr>
                <w:rFonts w:ascii="Arial" w:hAnsi="Arial" w:cs="Arial"/>
                <w:color w:val="auto"/>
                <w:sz w:val="16"/>
                <w:szCs w:val="16"/>
              </w:rPr>
            </w:pPr>
            <w:r w:rsidRPr="000A380F">
              <w:rPr>
                <w:rFonts w:ascii="Arial" w:hAnsi="Arial" w:cs="Arial"/>
                <w:color w:val="auto"/>
                <w:sz w:val="16"/>
                <w:szCs w:val="16"/>
              </w:rPr>
              <w:t>Departmental appropriation</w:t>
            </w:r>
          </w:p>
        </w:tc>
        <w:tc>
          <w:tcPr>
            <w:tcW w:w="1320" w:type="dxa"/>
            <w:tcBorders>
              <w:top w:val="nil"/>
              <w:left w:val="nil"/>
              <w:bottom w:val="nil"/>
              <w:right w:val="nil"/>
            </w:tcBorders>
            <w:shd w:val="clear" w:color="auto" w:fill="auto"/>
            <w:noWrap/>
            <w:vAlign w:val="bottom"/>
            <w:hideMark/>
          </w:tcPr>
          <w:p w14:paraId="0AEBC705" w14:textId="77777777" w:rsidR="000A380F" w:rsidRPr="000A380F" w:rsidRDefault="000A380F" w:rsidP="000A380F">
            <w:pPr>
              <w:spacing w:after="0"/>
              <w:jc w:val="right"/>
              <w:rPr>
                <w:rFonts w:ascii="Arial" w:hAnsi="Arial" w:cs="Arial"/>
                <w:color w:val="auto"/>
                <w:sz w:val="16"/>
                <w:szCs w:val="16"/>
              </w:rPr>
            </w:pPr>
            <w:r w:rsidRPr="000A380F">
              <w:rPr>
                <w:rFonts w:ascii="Arial" w:hAnsi="Arial" w:cs="Arial"/>
                <w:color w:val="auto"/>
                <w:sz w:val="16"/>
                <w:szCs w:val="16"/>
              </w:rPr>
              <w:t>36,309</w:t>
            </w:r>
          </w:p>
        </w:tc>
        <w:tc>
          <w:tcPr>
            <w:tcW w:w="1320" w:type="dxa"/>
            <w:tcBorders>
              <w:top w:val="nil"/>
              <w:left w:val="nil"/>
              <w:bottom w:val="nil"/>
              <w:right w:val="nil"/>
            </w:tcBorders>
            <w:shd w:val="clear" w:color="000000" w:fill="D9D9D9"/>
            <w:noWrap/>
            <w:vAlign w:val="bottom"/>
            <w:hideMark/>
          </w:tcPr>
          <w:p w14:paraId="123EC244" w14:textId="77777777" w:rsidR="000A380F" w:rsidRPr="000A380F" w:rsidRDefault="000A380F" w:rsidP="000A380F">
            <w:pPr>
              <w:spacing w:after="0"/>
              <w:jc w:val="right"/>
              <w:rPr>
                <w:rFonts w:ascii="Arial" w:hAnsi="Arial" w:cs="Arial"/>
                <w:color w:val="auto"/>
                <w:sz w:val="16"/>
                <w:szCs w:val="16"/>
              </w:rPr>
            </w:pPr>
            <w:r w:rsidRPr="000A380F">
              <w:rPr>
                <w:rFonts w:ascii="Arial" w:hAnsi="Arial" w:cs="Arial"/>
                <w:color w:val="auto"/>
                <w:sz w:val="16"/>
                <w:szCs w:val="16"/>
              </w:rPr>
              <w:t>37,414</w:t>
            </w:r>
          </w:p>
        </w:tc>
      </w:tr>
      <w:tr w:rsidR="000A380F" w:rsidRPr="000A380F" w14:paraId="34570E7B" w14:textId="77777777" w:rsidTr="000A380F">
        <w:trPr>
          <w:trHeight w:val="225"/>
        </w:trPr>
        <w:tc>
          <w:tcPr>
            <w:tcW w:w="4660" w:type="dxa"/>
            <w:tcBorders>
              <w:top w:val="nil"/>
              <w:left w:val="nil"/>
              <w:bottom w:val="nil"/>
              <w:right w:val="nil"/>
            </w:tcBorders>
            <w:shd w:val="clear" w:color="auto" w:fill="auto"/>
            <w:noWrap/>
            <w:vAlign w:val="bottom"/>
            <w:hideMark/>
          </w:tcPr>
          <w:p w14:paraId="411E40F7" w14:textId="77777777" w:rsidR="000A380F" w:rsidRPr="000A380F" w:rsidRDefault="000A380F" w:rsidP="000A380F">
            <w:pPr>
              <w:spacing w:after="0"/>
              <w:ind w:firstLineChars="300" w:firstLine="480"/>
              <w:rPr>
                <w:rFonts w:ascii="Arial" w:hAnsi="Arial" w:cs="Arial"/>
                <w:color w:val="auto"/>
                <w:sz w:val="16"/>
                <w:szCs w:val="16"/>
              </w:rPr>
            </w:pPr>
            <w:r w:rsidRPr="000A380F">
              <w:rPr>
                <w:rFonts w:ascii="Arial" w:hAnsi="Arial" w:cs="Arial"/>
                <w:color w:val="auto"/>
                <w:sz w:val="16"/>
                <w:szCs w:val="16"/>
              </w:rPr>
              <w:t>s74 retained revenue receipts</w:t>
            </w:r>
            <w:r w:rsidRPr="000A380F">
              <w:rPr>
                <w:rFonts w:ascii="Arial" w:hAnsi="Arial" w:cs="Arial"/>
                <w:color w:val="auto"/>
                <w:sz w:val="16"/>
                <w:szCs w:val="16"/>
                <w:vertAlign w:val="superscript"/>
              </w:rPr>
              <w:t xml:space="preserve"> (b)</w:t>
            </w:r>
          </w:p>
        </w:tc>
        <w:tc>
          <w:tcPr>
            <w:tcW w:w="1320" w:type="dxa"/>
            <w:tcBorders>
              <w:top w:val="nil"/>
              <w:left w:val="nil"/>
              <w:bottom w:val="nil"/>
              <w:right w:val="nil"/>
            </w:tcBorders>
            <w:shd w:val="clear" w:color="auto" w:fill="auto"/>
            <w:noWrap/>
            <w:vAlign w:val="bottom"/>
            <w:hideMark/>
          </w:tcPr>
          <w:p w14:paraId="40AF25D0" w14:textId="77777777" w:rsidR="000A380F" w:rsidRPr="000A380F" w:rsidRDefault="000A380F" w:rsidP="000A380F">
            <w:pPr>
              <w:spacing w:after="0"/>
              <w:jc w:val="right"/>
              <w:rPr>
                <w:rFonts w:ascii="Arial" w:hAnsi="Arial" w:cs="Arial"/>
                <w:color w:val="auto"/>
                <w:sz w:val="16"/>
                <w:szCs w:val="16"/>
              </w:rPr>
            </w:pPr>
            <w:r w:rsidRPr="000A380F">
              <w:rPr>
                <w:rFonts w:ascii="Arial" w:hAnsi="Arial" w:cs="Arial"/>
                <w:color w:val="auto"/>
                <w:sz w:val="16"/>
                <w:szCs w:val="16"/>
              </w:rPr>
              <w:t>16,749</w:t>
            </w:r>
          </w:p>
        </w:tc>
        <w:tc>
          <w:tcPr>
            <w:tcW w:w="1320" w:type="dxa"/>
            <w:tcBorders>
              <w:top w:val="nil"/>
              <w:left w:val="nil"/>
              <w:bottom w:val="nil"/>
              <w:right w:val="nil"/>
            </w:tcBorders>
            <w:shd w:val="clear" w:color="000000" w:fill="D9D9D9"/>
            <w:noWrap/>
            <w:vAlign w:val="bottom"/>
            <w:hideMark/>
          </w:tcPr>
          <w:p w14:paraId="1A4A6D7D" w14:textId="77777777" w:rsidR="000A380F" w:rsidRPr="000A380F" w:rsidRDefault="000A380F" w:rsidP="000A380F">
            <w:pPr>
              <w:spacing w:after="0"/>
              <w:jc w:val="right"/>
              <w:rPr>
                <w:rFonts w:ascii="Arial" w:hAnsi="Arial" w:cs="Arial"/>
                <w:color w:val="auto"/>
                <w:sz w:val="16"/>
                <w:szCs w:val="16"/>
              </w:rPr>
            </w:pPr>
            <w:r w:rsidRPr="000A380F">
              <w:rPr>
                <w:rFonts w:ascii="Arial" w:hAnsi="Arial" w:cs="Arial"/>
                <w:color w:val="auto"/>
                <w:sz w:val="16"/>
                <w:szCs w:val="16"/>
              </w:rPr>
              <w:t>16,668</w:t>
            </w:r>
          </w:p>
        </w:tc>
      </w:tr>
      <w:tr w:rsidR="000A380F" w:rsidRPr="000A380F" w14:paraId="5CB81C7E" w14:textId="77777777" w:rsidTr="000A380F">
        <w:trPr>
          <w:trHeight w:val="225"/>
        </w:trPr>
        <w:tc>
          <w:tcPr>
            <w:tcW w:w="4660" w:type="dxa"/>
            <w:tcBorders>
              <w:top w:val="nil"/>
              <w:left w:val="nil"/>
              <w:bottom w:val="nil"/>
              <w:right w:val="nil"/>
            </w:tcBorders>
            <w:shd w:val="clear" w:color="auto" w:fill="auto"/>
            <w:noWrap/>
            <w:vAlign w:val="bottom"/>
            <w:hideMark/>
          </w:tcPr>
          <w:p w14:paraId="0AD355C2" w14:textId="77777777" w:rsidR="000A380F" w:rsidRPr="000A380F" w:rsidRDefault="000A380F" w:rsidP="000A380F">
            <w:pPr>
              <w:spacing w:after="0"/>
              <w:ind w:firstLineChars="300" w:firstLine="480"/>
              <w:rPr>
                <w:rFonts w:ascii="Arial" w:hAnsi="Arial" w:cs="Arial"/>
                <w:color w:val="auto"/>
                <w:sz w:val="16"/>
                <w:szCs w:val="16"/>
              </w:rPr>
            </w:pPr>
            <w:r w:rsidRPr="000A380F">
              <w:rPr>
                <w:rFonts w:ascii="Arial" w:hAnsi="Arial" w:cs="Arial"/>
                <w:color w:val="auto"/>
                <w:sz w:val="16"/>
                <w:szCs w:val="16"/>
              </w:rPr>
              <w:t>Departmental Capital Budget</w:t>
            </w:r>
            <w:r w:rsidRPr="000A380F">
              <w:rPr>
                <w:rFonts w:ascii="Arial" w:hAnsi="Arial" w:cs="Arial"/>
                <w:color w:val="auto"/>
                <w:sz w:val="16"/>
                <w:szCs w:val="16"/>
                <w:vertAlign w:val="superscript"/>
              </w:rPr>
              <w:t xml:space="preserve"> (c)</w:t>
            </w:r>
          </w:p>
        </w:tc>
        <w:tc>
          <w:tcPr>
            <w:tcW w:w="1320" w:type="dxa"/>
            <w:tcBorders>
              <w:top w:val="nil"/>
              <w:left w:val="nil"/>
              <w:bottom w:val="nil"/>
              <w:right w:val="nil"/>
            </w:tcBorders>
            <w:shd w:val="clear" w:color="auto" w:fill="auto"/>
            <w:noWrap/>
            <w:vAlign w:val="bottom"/>
            <w:hideMark/>
          </w:tcPr>
          <w:p w14:paraId="688DBB7B" w14:textId="77777777" w:rsidR="000A380F" w:rsidRPr="000A380F" w:rsidRDefault="000A380F" w:rsidP="000A380F">
            <w:pPr>
              <w:spacing w:after="0"/>
              <w:jc w:val="right"/>
              <w:rPr>
                <w:rFonts w:ascii="Arial" w:hAnsi="Arial" w:cs="Arial"/>
                <w:color w:val="auto"/>
                <w:sz w:val="16"/>
                <w:szCs w:val="16"/>
              </w:rPr>
            </w:pPr>
            <w:r w:rsidRPr="000A380F">
              <w:rPr>
                <w:rFonts w:ascii="Arial" w:hAnsi="Arial" w:cs="Arial"/>
                <w:color w:val="auto"/>
                <w:sz w:val="16"/>
                <w:szCs w:val="16"/>
              </w:rPr>
              <w:t>179</w:t>
            </w:r>
          </w:p>
        </w:tc>
        <w:tc>
          <w:tcPr>
            <w:tcW w:w="1320" w:type="dxa"/>
            <w:tcBorders>
              <w:top w:val="nil"/>
              <w:left w:val="nil"/>
              <w:bottom w:val="nil"/>
              <w:right w:val="nil"/>
            </w:tcBorders>
            <w:shd w:val="clear" w:color="000000" w:fill="D9D9D9"/>
            <w:noWrap/>
            <w:vAlign w:val="bottom"/>
            <w:hideMark/>
          </w:tcPr>
          <w:p w14:paraId="205E4CE1" w14:textId="77777777" w:rsidR="000A380F" w:rsidRPr="000A380F" w:rsidRDefault="000A380F" w:rsidP="000A380F">
            <w:pPr>
              <w:spacing w:after="0"/>
              <w:jc w:val="right"/>
              <w:rPr>
                <w:rFonts w:ascii="Arial" w:hAnsi="Arial" w:cs="Arial"/>
                <w:color w:val="auto"/>
                <w:sz w:val="16"/>
                <w:szCs w:val="16"/>
              </w:rPr>
            </w:pPr>
            <w:r w:rsidRPr="000A380F">
              <w:rPr>
                <w:rFonts w:ascii="Arial" w:hAnsi="Arial" w:cs="Arial"/>
                <w:color w:val="auto"/>
                <w:sz w:val="16"/>
                <w:szCs w:val="16"/>
              </w:rPr>
              <w:t>185</w:t>
            </w:r>
          </w:p>
        </w:tc>
      </w:tr>
      <w:tr w:rsidR="000A380F" w:rsidRPr="000A380F" w14:paraId="62484065" w14:textId="77777777" w:rsidTr="000A380F">
        <w:trPr>
          <w:trHeight w:val="300"/>
        </w:trPr>
        <w:tc>
          <w:tcPr>
            <w:tcW w:w="4660" w:type="dxa"/>
            <w:tcBorders>
              <w:top w:val="nil"/>
              <w:left w:val="nil"/>
              <w:bottom w:val="nil"/>
              <w:right w:val="nil"/>
            </w:tcBorders>
            <w:shd w:val="clear" w:color="auto" w:fill="auto"/>
            <w:noWrap/>
            <w:vAlign w:val="bottom"/>
            <w:hideMark/>
          </w:tcPr>
          <w:p w14:paraId="1E29F5ED" w14:textId="77777777" w:rsidR="000A380F" w:rsidRPr="000A380F" w:rsidRDefault="000A380F" w:rsidP="000A380F">
            <w:pPr>
              <w:spacing w:after="0"/>
              <w:ind w:firstLineChars="200" w:firstLine="320"/>
              <w:rPr>
                <w:rFonts w:ascii="Arial" w:hAnsi="Arial" w:cs="Arial"/>
                <w:color w:val="auto"/>
                <w:sz w:val="16"/>
                <w:szCs w:val="16"/>
              </w:rPr>
            </w:pPr>
            <w:r w:rsidRPr="000A380F">
              <w:rPr>
                <w:rFonts w:ascii="Arial" w:hAnsi="Arial" w:cs="Arial"/>
                <w:color w:val="auto"/>
                <w:sz w:val="16"/>
                <w:szCs w:val="16"/>
              </w:rPr>
              <w:t>Other services</w:t>
            </w:r>
            <w:r w:rsidRPr="000A380F">
              <w:rPr>
                <w:rFonts w:ascii="Arial" w:hAnsi="Arial" w:cs="Arial"/>
                <w:color w:val="auto"/>
                <w:sz w:val="16"/>
                <w:szCs w:val="16"/>
                <w:vertAlign w:val="superscript"/>
              </w:rPr>
              <w:t xml:space="preserve"> (d)</w:t>
            </w:r>
          </w:p>
        </w:tc>
        <w:tc>
          <w:tcPr>
            <w:tcW w:w="1320" w:type="dxa"/>
            <w:tcBorders>
              <w:top w:val="nil"/>
              <w:left w:val="nil"/>
              <w:bottom w:val="nil"/>
              <w:right w:val="nil"/>
            </w:tcBorders>
            <w:shd w:val="clear" w:color="auto" w:fill="auto"/>
            <w:noWrap/>
            <w:vAlign w:val="bottom"/>
            <w:hideMark/>
          </w:tcPr>
          <w:p w14:paraId="4ACC4B01" w14:textId="77777777" w:rsidR="000A380F" w:rsidRPr="000A380F" w:rsidRDefault="000A380F" w:rsidP="000A380F">
            <w:pPr>
              <w:spacing w:after="0"/>
              <w:ind w:firstLineChars="200" w:firstLine="320"/>
              <w:rPr>
                <w:rFonts w:ascii="Arial" w:hAnsi="Arial" w:cs="Arial"/>
                <w:color w:val="auto"/>
                <w:sz w:val="16"/>
                <w:szCs w:val="16"/>
              </w:rPr>
            </w:pPr>
          </w:p>
        </w:tc>
        <w:tc>
          <w:tcPr>
            <w:tcW w:w="1320" w:type="dxa"/>
            <w:tcBorders>
              <w:top w:val="nil"/>
              <w:left w:val="nil"/>
              <w:bottom w:val="nil"/>
              <w:right w:val="nil"/>
            </w:tcBorders>
            <w:shd w:val="clear" w:color="000000" w:fill="D9D9D9"/>
            <w:noWrap/>
            <w:vAlign w:val="bottom"/>
            <w:hideMark/>
          </w:tcPr>
          <w:p w14:paraId="1A665143" w14:textId="77777777" w:rsidR="000A380F" w:rsidRPr="000A380F" w:rsidRDefault="000A380F" w:rsidP="000A380F">
            <w:pPr>
              <w:spacing w:after="0"/>
              <w:jc w:val="right"/>
              <w:rPr>
                <w:rFonts w:ascii="Arial" w:hAnsi="Arial" w:cs="Arial"/>
                <w:color w:val="auto"/>
                <w:sz w:val="16"/>
                <w:szCs w:val="16"/>
              </w:rPr>
            </w:pPr>
            <w:r w:rsidRPr="000A380F">
              <w:rPr>
                <w:rFonts w:ascii="Arial" w:hAnsi="Arial" w:cs="Arial"/>
                <w:color w:val="auto"/>
                <w:sz w:val="16"/>
                <w:szCs w:val="16"/>
              </w:rPr>
              <w:t> </w:t>
            </w:r>
          </w:p>
        </w:tc>
      </w:tr>
      <w:tr w:rsidR="000A380F" w:rsidRPr="000A380F" w14:paraId="360BA499" w14:textId="77777777" w:rsidTr="000A380F">
        <w:trPr>
          <w:trHeight w:val="225"/>
        </w:trPr>
        <w:tc>
          <w:tcPr>
            <w:tcW w:w="4660" w:type="dxa"/>
            <w:tcBorders>
              <w:top w:val="nil"/>
              <w:left w:val="nil"/>
              <w:bottom w:val="nil"/>
              <w:right w:val="nil"/>
            </w:tcBorders>
            <w:shd w:val="clear" w:color="auto" w:fill="auto"/>
            <w:noWrap/>
            <w:vAlign w:val="bottom"/>
            <w:hideMark/>
          </w:tcPr>
          <w:p w14:paraId="08DB405B" w14:textId="77777777" w:rsidR="000A380F" w:rsidRPr="000A380F" w:rsidRDefault="000A380F" w:rsidP="000A380F">
            <w:pPr>
              <w:spacing w:after="0"/>
              <w:ind w:firstLineChars="300" w:firstLine="480"/>
              <w:rPr>
                <w:rFonts w:ascii="Arial" w:hAnsi="Arial" w:cs="Arial"/>
                <w:color w:val="auto"/>
                <w:sz w:val="16"/>
                <w:szCs w:val="16"/>
              </w:rPr>
            </w:pPr>
            <w:r w:rsidRPr="000A380F">
              <w:rPr>
                <w:rFonts w:ascii="Arial" w:hAnsi="Arial" w:cs="Arial"/>
                <w:color w:val="auto"/>
                <w:sz w:val="16"/>
                <w:szCs w:val="16"/>
              </w:rPr>
              <w:t>Equity injection</w:t>
            </w:r>
          </w:p>
        </w:tc>
        <w:tc>
          <w:tcPr>
            <w:tcW w:w="1320" w:type="dxa"/>
            <w:tcBorders>
              <w:top w:val="nil"/>
              <w:left w:val="nil"/>
              <w:bottom w:val="nil"/>
              <w:right w:val="nil"/>
            </w:tcBorders>
            <w:shd w:val="clear" w:color="auto" w:fill="auto"/>
            <w:noWrap/>
            <w:vAlign w:val="bottom"/>
            <w:hideMark/>
          </w:tcPr>
          <w:p w14:paraId="5E40987B" w14:textId="35F2A6AA" w:rsidR="000A380F" w:rsidRPr="000A380F" w:rsidRDefault="00221C8D" w:rsidP="000A380F">
            <w:pPr>
              <w:spacing w:after="0"/>
              <w:jc w:val="right"/>
              <w:rPr>
                <w:rFonts w:ascii="Arial" w:hAnsi="Arial" w:cs="Arial"/>
                <w:color w:val="auto"/>
                <w:sz w:val="16"/>
                <w:szCs w:val="16"/>
              </w:rPr>
            </w:pPr>
            <w:r>
              <w:rPr>
                <w:rFonts w:ascii="Arial" w:hAnsi="Arial" w:cs="Arial"/>
                <w:color w:val="auto"/>
                <w:sz w:val="16"/>
                <w:szCs w:val="16"/>
              </w:rPr>
              <w:t>-</w:t>
            </w:r>
          </w:p>
        </w:tc>
        <w:tc>
          <w:tcPr>
            <w:tcW w:w="1320" w:type="dxa"/>
            <w:tcBorders>
              <w:top w:val="nil"/>
              <w:left w:val="nil"/>
              <w:bottom w:val="nil"/>
              <w:right w:val="nil"/>
            </w:tcBorders>
            <w:shd w:val="clear" w:color="000000" w:fill="D9D9D9"/>
            <w:noWrap/>
            <w:vAlign w:val="bottom"/>
            <w:hideMark/>
          </w:tcPr>
          <w:p w14:paraId="6F269414" w14:textId="46213611" w:rsidR="000A380F" w:rsidRPr="000A380F" w:rsidRDefault="00221C8D" w:rsidP="000A380F">
            <w:pPr>
              <w:spacing w:after="0"/>
              <w:jc w:val="right"/>
              <w:rPr>
                <w:rFonts w:ascii="Arial" w:hAnsi="Arial" w:cs="Arial"/>
                <w:color w:val="auto"/>
                <w:sz w:val="16"/>
                <w:szCs w:val="16"/>
              </w:rPr>
            </w:pPr>
            <w:r>
              <w:rPr>
                <w:rFonts w:ascii="Arial" w:hAnsi="Arial" w:cs="Arial"/>
                <w:color w:val="auto"/>
                <w:sz w:val="16"/>
                <w:szCs w:val="16"/>
              </w:rPr>
              <w:t>-</w:t>
            </w:r>
          </w:p>
        </w:tc>
      </w:tr>
      <w:tr w:rsidR="000A380F" w:rsidRPr="000A380F" w14:paraId="3F0B9F96" w14:textId="77777777" w:rsidTr="000A380F">
        <w:trPr>
          <w:trHeight w:val="225"/>
        </w:trPr>
        <w:tc>
          <w:tcPr>
            <w:tcW w:w="4660" w:type="dxa"/>
            <w:tcBorders>
              <w:top w:val="nil"/>
              <w:left w:val="nil"/>
              <w:bottom w:val="nil"/>
              <w:right w:val="nil"/>
            </w:tcBorders>
            <w:shd w:val="clear" w:color="auto" w:fill="auto"/>
            <w:noWrap/>
            <w:vAlign w:val="bottom"/>
            <w:hideMark/>
          </w:tcPr>
          <w:p w14:paraId="77B6599F" w14:textId="77777777" w:rsidR="000A380F" w:rsidRPr="000A380F" w:rsidRDefault="000A380F" w:rsidP="000A380F">
            <w:pPr>
              <w:spacing w:after="0"/>
              <w:ind w:firstLineChars="200" w:firstLine="320"/>
              <w:rPr>
                <w:rFonts w:ascii="Arial" w:hAnsi="Arial" w:cs="Arial"/>
                <w:b/>
                <w:bCs/>
                <w:color w:val="auto"/>
                <w:sz w:val="16"/>
                <w:szCs w:val="16"/>
              </w:rPr>
            </w:pPr>
            <w:r w:rsidRPr="000A380F">
              <w:rPr>
                <w:rFonts w:ascii="Arial" w:hAnsi="Arial" w:cs="Arial"/>
                <w:b/>
                <w:bCs/>
                <w:color w:val="auto"/>
                <w:sz w:val="16"/>
                <w:szCs w:val="16"/>
              </w:rPr>
              <w:t>Total departmental annual appropriations</w:t>
            </w:r>
          </w:p>
        </w:tc>
        <w:tc>
          <w:tcPr>
            <w:tcW w:w="1320" w:type="dxa"/>
            <w:tcBorders>
              <w:top w:val="nil"/>
              <w:left w:val="nil"/>
              <w:bottom w:val="single" w:sz="4" w:space="0" w:color="auto"/>
              <w:right w:val="nil"/>
            </w:tcBorders>
            <w:shd w:val="clear" w:color="auto" w:fill="auto"/>
            <w:noWrap/>
            <w:vAlign w:val="bottom"/>
            <w:hideMark/>
          </w:tcPr>
          <w:p w14:paraId="29991303" w14:textId="77777777" w:rsidR="000A380F" w:rsidRPr="000A380F" w:rsidRDefault="000A380F" w:rsidP="000A380F">
            <w:pPr>
              <w:spacing w:after="0"/>
              <w:jc w:val="right"/>
              <w:rPr>
                <w:rFonts w:ascii="Arial" w:hAnsi="Arial" w:cs="Arial"/>
                <w:b/>
                <w:bCs/>
                <w:color w:val="auto"/>
                <w:sz w:val="16"/>
                <w:szCs w:val="16"/>
              </w:rPr>
            </w:pPr>
            <w:r w:rsidRPr="000A380F">
              <w:rPr>
                <w:rFonts w:ascii="Arial" w:hAnsi="Arial" w:cs="Arial"/>
                <w:b/>
                <w:bCs/>
                <w:color w:val="auto"/>
                <w:sz w:val="16"/>
                <w:szCs w:val="16"/>
              </w:rPr>
              <w:t>53,237</w:t>
            </w:r>
          </w:p>
        </w:tc>
        <w:tc>
          <w:tcPr>
            <w:tcW w:w="1320" w:type="dxa"/>
            <w:tcBorders>
              <w:top w:val="nil"/>
              <w:left w:val="nil"/>
              <w:bottom w:val="single" w:sz="4" w:space="0" w:color="auto"/>
              <w:right w:val="nil"/>
            </w:tcBorders>
            <w:shd w:val="clear" w:color="000000" w:fill="D9D9D9"/>
            <w:noWrap/>
            <w:vAlign w:val="bottom"/>
            <w:hideMark/>
          </w:tcPr>
          <w:p w14:paraId="707B2371" w14:textId="77777777" w:rsidR="000A380F" w:rsidRPr="000A380F" w:rsidRDefault="000A380F" w:rsidP="000A380F">
            <w:pPr>
              <w:spacing w:after="0"/>
              <w:jc w:val="right"/>
              <w:rPr>
                <w:rFonts w:ascii="Arial" w:hAnsi="Arial" w:cs="Arial"/>
                <w:b/>
                <w:bCs/>
                <w:color w:val="auto"/>
                <w:sz w:val="16"/>
                <w:szCs w:val="16"/>
              </w:rPr>
            </w:pPr>
            <w:r w:rsidRPr="000A380F">
              <w:rPr>
                <w:rFonts w:ascii="Arial" w:hAnsi="Arial" w:cs="Arial"/>
                <w:b/>
                <w:bCs/>
                <w:color w:val="auto"/>
                <w:sz w:val="16"/>
                <w:szCs w:val="16"/>
              </w:rPr>
              <w:t>54,267</w:t>
            </w:r>
          </w:p>
        </w:tc>
      </w:tr>
      <w:tr w:rsidR="000A380F" w:rsidRPr="000A380F" w14:paraId="0208F155" w14:textId="77777777" w:rsidTr="000A380F">
        <w:trPr>
          <w:trHeight w:val="300"/>
        </w:trPr>
        <w:tc>
          <w:tcPr>
            <w:tcW w:w="4660" w:type="dxa"/>
            <w:tcBorders>
              <w:top w:val="nil"/>
              <w:left w:val="nil"/>
              <w:bottom w:val="nil"/>
              <w:right w:val="nil"/>
            </w:tcBorders>
            <w:shd w:val="clear" w:color="auto" w:fill="auto"/>
            <w:noWrap/>
            <w:vAlign w:val="bottom"/>
            <w:hideMark/>
          </w:tcPr>
          <w:p w14:paraId="3BF608F2" w14:textId="77777777" w:rsidR="000A380F" w:rsidRPr="000A380F" w:rsidRDefault="000A380F" w:rsidP="000A380F">
            <w:pPr>
              <w:spacing w:after="0"/>
              <w:ind w:firstLineChars="100" w:firstLine="160"/>
              <w:rPr>
                <w:rFonts w:ascii="Arial" w:hAnsi="Arial" w:cs="Arial"/>
                <w:b/>
                <w:bCs/>
                <w:color w:val="auto"/>
                <w:sz w:val="16"/>
                <w:szCs w:val="16"/>
              </w:rPr>
            </w:pPr>
            <w:r w:rsidRPr="000A380F">
              <w:rPr>
                <w:rFonts w:ascii="Arial" w:hAnsi="Arial" w:cs="Arial"/>
                <w:b/>
                <w:bCs/>
                <w:color w:val="auto"/>
                <w:sz w:val="16"/>
                <w:szCs w:val="16"/>
              </w:rPr>
              <w:t>Total departmental resourcing for NHMRC</w:t>
            </w:r>
          </w:p>
        </w:tc>
        <w:tc>
          <w:tcPr>
            <w:tcW w:w="1320" w:type="dxa"/>
            <w:tcBorders>
              <w:top w:val="nil"/>
              <w:left w:val="nil"/>
              <w:bottom w:val="single" w:sz="4" w:space="0" w:color="auto"/>
              <w:right w:val="nil"/>
            </w:tcBorders>
            <w:shd w:val="clear" w:color="auto" w:fill="auto"/>
            <w:noWrap/>
            <w:vAlign w:val="bottom"/>
            <w:hideMark/>
          </w:tcPr>
          <w:p w14:paraId="68C20261" w14:textId="77777777" w:rsidR="000A380F" w:rsidRPr="000A380F" w:rsidRDefault="000A380F" w:rsidP="000A380F">
            <w:pPr>
              <w:spacing w:after="0"/>
              <w:jc w:val="right"/>
              <w:rPr>
                <w:rFonts w:ascii="Arial" w:hAnsi="Arial" w:cs="Arial"/>
                <w:b/>
                <w:bCs/>
                <w:color w:val="auto"/>
                <w:sz w:val="16"/>
                <w:szCs w:val="16"/>
              </w:rPr>
            </w:pPr>
            <w:r w:rsidRPr="000A380F">
              <w:rPr>
                <w:rFonts w:ascii="Arial" w:hAnsi="Arial" w:cs="Arial"/>
                <w:b/>
                <w:bCs/>
                <w:color w:val="auto"/>
                <w:sz w:val="16"/>
                <w:szCs w:val="16"/>
              </w:rPr>
              <w:t>57,202</w:t>
            </w:r>
          </w:p>
        </w:tc>
        <w:tc>
          <w:tcPr>
            <w:tcW w:w="1320" w:type="dxa"/>
            <w:tcBorders>
              <w:top w:val="nil"/>
              <w:left w:val="nil"/>
              <w:bottom w:val="single" w:sz="4" w:space="0" w:color="auto"/>
              <w:right w:val="nil"/>
            </w:tcBorders>
            <w:shd w:val="clear" w:color="000000" w:fill="D9D9D9"/>
            <w:noWrap/>
            <w:vAlign w:val="bottom"/>
            <w:hideMark/>
          </w:tcPr>
          <w:p w14:paraId="75E2349A" w14:textId="77777777" w:rsidR="000A380F" w:rsidRPr="000A380F" w:rsidRDefault="000A380F" w:rsidP="000A380F">
            <w:pPr>
              <w:spacing w:after="0"/>
              <w:jc w:val="right"/>
              <w:rPr>
                <w:rFonts w:ascii="Arial" w:hAnsi="Arial" w:cs="Arial"/>
                <w:b/>
                <w:bCs/>
                <w:color w:val="auto"/>
                <w:sz w:val="16"/>
                <w:szCs w:val="16"/>
              </w:rPr>
            </w:pPr>
            <w:r w:rsidRPr="000A380F">
              <w:rPr>
                <w:rFonts w:ascii="Arial" w:hAnsi="Arial" w:cs="Arial"/>
                <w:b/>
                <w:bCs/>
                <w:color w:val="auto"/>
                <w:sz w:val="16"/>
                <w:szCs w:val="16"/>
              </w:rPr>
              <w:t>57,732</w:t>
            </w:r>
          </w:p>
        </w:tc>
      </w:tr>
    </w:tbl>
    <w:p w14:paraId="242966E8" w14:textId="2E345093" w:rsidR="000A380F" w:rsidRDefault="000A380F">
      <w:pPr>
        <w:spacing w:after="160" w:line="259" w:lineRule="auto"/>
      </w:pPr>
      <w:r>
        <w:br w:type="page"/>
      </w:r>
    </w:p>
    <w:p w14:paraId="4BD6A536" w14:textId="082253BD" w:rsidR="000A380F" w:rsidRDefault="000A380F" w:rsidP="000A380F">
      <w:pPr>
        <w:pStyle w:val="Tablenumberandreference"/>
      </w:pPr>
      <w:r w:rsidRPr="005407C4">
        <w:rPr>
          <w:color w:val="000000" w:themeColor="text1"/>
        </w:rPr>
        <w:lastRenderedPageBreak/>
        <w:t xml:space="preserve">Table 1.1: NHMRC </w:t>
      </w:r>
      <w:r>
        <w:t>r</w:t>
      </w:r>
      <w:r w:rsidRPr="003322E9">
        <w:t xml:space="preserve">esource </w:t>
      </w:r>
      <w:r>
        <w:t>s</w:t>
      </w:r>
      <w:r w:rsidRPr="003322E9">
        <w:t xml:space="preserve">tatement – Budget </w:t>
      </w:r>
      <w:r>
        <w:t>e</w:t>
      </w:r>
      <w:r w:rsidRPr="003322E9">
        <w:t xml:space="preserve">stimates </w:t>
      </w:r>
      <w:r>
        <w:t xml:space="preserve">for 2023–24 </w:t>
      </w:r>
      <w:r w:rsidRPr="00626350">
        <w:t>as at Budget </w:t>
      </w:r>
      <w:r>
        <w:t xml:space="preserve">May </w:t>
      </w:r>
      <w:r w:rsidRPr="00626350">
        <w:t>202</w:t>
      </w:r>
      <w:r>
        <w:t>3 (continued)</w:t>
      </w:r>
    </w:p>
    <w:tbl>
      <w:tblPr>
        <w:tblW w:w="7300" w:type="dxa"/>
        <w:tblLayout w:type="fixed"/>
        <w:tblLook w:val="04A0" w:firstRow="1" w:lastRow="0" w:firstColumn="1" w:lastColumn="0" w:noHBand="0" w:noVBand="1"/>
      </w:tblPr>
      <w:tblGrid>
        <w:gridCol w:w="4660"/>
        <w:gridCol w:w="1320"/>
        <w:gridCol w:w="1320"/>
      </w:tblGrid>
      <w:tr w:rsidR="000A380F" w:rsidRPr="000A380F" w14:paraId="3A49DD14" w14:textId="77777777" w:rsidTr="000A380F">
        <w:trPr>
          <w:trHeight w:val="765"/>
        </w:trPr>
        <w:tc>
          <w:tcPr>
            <w:tcW w:w="4660" w:type="dxa"/>
            <w:tcBorders>
              <w:top w:val="single" w:sz="4" w:space="0" w:color="auto"/>
              <w:left w:val="nil"/>
              <w:bottom w:val="nil"/>
              <w:right w:val="nil"/>
            </w:tcBorders>
            <w:shd w:val="clear" w:color="auto" w:fill="auto"/>
            <w:hideMark/>
          </w:tcPr>
          <w:p w14:paraId="28415F83" w14:textId="77777777" w:rsidR="000A380F" w:rsidRPr="000A380F" w:rsidRDefault="000A380F" w:rsidP="000A380F">
            <w:pPr>
              <w:spacing w:before="40" w:after="0"/>
              <w:jc w:val="right"/>
              <w:rPr>
                <w:rFonts w:ascii="Arial" w:hAnsi="Arial" w:cs="Arial"/>
                <w:b/>
                <w:bCs/>
                <w:color w:val="auto"/>
                <w:sz w:val="16"/>
                <w:szCs w:val="16"/>
              </w:rPr>
            </w:pPr>
            <w:r w:rsidRPr="000A380F">
              <w:rPr>
                <w:rFonts w:ascii="Arial" w:hAnsi="Arial" w:cs="Arial"/>
                <w:b/>
                <w:bCs/>
                <w:color w:val="auto"/>
                <w:sz w:val="16"/>
                <w:szCs w:val="16"/>
              </w:rPr>
              <w:t> </w:t>
            </w:r>
          </w:p>
        </w:tc>
        <w:tc>
          <w:tcPr>
            <w:tcW w:w="1320" w:type="dxa"/>
            <w:tcBorders>
              <w:top w:val="single" w:sz="4" w:space="0" w:color="auto"/>
              <w:left w:val="nil"/>
              <w:bottom w:val="single" w:sz="4" w:space="0" w:color="auto"/>
              <w:right w:val="nil"/>
            </w:tcBorders>
            <w:shd w:val="clear" w:color="auto" w:fill="auto"/>
            <w:hideMark/>
          </w:tcPr>
          <w:p w14:paraId="6EF9EF97" w14:textId="77777777" w:rsidR="000A380F" w:rsidRPr="000A380F" w:rsidRDefault="000A380F" w:rsidP="000A380F">
            <w:pPr>
              <w:spacing w:before="40" w:after="0"/>
              <w:jc w:val="right"/>
              <w:rPr>
                <w:rFonts w:ascii="Arial" w:hAnsi="Arial" w:cs="Arial"/>
                <w:b/>
                <w:bCs/>
                <w:color w:val="auto"/>
                <w:sz w:val="16"/>
                <w:szCs w:val="16"/>
              </w:rPr>
            </w:pPr>
            <w:r w:rsidRPr="000A380F">
              <w:rPr>
                <w:rFonts w:ascii="Arial" w:hAnsi="Arial" w:cs="Arial"/>
                <w:b/>
                <w:bCs/>
                <w:color w:val="auto"/>
                <w:sz w:val="16"/>
                <w:szCs w:val="16"/>
              </w:rPr>
              <w:t>2022–23 Estimated actual</w:t>
            </w:r>
            <w:r w:rsidRPr="000A380F">
              <w:rPr>
                <w:rFonts w:ascii="Arial" w:hAnsi="Arial" w:cs="Arial"/>
                <w:b/>
                <w:bCs/>
                <w:color w:val="auto"/>
                <w:sz w:val="16"/>
                <w:szCs w:val="16"/>
              </w:rPr>
              <w:br/>
              <w:t>$'000</w:t>
            </w:r>
          </w:p>
        </w:tc>
        <w:tc>
          <w:tcPr>
            <w:tcW w:w="1320" w:type="dxa"/>
            <w:tcBorders>
              <w:top w:val="single" w:sz="4" w:space="0" w:color="auto"/>
              <w:left w:val="nil"/>
              <w:bottom w:val="single" w:sz="4" w:space="0" w:color="auto"/>
              <w:right w:val="nil"/>
            </w:tcBorders>
            <w:shd w:val="clear" w:color="000000" w:fill="D9D9D9"/>
            <w:hideMark/>
          </w:tcPr>
          <w:p w14:paraId="056978BF" w14:textId="77777777" w:rsidR="000A380F" w:rsidRPr="000A380F" w:rsidRDefault="000A380F" w:rsidP="000A380F">
            <w:pPr>
              <w:spacing w:before="40" w:after="0"/>
              <w:jc w:val="right"/>
              <w:rPr>
                <w:rFonts w:ascii="Arial" w:hAnsi="Arial" w:cs="Arial"/>
                <w:b/>
                <w:bCs/>
                <w:color w:val="auto"/>
                <w:sz w:val="16"/>
                <w:szCs w:val="16"/>
              </w:rPr>
            </w:pPr>
            <w:r w:rsidRPr="000A380F">
              <w:rPr>
                <w:rFonts w:ascii="Arial" w:hAnsi="Arial" w:cs="Arial"/>
                <w:b/>
                <w:bCs/>
                <w:color w:val="auto"/>
                <w:sz w:val="16"/>
                <w:szCs w:val="16"/>
              </w:rPr>
              <w:t>2023–24</w:t>
            </w:r>
            <w:r w:rsidRPr="000A380F">
              <w:rPr>
                <w:rFonts w:ascii="Arial" w:hAnsi="Arial" w:cs="Arial"/>
                <w:b/>
                <w:bCs/>
                <w:color w:val="auto"/>
                <w:sz w:val="16"/>
                <w:szCs w:val="16"/>
              </w:rPr>
              <w:br/>
              <w:t>Estimate</w:t>
            </w:r>
            <w:r w:rsidRPr="000A380F">
              <w:rPr>
                <w:rFonts w:ascii="Arial" w:hAnsi="Arial" w:cs="Arial"/>
                <w:b/>
                <w:bCs/>
                <w:color w:val="auto"/>
                <w:sz w:val="16"/>
                <w:szCs w:val="16"/>
              </w:rPr>
              <w:br/>
            </w:r>
            <w:r w:rsidRPr="000A380F">
              <w:rPr>
                <w:rFonts w:ascii="Arial" w:hAnsi="Arial" w:cs="Arial"/>
                <w:b/>
                <w:bCs/>
                <w:color w:val="auto"/>
                <w:sz w:val="16"/>
                <w:szCs w:val="16"/>
              </w:rPr>
              <w:br/>
              <w:t>$'000</w:t>
            </w:r>
          </w:p>
        </w:tc>
      </w:tr>
      <w:tr w:rsidR="000A380F" w:rsidRPr="000A380F" w14:paraId="32B12C3B" w14:textId="77777777" w:rsidTr="000A380F">
        <w:trPr>
          <w:trHeight w:val="450"/>
        </w:trPr>
        <w:tc>
          <w:tcPr>
            <w:tcW w:w="4660" w:type="dxa"/>
            <w:tcBorders>
              <w:top w:val="nil"/>
              <w:left w:val="nil"/>
              <w:bottom w:val="nil"/>
              <w:right w:val="nil"/>
            </w:tcBorders>
            <w:shd w:val="clear" w:color="auto" w:fill="auto"/>
            <w:noWrap/>
            <w:vAlign w:val="bottom"/>
            <w:hideMark/>
          </w:tcPr>
          <w:p w14:paraId="3EB309C1" w14:textId="77777777" w:rsidR="000A380F" w:rsidRPr="000A380F" w:rsidRDefault="000A380F" w:rsidP="000A380F">
            <w:pPr>
              <w:spacing w:after="0"/>
              <w:rPr>
                <w:rFonts w:ascii="Arial" w:hAnsi="Arial" w:cs="Arial"/>
                <w:b/>
                <w:bCs/>
                <w:color w:val="auto"/>
                <w:sz w:val="16"/>
                <w:szCs w:val="16"/>
              </w:rPr>
            </w:pPr>
            <w:r w:rsidRPr="000A380F">
              <w:rPr>
                <w:rFonts w:ascii="Arial" w:hAnsi="Arial" w:cs="Arial"/>
                <w:b/>
                <w:bCs/>
                <w:color w:val="auto"/>
                <w:sz w:val="16"/>
                <w:szCs w:val="16"/>
              </w:rPr>
              <w:t>ADMINISTERED</w:t>
            </w:r>
          </w:p>
        </w:tc>
        <w:tc>
          <w:tcPr>
            <w:tcW w:w="1320" w:type="dxa"/>
            <w:tcBorders>
              <w:top w:val="nil"/>
              <w:left w:val="nil"/>
              <w:bottom w:val="nil"/>
              <w:right w:val="nil"/>
            </w:tcBorders>
            <w:shd w:val="clear" w:color="auto" w:fill="auto"/>
            <w:noWrap/>
            <w:vAlign w:val="bottom"/>
            <w:hideMark/>
          </w:tcPr>
          <w:p w14:paraId="758A0182" w14:textId="77777777" w:rsidR="000A380F" w:rsidRPr="000A380F" w:rsidRDefault="000A380F" w:rsidP="000A380F">
            <w:pPr>
              <w:spacing w:after="0"/>
              <w:rPr>
                <w:rFonts w:ascii="Arial" w:hAnsi="Arial" w:cs="Arial"/>
                <w:b/>
                <w:bCs/>
                <w:color w:val="auto"/>
                <w:sz w:val="16"/>
                <w:szCs w:val="16"/>
              </w:rPr>
            </w:pPr>
          </w:p>
        </w:tc>
        <w:tc>
          <w:tcPr>
            <w:tcW w:w="1320" w:type="dxa"/>
            <w:tcBorders>
              <w:top w:val="nil"/>
              <w:left w:val="nil"/>
              <w:bottom w:val="nil"/>
              <w:right w:val="nil"/>
            </w:tcBorders>
            <w:shd w:val="clear" w:color="000000" w:fill="D9D9D9"/>
            <w:vAlign w:val="bottom"/>
            <w:hideMark/>
          </w:tcPr>
          <w:p w14:paraId="4A68D49B" w14:textId="77777777" w:rsidR="000A380F" w:rsidRPr="000A380F" w:rsidRDefault="000A380F" w:rsidP="000A380F">
            <w:pPr>
              <w:spacing w:after="0"/>
              <w:jc w:val="right"/>
              <w:rPr>
                <w:rFonts w:ascii="Arial" w:hAnsi="Arial" w:cs="Arial"/>
                <w:color w:val="auto"/>
                <w:sz w:val="16"/>
                <w:szCs w:val="16"/>
              </w:rPr>
            </w:pPr>
            <w:r w:rsidRPr="000A380F">
              <w:rPr>
                <w:rFonts w:ascii="Arial" w:hAnsi="Arial" w:cs="Arial"/>
                <w:color w:val="auto"/>
                <w:sz w:val="16"/>
                <w:szCs w:val="16"/>
              </w:rPr>
              <w:t> </w:t>
            </w:r>
          </w:p>
        </w:tc>
      </w:tr>
      <w:tr w:rsidR="000A380F" w:rsidRPr="000A380F" w14:paraId="5BC1C69C" w14:textId="77777777" w:rsidTr="000A380F">
        <w:trPr>
          <w:trHeight w:val="300"/>
        </w:trPr>
        <w:tc>
          <w:tcPr>
            <w:tcW w:w="4660" w:type="dxa"/>
            <w:tcBorders>
              <w:top w:val="nil"/>
              <w:left w:val="nil"/>
              <w:bottom w:val="nil"/>
              <w:right w:val="nil"/>
            </w:tcBorders>
            <w:shd w:val="clear" w:color="auto" w:fill="auto"/>
            <w:noWrap/>
            <w:vAlign w:val="bottom"/>
            <w:hideMark/>
          </w:tcPr>
          <w:p w14:paraId="51FA98D1" w14:textId="77777777" w:rsidR="000A380F" w:rsidRPr="000A380F" w:rsidRDefault="000A380F" w:rsidP="000A380F">
            <w:pPr>
              <w:spacing w:after="0"/>
              <w:ind w:firstLineChars="100" w:firstLine="160"/>
              <w:rPr>
                <w:rFonts w:ascii="Arial" w:hAnsi="Arial" w:cs="Arial"/>
                <w:b/>
                <w:bCs/>
                <w:color w:val="auto"/>
                <w:sz w:val="16"/>
                <w:szCs w:val="16"/>
              </w:rPr>
            </w:pPr>
            <w:r w:rsidRPr="000A380F">
              <w:rPr>
                <w:rFonts w:ascii="Arial" w:hAnsi="Arial" w:cs="Arial"/>
                <w:b/>
                <w:bCs/>
                <w:color w:val="auto"/>
                <w:sz w:val="16"/>
                <w:szCs w:val="16"/>
              </w:rPr>
              <w:t>Annual appropriations</w:t>
            </w:r>
          </w:p>
        </w:tc>
        <w:tc>
          <w:tcPr>
            <w:tcW w:w="1320" w:type="dxa"/>
            <w:tcBorders>
              <w:top w:val="nil"/>
              <w:left w:val="nil"/>
              <w:bottom w:val="nil"/>
              <w:right w:val="nil"/>
            </w:tcBorders>
            <w:shd w:val="clear" w:color="auto" w:fill="auto"/>
            <w:noWrap/>
            <w:vAlign w:val="bottom"/>
            <w:hideMark/>
          </w:tcPr>
          <w:p w14:paraId="15C56B69" w14:textId="77777777" w:rsidR="000A380F" w:rsidRPr="000A380F" w:rsidRDefault="000A380F" w:rsidP="000A380F">
            <w:pPr>
              <w:spacing w:after="0"/>
              <w:ind w:firstLineChars="100" w:firstLine="160"/>
              <w:rPr>
                <w:rFonts w:ascii="Arial" w:hAnsi="Arial" w:cs="Arial"/>
                <w:b/>
                <w:bCs/>
                <w:color w:val="auto"/>
                <w:sz w:val="16"/>
                <w:szCs w:val="16"/>
              </w:rPr>
            </w:pPr>
          </w:p>
        </w:tc>
        <w:tc>
          <w:tcPr>
            <w:tcW w:w="1320" w:type="dxa"/>
            <w:tcBorders>
              <w:top w:val="nil"/>
              <w:left w:val="nil"/>
              <w:bottom w:val="nil"/>
              <w:right w:val="nil"/>
            </w:tcBorders>
            <w:shd w:val="clear" w:color="000000" w:fill="D9D9D9"/>
            <w:vAlign w:val="bottom"/>
            <w:hideMark/>
          </w:tcPr>
          <w:p w14:paraId="51B65AAF" w14:textId="77777777" w:rsidR="000A380F" w:rsidRPr="000A380F" w:rsidRDefault="000A380F" w:rsidP="000A380F">
            <w:pPr>
              <w:spacing w:after="0"/>
              <w:jc w:val="right"/>
              <w:rPr>
                <w:rFonts w:ascii="Arial" w:hAnsi="Arial" w:cs="Arial"/>
                <w:color w:val="auto"/>
                <w:sz w:val="16"/>
                <w:szCs w:val="16"/>
              </w:rPr>
            </w:pPr>
            <w:r w:rsidRPr="000A380F">
              <w:rPr>
                <w:rFonts w:ascii="Arial" w:hAnsi="Arial" w:cs="Arial"/>
                <w:color w:val="auto"/>
                <w:sz w:val="16"/>
                <w:szCs w:val="16"/>
              </w:rPr>
              <w:t> </w:t>
            </w:r>
          </w:p>
        </w:tc>
      </w:tr>
      <w:tr w:rsidR="000A380F" w:rsidRPr="000A380F" w14:paraId="3C419624" w14:textId="77777777" w:rsidTr="000A380F">
        <w:trPr>
          <w:trHeight w:val="225"/>
        </w:trPr>
        <w:tc>
          <w:tcPr>
            <w:tcW w:w="4660" w:type="dxa"/>
            <w:tcBorders>
              <w:top w:val="nil"/>
              <w:left w:val="nil"/>
              <w:bottom w:val="nil"/>
              <w:right w:val="nil"/>
            </w:tcBorders>
            <w:shd w:val="clear" w:color="auto" w:fill="auto"/>
            <w:noWrap/>
            <w:vAlign w:val="bottom"/>
            <w:hideMark/>
          </w:tcPr>
          <w:p w14:paraId="33ED431D" w14:textId="77777777" w:rsidR="000A380F" w:rsidRPr="000A380F" w:rsidRDefault="000A380F" w:rsidP="000A380F">
            <w:pPr>
              <w:spacing w:after="0"/>
              <w:ind w:firstLineChars="200" w:firstLine="320"/>
              <w:rPr>
                <w:rFonts w:ascii="Arial" w:hAnsi="Arial" w:cs="Arial"/>
                <w:color w:val="auto"/>
                <w:sz w:val="16"/>
                <w:szCs w:val="16"/>
              </w:rPr>
            </w:pPr>
            <w:r w:rsidRPr="000A380F">
              <w:rPr>
                <w:rFonts w:ascii="Arial" w:hAnsi="Arial" w:cs="Arial"/>
                <w:color w:val="auto"/>
                <w:sz w:val="16"/>
                <w:szCs w:val="16"/>
              </w:rPr>
              <w:t>Ordinary annual services</w:t>
            </w:r>
            <w:r w:rsidRPr="000A380F">
              <w:rPr>
                <w:rFonts w:ascii="Arial" w:hAnsi="Arial" w:cs="Arial"/>
                <w:color w:val="auto"/>
                <w:sz w:val="16"/>
                <w:szCs w:val="16"/>
                <w:vertAlign w:val="superscript"/>
              </w:rPr>
              <w:t xml:space="preserve"> (a)</w:t>
            </w:r>
          </w:p>
        </w:tc>
        <w:tc>
          <w:tcPr>
            <w:tcW w:w="1320" w:type="dxa"/>
            <w:tcBorders>
              <w:top w:val="nil"/>
              <w:left w:val="nil"/>
              <w:bottom w:val="nil"/>
              <w:right w:val="nil"/>
            </w:tcBorders>
            <w:shd w:val="clear" w:color="auto" w:fill="auto"/>
            <w:noWrap/>
            <w:vAlign w:val="bottom"/>
            <w:hideMark/>
          </w:tcPr>
          <w:p w14:paraId="30346D5A" w14:textId="77777777" w:rsidR="000A380F" w:rsidRPr="000A380F" w:rsidRDefault="000A380F" w:rsidP="000A380F">
            <w:pPr>
              <w:spacing w:after="0"/>
              <w:ind w:firstLineChars="200" w:firstLine="320"/>
              <w:rPr>
                <w:rFonts w:ascii="Arial" w:hAnsi="Arial" w:cs="Arial"/>
                <w:color w:val="auto"/>
                <w:sz w:val="16"/>
                <w:szCs w:val="16"/>
              </w:rPr>
            </w:pPr>
          </w:p>
        </w:tc>
        <w:tc>
          <w:tcPr>
            <w:tcW w:w="1320" w:type="dxa"/>
            <w:tcBorders>
              <w:top w:val="nil"/>
              <w:left w:val="nil"/>
              <w:bottom w:val="nil"/>
              <w:right w:val="nil"/>
            </w:tcBorders>
            <w:shd w:val="clear" w:color="000000" w:fill="D9D9D9"/>
            <w:vAlign w:val="bottom"/>
            <w:hideMark/>
          </w:tcPr>
          <w:p w14:paraId="6653E9EA" w14:textId="77777777" w:rsidR="000A380F" w:rsidRPr="000A380F" w:rsidRDefault="000A380F" w:rsidP="000A380F">
            <w:pPr>
              <w:spacing w:after="0"/>
              <w:jc w:val="right"/>
              <w:rPr>
                <w:rFonts w:ascii="Arial" w:hAnsi="Arial" w:cs="Arial"/>
                <w:color w:val="auto"/>
                <w:sz w:val="16"/>
                <w:szCs w:val="16"/>
              </w:rPr>
            </w:pPr>
            <w:r w:rsidRPr="000A380F">
              <w:rPr>
                <w:rFonts w:ascii="Arial" w:hAnsi="Arial" w:cs="Arial"/>
                <w:color w:val="auto"/>
                <w:sz w:val="16"/>
                <w:szCs w:val="16"/>
              </w:rPr>
              <w:t> </w:t>
            </w:r>
          </w:p>
        </w:tc>
      </w:tr>
      <w:tr w:rsidR="000A380F" w:rsidRPr="000A380F" w14:paraId="1F21B8DB" w14:textId="77777777" w:rsidTr="000A380F">
        <w:trPr>
          <w:trHeight w:val="225"/>
        </w:trPr>
        <w:tc>
          <w:tcPr>
            <w:tcW w:w="4660" w:type="dxa"/>
            <w:tcBorders>
              <w:top w:val="nil"/>
              <w:left w:val="nil"/>
              <w:bottom w:val="nil"/>
              <w:right w:val="nil"/>
            </w:tcBorders>
            <w:shd w:val="clear" w:color="auto" w:fill="auto"/>
            <w:noWrap/>
            <w:vAlign w:val="bottom"/>
            <w:hideMark/>
          </w:tcPr>
          <w:p w14:paraId="3B29BEA4" w14:textId="77777777" w:rsidR="000A380F" w:rsidRPr="000A380F" w:rsidRDefault="000A380F" w:rsidP="000A380F">
            <w:pPr>
              <w:spacing w:after="0"/>
              <w:ind w:firstLineChars="300" w:firstLine="480"/>
              <w:rPr>
                <w:rFonts w:ascii="Arial" w:hAnsi="Arial" w:cs="Arial"/>
                <w:color w:val="auto"/>
                <w:sz w:val="16"/>
                <w:szCs w:val="16"/>
              </w:rPr>
            </w:pPr>
            <w:r w:rsidRPr="000A380F">
              <w:rPr>
                <w:rFonts w:ascii="Arial" w:hAnsi="Arial" w:cs="Arial"/>
                <w:color w:val="auto"/>
                <w:sz w:val="16"/>
                <w:szCs w:val="16"/>
              </w:rPr>
              <w:t>Outcome 1</w:t>
            </w:r>
          </w:p>
        </w:tc>
        <w:tc>
          <w:tcPr>
            <w:tcW w:w="1320" w:type="dxa"/>
            <w:tcBorders>
              <w:top w:val="nil"/>
              <w:left w:val="nil"/>
              <w:bottom w:val="nil"/>
              <w:right w:val="nil"/>
            </w:tcBorders>
            <w:shd w:val="clear" w:color="auto" w:fill="auto"/>
            <w:noWrap/>
            <w:vAlign w:val="bottom"/>
            <w:hideMark/>
          </w:tcPr>
          <w:p w14:paraId="4B837211" w14:textId="77777777" w:rsidR="000A380F" w:rsidRPr="000A380F" w:rsidRDefault="000A380F" w:rsidP="000A380F">
            <w:pPr>
              <w:spacing w:after="0"/>
              <w:jc w:val="right"/>
              <w:rPr>
                <w:rFonts w:ascii="Arial" w:hAnsi="Arial" w:cs="Arial"/>
                <w:color w:val="auto"/>
                <w:sz w:val="16"/>
                <w:szCs w:val="16"/>
              </w:rPr>
            </w:pPr>
            <w:r w:rsidRPr="000A380F">
              <w:rPr>
                <w:rFonts w:ascii="Arial" w:hAnsi="Arial" w:cs="Arial"/>
                <w:color w:val="auto"/>
                <w:sz w:val="16"/>
                <w:szCs w:val="16"/>
              </w:rPr>
              <w:t>893,049</w:t>
            </w:r>
          </w:p>
        </w:tc>
        <w:tc>
          <w:tcPr>
            <w:tcW w:w="1320" w:type="dxa"/>
            <w:tcBorders>
              <w:top w:val="nil"/>
              <w:left w:val="nil"/>
              <w:bottom w:val="nil"/>
              <w:right w:val="nil"/>
            </w:tcBorders>
            <w:shd w:val="clear" w:color="000000" w:fill="D9D9D9"/>
            <w:noWrap/>
            <w:vAlign w:val="bottom"/>
            <w:hideMark/>
          </w:tcPr>
          <w:p w14:paraId="0CBBE3E0" w14:textId="77777777" w:rsidR="000A380F" w:rsidRPr="000A380F" w:rsidRDefault="000A380F" w:rsidP="000A380F">
            <w:pPr>
              <w:spacing w:after="0"/>
              <w:jc w:val="right"/>
              <w:rPr>
                <w:rFonts w:ascii="Arial" w:hAnsi="Arial" w:cs="Arial"/>
                <w:color w:val="auto"/>
                <w:sz w:val="16"/>
                <w:szCs w:val="16"/>
              </w:rPr>
            </w:pPr>
            <w:r w:rsidRPr="000A380F">
              <w:rPr>
                <w:rFonts w:ascii="Arial" w:hAnsi="Arial" w:cs="Arial"/>
                <w:color w:val="auto"/>
                <w:sz w:val="16"/>
                <w:szCs w:val="16"/>
              </w:rPr>
              <w:t>923,780</w:t>
            </w:r>
          </w:p>
        </w:tc>
      </w:tr>
      <w:tr w:rsidR="000A380F" w:rsidRPr="000A380F" w14:paraId="6C949AC8" w14:textId="77777777" w:rsidTr="000A380F">
        <w:trPr>
          <w:trHeight w:val="300"/>
        </w:trPr>
        <w:tc>
          <w:tcPr>
            <w:tcW w:w="4660" w:type="dxa"/>
            <w:tcBorders>
              <w:top w:val="nil"/>
              <w:left w:val="nil"/>
              <w:bottom w:val="nil"/>
              <w:right w:val="nil"/>
            </w:tcBorders>
            <w:shd w:val="clear" w:color="auto" w:fill="auto"/>
            <w:noWrap/>
            <w:vAlign w:val="bottom"/>
            <w:hideMark/>
          </w:tcPr>
          <w:p w14:paraId="6BBD710A" w14:textId="77777777" w:rsidR="000A380F" w:rsidRPr="000A380F" w:rsidRDefault="000A380F" w:rsidP="000A380F">
            <w:pPr>
              <w:spacing w:after="0"/>
              <w:ind w:firstLineChars="200" w:firstLine="320"/>
              <w:rPr>
                <w:rFonts w:ascii="Arial" w:hAnsi="Arial" w:cs="Arial"/>
                <w:color w:val="auto"/>
                <w:sz w:val="16"/>
                <w:szCs w:val="16"/>
              </w:rPr>
            </w:pPr>
            <w:r w:rsidRPr="000A380F">
              <w:rPr>
                <w:rFonts w:ascii="Arial" w:hAnsi="Arial" w:cs="Arial"/>
                <w:color w:val="auto"/>
                <w:sz w:val="16"/>
                <w:szCs w:val="16"/>
              </w:rPr>
              <w:t>Other services</w:t>
            </w:r>
            <w:r w:rsidRPr="000A380F">
              <w:rPr>
                <w:rFonts w:ascii="Arial" w:hAnsi="Arial" w:cs="Arial"/>
                <w:color w:val="auto"/>
                <w:sz w:val="16"/>
                <w:szCs w:val="16"/>
                <w:vertAlign w:val="superscript"/>
              </w:rPr>
              <w:t xml:space="preserve"> (d)</w:t>
            </w:r>
          </w:p>
        </w:tc>
        <w:tc>
          <w:tcPr>
            <w:tcW w:w="1320" w:type="dxa"/>
            <w:tcBorders>
              <w:top w:val="nil"/>
              <w:left w:val="nil"/>
              <w:bottom w:val="nil"/>
              <w:right w:val="nil"/>
            </w:tcBorders>
            <w:shd w:val="clear" w:color="auto" w:fill="auto"/>
            <w:noWrap/>
            <w:vAlign w:val="bottom"/>
            <w:hideMark/>
          </w:tcPr>
          <w:p w14:paraId="5DA67169" w14:textId="77777777" w:rsidR="000A380F" w:rsidRPr="000A380F" w:rsidRDefault="000A380F" w:rsidP="000A380F">
            <w:pPr>
              <w:spacing w:after="0"/>
              <w:ind w:firstLineChars="200" w:firstLine="320"/>
              <w:rPr>
                <w:rFonts w:ascii="Arial" w:hAnsi="Arial" w:cs="Arial"/>
                <w:color w:val="auto"/>
                <w:sz w:val="16"/>
                <w:szCs w:val="16"/>
              </w:rPr>
            </w:pPr>
          </w:p>
        </w:tc>
        <w:tc>
          <w:tcPr>
            <w:tcW w:w="1320" w:type="dxa"/>
            <w:tcBorders>
              <w:top w:val="nil"/>
              <w:left w:val="nil"/>
              <w:bottom w:val="nil"/>
              <w:right w:val="nil"/>
            </w:tcBorders>
            <w:shd w:val="clear" w:color="000000" w:fill="D9D9D9"/>
            <w:vAlign w:val="bottom"/>
            <w:hideMark/>
          </w:tcPr>
          <w:p w14:paraId="5559AED2" w14:textId="77777777" w:rsidR="000A380F" w:rsidRPr="000A380F" w:rsidRDefault="000A380F" w:rsidP="000A380F">
            <w:pPr>
              <w:spacing w:after="0"/>
              <w:jc w:val="right"/>
              <w:rPr>
                <w:rFonts w:ascii="Arial" w:hAnsi="Arial" w:cs="Arial"/>
                <w:color w:val="auto"/>
                <w:sz w:val="16"/>
                <w:szCs w:val="16"/>
              </w:rPr>
            </w:pPr>
            <w:r w:rsidRPr="000A380F">
              <w:rPr>
                <w:rFonts w:ascii="Arial" w:hAnsi="Arial" w:cs="Arial"/>
                <w:color w:val="auto"/>
                <w:sz w:val="16"/>
                <w:szCs w:val="16"/>
              </w:rPr>
              <w:t> </w:t>
            </w:r>
          </w:p>
        </w:tc>
      </w:tr>
      <w:tr w:rsidR="000A380F" w:rsidRPr="000A380F" w14:paraId="15B49D6A" w14:textId="77777777" w:rsidTr="000A380F">
        <w:trPr>
          <w:trHeight w:val="225"/>
        </w:trPr>
        <w:tc>
          <w:tcPr>
            <w:tcW w:w="4660" w:type="dxa"/>
            <w:tcBorders>
              <w:top w:val="nil"/>
              <w:left w:val="nil"/>
              <w:bottom w:val="nil"/>
              <w:right w:val="nil"/>
            </w:tcBorders>
            <w:shd w:val="clear" w:color="auto" w:fill="auto"/>
            <w:noWrap/>
            <w:vAlign w:val="bottom"/>
            <w:hideMark/>
          </w:tcPr>
          <w:p w14:paraId="1C02EB76" w14:textId="77777777" w:rsidR="000A380F" w:rsidRPr="000A380F" w:rsidRDefault="000A380F" w:rsidP="000A380F">
            <w:pPr>
              <w:spacing w:after="0"/>
              <w:ind w:firstLineChars="300" w:firstLine="480"/>
              <w:rPr>
                <w:rFonts w:ascii="Arial" w:hAnsi="Arial" w:cs="Arial"/>
                <w:sz w:val="16"/>
                <w:szCs w:val="16"/>
              </w:rPr>
            </w:pPr>
            <w:r w:rsidRPr="000A380F">
              <w:rPr>
                <w:rFonts w:ascii="Arial" w:hAnsi="Arial" w:cs="Arial"/>
                <w:sz w:val="16"/>
                <w:szCs w:val="16"/>
              </w:rPr>
              <w:t>Administered assets and liabilities</w:t>
            </w:r>
          </w:p>
        </w:tc>
        <w:tc>
          <w:tcPr>
            <w:tcW w:w="1320" w:type="dxa"/>
            <w:tcBorders>
              <w:top w:val="nil"/>
              <w:left w:val="nil"/>
              <w:bottom w:val="nil"/>
              <w:right w:val="nil"/>
            </w:tcBorders>
            <w:shd w:val="clear" w:color="auto" w:fill="auto"/>
            <w:noWrap/>
            <w:vAlign w:val="bottom"/>
            <w:hideMark/>
          </w:tcPr>
          <w:p w14:paraId="370FCAA3" w14:textId="77777777" w:rsidR="000A380F" w:rsidRPr="000A380F" w:rsidRDefault="000A380F" w:rsidP="000A380F">
            <w:pPr>
              <w:spacing w:after="0"/>
              <w:jc w:val="right"/>
              <w:rPr>
                <w:rFonts w:ascii="Arial" w:hAnsi="Arial" w:cs="Arial"/>
                <w:color w:val="auto"/>
                <w:sz w:val="16"/>
                <w:szCs w:val="16"/>
              </w:rPr>
            </w:pPr>
            <w:r w:rsidRPr="000A380F">
              <w:rPr>
                <w:rFonts w:ascii="Arial" w:hAnsi="Arial" w:cs="Arial"/>
                <w:color w:val="auto"/>
                <w:sz w:val="16"/>
                <w:szCs w:val="16"/>
              </w:rPr>
              <w:t>-</w:t>
            </w:r>
          </w:p>
        </w:tc>
        <w:tc>
          <w:tcPr>
            <w:tcW w:w="1320" w:type="dxa"/>
            <w:tcBorders>
              <w:top w:val="nil"/>
              <w:left w:val="nil"/>
              <w:bottom w:val="nil"/>
              <w:right w:val="nil"/>
            </w:tcBorders>
            <w:shd w:val="clear" w:color="000000" w:fill="D9D9D9"/>
            <w:noWrap/>
            <w:vAlign w:val="bottom"/>
            <w:hideMark/>
          </w:tcPr>
          <w:p w14:paraId="73DD8E9A" w14:textId="77777777" w:rsidR="000A380F" w:rsidRPr="000A380F" w:rsidRDefault="000A380F" w:rsidP="000A380F">
            <w:pPr>
              <w:spacing w:after="0"/>
              <w:jc w:val="right"/>
              <w:rPr>
                <w:rFonts w:ascii="Arial" w:hAnsi="Arial" w:cs="Arial"/>
                <w:color w:val="auto"/>
                <w:sz w:val="16"/>
                <w:szCs w:val="16"/>
              </w:rPr>
            </w:pPr>
            <w:r w:rsidRPr="000A380F">
              <w:rPr>
                <w:rFonts w:ascii="Arial" w:hAnsi="Arial" w:cs="Arial"/>
                <w:color w:val="auto"/>
                <w:sz w:val="16"/>
                <w:szCs w:val="16"/>
              </w:rPr>
              <w:t>-</w:t>
            </w:r>
          </w:p>
        </w:tc>
      </w:tr>
      <w:tr w:rsidR="000A380F" w:rsidRPr="000A380F" w14:paraId="0D85CD33" w14:textId="77777777" w:rsidTr="000A380F">
        <w:trPr>
          <w:trHeight w:val="225"/>
        </w:trPr>
        <w:tc>
          <w:tcPr>
            <w:tcW w:w="4660" w:type="dxa"/>
            <w:tcBorders>
              <w:top w:val="nil"/>
              <w:left w:val="nil"/>
              <w:bottom w:val="nil"/>
              <w:right w:val="nil"/>
            </w:tcBorders>
            <w:shd w:val="clear" w:color="auto" w:fill="auto"/>
            <w:noWrap/>
            <w:vAlign w:val="bottom"/>
            <w:hideMark/>
          </w:tcPr>
          <w:p w14:paraId="4D079B89" w14:textId="77777777" w:rsidR="000A380F" w:rsidRPr="000A380F" w:rsidRDefault="000A380F" w:rsidP="000A380F">
            <w:pPr>
              <w:spacing w:after="0"/>
              <w:ind w:firstLineChars="200" w:firstLine="320"/>
              <w:rPr>
                <w:rFonts w:ascii="Arial" w:hAnsi="Arial" w:cs="Arial"/>
                <w:b/>
                <w:bCs/>
                <w:color w:val="auto"/>
                <w:sz w:val="16"/>
                <w:szCs w:val="16"/>
              </w:rPr>
            </w:pPr>
            <w:r w:rsidRPr="000A380F">
              <w:rPr>
                <w:rFonts w:ascii="Arial" w:hAnsi="Arial" w:cs="Arial"/>
                <w:b/>
                <w:bCs/>
                <w:color w:val="auto"/>
                <w:sz w:val="16"/>
                <w:szCs w:val="16"/>
              </w:rPr>
              <w:t>Total administered annual appropriations</w:t>
            </w:r>
          </w:p>
        </w:tc>
        <w:tc>
          <w:tcPr>
            <w:tcW w:w="1320" w:type="dxa"/>
            <w:tcBorders>
              <w:top w:val="nil"/>
              <w:left w:val="nil"/>
              <w:bottom w:val="single" w:sz="4" w:space="0" w:color="auto"/>
              <w:right w:val="nil"/>
            </w:tcBorders>
            <w:shd w:val="clear" w:color="auto" w:fill="auto"/>
            <w:noWrap/>
            <w:vAlign w:val="bottom"/>
            <w:hideMark/>
          </w:tcPr>
          <w:p w14:paraId="37E6C12B" w14:textId="77777777" w:rsidR="000A380F" w:rsidRPr="000A380F" w:rsidRDefault="000A380F" w:rsidP="000A380F">
            <w:pPr>
              <w:spacing w:after="0"/>
              <w:jc w:val="right"/>
              <w:rPr>
                <w:rFonts w:ascii="Arial" w:hAnsi="Arial" w:cs="Arial"/>
                <w:b/>
                <w:bCs/>
                <w:color w:val="auto"/>
                <w:sz w:val="16"/>
                <w:szCs w:val="16"/>
              </w:rPr>
            </w:pPr>
            <w:r w:rsidRPr="000A380F">
              <w:rPr>
                <w:rFonts w:ascii="Arial" w:hAnsi="Arial" w:cs="Arial"/>
                <w:b/>
                <w:bCs/>
                <w:color w:val="auto"/>
                <w:sz w:val="16"/>
                <w:szCs w:val="16"/>
              </w:rPr>
              <w:t>893,049</w:t>
            </w:r>
          </w:p>
        </w:tc>
        <w:tc>
          <w:tcPr>
            <w:tcW w:w="1320" w:type="dxa"/>
            <w:tcBorders>
              <w:top w:val="nil"/>
              <w:left w:val="nil"/>
              <w:bottom w:val="single" w:sz="4" w:space="0" w:color="auto"/>
              <w:right w:val="nil"/>
            </w:tcBorders>
            <w:shd w:val="clear" w:color="000000" w:fill="D9D9D9"/>
            <w:noWrap/>
            <w:vAlign w:val="bottom"/>
            <w:hideMark/>
          </w:tcPr>
          <w:p w14:paraId="2A8D65C4" w14:textId="77777777" w:rsidR="000A380F" w:rsidRPr="000A380F" w:rsidRDefault="000A380F" w:rsidP="000A380F">
            <w:pPr>
              <w:spacing w:after="0"/>
              <w:jc w:val="right"/>
              <w:rPr>
                <w:rFonts w:ascii="Arial" w:hAnsi="Arial" w:cs="Arial"/>
                <w:b/>
                <w:bCs/>
                <w:color w:val="auto"/>
                <w:sz w:val="16"/>
                <w:szCs w:val="16"/>
              </w:rPr>
            </w:pPr>
            <w:r w:rsidRPr="000A380F">
              <w:rPr>
                <w:rFonts w:ascii="Arial" w:hAnsi="Arial" w:cs="Arial"/>
                <w:b/>
                <w:bCs/>
                <w:color w:val="auto"/>
                <w:sz w:val="16"/>
                <w:szCs w:val="16"/>
              </w:rPr>
              <w:t>923,780</w:t>
            </w:r>
          </w:p>
        </w:tc>
      </w:tr>
      <w:tr w:rsidR="000A380F" w:rsidRPr="000A380F" w14:paraId="62CEE99D" w14:textId="77777777" w:rsidTr="000A380F">
        <w:trPr>
          <w:trHeight w:val="300"/>
        </w:trPr>
        <w:tc>
          <w:tcPr>
            <w:tcW w:w="4660" w:type="dxa"/>
            <w:tcBorders>
              <w:top w:val="nil"/>
              <w:left w:val="nil"/>
              <w:bottom w:val="nil"/>
              <w:right w:val="nil"/>
            </w:tcBorders>
            <w:shd w:val="clear" w:color="auto" w:fill="auto"/>
            <w:noWrap/>
            <w:vAlign w:val="bottom"/>
            <w:hideMark/>
          </w:tcPr>
          <w:p w14:paraId="611DCB75" w14:textId="77777777" w:rsidR="000A380F" w:rsidRPr="000A380F" w:rsidRDefault="000A380F" w:rsidP="000A380F">
            <w:pPr>
              <w:spacing w:after="0"/>
              <w:ind w:firstLineChars="100" w:firstLine="160"/>
              <w:rPr>
                <w:rFonts w:ascii="Arial" w:hAnsi="Arial" w:cs="Arial"/>
                <w:b/>
                <w:bCs/>
                <w:color w:val="auto"/>
                <w:sz w:val="16"/>
                <w:szCs w:val="16"/>
              </w:rPr>
            </w:pPr>
            <w:r w:rsidRPr="000A380F">
              <w:rPr>
                <w:rFonts w:ascii="Arial" w:hAnsi="Arial" w:cs="Arial"/>
                <w:b/>
                <w:bCs/>
                <w:color w:val="auto"/>
                <w:sz w:val="16"/>
                <w:szCs w:val="16"/>
              </w:rPr>
              <w:t>Special accounts</w:t>
            </w:r>
            <w:r w:rsidRPr="000A380F">
              <w:rPr>
                <w:rFonts w:ascii="Arial" w:hAnsi="Arial" w:cs="Arial"/>
                <w:b/>
                <w:bCs/>
                <w:color w:val="auto"/>
                <w:sz w:val="16"/>
                <w:szCs w:val="16"/>
                <w:vertAlign w:val="superscript"/>
              </w:rPr>
              <w:t xml:space="preserve"> (e)</w:t>
            </w:r>
          </w:p>
        </w:tc>
        <w:tc>
          <w:tcPr>
            <w:tcW w:w="1320" w:type="dxa"/>
            <w:tcBorders>
              <w:top w:val="nil"/>
              <w:left w:val="nil"/>
              <w:bottom w:val="nil"/>
              <w:right w:val="nil"/>
            </w:tcBorders>
            <w:shd w:val="clear" w:color="auto" w:fill="auto"/>
            <w:noWrap/>
            <w:vAlign w:val="bottom"/>
            <w:hideMark/>
          </w:tcPr>
          <w:p w14:paraId="4F132E9B" w14:textId="77777777" w:rsidR="000A380F" w:rsidRPr="000A380F" w:rsidRDefault="000A380F" w:rsidP="000A380F">
            <w:pPr>
              <w:spacing w:after="0"/>
              <w:ind w:firstLineChars="100" w:firstLine="160"/>
              <w:rPr>
                <w:rFonts w:ascii="Arial" w:hAnsi="Arial" w:cs="Arial"/>
                <w:b/>
                <w:bCs/>
                <w:color w:val="auto"/>
                <w:sz w:val="16"/>
                <w:szCs w:val="16"/>
              </w:rPr>
            </w:pPr>
          </w:p>
        </w:tc>
        <w:tc>
          <w:tcPr>
            <w:tcW w:w="1320" w:type="dxa"/>
            <w:tcBorders>
              <w:top w:val="nil"/>
              <w:left w:val="nil"/>
              <w:bottom w:val="nil"/>
              <w:right w:val="nil"/>
            </w:tcBorders>
            <w:shd w:val="clear" w:color="000000" w:fill="D9D9D9"/>
            <w:noWrap/>
            <w:vAlign w:val="bottom"/>
            <w:hideMark/>
          </w:tcPr>
          <w:p w14:paraId="2DEFC7C0" w14:textId="77777777" w:rsidR="000A380F" w:rsidRPr="000A380F" w:rsidRDefault="000A380F" w:rsidP="000A380F">
            <w:pPr>
              <w:spacing w:after="0"/>
              <w:jc w:val="right"/>
              <w:rPr>
                <w:rFonts w:ascii="Arial" w:hAnsi="Arial" w:cs="Arial"/>
                <w:b/>
                <w:bCs/>
                <w:color w:val="auto"/>
                <w:sz w:val="16"/>
                <w:szCs w:val="16"/>
              </w:rPr>
            </w:pPr>
            <w:r w:rsidRPr="000A380F">
              <w:rPr>
                <w:rFonts w:ascii="Arial" w:hAnsi="Arial" w:cs="Arial"/>
                <w:b/>
                <w:bCs/>
                <w:color w:val="auto"/>
                <w:sz w:val="16"/>
                <w:szCs w:val="16"/>
              </w:rPr>
              <w:t> </w:t>
            </w:r>
          </w:p>
        </w:tc>
      </w:tr>
      <w:tr w:rsidR="000A380F" w:rsidRPr="000A380F" w14:paraId="7BD9A52D" w14:textId="77777777" w:rsidTr="000A380F">
        <w:trPr>
          <w:trHeight w:val="225"/>
        </w:trPr>
        <w:tc>
          <w:tcPr>
            <w:tcW w:w="4660" w:type="dxa"/>
            <w:tcBorders>
              <w:top w:val="nil"/>
              <w:left w:val="nil"/>
              <w:bottom w:val="nil"/>
              <w:right w:val="nil"/>
            </w:tcBorders>
            <w:shd w:val="clear" w:color="auto" w:fill="auto"/>
            <w:noWrap/>
            <w:vAlign w:val="bottom"/>
            <w:hideMark/>
          </w:tcPr>
          <w:p w14:paraId="36E51636" w14:textId="77777777" w:rsidR="000A380F" w:rsidRPr="000A380F" w:rsidRDefault="000A380F" w:rsidP="000A380F">
            <w:pPr>
              <w:spacing w:after="0"/>
              <w:ind w:firstLineChars="200" w:firstLine="320"/>
              <w:rPr>
                <w:rFonts w:ascii="Arial" w:hAnsi="Arial" w:cs="Arial"/>
                <w:color w:val="auto"/>
                <w:sz w:val="16"/>
                <w:szCs w:val="16"/>
              </w:rPr>
            </w:pPr>
            <w:r w:rsidRPr="000A380F">
              <w:rPr>
                <w:rFonts w:ascii="Arial" w:hAnsi="Arial" w:cs="Arial"/>
                <w:color w:val="auto"/>
                <w:sz w:val="16"/>
                <w:szCs w:val="16"/>
              </w:rPr>
              <w:t>Opening balance</w:t>
            </w:r>
          </w:p>
        </w:tc>
        <w:tc>
          <w:tcPr>
            <w:tcW w:w="1320" w:type="dxa"/>
            <w:tcBorders>
              <w:top w:val="nil"/>
              <w:left w:val="nil"/>
              <w:bottom w:val="nil"/>
              <w:right w:val="nil"/>
            </w:tcBorders>
            <w:shd w:val="clear" w:color="auto" w:fill="auto"/>
            <w:noWrap/>
            <w:vAlign w:val="bottom"/>
            <w:hideMark/>
          </w:tcPr>
          <w:p w14:paraId="0D91D7DB" w14:textId="77777777" w:rsidR="000A380F" w:rsidRPr="000A380F" w:rsidRDefault="000A380F" w:rsidP="000A380F">
            <w:pPr>
              <w:spacing w:after="0"/>
              <w:jc w:val="right"/>
              <w:rPr>
                <w:rFonts w:ascii="Arial" w:hAnsi="Arial" w:cs="Arial"/>
                <w:color w:val="auto"/>
                <w:sz w:val="16"/>
                <w:szCs w:val="16"/>
              </w:rPr>
            </w:pPr>
            <w:r w:rsidRPr="000A380F">
              <w:rPr>
                <w:rFonts w:ascii="Arial" w:hAnsi="Arial" w:cs="Arial"/>
                <w:color w:val="auto"/>
                <w:sz w:val="16"/>
                <w:szCs w:val="16"/>
              </w:rPr>
              <w:t>274,238</w:t>
            </w:r>
          </w:p>
        </w:tc>
        <w:tc>
          <w:tcPr>
            <w:tcW w:w="1320" w:type="dxa"/>
            <w:tcBorders>
              <w:top w:val="nil"/>
              <w:left w:val="nil"/>
              <w:bottom w:val="nil"/>
              <w:right w:val="nil"/>
            </w:tcBorders>
            <w:shd w:val="clear" w:color="000000" w:fill="D9D9D9"/>
            <w:noWrap/>
            <w:vAlign w:val="bottom"/>
            <w:hideMark/>
          </w:tcPr>
          <w:p w14:paraId="2F12B5EA" w14:textId="77777777" w:rsidR="000A380F" w:rsidRPr="000A380F" w:rsidRDefault="000A380F" w:rsidP="000A380F">
            <w:pPr>
              <w:spacing w:after="0"/>
              <w:jc w:val="right"/>
              <w:rPr>
                <w:rFonts w:ascii="Arial" w:hAnsi="Arial" w:cs="Arial"/>
                <w:color w:val="auto"/>
                <w:sz w:val="16"/>
                <w:szCs w:val="16"/>
              </w:rPr>
            </w:pPr>
            <w:r w:rsidRPr="000A380F">
              <w:rPr>
                <w:rFonts w:ascii="Arial" w:hAnsi="Arial" w:cs="Arial"/>
                <w:color w:val="auto"/>
                <w:sz w:val="16"/>
                <w:szCs w:val="16"/>
              </w:rPr>
              <w:t>263,853</w:t>
            </w:r>
          </w:p>
        </w:tc>
      </w:tr>
      <w:tr w:rsidR="000A380F" w:rsidRPr="000A380F" w14:paraId="312973E9" w14:textId="77777777" w:rsidTr="000A380F">
        <w:trPr>
          <w:trHeight w:val="225"/>
        </w:trPr>
        <w:tc>
          <w:tcPr>
            <w:tcW w:w="4660" w:type="dxa"/>
            <w:tcBorders>
              <w:top w:val="nil"/>
              <w:left w:val="nil"/>
              <w:bottom w:val="nil"/>
              <w:right w:val="nil"/>
            </w:tcBorders>
            <w:shd w:val="clear" w:color="auto" w:fill="auto"/>
            <w:noWrap/>
            <w:vAlign w:val="bottom"/>
            <w:hideMark/>
          </w:tcPr>
          <w:p w14:paraId="67A2A103" w14:textId="77777777" w:rsidR="000A380F" w:rsidRPr="000A380F" w:rsidRDefault="000A380F" w:rsidP="000A380F">
            <w:pPr>
              <w:spacing w:after="0"/>
              <w:ind w:firstLineChars="200" w:firstLine="320"/>
              <w:rPr>
                <w:rFonts w:ascii="Arial" w:hAnsi="Arial" w:cs="Arial"/>
                <w:color w:val="auto"/>
                <w:sz w:val="16"/>
                <w:szCs w:val="16"/>
              </w:rPr>
            </w:pPr>
            <w:r w:rsidRPr="000A380F">
              <w:rPr>
                <w:rFonts w:ascii="Arial" w:hAnsi="Arial" w:cs="Arial"/>
                <w:color w:val="auto"/>
                <w:sz w:val="16"/>
                <w:szCs w:val="16"/>
              </w:rPr>
              <w:t>Appropriation receipts</w:t>
            </w:r>
          </w:p>
        </w:tc>
        <w:tc>
          <w:tcPr>
            <w:tcW w:w="1320" w:type="dxa"/>
            <w:tcBorders>
              <w:top w:val="nil"/>
              <w:left w:val="nil"/>
              <w:bottom w:val="nil"/>
              <w:right w:val="nil"/>
            </w:tcBorders>
            <w:shd w:val="clear" w:color="auto" w:fill="auto"/>
            <w:noWrap/>
            <w:vAlign w:val="bottom"/>
            <w:hideMark/>
          </w:tcPr>
          <w:p w14:paraId="6507DF0F" w14:textId="77777777" w:rsidR="000A380F" w:rsidRPr="000A380F" w:rsidRDefault="000A380F" w:rsidP="000A380F">
            <w:pPr>
              <w:spacing w:after="0"/>
              <w:jc w:val="right"/>
              <w:rPr>
                <w:rFonts w:ascii="Arial" w:hAnsi="Arial" w:cs="Arial"/>
                <w:color w:val="auto"/>
                <w:sz w:val="16"/>
                <w:szCs w:val="16"/>
              </w:rPr>
            </w:pPr>
            <w:r w:rsidRPr="000A380F">
              <w:rPr>
                <w:rFonts w:ascii="Arial" w:hAnsi="Arial" w:cs="Arial"/>
                <w:color w:val="auto"/>
                <w:sz w:val="16"/>
                <w:szCs w:val="16"/>
              </w:rPr>
              <w:t>877,952</w:t>
            </w:r>
          </w:p>
        </w:tc>
        <w:tc>
          <w:tcPr>
            <w:tcW w:w="1320" w:type="dxa"/>
            <w:tcBorders>
              <w:top w:val="nil"/>
              <w:left w:val="nil"/>
              <w:bottom w:val="nil"/>
              <w:right w:val="nil"/>
            </w:tcBorders>
            <w:shd w:val="clear" w:color="000000" w:fill="D9D9D9"/>
            <w:noWrap/>
            <w:vAlign w:val="bottom"/>
            <w:hideMark/>
          </w:tcPr>
          <w:p w14:paraId="7A051CA9" w14:textId="77777777" w:rsidR="000A380F" w:rsidRPr="000A380F" w:rsidRDefault="000A380F" w:rsidP="000A380F">
            <w:pPr>
              <w:spacing w:after="0"/>
              <w:jc w:val="right"/>
              <w:rPr>
                <w:rFonts w:ascii="Arial" w:hAnsi="Arial" w:cs="Arial"/>
                <w:color w:val="auto"/>
                <w:sz w:val="16"/>
                <w:szCs w:val="16"/>
              </w:rPr>
            </w:pPr>
            <w:r w:rsidRPr="000A380F">
              <w:rPr>
                <w:rFonts w:ascii="Arial" w:hAnsi="Arial" w:cs="Arial"/>
                <w:color w:val="auto"/>
                <w:sz w:val="16"/>
                <w:szCs w:val="16"/>
              </w:rPr>
              <w:t>910,652</w:t>
            </w:r>
          </w:p>
        </w:tc>
      </w:tr>
      <w:tr w:rsidR="000A380F" w:rsidRPr="000A380F" w14:paraId="06751C40" w14:textId="77777777" w:rsidTr="000A380F">
        <w:trPr>
          <w:trHeight w:val="225"/>
        </w:trPr>
        <w:tc>
          <w:tcPr>
            <w:tcW w:w="4660" w:type="dxa"/>
            <w:tcBorders>
              <w:top w:val="nil"/>
              <w:left w:val="nil"/>
              <w:bottom w:val="nil"/>
              <w:right w:val="nil"/>
            </w:tcBorders>
            <w:shd w:val="clear" w:color="auto" w:fill="auto"/>
            <w:noWrap/>
            <w:vAlign w:val="bottom"/>
            <w:hideMark/>
          </w:tcPr>
          <w:p w14:paraId="1E507682" w14:textId="77777777" w:rsidR="000A380F" w:rsidRPr="000A380F" w:rsidRDefault="000A380F" w:rsidP="000A380F">
            <w:pPr>
              <w:spacing w:after="0"/>
              <w:ind w:firstLineChars="200" w:firstLine="320"/>
              <w:rPr>
                <w:rFonts w:ascii="Arial" w:hAnsi="Arial" w:cs="Arial"/>
                <w:color w:val="auto"/>
                <w:sz w:val="16"/>
                <w:szCs w:val="16"/>
              </w:rPr>
            </w:pPr>
            <w:r w:rsidRPr="000A380F">
              <w:rPr>
                <w:rFonts w:ascii="Arial" w:hAnsi="Arial" w:cs="Arial"/>
                <w:color w:val="auto"/>
                <w:sz w:val="16"/>
                <w:szCs w:val="16"/>
              </w:rPr>
              <w:t>Appropriation receipts - other entities</w:t>
            </w:r>
            <w:r w:rsidRPr="000A380F">
              <w:rPr>
                <w:rFonts w:ascii="Arial" w:hAnsi="Arial" w:cs="Arial"/>
                <w:color w:val="auto"/>
                <w:sz w:val="16"/>
                <w:szCs w:val="16"/>
                <w:vertAlign w:val="superscript"/>
              </w:rPr>
              <w:t xml:space="preserve"> (f)</w:t>
            </w:r>
          </w:p>
        </w:tc>
        <w:tc>
          <w:tcPr>
            <w:tcW w:w="1320" w:type="dxa"/>
            <w:tcBorders>
              <w:top w:val="nil"/>
              <w:left w:val="nil"/>
              <w:bottom w:val="nil"/>
              <w:right w:val="nil"/>
            </w:tcBorders>
            <w:shd w:val="clear" w:color="auto" w:fill="auto"/>
            <w:noWrap/>
            <w:vAlign w:val="bottom"/>
            <w:hideMark/>
          </w:tcPr>
          <w:p w14:paraId="0FDF09EF" w14:textId="77777777" w:rsidR="000A380F" w:rsidRPr="000A380F" w:rsidRDefault="000A380F" w:rsidP="000A380F">
            <w:pPr>
              <w:spacing w:after="0"/>
              <w:jc w:val="right"/>
              <w:rPr>
                <w:rFonts w:ascii="Arial" w:hAnsi="Arial" w:cs="Arial"/>
                <w:color w:val="auto"/>
                <w:sz w:val="16"/>
                <w:szCs w:val="16"/>
              </w:rPr>
            </w:pPr>
            <w:r w:rsidRPr="000A380F">
              <w:rPr>
                <w:rFonts w:ascii="Arial" w:hAnsi="Arial" w:cs="Arial"/>
                <w:color w:val="auto"/>
                <w:sz w:val="16"/>
                <w:szCs w:val="16"/>
              </w:rPr>
              <w:t>-</w:t>
            </w:r>
          </w:p>
        </w:tc>
        <w:tc>
          <w:tcPr>
            <w:tcW w:w="1320" w:type="dxa"/>
            <w:tcBorders>
              <w:top w:val="nil"/>
              <w:left w:val="nil"/>
              <w:bottom w:val="nil"/>
              <w:right w:val="nil"/>
            </w:tcBorders>
            <w:shd w:val="clear" w:color="000000" w:fill="D9D9D9"/>
            <w:noWrap/>
            <w:vAlign w:val="bottom"/>
            <w:hideMark/>
          </w:tcPr>
          <w:p w14:paraId="7A8CCBD8" w14:textId="77777777" w:rsidR="000A380F" w:rsidRPr="000A380F" w:rsidRDefault="000A380F" w:rsidP="000A380F">
            <w:pPr>
              <w:spacing w:after="0"/>
              <w:jc w:val="right"/>
              <w:rPr>
                <w:rFonts w:ascii="Arial" w:hAnsi="Arial" w:cs="Arial"/>
                <w:color w:val="auto"/>
                <w:sz w:val="16"/>
                <w:szCs w:val="16"/>
              </w:rPr>
            </w:pPr>
            <w:r w:rsidRPr="000A380F">
              <w:rPr>
                <w:rFonts w:ascii="Arial" w:hAnsi="Arial" w:cs="Arial"/>
                <w:color w:val="auto"/>
                <w:sz w:val="16"/>
                <w:szCs w:val="16"/>
              </w:rPr>
              <w:t>-</w:t>
            </w:r>
          </w:p>
        </w:tc>
      </w:tr>
      <w:tr w:rsidR="000A380F" w:rsidRPr="000A380F" w14:paraId="3271C01C" w14:textId="77777777" w:rsidTr="000A380F">
        <w:trPr>
          <w:trHeight w:val="225"/>
        </w:trPr>
        <w:tc>
          <w:tcPr>
            <w:tcW w:w="4660" w:type="dxa"/>
            <w:tcBorders>
              <w:top w:val="nil"/>
              <w:left w:val="nil"/>
              <w:bottom w:val="nil"/>
              <w:right w:val="nil"/>
            </w:tcBorders>
            <w:shd w:val="clear" w:color="auto" w:fill="auto"/>
            <w:noWrap/>
            <w:vAlign w:val="bottom"/>
            <w:hideMark/>
          </w:tcPr>
          <w:p w14:paraId="55C9839D" w14:textId="77777777" w:rsidR="000A380F" w:rsidRPr="000A380F" w:rsidRDefault="000A380F" w:rsidP="000A380F">
            <w:pPr>
              <w:spacing w:after="0"/>
              <w:ind w:firstLineChars="200" w:firstLine="320"/>
              <w:rPr>
                <w:rFonts w:ascii="Arial" w:hAnsi="Arial" w:cs="Arial"/>
                <w:color w:val="auto"/>
                <w:sz w:val="16"/>
                <w:szCs w:val="16"/>
              </w:rPr>
            </w:pPr>
            <w:r w:rsidRPr="000A380F">
              <w:rPr>
                <w:rFonts w:ascii="Arial" w:hAnsi="Arial" w:cs="Arial"/>
                <w:color w:val="auto"/>
                <w:sz w:val="16"/>
                <w:szCs w:val="16"/>
              </w:rPr>
              <w:t xml:space="preserve">Non-appropriation receipts </w:t>
            </w:r>
          </w:p>
        </w:tc>
        <w:tc>
          <w:tcPr>
            <w:tcW w:w="1320" w:type="dxa"/>
            <w:tcBorders>
              <w:top w:val="nil"/>
              <w:left w:val="nil"/>
              <w:bottom w:val="nil"/>
              <w:right w:val="nil"/>
            </w:tcBorders>
            <w:shd w:val="clear" w:color="auto" w:fill="auto"/>
            <w:noWrap/>
            <w:vAlign w:val="bottom"/>
            <w:hideMark/>
          </w:tcPr>
          <w:p w14:paraId="2ECAF900" w14:textId="77777777" w:rsidR="000A380F" w:rsidRPr="000A380F" w:rsidRDefault="000A380F" w:rsidP="000A380F">
            <w:pPr>
              <w:spacing w:after="0"/>
              <w:jc w:val="right"/>
              <w:rPr>
                <w:rFonts w:ascii="Arial" w:hAnsi="Arial" w:cs="Arial"/>
                <w:color w:val="auto"/>
                <w:sz w:val="16"/>
                <w:szCs w:val="16"/>
              </w:rPr>
            </w:pPr>
            <w:r w:rsidRPr="000A380F">
              <w:rPr>
                <w:rFonts w:ascii="Arial" w:hAnsi="Arial" w:cs="Arial"/>
                <w:color w:val="auto"/>
                <w:sz w:val="16"/>
                <w:szCs w:val="16"/>
              </w:rPr>
              <w:t>10,000</w:t>
            </w:r>
          </w:p>
        </w:tc>
        <w:tc>
          <w:tcPr>
            <w:tcW w:w="1320" w:type="dxa"/>
            <w:tcBorders>
              <w:top w:val="nil"/>
              <w:left w:val="nil"/>
              <w:bottom w:val="nil"/>
              <w:right w:val="nil"/>
            </w:tcBorders>
            <w:shd w:val="clear" w:color="000000" w:fill="D9D9D9"/>
            <w:noWrap/>
            <w:vAlign w:val="bottom"/>
            <w:hideMark/>
          </w:tcPr>
          <w:p w14:paraId="3BBF3C1C" w14:textId="77777777" w:rsidR="000A380F" w:rsidRPr="000A380F" w:rsidRDefault="000A380F" w:rsidP="000A380F">
            <w:pPr>
              <w:spacing w:after="0"/>
              <w:jc w:val="right"/>
              <w:rPr>
                <w:rFonts w:ascii="Arial" w:hAnsi="Arial" w:cs="Arial"/>
                <w:color w:val="auto"/>
                <w:sz w:val="16"/>
                <w:szCs w:val="16"/>
              </w:rPr>
            </w:pPr>
            <w:r w:rsidRPr="000A380F">
              <w:rPr>
                <w:rFonts w:ascii="Arial" w:hAnsi="Arial" w:cs="Arial"/>
                <w:color w:val="auto"/>
                <w:sz w:val="16"/>
                <w:szCs w:val="16"/>
              </w:rPr>
              <w:t>10,000</w:t>
            </w:r>
          </w:p>
        </w:tc>
      </w:tr>
      <w:tr w:rsidR="000A380F" w:rsidRPr="000A380F" w14:paraId="24A27F70" w14:textId="77777777" w:rsidTr="000A380F">
        <w:trPr>
          <w:trHeight w:val="225"/>
        </w:trPr>
        <w:tc>
          <w:tcPr>
            <w:tcW w:w="4660" w:type="dxa"/>
            <w:tcBorders>
              <w:top w:val="nil"/>
              <w:left w:val="nil"/>
              <w:bottom w:val="nil"/>
              <w:right w:val="nil"/>
            </w:tcBorders>
            <w:shd w:val="clear" w:color="auto" w:fill="auto"/>
            <w:noWrap/>
            <w:vAlign w:val="bottom"/>
            <w:hideMark/>
          </w:tcPr>
          <w:p w14:paraId="50E3C604" w14:textId="77777777" w:rsidR="000A380F" w:rsidRPr="000A380F" w:rsidRDefault="000A380F" w:rsidP="000A380F">
            <w:pPr>
              <w:spacing w:after="0"/>
              <w:ind w:firstLineChars="200" w:firstLine="320"/>
              <w:rPr>
                <w:rFonts w:ascii="Arial" w:hAnsi="Arial" w:cs="Arial"/>
                <w:b/>
                <w:bCs/>
                <w:color w:val="auto"/>
                <w:sz w:val="16"/>
                <w:szCs w:val="16"/>
              </w:rPr>
            </w:pPr>
            <w:r w:rsidRPr="000A380F">
              <w:rPr>
                <w:rFonts w:ascii="Arial" w:hAnsi="Arial" w:cs="Arial"/>
                <w:b/>
                <w:bCs/>
                <w:color w:val="auto"/>
                <w:sz w:val="16"/>
                <w:szCs w:val="16"/>
              </w:rPr>
              <w:t>Total special accounts</w:t>
            </w:r>
          </w:p>
        </w:tc>
        <w:tc>
          <w:tcPr>
            <w:tcW w:w="1320" w:type="dxa"/>
            <w:tcBorders>
              <w:top w:val="nil"/>
              <w:left w:val="nil"/>
              <w:bottom w:val="nil"/>
              <w:right w:val="nil"/>
            </w:tcBorders>
            <w:shd w:val="clear" w:color="auto" w:fill="auto"/>
            <w:noWrap/>
            <w:vAlign w:val="bottom"/>
            <w:hideMark/>
          </w:tcPr>
          <w:p w14:paraId="4D306B1B" w14:textId="77777777" w:rsidR="000A380F" w:rsidRPr="000A380F" w:rsidRDefault="000A380F" w:rsidP="000A380F">
            <w:pPr>
              <w:spacing w:after="0"/>
              <w:jc w:val="right"/>
              <w:rPr>
                <w:rFonts w:ascii="Arial" w:hAnsi="Arial" w:cs="Arial"/>
                <w:b/>
                <w:bCs/>
                <w:color w:val="auto"/>
                <w:sz w:val="16"/>
                <w:szCs w:val="16"/>
              </w:rPr>
            </w:pPr>
            <w:r w:rsidRPr="000A380F">
              <w:rPr>
                <w:rFonts w:ascii="Arial" w:hAnsi="Arial" w:cs="Arial"/>
                <w:b/>
                <w:bCs/>
                <w:color w:val="auto"/>
                <w:sz w:val="16"/>
                <w:szCs w:val="16"/>
              </w:rPr>
              <w:t>1,162,190</w:t>
            </w:r>
          </w:p>
        </w:tc>
        <w:tc>
          <w:tcPr>
            <w:tcW w:w="1320" w:type="dxa"/>
            <w:tcBorders>
              <w:top w:val="nil"/>
              <w:left w:val="nil"/>
              <w:bottom w:val="nil"/>
              <w:right w:val="nil"/>
            </w:tcBorders>
            <w:shd w:val="clear" w:color="000000" w:fill="D9D9D9"/>
            <w:noWrap/>
            <w:vAlign w:val="bottom"/>
            <w:hideMark/>
          </w:tcPr>
          <w:p w14:paraId="5589DAFA" w14:textId="77777777" w:rsidR="000A380F" w:rsidRPr="000A380F" w:rsidRDefault="000A380F" w:rsidP="000A380F">
            <w:pPr>
              <w:spacing w:after="0"/>
              <w:jc w:val="right"/>
              <w:rPr>
                <w:rFonts w:ascii="Arial" w:hAnsi="Arial" w:cs="Arial"/>
                <w:b/>
                <w:bCs/>
                <w:color w:val="auto"/>
                <w:sz w:val="16"/>
                <w:szCs w:val="16"/>
              </w:rPr>
            </w:pPr>
            <w:r w:rsidRPr="000A380F">
              <w:rPr>
                <w:rFonts w:ascii="Arial" w:hAnsi="Arial" w:cs="Arial"/>
                <w:b/>
                <w:bCs/>
                <w:color w:val="auto"/>
                <w:sz w:val="16"/>
                <w:szCs w:val="16"/>
              </w:rPr>
              <w:t>1,184,505</w:t>
            </w:r>
          </w:p>
        </w:tc>
      </w:tr>
      <w:tr w:rsidR="000A380F" w:rsidRPr="000A380F" w14:paraId="502ECCCE" w14:textId="77777777" w:rsidTr="000A380F">
        <w:trPr>
          <w:trHeight w:val="300"/>
        </w:trPr>
        <w:tc>
          <w:tcPr>
            <w:tcW w:w="4660" w:type="dxa"/>
            <w:tcBorders>
              <w:top w:val="nil"/>
              <w:left w:val="nil"/>
              <w:bottom w:val="nil"/>
              <w:right w:val="nil"/>
            </w:tcBorders>
            <w:shd w:val="clear" w:color="auto" w:fill="auto"/>
            <w:noWrap/>
            <w:vAlign w:val="bottom"/>
            <w:hideMark/>
          </w:tcPr>
          <w:p w14:paraId="08FFC4A2" w14:textId="77777777" w:rsidR="000A380F" w:rsidRPr="000A380F" w:rsidRDefault="000A380F" w:rsidP="000A380F">
            <w:pPr>
              <w:spacing w:after="0"/>
              <w:ind w:firstLineChars="100" w:firstLine="160"/>
              <w:rPr>
                <w:rFonts w:ascii="Arial" w:hAnsi="Arial" w:cs="Arial"/>
                <w:b/>
                <w:bCs/>
                <w:color w:val="auto"/>
                <w:sz w:val="16"/>
                <w:szCs w:val="16"/>
              </w:rPr>
            </w:pPr>
            <w:r w:rsidRPr="000A380F">
              <w:rPr>
                <w:rFonts w:ascii="Arial" w:hAnsi="Arial" w:cs="Arial"/>
                <w:b/>
                <w:bCs/>
                <w:color w:val="auto"/>
                <w:sz w:val="16"/>
                <w:szCs w:val="16"/>
              </w:rPr>
              <w:t xml:space="preserve">Total administered resourcing </w:t>
            </w:r>
          </w:p>
        </w:tc>
        <w:tc>
          <w:tcPr>
            <w:tcW w:w="1320" w:type="dxa"/>
            <w:tcBorders>
              <w:top w:val="nil"/>
              <w:left w:val="nil"/>
              <w:bottom w:val="single" w:sz="4" w:space="0" w:color="auto"/>
              <w:right w:val="nil"/>
            </w:tcBorders>
            <w:shd w:val="clear" w:color="auto" w:fill="auto"/>
            <w:noWrap/>
            <w:vAlign w:val="bottom"/>
            <w:hideMark/>
          </w:tcPr>
          <w:p w14:paraId="57271F44" w14:textId="77777777" w:rsidR="000A380F" w:rsidRPr="000A380F" w:rsidRDefault="000A380F" w:rsidP="000A380F">
            <w:pPr>
              <w:spacing w:after="0"/>
              <w:jc w:val="right"/>
              <w:rPr>
                <w:rFonts w:ascii="Arial" w:hAnsi="Arial" w:cs="Arial"/>
                <w:b/>
                <w:bCs/>
                <w:color w:val="auto"/>
                <w:sz w:val="16"/>
                <w:szCs w:val="16"/>
              </w:rPr>
            </w:pPr>
            <w:r w:rsidRPr="000A380F">
              <w:rPr>
                <w:rFonts w:ascii="Arial" w:hAnsi="Arial" w:cs="Arial"/>
                <w:b/>
                <w:bCs/>
                <w:color w:val="auto"/>
                <w:sz w:val="16"/>
                <w:szCs w:val="16"/>
              </w:rPr>
              <w:t>2,055,239</w:t>
            </w:r>
          </w:p>
        </w:tc>
        <w:tc>
          <w:tcPr>
            <w:tcW w:w="1320" w:type="dxa"/>
            <w:tcBorders>
              <w:top w:val="nil"/>
              <w:left w:val="nil"/>
              <w:bottom w:val="single" w:sz="4" w:space="0" w:color="auto"/>
              <w:right w:val="nil"/>
            </w:tcBorders>
            <w:shd w:val="clear" w:color="000000" w:fill="D9D9D9"/>
            <w:noWrap/>
            <w:vAlign w:val="bottom"/>
            <w:hideMark/>
          </w:tcPr>
          <w:p w14:paraId="12E7582F" w14:textId="77777777" w:rsidR="000A380F" w:rsidRPr="000A380F" w:rsidRDefault="000A380F" w:rsidP="000A380F">
            <w:pPr>
              <w:spacing w:after="0"/>
              <w:jc w:val="right"/>
              <w:rPr>
                <w:rFonts w:ascii="Arial" w:hAnsi="Arial" w:cs="Arial"/>
                <w:b/>
                <w:bCs/>
                <w:color w:val="auto"/>
                <w:sz w:val="16"/>
                <w:szCs w:val="16"/>
              </w:rPr>
            </w:pPr>
            <w:r w:rsidRPr="000A380F">
              <w:rPr>
                <w:rFonts w:ascii="Arial" w:hAnsi="Arial" w:cs="Arial"/>
                <w:b/>
                <w:bCs/>
                <w:color w:val="auto"/>
                <w:sz w:val="16"/>
                <w:szCs w:val="16"/>
              </w:rPr>
              <w:t>2,108,285</w:t>
            </w:r>
          </w:p>
        </w:tc>
      </w:tr>
      <w:tr w:rsidR="000A380F" w:rsidRPr="000A380F" w14:paraId="62A3EF67" w14:textId="77777777" w:rsidTr="000A380F">
        <w:trPr>
          <w:trHeight w:val="450"/>
        </w:trPr>
        <w:tc>
          <w:tcPr>
            <w:tcW w:w="4660" w:type="dxa"/>
            <w:tcBorders>
              <w:top w:val="nil"/>
              <w:left w:val="nil"/>
              <w:bottom w:val="nil"/>
              <w:right w:val="nil"/>
            </w:tcBorders>
            <w:shd w:val="clear" w:color="auto" w:fill="auto"/>
            <w:vAlign w:val="bottom"/>
            <w:hideMark/>
          </w:tcPr>
          <w:p w14:paraId="2E73CA7C" w14:textId="77777777" w:rsidR="000A380F" w:rsidRPr="000A380F" w:rsidRDefault="000A380F" w:rsidP="000A380F">
            <w:pPr>
              <w:spacing w:after="0"/>
              <w:ind w:leftChars="75" w:left="143"/>
              <w:rPr>
                <w:rFonts w:ascii="Arial" w:hAnsi="Arial" w:cs="Arial"/>
                <w:color w:val="auto"/>
                <w:sz w:val="16"/>
                <w:szCs w:val="16"/>
              </w:rPr>
            </w:pPr>
            <w:r w:rsidRPr="000A380F">
              <w:rPr>
                <w:rFonts w:ascii="Arial" w:hAnsi="Arial" w:cs="Arial"/>
                <w:color w:val="auto"/>
                <w:sz w:val="16"/>
                <w:szCs w:val="16"/>
              </w:rPr>
              <w:t xml:space="preserve">Less appropriations drawn from annual or special appropriations above and credited to special accounts </w:t>
            </w:r>
            <w:r w:rsidRPr="000A380F">
              <w:rPr>
                <w:rFonts w:ascii="Arial" w:hAnsi="Arial" w:cs="Arial"/>
                <w:color w:val="auto"/>
                <w:sz w:val="16"/>
                <w:szCs w:val="16"/>
                <w:vertAlign w:val="superscript"/>
              </w:rPr>
              <w:t>(g)</w:t>
            </w:r>
          </w:p>
        </w:tc>
        <w:tc>
          <w:tcPr>
            <w:tcW w:w="1320" w:type="dxa"/>
            <w:tcBorders>
              <w:top w:val="nil"/>
              <w:left w:val="nil"/>
              <w:bottom w:val="nil"/>
              <w:right w:val="nil"/>
            </w:tcBorders>
            <w:shd w:val="clear" w:color="auto" w:fill="auto"/>
            <w:noWrap/>
            <w:vAlign w:val="bottom"/>
            <w:hideMark/>
          </w:tcPr>
          <w:p w14:paraId="2B2BD41C" w14:textId="77777777" w:rsidR="000A380F" w:rsidRPr="000A380F" w:rsidRDefault="000A380F" w:rsidP="000A380F">
            <w:pPr>
              <w:spacing w:after="0"/>
              <w:jc w:val="right"/>
              <w:rPr>
                <w:rFonts w:ascii="Arial" w:hAnsi="Arial" w:cs="Arial"/>
                <w:color w:val="auto"/>
                <w:sz w:val="16"/>
                <w:szCs w:val="16"/>
              </w:rPr>
            </w:pPr>
            <w:r w:rsidRPr="000A380F">
              <w:rPr>
                <w:rFonts w:ascii="Arial" w:hAnsi="Arial" w:cs="Arial"/>
                <w:color w:val="auto"/>
                <w:sz w:val="16"/>
                <w:szCs w:val="16"/>
              </w:rPr>
              <w:t>(877,952)</w:t>
            </w:r>
          </w:p>
        </w:tc>
        <w:tc>
          <w:tcPr>
            <w:tcW w:w="1320" w:type="dxa"/>
            <w:tcBorders>
              <w:top w:val="nil"/>
              <w:left w:val="nil"/>
              <w:bottom w:val="nil"/>
              <w:right w:val="nil"/>
            </w:tcBorders>
            <w:shd w:val="clear" w:color="000000" w:fill="D9D9D9"/>
            <w:noWrap/>
            <w:vAlign w:val="bottom"/>
            <w:hideMark/>
          </w:tcPr>
          <w:p w14:paraId="4B750093" w14:textId="77777777" w:rsidR="000A380F" w:rsidRPr="000A380F" w:rsidRDefault="000A380F" w:rsidP="000A380F">
            <w:pPr>
              <w:spacing w:after="0"/>
              <w:jc w:val="right"/>
              <w:rPr>
                <w:rFonts w:ascii="Arial" w:hAnsi="Arial" w:cs="Arial"/>
                <w:color w:val="auto"/>
                <w:sz w:val="16"/>
                <w:szCs w:val="16"/>
              </w:rPr>
            </w:pPr>
            <w:r w:rsidRPr="000A380F">
              <w:rPr>
                <w:rFonts w:ascii="Arial" w:hAnsi="Arial" w:cs="Arial"/>
                <w:color w:val="auto"/>
                <w:sz w:val="16"/>
                <w:szCs w:val="16"/>
              </w:rPr>
              <w:t>(910,652)</w:t>
            </w:r>
          </w:p>
        </w:tc>
      </w:tr>
      <w:tr w:rsidR="000A380F" w:rsidRPr="000A380F" w14:paraId="133E2522" w14:textId="77777777" w:rsidTr="000A380F">
        <w:trPr>
          <w:trHeight w:val="300"/>
        </w:trPr>
        <w:tc>
          <w:tcPr>
            <w:tcW w:w="4660" w:type="dxa"/>
            <w:tcBorders>
              <w:top w:val="nil"/>
              <w:left w:val="nil"/>
              <w:bottom w:val="nil"/>
              <w:right w:val="nil"/>
            </w:tcBorders>
            <w:shd w:val="clear" w:color="auto" w:fill="auto"/>
            <w:noWrap/>
            <w:vAlign w:val="bottom"/>
            <w:hideMark/>
          </w:tcPr>
          <w:p w14:paraId="462420C1" w14:textId="77777777" w:rsidR="000A380F" w:rsidRPr="000A380F" w:rsidRDefault="000A380F" w:rsidP="000A380F">
            <w:pPr>
              <w:spacing w:after="0"/>
              <w:ind w:leftChars="75" w:left="143"/>
              <w:rPr>
                <w:rFonts w:ascii="Arial" w:hAnsi="Arial" w:cs="Arial"/>
                <w:b/>
                <w:bCs/>
                <w:color w:val="auto"/>
                <w:sz w:val="16"/>
                <w:szCs w:val="16"/>
              </w:rPr>
            </w:pPr>
            <w:r w:rsidRPr="000A380F">
              <w:rPr>
                <w:rFonts w:ascii="Arial" w:hAnsi="Arial" w:cs="Arial"/>
                <w:b/>
                <w:bCs/>
                <w:color w:val="auto"/>
                <w:sz w:val="16"/>
                <w:szCs w:val="16"/>
              </w:rPr>
              <w:t>Total administered resourcing</w:t>
            </w:r>
          </w:p>
        </w:tc>
        <w:tc>
          <w:tcPr>
            <w:tcW w:w="1320" w:type="dxa"/>
            <w:tcBorders>
              <w:top w:val="nil"/>
              <w:left w:val="nil"/>
              <w:bottom w:val="single" w:sz="4" w:space="0" w:color="auto"/>
              <w:right w:val="nil"/>
            </w:tcBorders>
            <w:shd w:val="clear" w:color="auto" w:fill="auto"/>
            <w:noWrap/>
            <w:vAlign w:val="bottom"/>
            <w:hideMark/>
          </w:tcPr>
          <w:p w14:paraId="730959E3" w14:textId="77777777" w:rsidR="000A380F" w:rsidRPr="000A380F" w:rsidRDefault="000A380F" w:rsidP="000A380F">
            <w:pPr>
              <w:spacing w:after="0"/>
              <w:jc w:val="right"/>
              <w:rPr>
                <w:rFonts w:ascii="Arial" w:hAnsi="Arial" w:cs="Arial"/>
                <w:b/>
                <w:bCs/>
                <w:color w:val="auto"/>
                <w:sz w:val="16"/>
                <w:szCs w:val="16"/>
              </w:rPr>
            </w:pPr>
            <w:r w:rsidRPr="000A380F">
              <w:rPr>
                <w:rFonts w:ascii="Arial" w:hAnsi="Arial" w:cs="Arial"/>
                <w:b/>
                <w:bCs/>
                <w:color w:val="auto"/>
                <w:sz w:val="16"/>
                <w:szCs w:val="16"/>
              </w:rPr>
              <w:t>1,177,287</w:t>
            </w:r>
          </w:p>
        </w:tc>
        <w:tc>
          <w:tcPr>
            <w:tcW w:w="1320" w:type="dxa"/>
            <w:tcBorders>
              <w:top w:val="nil"/>
              <w:left w:val="nil"/>
              <w:bottom w:val="single" w:sz="4" w:space="0" w:color="auto"/>
              <w:right w:val="nil"/>
            </w:tcBorders>
            <w:shd w:val="clear" w:color="000000" w:fill="D9D9D9"/>
            <w:noWrap/>
            <w:vAlign w:val="bottom"/>
            <w:hideMark/>
          </w:tcPr>
          <w:p w14:paraId="48CA4822" w14:textId="77777777" w:rsidR="000A380F" w:rsidRPr="000A380F" w:rsidRDefault="000A380F" w:rsidP="000A380F">
            <w:pPr>
              <w:spacing w:after="0"/>
              <w:jc w:val="right"/>
              <w:rPr>
                <w:rFonts w:ascii="Arial" w:hAnsi="Arial" w:cs="Arial"/>
                <w:b/>
                <w:bCs/>
                <w:color w:val="auto"/>
                <w:sz w:val="16"/>
                <w:szCs w:val="16"/>
              </w:rPr>
            </w:pPr>
            <w:r w:rsidRPr="000A380F">
              <w:rPr>
                <w:rFonts w:ascii="Arial" w:hAnsi="Arial" w:cs="Arial"/>
                <w:b/>
                <w:bCs/>
                <w:color w:val="auto"/>
                <w:sz w:val="16"/>
                <w:szCs w:val="16"/>
              </w:rPr>
              <w:t>1,197,633</w:t>
            </w:r>
          </w:p>
        </w:tc>
      </w:tr>
      <w:tr w:rsidR="000A380F" w:rsidRPr="000A380F" w14:paraId="10EC3B94" w14:textId="77777777" w:rsidTr="000A380F">
        <w:trPr>
          <w:trHeight w:val="300"/>
        </w:trPr>
        <w:tc>
          <w:tcPr>
            <w:tcW w:w="4660" w:type="dxa"/>
            <w:tcBorders>
              <w:top w:val="nil"/>
              <w:left w:val="nil"/>
              <w:bottom w:val="single" w:sz="4" w:space="0" w:color="auto"/>
              <w:right w:val="nil"/>
            </w:tcBorders>
            <w:shd w:val="clear" w:color="auto" w:fill="auto"/>
            <w:noWrap/>
            <w:vAlign w:val="bottom"/>
            <w:hideMark/>
          </w:tcPr>
          <w:p w14:paraId="52234897" w14:textId="77777777" w:rsidR="000A380F" w:rsidRPr="000A380F" w:rsidRDefault="000A380F" w:rsidP="000A380F">
            <w:pPr>
              <w:spacing w:after="0"/>
              <w:rPr>
                <w:rFonts w:ascii="Arial" w:hAnsi="Arial" w:cs="Arial"/>
                <w:b/>
                <w:bCs/>
                <w:color w:val="auto"/>
                <w:sz w:val="16"/>
                <w:szCs w:val="16"/>
              </w:rPr>
            </w:pPr>
            <w:r w:rsidRPr="000A380F">
              <w:rPr>
                <w:rFonts w:ascii="Arial" w:hAnsi="Arial" w:cs="Arial"/>
                <w:b/>
                <w:bCs/>
                <w:color w:val="auto"/>
                <w:sz w:val="16"/>
                <w:szCs w:val="16"/>
              </w:rPr>
              <w:t>Total resourcing for NHMRC</w:t>
            </w:r>
          </w:p>
        </w:tc>
        <w:tc>
          <w:tcPr>
            <w:tcW w:w="1320" w:type="dxa"/>
            <w:tcBorders>
              <w:top w:val="nil"/>
              <w:left w:val="nil"/>
              <w:bottom w:val="single" w:sz="4" w:space="0" w:color="auto"/>
              <w:right w:val="nil"/>
            </w:tcBorders>
            <w:shd w:val="clear" w:color="auto" w:fill="auto"/>
            <w:noWrap/>
            <w:vAlign w:val="bottom"/>
            <w:hideMark/>
          </w:tcPr>
          <w:p w14:paraId="2EA4AE62" w14:textId="77777777" w:rsidR="000A380F" w:rsidRPr="000A380F" w:rsidRDefault="000A380F" w:rsidP="000A380F">
            <w:pPr>
              <w:spacing w:after="0"/>
              <w:jc w:val="right"/>
              <w:rPr>
                <w:rFonts w:ascii="Arial" w:hAnsi="Arial" w:cs="Arial"/>
                <w:b/>
                <w:bCs/>
                <w:color w:val="auto"/>
                <w:sz w:val="16"/>
                <w:szCs w:val="16"/>
              </w:rPr>
            </w:pPr>
            <w:r w:rsidRPr="000A380F">
              <w:rPr>
                <w:rFonts w:ascii="Arial" w:hAnsi="Arial" w:cs="Arial"/>
                <w:b/>
                <w:bCs/>
                <w:color w:val="auto"/>
                <w:sz w:val="16"/>
                <w:szCs w:val="16"/>
              </w:rPr>
              <w:t>1,234,489</w:t>
            </w:r>
          </w:p>
        </w:tc>
        <w:tc>
          <w:tcPr>
            <w:tcW w:w="1320" w:type="dxa"/>
            <w:tcBorders>
              <w:top w:val="nil"/>
              <w:left w:val="nil"/>
              <w:bottom w:val="single" w:sz="4" w:space="0" w:color="auto"/>
              <w:right w:val="nil"/>
            </w:tcBorders>
            <w:shd w:val="clear" w:color="000000" w:fill="D9D9D9"/>
            <w:noWrap/>
            <w:vAlign w:val="bottom"/>
            <w:hideMark/>
          </w:tcPr>
          <w:p w14:paraId="7EC2C428" w14:textId="77777777" w:rsidR="000A380F" w:rsidRPr="000A380F" w:rsidRDefault="000A380F" w:rsidP="000A380F">
            <w:pPr>
              <w:spacing w:after="0"/>
              <w:jc w:val="right"/>
              <w:rPr>
                <w:rFonts w:ascii="Arial" w:hAnsi="Arial" w:cs="Arial"/>
                <w:b/>
                <w:bCs/>
                <w:color w:val="auto"/>
                <w:sz w:val="16"/>
                <w:szCs w:val="16"/>
              </w:rPr>
            </w:pPr>
            <w:r w:rsidRPr="000A380F">
              <w:rPr>
                <w:rFonts w:ascii="Arial" w:hAnsi="Arial" w:cs="Arial"/>
                <w:b/>
                <w:bCs/>
                <w:color w:val="auto"/>
                <w:sz w:val="16"/>
                <w:szCs w:val="16"/>
              </w:rPr>
              <w:t>1,255,365</w:t>
            </w:r>
          </w:p>
        </w:tc>
      </w:tr>
      <w:tr w:rsidR="000A380F" w:rsidRPr="000A380F" w14:paraId="6082F3ED" w14:textId="77777777" w:rsidTr="000A380F">
        <w:trPr>
          <w:trHeight w:val="225"/>
        </w:trPr>
        <w:tc>
          <w:tcPr>
            <w:tcW w:w="4660" w:type="dxa"/>
            <w:tcBorders>
              <w:top w:val="nil"/>
              <w:left w:val="nil"/>
              <w:bottom w:val="nil"/>
              <w:right w:val="nil"/>
            </w:tcBorders>
            <w:shd w:val="clear" w:color="auto" w:fill="auto"/>
            <w:noWrap/>
            <w:vAlign w:val="bottom"/>
            <w:hideMark/>
          </w:tcPr>
          <w:p w14:paraId="51B658C8" w14:textId="77777777" w:rsidR="000A380F" w:rsidRPr="000A380F" w:rsidRDefault="000A380F" w:rsidP="000A380F">
            <w:pPr>
              <w:spacing w:after="0"/>
              <w:jc w:val="right"/>
              <w:rPr>
                <w:rFonts w:ascii="Arial" w:hAnsi="Arial" w:cs="Arial"/>
                <w:b/>
                <w:bCs/>
                <w:color w:val="auto"/>
                <w:sz w:val="16"/>
                <w:szCs w:val="16"/>
              </w:rPr>
            </w:pPr>
          </w:p>
        </w:tc>
        <w:tc>
          <w:tcPr>
            <w:tcW w:w="1320" w:type="dxa"/>
            <w:tcBorders>
              <w:top w:val="nil"/>
              <w:left w:val="nil"/>
              <w:bottom w:val="nil"/>
              <w:right w:val="nil"/>
            </w:tcBorders>
            <w:shd w:val="clear" w:color="auto" w:fill="auto"/>
            <w:noWrap/>
            <w:vAlign w:val="bottom"/>
            <w:hideMark/>
          </w:tcPr>
          <w:p w14:paraId="5B78DD73" w14:textId="77777777" w:rsidR="000A380F" w:rsidRPr="000A380F" w:rsidRDefault="000A380F" w:rsidP="000A380F">
            <w:pPr>
              <w:spacing w:after="0"/>
              <w:rPr>
                <w:rFonts w:ascii="Times New Roman" w:hAnsi="Times New Roman"/>
                <w:color w:val="auto"/>
                <w:sz w:val="20"/>
              </w:rPr>
            </w:pPr>
          </w:p>
        </w:tc>
        <w:tc>
          <w:tcPr>
            <w:tcW w:w="1320" w:type="dxa"/>
            <w:tcBorders>
              <w:top w:val="nil"/>
              <w:left w:val="nil"/>
              <w:bottom w:val="nil"/>
              <w:right w:val="nil"/>
            </w:tcBorders>
            <w:shd w:val="clear" w:color="auto" w:fill="auto"/>
            <w:noWrap/>
            <w:vAlign w:val="bottom"/>
            <w:hideMark/>
          </w:tcPr>
          <w:p w14:paraId="46D47B17" w14:textId="77777777" w:rsidR="000A380F" w:rsidRPr="000A380F" w:rsidRDefault="000A380F" w:rsidP="000A380F">
            <w:pPr>
              <w:spacing w:after="0"/>
              <w:rPr>
                <w:rFonts w:ascii="Times New Roman" w:hAnsi="Times New Roman"/>
                <w:color w:val="auto"/>
                <w:sz w:val="20"/>
              </w:rPr>
            </w:pPr>
          </w:p>
        </w:tc>
      </w:tr>
      <w:tr w:rsidR="000A380F" w:rsidRPr="000A380F" w14:paraId="4AA2E5CD" w14:textId="77777777" w:rsidTr="000A380F">
        <w:trPr>
          <w:trHeight w:val="300"/>
        </w:trPr>
        <w:tc>
          <w:tcPr>
            <w:tcW w:w="4660" w:type="dxa"/>
            <w:tcBorders>
              <w:top w:val="single" w:sz="4" w:space="0" w:color="auto"/>
              <w:left w:val="nil"/>
              <w:bottom w:val="nil"/>
              <w:right w:val="nil"/>
            </w:tcBorders>
            <w:shd w:val="clear" w:color="auto" w:fill="auto"/>
            <w:noWrap/>
            <w:vAlign w:val="bottom"/>
            <w:hideMark/>
          </w:tcPr>
          <w:p w14:paraId="1AD4AB62" w14:textId="77777777" w:rsidR="000A380F" w:rsidRPr="000A380F" w:rsidRDefault="000A380F" w:rsidP="000A380F">
            <w:pPr>
              <w:spacing w:after="0"/>
              <w:jc w:val="right"/>
              <w:rPr>
                <w:rFonts w:ascii="Arial" w:hAnsi="Arial" w:cs="Arial"/>
                <w:sz w:val="16"/>
                <w:szCs w:val="16"/>
              </w:rPr>
            </w:pPr>
            <w:r w:rsidRPr="000A380F">
              <w:rPr>
                <w:rFonts w:ascii="Arial" w:hAnsi="Arial" w:cs="Arial"/>
                <w:sz w:val="16"/>
                <w:szCs w:val="16"/>
              </w:rPr>
              <w:t> </w:t>
            </w:r>
          </w:p>
        </w:tc>
        <w:tc>
          <w:tcPr>
            <w:tcW w:w="1320" w:type="dxa"/>
            <w:tcBorders>
              <w:top w:val="single" w:sz="4" w:space="0" w:color="auto"/>
              <w:left w:val="nil"/>
              <w:bottom w:val="nil"/>
              <w:right w:val="nil"/>
            </w:tcBorders>
            <w:shd w:val="clear" w:color="auto" w:fill="auto"/>
            <w:noWrap/>
            <w:vAlign w:val="bottom"/>
            <w:hideMark/>
          </w:tcPr>
          <w:p w14:paraId="6BBF91BC" w14:textId="77777777" w:rsidR="000A380F" w:rsidRPr="000A380F" w:rsidRDefault="000A380F" w:rsidP="000A380F">
            <w:pPr>
              <w:spacing w:after="0"/>
              <w:jc w:val="right"/>
              <w:rPr>
                <w:rFonts w:ascii="Arial" w:hAnsi="Arial" w:cs="Arial"/>
                <w:b/>
                <w:bCs/>
                <w:color w:val="auto"/>
                <w:sz w:val="16"/>
                <w:szCs w:val="16"/>
              </w:rPr>
            </w:pPr>
            <w:r w:rsidRPr="000A380F">
              <w:rPr>
                <w:rFonts w:ascii="Arial" w:hAnsi="Arial" w:cs="Arial"/>
                <w:b/>
                <w:bCs/>
                <w:color w:val="auto"/>
                <w:sz w:val="16"/>
                <w:szCs w:val="16"/>
              </w:rPr>
              <w:t>2022–23</w:t>
            </w:r>
          </w:p>
        </w:tc>
        <w:tc>
          <w:tcPr>
            <w:tcW w:w="1320" w:type="dxa"/>
            <w:tcBorders>
              <w:top w:val="single" w:sz="4" w:space="0" w:color="auto"/>
              <w:left w:val="nil"/>
              <w:bottom w:val="nil"/>
              <w:right w:val="nil"/>
            </w:tcBorders>
            <w:shd w:val="clear" w:color="000000" w:fill="D9D9D9"/>
            <w:noWrap/>
            <w:vAlign w:val="bottom"/>
            <w:hideMark/>
          </w:tcPr>
          <w:p w14:paraId="2F46CFE9" w14:textId="77777777" w:rsidR="000A380F" w:rsidRPr="000A380F" w:rsidRDefault="000A380F" w:rsidP="000A380F">
            <w:pPr>
              <w:spacing w:after="0"/>
              <w:jc w:val="right"/>
              <w:rPr>
                <w:rFonts w:ascii="Arial" w:hAnsi="Arial" w:cs="Arial"/>
                <w:b/>
                <w:bCs/>
                <w:color w:val="auto"/>
                <w:sz w:val="16"/>
                <w:szCs w:val="16"/>
              </w:rPr>
            </w:pPr>
            <w:r w:rsidRPr="000A380F">
              <w:rPr>
                <w:rFonts w:ascii="Arial" w:hAnsi="Arial" w:cs="Arial"/>
                <w:b/>
                <w:bCs/>
                <w:color w:val="auto"/>
                <w:sz w:val="16"/>
                <w:szCs w:val="16"/>
              </w:rPr>
              <w:t>2023–24</w:t>
            </w:r>
          </w:p>
        </w:tc>
      </w:tr>
      <w:tr w:rsidR="000A380F" w:rsidRPr="000A380F" w14:paraId="522CB3D9" w14:textId="77777777" w:rsidTr="000A380F">
        <w:trPr>
          <w:trHeight w:val="300"/>
        </w:trPr>
        <w:tc>
          <w:tcPr>
            <w:tcW w:w="4660" w:type="dxa"/>
            <w:tcBorders>
              <w:top w:val="nil"/>
              <w:left w:val="nil"/>
              <w:bottom w:val="single" w:sz="4" w:space="0" w:color="auto"/>
              <w:right w:val="nil"/>
            </w:tcBorders>
            <w:shd w:val="clear" w:color="auto" w:fill="auto"/>
            <w:noWrap/>
            <w:vAlign w:val="bottom"/>
            <w:hideMark/>
          </w:tcPr>
          <w:p w14:paraId="6656C03D" w14:textId="77777777" w:rsidR="000A380F" w:rsidRPr="000A380F" w:rsidRDefault="000A380F" w:rsidP="000A380F">
            <w:pPr>
              <w:spacing w:after="0"/>
              <w:rPr>
                <w:rFonts w:ascii="Arial" w:hAnsi="Arial" w:cs="Arial"/>
                <w:b/>
                <w:bCs/>
                <w:sz w:val="16"/>
                <w:szCs w:val="16"/>
              </w:rPr>
            </w:pPr>
            <w:r w:rsidRPr="000A380F">
              <w:rPr>
                <w:rFonts w:ascii="Arial" w:hAnsi="Arial" w:cs="Arial"/>
                <w:b/>
                <w:bCs/>
                <w:sz w:val="16"/>
                <w:szCs w:val="16"/>
              </w:rPr>
              <w:t xml:space="preserve">Average </w:t>
            </w:r>
            <w:r w:rsidRPr="000A380F">
              <w:rPr>
                <w:rFonts w:ascii="Arial" w:hAnsi="Arial" w:cs="Arial"/>
                <w:b/>
                <w:bCs/>
                <w:color w:val="auto"/>
                <w:sz w:val="16"/>
                <w:szCs w:val="16"/>
              </w:rPr>
              <w:t>s</w:t>
            </w:r>
            <w:r w:rsidRPr="000A380F">
              <w:rPr>
                <w:rFonts w:ascii="Arial" w:hAnsi="Arial" w:cs="Arial"/>
                <w:b/>
                <w:bCs/>
                <w:sz w:val="16"/>
                <w:szCs w:val="16"/>
              </w:rPr>
              <w:t xml:space="preserve">taffing </w:t>
            </w:r>
            <w:r w:rsidRPr="000A380F">
              <w:rPr>
                <w:rFonts w:ascii="Arial" w:hAnsi="Arial" w:cs="Arial"/>
                <w:b/>
                <w:bCs/>
                <w:color w:val="auto"/>
                <w:sz w:val="16"/>
                <w:szCs w:val="16"/>
              </w:rPr>
              <w:t>l</w:t>
            </w:r>
            <w:r w:rsidRPr="000A380F">
              <w:rPr>
                <w:rFonts w:ascii="Arial" w:hAnsi="Arial" w:cs="Arial"/>
                <w:b/>
                <w:bCs/>
                <w:sz w:val="16"/>
                <w:szCs w:val="16"/>
              </w:rPr>
              <w:t>evel (number)</w:t>
            </w:r>
          </w:p>
        </w:tc>
        <w:tc>
          <w:tcPr>
            <w:tcW w:w="1320" w:type="dxa"/>
            <w:tcBorders>
              <w:top w:val="single" w:sz="4" w:space="0" w:color="auto"/>
              <w:left w:val="nil"/>
              <w:bottom w:val="single" w:sz="4" w:space="0" w:color="auto"/>
              <w:right w:val="nil"/>
            </w:tcBorders>
            <w:shd w:val="clear" w:color="auto" w:fill="auto"/>
            <w:noWrap/>
            <w:vAlign w:val="bottom"/>
            <w:hideMark/>
          </w:tcPr>
          <w:p w14:paraId="2919CB0A" w14:textId="77777777" w:rsidR="000A380F" w:rsidRPr="000A380F" w:rsidRDefault="000A380F" w:rsidP="000A380F">
            <w:pPr>
              <w:spacing w:after="0"/>
              <w:jc w:val="right"/>
              <w:rPr>
                <w:rFonts w:ascii="Arial" w:hAnsi="Arial" w:cs="Arial"/>
                <w:sz w:val="16"/>
                <w:szCs w:val="16"/>
              </w:rPr>
            </w:pPr>
            <w:r w:rsidRPr="000A380F">
              <w:rPr>
                <w:rFonts w:ascii="Arial" w:hAnsi="Arial" w:cs="Arial"/>
                <w:sz w:val="16"/>
                <w:szCs w:val="16"/>
              </w:rPr>
              <w:t>205</w:t>
            </w:r>
          </w:p>
        </w:tc>
        <w:tc>
          <w:tcPr>
            <w:tcW w:w="1320" w:type="dxa"/>
            <w:tcBorders>
              <w:top w:val="single" w:sz="4" w:space="0" w:color="auto"/>
              <w:left w:val="nil"/>
              <w:bottom w:val="single" w:sz="4" w:space="0" w:color="auto"/>
              <w:right w:val="nil"/>
            </w:tcBorders>
            <w:shd w:val="clear" w:color="000000" w:fill="D9D9D9"/>
            <w:noWrap/>
            <w:vAlign w:val="bottom"/>
            <w:hideMark/>
          </w:tcPr>
          <w:p w14:paraId="5D8F012B" w14:textId="77777777" w:rsidR="000A380F" w:rsidRPr="000A380F" w:rsidRDefault="000A380F" w:rsidP="000A380F">
            <w:pPr>
              <w:spacing w:after="0"/>
              <w:jc w:val="right"/>
              <w:rPr>
                <w:rFonts w:ascii="Arial" w:hAnsi="Arial" w:cs="Arial"/>
                <w:sz w:val="16"/>
                <w:szCs w:val="16"/>
              </w:rPr>
            </w:pPr>
            <w:r w:rsidRPr="000A380F">
              <w:rPr>
                <w:rFonts w:ascii="Arial" w:hAnsi="Arial" w:cs="Arial"/>
                <w:sz w:val="16"/>
                <w:szCs w:val="16"/>
              </w:rPr>
              <w:t>205</w:t>
            </w:r>
          </w:p>
        </w:tc>
      </w:tr>
    </w:tbl>
    <w:p w14:paraId="5A0335D3" w14:textId="0316A27E" w:rsidR="000A380F" w:rsidRDefault="000A380F" w:rsidP="000A380F">
      <w:pPr>
        <w:pStyle w:val="FootnoteText"/>
        <w:spacing w:before="120"/>
      </w:pPr>
      <w:r>
        <w:t>All figures are GST exclusive.</w:t>
      </w:r>
    </w:p>
    <w:p w14:paraId="4834C554" w14:textId="5122528F" w:rsidR="000A380F" w:rsidRDefault="000A380F" w:rsidP="000A380F">
      <w:pPr>
        <w:pStyle w:val="FootnoteText"/>
      </w:pPr>
      <w:r w:rsidRPr="000A380F">
        <w:rPr>
          <w:vertAlign w:val="superscript"/>
        </w:rPr>
        <w:t>(a)</w:t>
      </w:r>
      <w:r>
        <w:tab/>
        <w:t>Appropriation Bill (No.1) 2023–24.</w:t>
      </w:r>
    </w:p>
    <w:p w14:paraId="2B831403" w14:textId="2DEF8243" w:rsidR="000A380F" w:rsidRDefault="000A380F" w:rsidP="000A380F">
      <w:pPr>
        <w:pStyle w:val="FootnoteText"/>
      </w:pPr>
      <w:r w:rsidRPr="000A380F">
        <w:rPr>
          <w:vertAlign w:val="superscript"/>
        </w:rPr>
        <w:t>(b)</w:t>
      </w:r>
      <w:r>
        <w:tab/>
        <w:t xml:space="preserve">Estimated retained revenue receipts under section 74 of the </w:t>
      </w:r>
      <w:r w:rsidRPr="000A380F">
        <w:rPr>
          <w:i/>
        </w:rPr>
        <w:t>Public Governance, Performance and Accountability Act 2013</w:t>
      </w:r>
      <w:r>
        <w:t xml:space="preserve"> (PGPA Act).</w:t>
      </w:r>
    </w:p>
    <w:p w14:paraId="5EA39187" w14:textId="356A6E9C" w:rsidR="000A380F" w:rsidRDefault="000A380F" w:rsidP="000A380F">
      <w:pPr>
        <w:pStyle w:val="FootnoteText"/>
      </w:pPr>
      <w:r w:rsidRPr="000A380F">
        <w:rPr>
          <w:vertAlign w:val="superscript"/>
        </w:rPr>
        <w:t>(c)</w:t>
      </w:r>
      <w:r>
        <w:tab/>
        <w:t>Departmental Capital Budgets are not separately identified in Appropriation Bill (No.1) and form part of ordinary annual services items. Please refer to Table 3.5 within this chapter for further details. For accounting purposes, this amount has been designated as a 'contribution by owner'.</w:t>
      </w:r>
    </w:p>
    <w:p w14:paraId="4412CB19" w14:textId="7666792B" w:rsidR="000A380F" w:rsidRDefault="000A380F" w:rsidP="000A380F">
      <w:pPr>
        <w:pStyle w:val="FootnoteText"/>
      </w:pPr>
      <w:r w:rsidRPr="000A380F">
        <w:rPr>
          <w:vertAlign w:val="superscript"/>
        </w:rPr>
        <w:t>(d)</w:t>
      </w:r>
      <w:r>
        <w:tab/>
        <w:t>Appropriation Bill (No.2) 2023–24.</w:t>
      </w:r>
    </w:p>
    <w:p w14:paraId="20065CDE" w14:textId="0AAF702C" w:rsidR="000A380F" w:rsidRDefault="000A380F" w:rsidP="000A380F">
      <w:pPr>
        <w:pStyle w:val="FootnoteText"/>
      </w:pPr>
      <w:r w:rsidRPr="000A380F">
        <w:rPr>
          <w:vertAlign w:val="superscript"/>
        </w:rPr>
        <w:t>(e)</w:t>
      </w:r>
      <w:r>
        <w:tab/>
        <w:t>For further information on special appropriations and special accounts, please refer to October Budget Paper No. 4 - Agency Resourcing. Also see Table 2.1 within this chapter for further information on outcome and program expenses broken down by various funding sources, e.g. annual appropriations, special appropriations and special accounts.</w:t>
      </w:r>
    </w:p>
    <w:p w14:paraId="2F2581DF" w14:textId="65D2608C" w:rsidR="000A380F" w:rsidRDefault="000A380F" w:rsidP="000A380F">
      <w:pPr>
        <w:pStyle w:val="FootnoteText"/>
      </w:pPr>
      <w:r w:rsidRPr="000A380F">
        <w:rPr>
          <w:vertAlign w:val="superscript"/>
        </w:rPr>
        <w:t>(f)</w:t>
      </w:r>
      <w:r>
        <w:tab/>
        <w:t>Appropriation receipts from the Department of Health and Aged Care.</w:t>
      </w:r>
    </w:p>
    <w:p w14:paraId="44E0FA47" w14:textId="474E690B" w:rsidR="000A380F" w:rsidRDefault="000A380F" w:rsidP="000A380F">
      <w:pPr>
        <w:pStyle w:val="FootnoteText"/>
      </w:pPr>
      <w:r w:rsidRPr="000A380F">
        <w:rPr>
          <w:vertAlign w:val="superscript"/>
        </w:rPr>
        <w:t>(g)</w:t>
      </w:r>
      <w:r>
        <w:tab/>
        <w:t>Appropriation receipts included above.</w:t>
      </w:r>
    </w:p>
    <w:p w14:paraId="3D032F2D" w14:textId="285C3086" w:rsidR="000A380F" w:rsidRDefault="000A380F" w:rsidP="000A380F">
      <w:pPr>
        <w:spacing w:after="160" w:line="259" w:lineRule="auto"/>
        <w:rPr>
          <w:rFonts w:ascii="Arial Bold" w:hAnsi="Arial Bold"/>
          <w:b/>
          <w:color w:val="auto"/>
          <w:sz w:val="22"/>
        </w:rPr>
      </w:pPr>
      <w:r>
        <w:br w:type="page"/>
      </w:r>
    </w:p>
    <w:p w14:paraId="3E8038F5" w14:textId="6D8907F5" w:rsidR="0024539A" w:rsidRPr="005407C4" w:rsidRDefault="0024539A" w:rsidP="009647A8">
      <w:pPr>
        <w:pStyle w:val="Heading3"/>
      </w:pPr>
      <w:r w:rsidRPr="005407C4">
        <w:lastRenderedPageBreak/>
        <w:t>1.3</w:t>
      </w:r>
      <w:r w:rsidRPr="005407C4">
        <w:tab/>
        <w:t xml:space="preserve">Budget </w:t>
      </w:r>
      <w:r w:rsidR="00127628">
        <w:t>m</w:t>
      </w:r>
      <w:r w:rsidRPr="005407C4">
        <w:t>easures</w:t>
      </w:r>
      <w:bookmarkEnd w:id="4"/>
    </w:p>
    <w:p w14:paraId="1591E3E4" w14:textId="5C8770BC" w:rsidR="0069211D" w:rsidRPr="001F3157" w:rsidRDefault="00E33B5D" w:rsidP="0069211D">
      <w:r w:rsidRPr="001F3157">
        <w:t>This section is not applicable to the NHMRC.</w:t>
      </w:r>
    </w:p>
    <w:p w14:paraId="078A8577" w14:textId="7C55D5C4" w:rsidR="00040B90" w:rsidRDefault="00040B90" w:rsidP="00AA4A27">
      <w:pPr>
        <w:pStyle w:val="FootnoteText"/>
        <w:spacing w:before="120"/>
      </w:pPr>
    </w:p>
    <w:p w14:paraId="03F6ADAD" w14:textId="77777777" w:rsidR="00E33B5D" w:rsidRPr="005407C4" w:rsidRDefault="00E33B5D" w:rsidP="00AA4A27">
      <w:pPr>
        <w:pStyle w:val="FootnoteText"/>
        <w:spacing w:before="120"/>
        <w:sectPr w:rsidR="00E33B5D" w:rsidRPr="005407C4" w:rsidSect="00357948">
          <w:headerReference w:type="even" r:id="rId15"/>
          <w:headerReference w:type="default" r:id="rId16"/>
          <w:headerReference w:type="first" r:id="rId17"/>
          <w:pgSz w:w="11906" w:h="16838"/>
          <w:pgMar w:top="2466" w:right="2268" w:bottom="2126" w:left="2268" w:header="1899" w:footer="1899" w:gutter="0"/>
          <w:cols w:space="708"/>
          <w:docGrid w:linePitch="360"/>
        </w:sectPr>
      </w:pPr>
    </w:p>
    <w:p w14:paraId="56552849" w14:textId="5CEA5C10" w:rsidR="0024539A" w:rsidRPr="005407C4" w:rsidRDefault="0024539A" w:rsidP="009647A8">
      <w:pPr>
        <w:pStyle w:val="Heading2"/>
      </w:pPr>
      <w:bookmarkStart w:id="5" w:name="_Toc117407532"/>
      <w:r w:rsidRPr="005407C4">
        <w:lastRenderedPageBreak/>
        <w:t xml:space="preserve">Section 2: Outcomes and </w:t>
      </w:r>
      <w:r w:rsidR="00127628">
        <w:t>p</w:t>
      </w:r>
      <w:r w:rsidRPr="005407C4">
        <w:t xml:space="preserve">lanned </w:t>
      </w:r>
      <w:r w:rsidR="00127628">
        <w:t>p</w:t>
      </w:r>
      <w:r w:rsidRPr="005407C4">
        <w:t>erformance</w:t>
      </w:r>
      <w:bookmarkEnd w:id="5"/>
    </w:p>
    <w:p w14:paraId="1A461FAA" w14:textId="77777777" w:rsidR="00127628" w:rsidRPr="00127628" w:rsidRDefault="00127628" w:rsidP="00127628">
      <w:pPr>
        <w:spacing w:before="240" w:after="240" w:line="240" w:lineRule="exact"/>
        <w:rPr>
          <w:color w:val="auto"/>
        </w:rPr>
      </w:pPr>
      <w:r w:rsidRPr="00127628">
        <w:rPr>
          <w:color w:val="auto"/>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F396C6A" w14:textId="77777777" w:rsidR="00127628" w:rsidRPr="00127628" w:rsidRDefault="00127628" w:rsidP="00127628">
      <w:pPr>
        <w:rPr>
          <w:sz w:val="20"/>
        </w:rPr>
      </w:pPr>
      <w:r w:rsidRPr="00127628">
        <w:rPr>
          <w:color w:val="auto"/>
        </w:rPr>
        <w:t>Each outcome is described below together with its related programs. The following provides detailed information on expenses for each outcome and program, further broken down by funding source.</w:t>
      </w:r>
    </w:p>
    <w:p w14:paraId="38C702BB" w14:textId="77777777" w:rsidR="00127628" w:rsidRPr="00127628" w:rsidRDefault="00127628" w:rsidP="00127628">
      <w:pPr>
        <w:pBdr>
          <w:top w:val="single" w:sz="4" w:space="2" w:color="auto"/>
          <w:left w:val="single" w:sz="4" w:space="4" w:color="auto"/>
          <w:bottom w:val="single" w:sz="4" w:space="2" w:color="auto"/>
          <w:right w:val="single" w:sz="4" w:space="4" w:color="auto"/>
        </w:pBdr>
        <w:rPr>
          <w:rFonts w:cs="Arial"/>
          <w:b/>
          <w:szCs w:val="19"/>
        </w:rPr>
      </w:pPr>
      <w:r w:rsidRPr="00127628">
        <w:rPr>
          <w:rFonts w:cs="Arial"/>
          <w:b/>
          <w:szCs w:val="19"/>
        </w:rPr>
        <w:t>Note:</w:t>
      </w:r>
    </w:p>
    <w:p w14:paraId="45C09F18" w14:textId="77777777" w:rsidR="00127628" w:rsidRPr="00127628" w:rsidRDefault="00127628" w:rsidP="00127628">
      <w:pPr>
        <w:pBdr>
          <w:top w:val="single" w:sz="4" w:space="2" w:color="auto"/>
          <w:left w:val="single" w:sz="4" w:space="4" w:color="auto"/>
          <w:bottom w:val="single" w:sz="4" w:space="2" w:color="auto"/>
          <w:right w:val="single" w:sz="4" w:space="4" w:color="auto"/>
        </w:pBdr>
        <w:rPr>
          <w:szCs w:val="19"/>
        </w:rPr>
      </w:pPr>
      <w:r w:rsidRPr="00127628">
        <w:rPr>
          <w:szCs w:val="19"/>
        </w:rPr>
        <w:t xml:space="preserve">Performance reporting requirements in the Portfolio Budget Statements are part of the Commonwealth Performance Framework established by </w:t>
      </w:r>
      <w:r w:rsidRPr="00111940">
        <w:rPr>
          <w:szCs w:val="19"/>
        </w:rPr>
        <w:t>the</w:t>
      </w:r>
      <w:r w:rsidRPr="00127628">
        <w:rPr>
          <w:i/>
          <w:szCs w:val="19"/>
        </w:rPr>
        <w:t xml:space="preserve"> Public Governance, Performance and Accountability Act 2013</w:t>
      </w:r>
      <w:r w:rsidRPr="00127628">
        <w:rPr>
          <w:szCs w:val="19"/>
        </w:rPr>
        <w:t>. It is anticipated that the performance measures described in Portfolio Budget Statements will be read with broader information provided in an entity’s Corporate Plan and Annual Performance Statement – included in Annual Reports – to provide an entity’s complete performance story.</w:t>
      </w:r>
    </w:p>
    <w:p w14:paraId="043A613C" w14:textId="67B6DB6A" w:rsidR="000A4EB7" w:rsidRPr="005407C4" w:rsidRDefault="000A4EB7" w:rsidP="0003353F">
      <w:pPr>
        <w:pBdr>
          <w:top w:val="single" w:sz="4" w:space="2" w:color="auto"/>
          <w:left w:val="single" w:sz="4" w:space="4" w:color="auto"/>
          <w:bottom w:val="single" w:sz="4" w:space="2" w:color="auto"/>
          <w:right w:val="single" w:sz="4" w:space="4" w:color="auto"/>
        </w:pBdr>
        <w:rPr>
          <w:color w:val="000000" w:themeColor="text1"/>
        </w:rPr>
      </w:pPr>
      <w:r w:rsidRPr="005407C4">
        <w:rPr>
          <w:color w:val="000000" w:themeColor="text1"/>
        </w:rPr>
        <w:t>NHMRC’s most recent Corporate Plan</w:t>
      </w:r>
      <w:r w:rsidR="007B7244" w:rsidRPr="005407C4">
        <w:rPr>
          <w:color w:val="000000" w:themeColor="text1"/>
        </w:rPr>
        <w:t xml:space="preserve"> and Annual Performance Statement are</w:t>
      </w:r>
      <w:r w:rsidRPr="005407C4">
        <w:rPr>
          <w:color w:val="000000" w:themeColor="text1"/>
        </w:rPr>
        <w:t xml:space="preserve"> available at: </w:t>
      </w:r>
      <w:r w:rsidR="004B5D06" w:rsidRPr="005407C4">
        <w:rPr>
          <w:color w:val="000000" w:themeColor="text1"/>
        </w:rPr>
        <w:t>www.nhmrc.gov.au/about-us/publications</w:t>
      </w:r>
      <w:r w:rsidR="003E1223" w:rsidRPr="003E1223">
        <w:t xml:space="preserve"> </w:t>
      </w:r>
    </w:p>
    <w:p w14:paraId="76E52BC0" w14:textId="37149EE6" w:rsidR="00BC0659" w:rsidRPr="00BD13C2" w:rsidRDefault="00BC0659" w:rsidP="009647A8">
      <w:pPr>
        <w:pStyle w:val="Heading3"/>
      </w:pPr>
      <w:bookmarkStart w:id="6" w:name="_Toc117407533"/>
      <w:r w:rsidRPr="00BD13C2">
        <w:t>2.1</w:t>
      </w:r>
      <w:r w:rsidRPr="00BD13C2">
        <w:tab/>
        <w:t xml:space="preserve">Budgeted </w:t>
      </w:r>
      <w:r w:rsidR="00127628" w:rsidRPr="00BD13C2">
        <w:t>e</w:t>
      </w:r>
      <w:r w:rsidRPr="00BD13C2">
        <w:t xml:space="preserve">xpenses and </w:t>
      </w:r>
      <w:r w:rsidR="00127628" w:rsidRPr="00BD13C2">
        <w:t>p</w:t>
      </w:r>
      <w:r w:rsidRPr="00BD13C2">
        <w:t>erformance</w:t>
      </w:r>
      <w:bookmarkEnd w:id="6"/>
    </w:p>
    <w:p w14:paraId="50CC6267" w14:textId="77777777" w:rsidR="00BC0659" w:rsidRPr="00D44E13" w:rsidRDefault="00BC0659" w:rsidP="00BC0659">
      <w:pPr>
        <w:pStyle w:val="OutcomeStatement"/>
        <w:spacing w:before="120" w:after="120"/>
        <w:rPr>
          <w:b/>
          <w:color w:val="000000" w:themeColor="text1"/>
          <w:szCs w:val="20"/>
        </w:rPr>
      </w:pPr>
      <w:r w:rsidRPr="00D44E13">
        <w:rPr>
          <w:b/>
          <w:color w:val="000000" w:themeColor="text1"/>
          <w:szCs w:val="20"/>
        </w:rPr>
        <w:t>Outcome 1</w:t>
      </w:r>
    </w:p>
    <w:p w14:paraId="26445B37" w14:textId="0C2779BF" w:rsidR="003763E3" w:rsidRDefault="002B3EE7" w:rsidP="00430169">
      <w:pPr>
        <w:pStyle w:val="OutcomeStatement"/>
        <w:rPr>
          <w:color w:val="000000" w:themeColor="text1"/>
          <w:szCs w:val="20"/>
        </w:rPr>
      </w:pPr>
      <w:r w:rsidRPr="00D44E13">
        <w:rPr>
          <w:color w:val="000000" w:themeColor="text1"/>
          <w:szCs w:val="20"/>
        </w:rPr>
        <w:t>Improved health and medical knowledge, including through funding research, translating research findings into evidence-based clinical practice, administering legislation governing research, issuing guidelines and advice for ethics in health and the promotion of public health</w:t>
      </w:r>
      <w:r w:rsidR="007075D5">
        <w:rPr>
          <w:color w:val="000000" w:themeColor="text1"/>
          <w:szCs w:val="20"/>
        </w:rPr>
        <w:t>.</w:t>
      </w:r>
    </w:p>
    <w:p w14:paraId="1D8CC40B" w14:textId="69E7D1C6" w:rsidR="00BC0659" w:rsidRPr="00D44E13" w:rsidRDefault="00BC0659" w:rsidP="00BC0659">
      <w:pPr>
        <w:pStyle w:val="Heading4"/>
        <w:rPr>
          <w:color w:val="000000" w:themeColor="text1"/>
          <w:sz w:val="20"/>
        </w:rPr>
      </w:pPr>
      <w:r w:rsidRPr="00D44E13">
        <w:rPr>
          <w:color w:val="000000" w:themeColor="text1"/>
          <w:sz w:val="20"/>
        </w:rPr>
        <w:t xml:space="preserve">Program </w:t>
      </w:r>
      <w:r w:rsidR="00FB72E1" w:rsidRPr="00D44E13">
        <w:rPr>
          <w:color w:val="000000" w:themeColor="text1"/>
          <w:sz w:val="20"/>
        </w:rPr>
        <w:t>c</w:t>
      </w:r>
      <w:r w:rsidRPr="00D44E13">
        <w:rPr>
          <w:color w:val="000000" w:themeColor="text1"/>
          <w:sz w:val="20"/>
        </w:rPr>
        <w:t>ontributing to Outcome 1</w:t>
      </w:r>
    </w:p>
    <w:p w14:paraId="59487CE5" w14:textId="2F7F12B3" w:rsidR="003763E3" w:rsidRDefault="00BC0659" w:rsidP="00430169">
      <w:pPr>
        <w:widowControl w:val="0"/>
        <w:pBdr>
          <w:top w:val="single" w:sz="4" w:space="2" w:color="auto"/>
          <w:left w:val="single" w:sz="4" w:space="4" w:color="auto"/>
          <w:bottom w:val="single" w:sz="4" w:space="2" w:color="auto"/>
          <w:right w:val="single" w:sz="4" w:space="4" w:color="auto"/>
        </w:pBdr>
        <w:tabs>
          <w:tab w:val="left" w:pos="0"/>
        </w:tabs>
        <w:spacing w:after="0"/>
        <w:rPr>
          <w:rFonts w:ascii="Arial" w:hAnsi="Arial" w:cs="Arial"/>
          <w:b/>
          <w:color w:val="000000" w:themeColor="text1"/>
          <w:sz w:val="18"/>
          <w:szCs w:val="18"/>
        </w:rPr>
      </w:pPr>
      <w:r w:rsidRPr="005407C4">
        <w:rPr>
          <w:rFonts w:ascii="Arial" w:hAnsi="Arial" w:cs="Arial"/>
          <w:b/>
          <w:color w:val="000000" w:themeColor="text1"/>
          <w:sz w:val="18"/>
          <w:szCs w:val="18"/>
        </w:rPr>
        <w:t>Program 1.1:</w:t>
      </w:r>
      <w:r w:rsidRPr="005407C4">
        <w:rPr>
          <w:rFonts w:ascii="Arial" w:hAnsi="Arial" w:cs="Arial"/>
          <w:b/>
          <w:color w:val="000000" w:themeColor="text1"/>
          <w:sz w:val="18"/>
          <w:szCs w:val="18"/>
        </w:rPr>
        <w:tab/>
      </w:r>
      <w:r w:rsidR="002B3EE7" w:rsidRPr="005407C4">
        <w:rPr>
          <w:rFonts w:ascii="Arial" w:hAnsi="Arial" w:cs="Arial"/>
          <w:b/>
          <w:color w:val="000000" w:themeColor="text1"/>
          <w:sz w:val="18"/>
          <w:szCs w:val="18"/>
        </w:rPr>
        <w:t>Health and Medical Research</w:t>
      </w:r>
    </w:p>
    <w:p w14:paraId="18D55279" w14:textId="0B7BAB9F" w:rsidR="00AD010B" w:rsidRPr="00C01755" w:rsidRDefault="00BC0659" w:rsidP="00C01755">
      <w:pPr>
        <w:pStyle w:val="Heading4"/>
        <w:pageBreakBefore/>
        <w:rPr>
          <w:color w:val="000000" w:themeColor="text1"/>
        </w:rPr>
      </w:pPr>
      <w:r w:rsidRPr="005407C4">
        <w:rPr>
          <w:color w:val="000000" w:themeColor="text1"/>
        </w:rPr>
        <w:lastRenderedPageBreak/>
        <w:t xml:space="preserve">Linked </w:t>
      </w:r>
      <w:r w:rsidR="00FB72E1">
        <w:rPr>
          <w:color w:val="000000" w:themeColor="text1"/>
        </w:rPr>
        <w:t>p</w:t>
      </w:r>
      <w:r w:rsidRPr="005407C4">
        <w:rPr>
          <w:color w:val="000000" w:themeColor="text1"/>
        </w:rPr>
        <w:t>rograms</w:t>
      </w:r>
    </w:p>
    <w:tbl>
      <w:tblPr>
        <w:tblStyle w:val="TableGrid"/>
        <w:tblW w:w="5198" w:type="pct"/>
        <w:jc w:val="center"/>
        <w:tblLook w:val="04A0" w:firstRow="1" w:lastRow="0" w:firstColumn="1" w:lastColumn="0" w:noHBand="0" w:noVBand="1"/>
        <w:tblCaption w:val="Linked programs: NHMRC"/>
        <w:tblDescription w:val="This table shows a list of programs delivered by Commonwealth entities that contribute to the programs under this Outcome. It contains a list of entities and linked programs with a description of the contribution made by linked programs.&#10;"/>
      </w:tblPr>
      <w:tblGrid>
        <w:gridCol w:w="7651"/>
      </w:tblGrid>
      <w:tr w:rsidR="005407C4" w:rsidRPr="005407C4" w14:paraId="7437E1CD" w14:textId="77777777" w:rsidTr="003C7D3D">
        <w:trPr>
          <w:tblHeader/>
          <w:jc w:val="center"/>
        </w:trPr>
        <w:tc>
          <w:tcPr>
            <w:tcW w:w="5000" w:type="pct"/>
            <w:shd w:val="clear" w:color="auto" w:fill="D9D9D9" w:themeFill="background1" w:themeFillShade="D9"/>
          </w:tcPr>
          <w:p w14:paraId="3F9C8F72" w14:textId="77777777" w:rsidR="00BC0659" w:rsidRPr="005407C4" w:rsidRDefault="00BC0659" w:rsidP="003C7D3D">
            <w:pPr>
              <w:pStyle w:val="Tableheadingrow9pt"/>
              <w:rPr>
                <w:color w:val="000000" w:themeColor="text1"/>
              </w:rPr>
            </w:pPr>
            <w:r w:rsidRPr="00D44E13">
              <w:rPr>
                <w:color w:val="000000" w:themeColor="text1"/>
                <w:sz w:val="20"/>
              </w:rPr>
              <w:t>Other Commonwealth entities that contribute to Outcome 1</w:t>
            </w:r>
          </w:p>
        </w:tc>
      </w:tr>
      <w:tr w:rsidR="003F09E5" w:rsidRPr="005407C4" w14:paraId="12437220" w14:textId="77777777" w:rsidTr="003C7D3D">
        <w:trPr>
          <w:jc w:val="center"/>
        </w:trPr>
        <w:tc>
          <w:tcPr>
            <w:tcW w:w="5000" w:type="pct"/>
          </w:tcPr>
          <w:p w14:paraId="7B6CA6AF" w14:textId="118F9E3E" w:rsidR="003F09E5" w:rsidRPr="00C6413A" w:rsidRDefault="003F09E5" w:rsidP="003F09E5">
            <w:pPr>
              <w:pStyle w:val="Tableheadingrow9pt"/>
              <w:rPr>
                <w:color w:val="000000" w:themeColor="text1"/>
                <w:sz w:val="19"/>
                <w:szCs w:val="19"/>
              </w:rPr>
            </w:pPr>
            <w:r w:rsidRPr="00C6413A">
              <w:rPr>
                <w:color w:val="000000" w:themeColor="text1"/>
                <w:sz w:val="19"/>
                <w:szCs w:val="19"/>
              </w:rPr>
              <w:t>Department of Health and Aged Care</w:t>
            </w:r>
          </w:p>
        </w:tc>
      </w:tr>
      <w:tr w:rsidR="005407C4" w:rsidRPr="005407C4" w14:paraId="56D7208D" w14:textId="77777777" w:rsidTr="003C7D3D">
        <w:trPr>
          <w:jc w:val="center"/>
        </w:trPr>
        <w:tc>
          <w:tcPr>
            <w:tcW w:w="5000" w:type="pct"/>
          </w:tcPr>
          <w:p w14:paraId="54478AD1" w14:textId="77777777" w:rsidR="003253F2" w:rsidRPr="00FB72E1" w:rsidRDefault="002B3EE7" w:rsidP="003253F2">
            <w:pPr>
              <w:pStyle w:val="Tableheadingrow9pt"/>
              <w:rPr>
                <w:rFonts w:ascii="Book Antiqua" w:hAnsi="Book Antiqua"/>
                <w:color w:val="000000" w:themeColor="text1"/>
                <w:sz w:val="19"/>
                <w:szCs w:val="19"/>
              </w:rPr>
            </w:pPr>
            <w:r w:rsidRPr="00FB72E1">
              <w:rPr>
                <w:rFonts w:ascii="Book Antiqua" w:hAnsi="Book Antiqua"/>
                <w:color w:val="000000" w:themeColor="text1"/>
                <w:sz w:val="19"/>
                <w:szCs w:val="19"/>
              </w:rPr>
              <w:t>Program 1.1: Hea</w:t>
            </w:r>
            <w:r w:rsidR="003A2980" w:rsidRPr="00FB72E1">
              <w:rPr>
                <w:rFonts w:ascii="Book Antiqua" w:hAnsi="Book Antiqua"/>
                <w:color w:val="000000" w:themeColor="text1"/>
                <w:sz w:val="19"/>
                <w:szCs w:val="19"/>
              </w:rPr>
              <w:t>lth Research, Coordination and Access</w:t>
            </w:r>
          </w:p>
          <w:p w14:paraId="57A549CB" w14:textId="156E8450" w:rsidR="003253F2" w:rsidRPr="00FB72E1" w:rsidRDefault="003253F2" w:rsidP="003253F2">
            <w:pPr>
              <w:pStyle w:val="Tableheadingrow9pt"/>
              <w:rPr>
                <w:rFonts w:ascii="Book Antiqua" w:hAnsi="Book Antiqua"/>
                <w:color w:val="000000" w:themeColor="text1"/>
                <w:sz w:val="19"/>
                <w:szCs w:val="19"/>
              </w:rPr>
            </w:pPr>
            <w:r w:rsidRPr="00FB72E1">
              <w:rPr>
                <w:rFonts w:ascii="Book Antiqua" w:hAnsi="Book Antiqua"/>
                <w:color w:val="000000" w:themeColor="text1"/>
                <w:sz w:val="19"/>
                <w:szCs w:val="19"/>
              </w:rPr>
              <w:t>Program 1.8: Health Protection, Emergency Response and Regulation</w:t>
            </w:r>
          </w:p>
          <w:p w14:paraId="159F8423" w14:textId="50B26C19" w:rsidR="0011797D" w:rsidRDefault="003763E3" w:rsidP="0011797D">
            <w:pPr>
              <w:pStyle w:val="Tabletextnormal9pt"/>
              <w:rPr>
                <w:rFonts w:ascii="Book Antiqua" w:hAnsi="Book Antiqua"/>
                <w:color w:val="000000" w:themeColor="text1"/>
                <w:sz w:val="19"/>
                <w:szCs w:val="19"/>
              </w:rPr>
            </w:pPr>
            <w:r w:rsidRPr="00FB72E1">
              <w:rPr>
                <w:rFonts w:ascii="Book Antiqua" w:hAnsi="Book Antiqua"/>
                <w:color w:val="000000" w:themeColor="text1"/>
                <w:sz w:val="19"/>
                <w:szCs w:val="19"/>
              </w:rPr>
              <w:t>The Department of Health and Aged Care</w:t>
            </w:r>
            <w:r w:rsidR="002B3EE7" w:rsidRPr="00FB72E1">
              <w:rPr>
                <w:rFonts w:ascii="Book Antiqua" w:hAnsi="Book Antiqua"/>
                <w:color w:val="000000" w:themeColor="text1"/>
                <w:sz w:val="19"/>
                <w:szCs w:val="19"/>
              </w:rPr>
              <w:t xml:space="preserve"> contributes to health and medical research thro</w:t>
            </w:r>
            <w:r w:rsidR="00C429C0" w:rsidRPr="00FB72E1">
              <w:rPr>
                <w:rFonts w:ascii="Book Antiqua" w:hAnsi="Book Antiqua"/>
                <w:color w:val="000000" w:themeColor="text1"/>
                <w:sz w:val="19"/>
                <w:szCs w:val="19"/>
              </w:rPr>
              <w:t xml:space="preserve">ugh the Medical Research Future </w:t>
            </w:r>
            <w:r w:rsidR="002B3EE7" w:rsidRPr="00FB72E1">
              <w:rPr>
                <w:rFonts w:ascii="Book Antiqua" w:hAnsi="Book Antiqua"/>
                <w:color w:val="000000" w:themeColor="text1"/>
                <w:sz w:val="19"/>
                <w:szCs w:val="19"/>
              </w:rPr>
              <w:t>Fund, which will support the sustainability of the health system into the future, and drive further medical innovation</w:t>
            </w:r>
            <w:r w:rsidR="000B09E6">
              <w:rPr>
                <w:rFonts w:ascii="Book Antiqua" w:hAnsi="Book Antiqua"/>
                <w:color w:val="000000" w:themeColor="text1"/>
                <w:sz w:val="19"/>
                <w:szCs w:val="19"/>
              </w:rPr>
              <w:t xml:space="preserve"> (1.1)</w:t>
            </w:r>
            <w:r w:rsidR="002B3EE7" w:rsidRPr="00FB72E1">
              <w:rPr>
                <w:rFonts w:ascii="Book Antiqua" w:hAnsi="Book Antiqua"/>
                <w:color w:val="000000" w:themeColor="text1"/>
                <w:sz w:val="19"/>
                <w:szCs w:val="19"/>
              </w:rPr>
              <w:t>.</w:t>
            </w:r>
          </w:p>
          <w:p w14:paraId="37D08DA7" w14:textId="5C071229" w:rsidR="005741D5" w:rsidRPr="000B09E6" w:rsidRDefault="000B09E6" w:rsidP="0011797D">
            <w:pPr>
              <w:pStyle w:val="Tabletextnormal9pt"/>
              <w:rPr>
                <w:rFonts w:ascii="Book Antiqua" w:hAnsi="Book Antiqua"/>
                <w:color w:val="000000" w:themeColor="text1"/>
                <w:sz w:val="19"/>
                <w:szCs w:val="19"/>
              </w:rPr>
            </w:pPr>
            <w:r w:rsidRPr="00FB72E1">
              <w:rPr>
                <w:rFonts w:ascii="Book Antiqua" w:hAnsi="Book Antiqua"/>
                <w:color w:val="000000" w:themeColor="text1"/>
                <w:sz w:val="19"/>
                <w:szCs w:val="19"/>
              </w:rPr>
              <w:t>The Department of Health and Aged Care contributes to</w:t>
            </w:r>
            <w:r>
              <w:rPr>
                <w:rFonts w:ascii="Book Antiqua" w:hAnsi="Book Antiqua"/>
                <w:color w:val="000000" w:themeColor="text1"/>
                <w:sz w:val="19"/>
                <w:szCs w:val="19"/>
              </w:rPr>
              <w:t xml:space="preserve"> the promotion of public health through the Chief Medical Officer and the Office of Health Protection and Response, which coordinates national health protection policy and response (1.8). </w:t>
            </w:r>
          </w:p>
        </w:tc>
      </w:tr>
    </w:tbl>
    <w:p w14:paraId="437C0C88" w14:textId="77777777" w:rsidR="007431FE" w:rsidRPr="007431FE" w:rsidRDefault="007431FE" w:rsidP="007431FE">
      <w:pPr>
        <w:keepNext/>
        <w:spacing w:before="240"/>
        <w:outlineLvl w:val="4"/>
        <w:rPr>
          <w:rFonts w:ascii="Arial" w:hAnsi="Arial"/>
          <w:bCs/>
          <w:i/>
          <w:iCs/>
          <w:color w:val="auto"/>
          <w:sz w:val="20"/>
          <w:szCs w:val="26"/>
        </w:rPr>
      </w:pPr>
      <w:r w:rsidRPr="007431FE">
        <w:rPr>
          <w:rFonts w:ascii="Arial" w:hAnsi="Arial"/>
          <w:bCs/>
          <w:i/>
          <w:iCs/>
          <w:color w:val="auto"/>
          <w:sz w:val="20"/>
          <w:szCs w:val="26"/>
        </w:rPr>
        <w:t>Budgeted expenses for Outcome 1</w:t>
      </w:r>
    </w:p>
    <w:p w14:paraId="08F9A7A9" w14:textId="77777777" w:rsidR="007431FE" w:rsidRPr="007431FE" w:rsidRDefault="007431FE" w:rsidP="007431FE">
      <w:pPr>
        <w:spacing w:before="240" w:after="240" w:line="240" w:lineRule="exact"/>
        <w:rPr>
          <w:color w:val="auto"/>
        </w:rPr>
      </w:pPr>
      <w:r w:rsidRPr="007431FE">
        <w:rPr>
          <w:color w:val="auto"/>
        </w:rPr>
        <w:t>This table shows how much the entity intends to spend (on an accrual basis) on achieving the outcome, broken down by program, as well as by Administered and Departmental funding sources.</w:t>
      </w:r>
    </w:p>
    <w:p w14:paraId="6CA1A13C" w14:textId="77777777" w:rsidR="007431FE" w:rsidRPr="00D44E13" w:rsidRDefault="007431FE" w:rsidP="007431FE">
      <w:pPr>
        <w:keepNext/>
        <w:spacing w:before="120"/>
        <w:outlineLvl w:val="2"/>
        <w:rPr>
          <w:rFonts w:ascii="Arial Bold" w:hAnsi="Arial Bold"/>
          <w:b/>
          <w:color w:val="auto"/>
          <w:sz w:val="20"/>
        </w:rPr>
      </w:pPr>
      <w:r w:rsidRPr="00D44E13">
        <w:rPr>
          <w:rFonts w:ascii="Arial Bold" w:hAnsi="Arial Bold"/>
          <w:b/>
          <w:color w:val="auto"/>
          <w:sz w:val="20"/>
        </w:rPr>
        <w:t>Table 2.1.1: Budgeted expenses for Outcome 1</w:t>
      </w:r>
    </w:p>
    <w:tbl>
      <w:tblPr>
        <w:tblW w:w="7340" w:type="dxa"/>
        <w:tblLayout w:type="fixed"/>
        <w:tblLook w:val="04A0" w:firstRow="1" w:lastRow="0" w:firstColumn="1" w:lastColumn="0" w:noHBand="0" w:noVBand="1"/>
      </w:tblPr>
      <w:tblGrid>
        <w:gridCol w:w="2840"/>
        <w:gridCol w:w="900"/>
        <w:gridCol w:w="900"/>
        <w:gridCol w:w="900"/>
        <w:gridCol w:w="900"/>
        <w:gridCol w:w="900"/>
      </w:tblGrid>
      <w:tr w:rsidR="00E33B5D" w:rsidRPr="00E33B5D" w14:paraId="45D25D90" w14:textId="77777777" w:rsidTr="00E33B5D">
        <w:trPr>
          <w:trHeight w:val="765"/>
        </w:trPr>
        <w:tc>
          <w:tcPr>
            <w:tcW w:w="2840" w:type="dxa"/>
            <w:tcBorders>
              <w:top w:val="single" w:sz="4" w:space="0" w:color="auto"/>
              <w:left w:val="nil"/>
              <w:bottom w:val="nil"/>
              <w:right w:val="nil"/>
            </w:tcBorders>
            <w:shd w:val="clear" w:color="auto" w:fill="auto"/>
            <w:tcMar>
              <w:left w:w="0" w:type="dxa"/>
            </w:tcMar>
            <w:hideMark/>
          </w:tcPr>
          <w:p w14:paraId="628CEDC5" w14:textId="77777777" w:rsidR="00E33B5D" w:rsidRPr="00E33B5D" w:rsidRDefault="00E33B5D" w:rsidP="00E33B5D">
            <w:pPr>
              <w:spacing w:before="40" w:after="0"/>
              <w:jc w:val="right"/>
              <w:rPr>
                <w:rFonts w:ascii="Arial" w:hAnsi="Arial" w:cs="Arial"/>
                <w:b/>
                <w:bCs/>
                <w:color w:val="auto"/>
                <w:sz w:val="16"/>
                <w:szCs w:val="16"/>
              </w:rPr>
            </w:pPr>
            <w:r w:rsidRPr="00E33B5D">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538A99D3" w14:textId="77777777" w:rsidR="00E33B5D" w:rsidRPr="00E33B5D" w:rsidRDefault="00E33B5D" w:rsidP="00E33B5D">
            <w:pPr>
              <w:spacing w:before="40" w:after="0"/>
              <w:jc w:val="right"/>
              <w:rPr>
                <w:rFonts w:ascii="Arial" w:hAnsi="Arial" w:cs="Arial"/>
                <w:b/>
                <w:bCs/>
                <w:color w:val="auto"/>
                <w:sz w:val="16"/>
                <w:szCs w:val="16"/>
              </w:rPr>
            </w:pPr>
            <w:r w:rsidRPr="00E33B5D">
              <w:rPr>
                <w:rFonts w:ascii="Arial" w:hAnsi="Arial" w:cs="Arial"/>
                <w:b/>
                <w:bCs/>
                <w:color w:val="auto"/>
                <w:sz w:val="16"/>
                <w:szCs w:val="16"/>
              </w:rPr>
              <w:t>2022–23 Estimated actual</w:t>
            </w:r>
            <w:r w:rsidRPr="00E33B5D">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073C05C7" w14:textId="77777777" w:rsidR="00E33B5D" w:rsidRPr="00E33B5D" w:rsidRDefault="00E33B5D" w:rsidP="00E33B5D">
            <w:pPr>
              <w:spacing w:before="40" w:after="0"/>
              <w:jc w:val="right"/>
              <w:rPr>
                <w:rFonts w:ascii="Arial" w:hAnsi="Arial" w:cs="Arial"/>
                <w:b/>
                <w:bCs/>
                <w:color w:val="auto"/>
                <w:sz w:val="16"/>
                <w:szCs w:val="16"/>
              </w:rPr>
            </w:pPr>
            <w:r w:rsidRPr="00E33B5D">
              <w:rPr>
                <w:rFonts w:ascii="Arial" w:hAnsi="Arial" w:cs="Arial"/>
                <w:b/>
                <w:bCs/>
                <w:color w:val="auto"/>
                <w:sz w:val="16"/>
                <w:szCs w:val="16"/>
              </w:rPr>
              <w:t xml:space="preserve">2023–24 Budget </w:t>
            </w:r>
            <w:r w:rsidRPr="00E33B5D">
              <w:rPr>
                <w:rFonts w:ascii="Arial" w:hAnsi="Arial" w:cs="Arial"/>
                <w:b/>
                <w:bCs/>
                <w:color w:val="auto"/>
                <w:sz w:val="16"/>
                <w:szCs w:val="16"/>
              </w:rPr>
              <w:br/>
            </w:r>
            <w:r w:rsidRPr="00E33B5D">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24B659C5" w14:textId="77777777" w:rsidR="00E33B5D" w:rsidRPr="00E33B5D" w:rsidRDefault="00E33B5D" w:rsidP="00E33B5D">
            <w:pPr>
              <w:spacing w:before="40" w:after="0"/>
              <w:jc w:val="right"/>
              <w:rPr>
                <w:rFonts w:ascii="Arial" w:hAnsi="Arial" w:cs="Arial"/>
                <w:b/>
                <w:bCs/>
                <w:color w:val="auto"/>
                <w:sz w:val="16"/>
                <w:szCs w:val="16"/>
              </w:rPr>
            </w:pPr>
            <w:r w:rsidRPr="00E33B5D">
              <w:rPr>
                <w:rFonts w:ascii="Arial" w:hAnsi="Arial" w:cs="Arial"/>
                <w:b/>
                <w:bCs/>
                <w:color w:val="auto"/>
                <w:sz w:val="16"/>
                <w:szCs w:val="16"/>
              </w:rPr>
              <w:t>2024–25 Forward estimate</w:t>
            </w:r>
            <w:r w:rsidRPr="00E33B5D">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029E9012" w14:textId="77777777" w:rsidR="00E33B5D" w:rsidRPr="00E33B5D" w:rsidRDefault="00E33B5D" w:rsidP="00E33B5D">
            <w:pPr>
              <w:spacing w:before="40" w:after="0"/>
              <w:jc w:val="right"/>
              <w:rPr>
                <w:rFonts w:ascii="Arial" w:hAnsi="Arial" w:cs="Arial"/>
                <w:b/>
                <w:bCs/>
                <w:color w:val="auto"/>
                <w:sz w:val="16"/>
                <w:szCs w:val="16"/>
              </w:rPr>
            </w:pPr>
            <w:r w:rsidRPr="00E33B5D">
              <w:rPr>
                <w:rFonts w:ascii="Arial" w:hAnsi="Arial" w:cs="Arial"/>
                <w:b/>
                <w:bCs/>
                <w:color w:val="auto"/>
                <w:sz w:val="16"/>
                <w:szCs w:val="16"/>
              </w:rPr>
              <w:t>2025–26 Forward estimate</w:t>
            </w:r>
            <w:r w:rsidRPr="00E33B5D">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1809AA2E" w14:textId="77777777" w:rsidR="00E33B5D" w:rsidRPr="00E33B5D" w:rsidRDefault="00E33B5D" w:rsidP="00E33B5D">
            <w:pPr>
              <w:spacing w:before="40" w:after="0"/>
              <w:jc w:val="right"/>
              <w:rPr>
                <w:rFonts w:ascii="Arial" w:hAnsi="Arial" w:cs="Arial"/>
                <w:b/>
                <w:bCs/>
                <w:color w:val="auto"/>
                <w:sz w:val="16"/>
                <w:szCs w:val="16"/>
              </w:rPr>
            </w:pPr>
            <w:r w:rsidRPr="00E33B5D">
              <w:rPr>
                <w:rFonts w:ascii="Arial" w:hAnsi="Arial" w:cs="Arial"/>
                <w:b/>
                <w:bCs/>
                <w:color w:val="auto"/>
                <w:sz w:val="16"/>
                <w:szCs w:val="16"/>
              </w:rPr>
              <w:t>2026–27 Forward estimate</w:t>
            </w:r>
            <w:r w:rsidRPr="00E33B5D">
              <w:rPr>
                <w:rFonts w:ascii="Arial" w:hAnsi="Arial" w:cs="Arial"/>
                <w:b/>
                <w:bCs/>
                <w:color w:val="auto"/>
                <w:sz w:val="16"/>
                <w:szCs w:val="16"/>
              </w:rPr>
              <w:br/>
              <w:t>$'000</w:t>
            </w:r>
          </w:p>
        </w:tc>
      </w:tr>
      <w:tr w:rsidR="00E33B5D" w:rsidRPr="00E33B5D" w14:paraId="1435E1F1" w14:textId="77777777" w:rsidTr="00E33B5D">
        <w:trPr>
          <w:trHeight w:val="300"/>
        </w:trPr>
        <w:tc>
          <w:tcPr>
            <w:tcW w:w="7340" w:type="dxa"/>
            <w:gridSpan w:val="6"/>
            <w:tcBorders>
              <w:top w:val="nil"/>
              <w:left w:val="nil"/>
              <w:bottom w:val="nil"/>
              <w:right w:val="nil"/>
            </w:tcBorders>
            <w:shd w:val="clear" w:color="auto" w:fill="auto"/>
            <w:noWrap/>
            <w:tcMar>
              <w:left w:w="0" w:type="dxa"/>
              <w:right w:w="0" w:type="dxa"/>
            </w:tcMar>
            <w:vAlign w:val="bottom"/>
            <w:hideMark/>
          </w:tcPr>
          <w:p w14:paraId="325C264B" w14:textId="77777777" w:rsidR="00E33B5D" w:rsidRPr="00E33B5D" w:rsidRDefault="00E33B5D" w:rsidP="00E33B5D">
            <w:pPr>
              <w:spacing w:after="0"/>
              <w:rPr>
                <w:rFonts w:ascii="Arial" w:hAnsi="Arial" w:cs="Arial"/>
                <w:b/>
                <w:bCs/>
                <w:color w:val="auto"/>
                <w:sz w:val="16"/>
                <w:szCs w:val="16"/>
              </w:rPr>
            </w:pPr>
            <w:r w:rsidRPr="00E33B5D">
              <w:rPr>
                <w:rFonts w:ascii="Arial" w:hAnsi="Arial" w:cs="Arial"/>
                <w:b/>
                <w:bCs/>
                <w:color w:val="auto"/>
                <w:sz w:val="16"/>
                <w:szCs w:val="16"/>
              </w:rPr>
              <w:t>Program 1.1: Health and Medical Research</w:t>
            </w:r>
          </w:p>
        </w:tc>
      </w:tr>
      <w:tr w:rsidR="00E33B5D" w:rsidRPr="00E33B5D" w14:paraId="6B1F1AC1" w14:textId="77777777" w:rsidTr="00E33B5D">
        <w:trPr>
          <w:trHeight w:val="300"/>
        </w:trPr>
        <w:tc>
          <w:tcPr>
            <w:tcW w:w="2840" w:type="dxa"/>
            <w:tcBorders>
              <w:top w:val="nil"/>
              <w:left w:val="nil"/>
              <w:bottom w:val="nil"/>
              <w:right w:val="nil"/>
            </w:tcBorders>
            <w:shd w:val="clear" w:color="auto" w:fill="auto"/>
            <w:noWrap/>
            <w:tcMar>
              <w:left w:w="0" w:type="dxa"/>
              <w:right w:w="0" w:type="dxa"/>
            </w:tcMar>
            <w:vAlign w:val="bottom"/>
            <w:hideMark/>
          </w:tcPr>
          <w:p w14:paraId="72299418" w14:textId="77777777" w:rsidR="00E33B5D" w:rsidRPr="00E33B5D" w:rsidRDefault="00E33B5D" w:rsidP="00E33B5D">
            <w:pPr>
              <w:spacing w:after="0"/>
              <w:ind w:firstLineChars="100" w:firstLine="160"/>
              <w:rPr>
                <w:rFonts w:ascii="Arial" w:hAnsi="Arial" w:cs="Arial"/>
                <w:color w:val="auto"/>
                <w:sz w:val="16"/>
                <w:szCs w:val="16"/>
              </w:rPr>
            </w:pPr>
            <w:r w:rsidRPr="00E33B5D">
              <w:rPr>
                <w:rFonts w:ascii="Arial" w:hAnsi="Arial" w:cs="Arial"/>
                <w:color w:val="auto"/>
                <w:sz w:val="16"/>
                <w:szCs w:val="16"/>
              </w:rPr>
              <w:t>Administered expenses</w:t>
            </w:r>
          </w:p>
        </w:tc>
        <w:tc>
          <w:tcPr>
            <w:tcW w:w="900" w:type="dxa"/>
            <w:tcBorders>
              <w:top w:val="nil"/>
              <w:left w:val="nil"/>
              <w:bottom w:val="nil"/>
              <w:right w:val="nil"/>
            </w:tcBorders>
            <w:shd w:val="clear" w:color="auto" w:fill="auto"/>
            <w:vAlign w:val="bottom"/>
            <w:hideMark/>
          </w:tcPr>
          <w:p w14:paraId="402349BD" w14:textId="77777777" w:rsidR="00E33B5D" w:rsidRPr="00E33B5D" w:rsidRDefault="00E33B5D" w:rsidP="00E33B5D">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24D0BC97"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 </w:t>
            </w:r>
          </w:p>
        </w:tc>
        <w:tc>
          <w:tcPr>
            <w:tcW w:w="900" w:type="dxa"/>
            <w:tcBorders>
              <w:top w:val="nil"/>
              <w:left w:val="nil"/>
              <w:bottom w:val="nil"/>
              <w:right w:val="nil"/>
            </w:tcBorders>
            <w:shd w:val="clear" w:color="auto" w:fill="auto"/>
            <w:vAlign w:val="bottom"/>
            <w:hideMark/>
          </w:tcPr>
          <w:p w14:paraId="76DFBA07" w14:textId="77777777" w:rsidR="00E33B5D" w:rsidRPr="00E33B5D" w:rsidRDefault="00E33B5D" w:rsidP="00E33B5D">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vAlign w:val="bottom"/>
            <w:hideMark/>
          </w:tcPr>
          <w:p w14:paraId="7FF0A230" w14:textId="77777777" w:rsidR="00E33B5D" w:rsidRPr="00E33B5D" w:rsidRDefault="00E33B5D" w:rsidP="00E33B5D">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vAlign w:val="bottom"/>
            <w:hideMark/>
          </w:tcPr>
          <w:p w14:paraId="4D8B112F" w14:textId="77777777" w:rsidR="00E33B5D" w:rsidRPr="00E33B5D" w:rsidRDefault="00E33B5D" w:rsidP="00E33B5D">
            <w:pPr>
              <w:spacing w:after="0"/>
              <w:jc w:val="right"/>
              <w:rPr>
                <w:rFonts w:ascii="Times New Roman" w:hAnsi="Times New Roman"/>
                <w:color w:val="auto"/>
                <w:sz w:val="20"/>
              </w:rPr>
            </w:pPr>
          </w:p>
        </w:tc>
      </w:tr>
      <w:tr w:rsidR="00E33B5D" w:rsidRPr="00E33B5D" w14:paraId="3083FA6B" w14:textId="77777777" w:rsidTr="00E33B5D">
        <w:trPr>
          <w:trHeight w:val="225"/>
        </w:trPr>
        <w:tc>
          <w:tcPr>
            <w:tcW w:w="2840" w:type="dxa"/>
            <w:tcBorders>
              <w:top w:val="nil"/>
              <w:left w:val="nil"/>
              <w:bottom w:val="nil"/>
              <w:right w:val="nil"/>
            </w:tcBorders>
            <w:shd w:val="clear" w:color="auto" w:fill="auto"/>
            <w:noWrap/>
            <w:tcMar>
              <w:left w:w="0" w:type="dxa"/>
              <w:right w:w="0" w:type="dxa"/>
            </w:tcMar>
            <w:vAlign w:val="bottom"/>
            <w:hideMark/>
          </w:tcPr>
          <w:p w14:paraId="2352406C" w14:textId="77777777" w:rsidR="00E33B5D" w:rsidRPr="00E33B5D" w:rsidRDefault="00E33B5D" w:rsidP="00E33B5D">
            <w:pPr>
              <w:spacing w:after="0"/>
              <w:ind w:firstLineChars="200" w:firstLine="320"/>
              <w:rPr>
                <w:rFonts w:ascii="Arial" w:hAnsi="Arial" w:cs="Arial"/>
                <w:color w:val="auto"/>
                <w:sz w:val="16"/>
                <w:szCs w:val="16"/>
              </w:rPr>
            </w:pPr>
            <w:r w:rsidRPr="00E33B5D">
              <w:rPr>
                <w:rFonts w:ascii="Arial" w:hAnsi="Arial" w:cs="Arial"/>
                <w:color w:val="auto"/>
                <w:sz w:val="16"/>
                <w:szCs w:val="16"/>
              </w:rPr>
              <w:t>Ordinary annual services</w:t>
            </w:r>
            <w:r w:rsidRPr="00E33B5D">
              <w:rPr>
                <w:rFonts w:ascii="Arial" w:hAnsi="Arial" w:cs="Arial"/>
                <w:color w:val="auto"/>
                <w:sz w:val="16"/>
                <w:szCs w:val="16"/>
                <w:vertAlign w:val="superscript"/>
              </w:rPr>
              <w:t xml:space="preserve"> (a)</w:t>
            </w:r>
          </w:p>
        </w:tc>
        <w:tc>
          <w:tcPr>
            <w:tcW w:w="900" w:type="dxa"/>
            <w:tcBorders>
              <w:top w:val="nil"/>
              <w:left w:val="nil"/>
              <w:bottom w:val="nil"/>
              <w:right w:val="nil"/>
            </w:tcBorders>
            <w:shd w:val="clear" w:color="auto" w:fill="auto"/>
            <w:tcMar>
              <w:left w:w="0" w:type="dxa"/>
            </w:tcMar>
            <w:vAlign w:val="bottom"/>
            <w:hideMark/>
          </w:tcPr>
          <w:p w14:paraId="257E2EB3"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893,049</w:t>
            </w:r>
          </w:p>
        </w:tc>
        <w:tc>
          <w:tcPr>
            <w:tcW w:w="900" w:type="dxa"/>
            <w:tcBorders>
              <w:top w:val="nil"/>
              <w:left w:val="nil"/>
              <w:bottom w:val="nil"/>
              <w:right w:val="nil"/>
            </w:tcBorders>
            <w:shd w:val="clear" w:color="000000" w:fill="D9D9D9"/>
            <w:noWrap/>
            <w:tcMar>
              <w:left w:w="0" w:type="dxa"/>
            </w:tcMar>
            <w:vAlign w:val="bottom"/>
            <w:hideMark/>
          </w:tcPr>
          <w:p w14:paraId="74D25D18"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923,780</w:t>
            </w:r>
          </w:p>
        </w:tc>
        <w:tc>
          <w:tcPr>
            <w:tcW w:w="900" w:type="dxa"/>
            <w:tcBorders>
              <w:top w:val="nil"/>
              <w:left w:val="nil"/>
              <w:bottom w:val="nil"/>
              <w:right w:val="nil"/>
            </w:tcBorders>
            <w:shd w:val="clear" w:color="auto" w:fill="auto"/>
            <w:tcMar>
              <w:left w:w="0" w:type="dxa"/>
            </w:tcMar>
            <w:vAlign w:val="bottom"/>
            <w:hideMark/>
          </w:tcPr>
          <w:p w14:paraId="454A5A47"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953,872</w:t>
            </w:r>
          </w:p>
        </w:tc>
        <w:tc>
          <w:tcPr>
            <w:tcW w:w="900" w:type="dxa"/>
            <w:tcBorders>
              <w:top w:val="nil"/>
              <w:left w:val="nil"/>
              <w:bottom w:val="nil"/>
              <w:right w:val="nil"/>
            </w:tcBorders>
            <w:shd w:val="clear" w:color="auto" w:fill="auto"/>
            <w:tcMar>
              <w:left w:w="0" w:type="dxa"/>
            </w:tcMar>
            <w:vAlign w:val="bottom"/>
            <w:hideMark/>
          </w:tcPr>
          <w:p w14:paraId="507639AC"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975,842</w:t>
            </w:r>
          </w:p>
        </w:tc>
        <w:tc>
          <w:tcPr>
            <w:tcW w:w="900" w:type="dxa"/>
            <w:tcBorders>
              <w:top w:val="nil"/>
              <w:left w:val="nil"/>
              <w:bottom w:val="nil"/>
              <w:right w:val="nil"/>
            </w:tcBorders>
            <w:shd w:val="clear" w:color="auto" w:fill="auto"/>
            <w:tcMar>
              <w:left w:w="0" w:type="dxa"/>
            </w:tcMar>
            <w:vAlign w:val="bottom"/>
            <w:hideMark/>
          </w:tcPr>
          <w:p w14:paraId="628F5A31"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993,783</w:t>
            </w:r>
          </w:p>
        </w:tc>
      </w:tr>
      <w:tr w:rsidR="00E33B5D" w:rsidRPr="00E33B5D" w14:paraId="409ECE8F" w14:textId="77777777" w:rsidTr="00E33B5D">
        <w:trPr>
          <w:trHeight w:val="450"/>
        </w:trPr>
        <w:tc>
          <w:tcPr>
            <w:tcW w:w="2840" w:type="dxa"/>
            <w:tcBorders>
              <w:top w:val="nil"/>
              <w:left w:val="nil"/>
              <w:bottom w:val="nil"/>
              <w:right w:val="nil"/>
            </w:tcBorders>
            <w:shd w:val="clear" w:color="auto" w:fill="auto"/>
            <w:tcMar>
              <w:left w:w="0" w:type="dxa"/>
              <w:right w:w="0" w:type="dxa"/>
            </w:tcMar>
            <w:vAlign w:val="bottom"/>
            <w:hideMark/>
          </w:tcPr>
          <w:p w14:paraId="522AB4EF" w14:textId="77777777" w:rsidR="00E33B5D" w:rsidRPr="00E33B5D" w:rsidRDefault="00E33B5D" w:rsidP="00E33B5D">
            <w:pPr>
              <w:spacing w:after="0"/>
              <w:ind w:leftChars="225" w:left="428"/>
              <w:rPr>
                <w:rFonts w:ascii="Arial" w:hAnsi="Arial" w:cs="Arial"/>
                <w:color w:val="auto"/>
                <w:sz w:val="16"/>
                <w:szCs w:val="16"/>
              </w:rPr>
            </w:pPr>
            <w:r w:rsidRPr="00E33B5D">
              <w:rPr>
                <w:rFonts w:ascii="Arial" w:hAnsi="Arial" w:cs="Arial"/>
                <w:color w:val="auto"/>
                <w:sz w:val="16"/>
                <w:szCs w:val="16"/>
              </w:rPr>
              <w:t>to Medical Research Endowment Account</w:t>
            </w:r>
          </w:p>
        </w:tc>
        <w:tc>
          <w:tcPr>
            <w:tcW w:w="900" w:type="dxa"/>
            <w:tcBorders>
              <w:top w:val="nil"/>
              <w:left w:val="nil"/>
              <w:bottom w:val="nil"/>
              <w:right w:val="nil"/>
            </w:tcBorders>
            <w:shd w:val="clear" w:color="auto" w:fill="auto"/>
            <w:noWrap/>
            <w:tcMar>
              <w:left w:w="0" w:type="dxa"/>
            </w:tcMar>
            <w:vAlign w:val="bottom"/>
            <w:hideMark/>
          </w:tcPr>
          <w:p w14:paraId="4B6C1B67" w14:textId="77777777" w:rsidR="00E33B5D" w:rsidRPr="00E33B5D" w:rsidRDefault="00E33B5D" w:rsidP="00E33B5D">
            <w:pPr>
              <w:spacing w:after="0"/>
              <w:jc w:val="right"/>
              <w:rPr>
                <w:rFonts w:ascii="Arial" w:hAnsi="Arial" w:cs="Arial"/>
                <w:sz w:val="16"/>
                <w:szCs w:val="16"/>
              </w:rPr>
            </w:pPr>
            <w:r w:rsidRPr="00E33B5D">
              <w:rPr>
                <w:rFonts w:ascii="Arial" w:hAnsi="Arial" w:cs="Arial"/>
                <w:sz w:val="16"/>
                <w:szCs w:val="16"/>
              </w:rPr>
              <w:t>(877,952)</w:t>
            </w:r>
          </w:p>
        </w:tc>
        <w:tc>
          <w:tcPr>
            <w:tcW w:w="900" w:type="dxa"/>
            <w:tcBorders>
              <w:top w:val="nil"/>
              <w:left w:val="nil"/>
              <w:bottom w:val="nil"/>
              <w:right w:val="nil"/>
            </w:tcBorders>
            <w:shd w:val="clear" w:color="000000" w:fill="D9D9D9"/>
            <w:noWrap/>
            <w:tcMar>
              <w:left w:w="0" w:type="dxa"/>
            </w:tcMar>
            <w:vAlign w:val="bottom"/>
            <w:hideMark/>
          </w:tcPr>
          <w:p w14:paraId="0D640B73"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(910,652)</w:t>
            </w:r>
          </w:p>
        </w:tc>
        <w:tc>
          <w:tcPr>
            <w:tcW w:w="900" w:type="dxa"/>
            <w:tcBorders>
              <w:top w:val="nil"/>
              <w:left w:val="nil"/>
              <w:bottom w:val="nil"/>
              <w:right w:val="nil"/>
            </w:tcBorders>
            <w:shd w:val="clear" w:color="auto" w:fill="auto"/>
            <w:tcMar>
              <w:left w:w="0" w:type="dxa"/>
            </w:tcMar>
            <w:vAlign w:val="bottom"/>
            <w:hideMark/>
          </w:tcPr>
          <w:p w14:paraId="5217E3C3"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(940,330)</w:t>
            </w:r>
          </w:p>
        </w:tc>
        <w:tc>
          <w:tcPr>
            <w:tcW w:w="900" w:type="dxa"/>
            <w:tcBorders>
              <w:top w:val="nil"/>
              <w:left w:val="nil"/>
              <w:bottom w:val="nil"/>
              <w:right w:val="nil"/>
            </w:tcBorders>
            <w:shd w:val="clear" w:color="auto" w:fill="auto"/>
            <w:tcMar>
              <w:left w:w="0" w:type="dxa"/>
            </w:tcMar>
            <w:vAlign w:val="bottom"/>
            <w:hideMark/>
          </w:tcPr>
          <w:p w14:paraId="79899763"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(962,039)</w:t>
            </w:r>
          </w:p>
        </w:tc>
        <w:tc>
          <w:tcPr>
            <w:tcW w:w="900" w:type="dxa"/>
            <w:tcBorders>
              <w:top w:val="nil"/>
              <w:left w:val="nil"/>
              <w:bottom w:val="nil"/>
              <w:right w:val="nil"/>
            </w:tcBorders>
            <w:shd w:val="clear" w:color="auto" w:fill="auto"/>
            <w:tcMar>
              <w:left w:w="0" w:type="dxa"/>
            </w:tcMar>
            <w:vAlign w:val="bottom"/>
            <w:hideMark/>
          </w:tcPr>
          <w:p w14:paraId="2E81B238"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(979,747)</w:t>
            </w:r>
          </w:p>
        </w:tc>
      </w:tr>
      <w:tr w:rsidR="00E33B5D" w:rsidRPr="00E33B5D" w14:paraId="082EB690" w14:textId="77777777" w:rsidTr="00E33B5D">
        <w:trPr>
          <w:trHeight w:val="225"/>
        </w:trPr>
        <w:tc>
          <w:tcPr>
            <w:tcW w:w="2840" w:type="dxa"/>
            <w:tcBorders>
              <w:top w:val="nil"/>
              <w:left w:val="nil"/>
              <w:bottom w:val="nil"/>
              <w:right w:val="nil"/>
            </w:tcBorders>
            <w:shd w:val="clear" w:color="auto" w:fill="auto"/>
            <w:noWrap/>
            <w:tcMar>
              <w:left w:w="0" w:type="dxa"/>
              <w:right w:w="0" w:type="dxa"/>
            </w:tcMar>
            <w:vAlign w:val="bottom"/>
            <w:hideMark/>
          </w:tcPr>
          <w:p w14:paraId="276710FA" w14:textId="77777777" w:rsidR="00E33B5D" w:rsidRPr="00E33B5D" w:rsidRDefault="00E33B5D" w:rsidP="00E33B5D">
            <w:pPr>
              <w:spacing w:after="0"/>
              <w:ind w:firstLineChars="200" w:firstLine="320"/>
              <w:rPr>
                <w:rFonts w:ascii="Arial" w:hAnsi="Arial" w:cs="Arial"/>
                <w:color w:val="auto"/>
                <w:sz w:val="16"/>
                <w:szCs w:val="16"/>
              </w:rPr>
            </w:pPr>
            <w:r w:rsidRPr="00E33B5D">
              <w:rPr>
                <w:rFonts w:ascii="Arial" w:hAnsi="Arial" w:cs="Arial"/>
                <w:color w:val="auto"/>
                <w:sz w:val="16"/>
                <w:szCs w:val="16"/>
              </w:rPr>
              <w:t>Special accounts</w:t>
            </w:r>
          </w:p>
        </w:tc>
        <w:tc>
          <w:tcPr>
            <w:tcW w:w="900" w:type="dxa"/>
            <w:tcBorders>
              <w:top w:val="nil"/>
              <w:left w:val="nil"/>
              <w:bottom w:val="nil"/>
              <w:right w:val="nil"/>
            </w:tcBorders>
            <w:shd w:val="clear" w:color="auto" w:fill="auto"/>
            <w:tcMar>
              <w:left w:w="0" w:type="dxa"/>
            </w:tcMar>
            <w:vAlign w:val="bottom"/>
            <w:hideMark/>
          </w:tcPr>
          <w:p w14:paraId="3803162C" w14:textId="77777777" w:rsidR="00E33B5D" w:rsidRPr="00E33B5D" w:rsidRDefault="00E33B5D" w:rsidP="00E33B5D">
            <w:pPr>
              <w:spacing w:after="0"/>
              <w:ind w:firstLineChars="200" w:firstLine="320"/>
              <w:rPr>
                <w:rFonts w:ascii="Arial" w:hAnsi="Arial" w:cs="Arial"/>
                <w:color w:val="auto"/>
                <w:sz w:val="16"/>
                <w:szCs w:val="16"/>
              </w:rPr>
            </w:pPr>
          </w:p>
        </w:tc>
        <w:tc>
          <w:tcPr>
            <w:tcW w:w="900" w:type="dxa"/>
            <w:tcBorders>
              <w:top w:val="nil"/>
              <w:left w:val="nil"/>
              <w:bottom w:val="nil"/>
              <w:right w:val="nil"/>
            </w:tcBorders>
            <w:shd w:val="clear" w:color="000000" w:fill="D9D9D9"/>
            <w:noWrap/>
            <w:tcMar>
              <w:left w:w="0" w:type="dxa"/>
            </w:tcMar>
            <w:vAlign w:val="bottom"/>
            <w:hideMark/>
          </w:tcPr>
          <w:p w14:paraId="6976572B"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 </w:t>
            </w:r>
          </w:p>
        </w:tc>
        <w:tc>
          <w:tcPr>
            <w:tcW w:w="900" w:type="dxa"/>
            <w:tcBorders>
              <w:top w:val="nil"/>
              <w:left w:val="nil"/>
              <w:bottom w:val="nil"/>
              <w:right w:val="nil"/>
            </w:tcBorders>
            <w:shd w:val="clear" w:color="auto" w:fill="auto"/>
            <w:tcMar>
              <w:left w:w="0" w:type="dxa"/>
            </w:tcMar>
            <w:vAlign w:val="bottom"/>
            <w:hideMark/>
          </w:tcPr>
          <w:p w14:paraId="7BFB0DDE" w14:textId="77777777" w:rsidR="00E33B5D" w:rsidRPr="00E33B5D" w:rsidRDefault="00E33B5D" w:rsidP="00E33B5D">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tcMar>
              <w:left w:w="0" w:type="dxa"/>
            </w:tcMar>
            <w:vAlign w:val="bottom"/>
            <w:hideMark/>
          </w:tcPr>
          <w:p w14:paraId="69500A83" w14:textId="77777777" w:rsidR="00E33B5D" w:rsidRPr="00E33B5D" w:rsidRDefault="00E33B5D" w:rsidP="00E33B5D">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tcMar>
              <w:left w:w="0" w:type="dxa"/>
            </w:tcMar>
            <w:vAlign w:val="bottom"/>
            <w:hideMark/>
          </w:tcPr>
          <w:p w14:paraId="3EB03003" w14:textId="77777777" w:rsidR="00E33B5D" w:rsidRPr="00E33B5D" w:rsidRDefault="00E33B5D" w:rsidP="00E33B5D">
            <w:pPr>
              <w:spacing w:after="0"/>
              <w:jc w:val="right"/>
              <w:rPr>
                <w:rFonts w:ascii="Times New Roman" w:hAnsi="Times New Roman"/>
                <w:color w:val="auto"/>
                <w:sz w:val="20"/>
              </w:rPr>
            </w:pPr>
          </w:p>
        </w:tc>
      </w:tr>
      <w:tr w:rsidR="00E33B5D" w:rsidRPr="00E33B5D" w14:paraId="0F62E2B8" w14:textId="77777777" w:rsidTr="00E33B5D">
        <w:trPr>
          <w:trHeight w:val="450"/>
        </w:trPr>
        <w:tc>
          <w:tcPr>
            <w:tcW w:w="2840" w:type="dxa"/>
            <w:tcBorders>
              <w:top w:val="nil"/>
              <w:left w:val="nil"/>
              <w:bottom w:val="nil"/>
              <w:right w:val="nil"/>
            </w:tcBorders>
            <w:shd w:val="clear" w:color="auto" w:fill="auto"/>
            <w:tcMar>
              <w:left w:w="0" w:type="dxa"/>
              <w:right w:w="0" w:type="dxa"/>
            </w:tcMar>
            <w:vAlign w:val="bottom"/>
            <w:hideMark/>
          </w:tcPr>
          <w:p w14:paraId="031E7321" w14:textId="77777777" w:rsidR="00E33B5D" w:rsidRPr="00E33B5D" w:rsidRDefault="00E33B5D" w:rsidP="00E33B5D">
            <w:pPr>
              <w:spacing w:after="0"/>
              <w:ind w:leftChars="225" w:left="428"/>
              <w:rPr>
                <w:rFonts w:ascii="Arial" w:hAnsi="Arial" w:cs="Arial"/>
                <w:color w:val="auto"/>
                <w:sz w:val="16"/>
                <w:szCs w:val="16"/>
              </w:rPr>
            </w:pPr>
            <w:r w:rsidRPr="00E33B5D">
              <w:rPr>
                <w:rFonts w:ascii="Arial" w:hAnsi="Arial" w:cs="Arial"/>
                <w:color w:val="auto"/>
                <w:sz w:val="16"/>
                <w:szCs w:val="16"/>
              </w:rPr>
              <w:t>Medical Research Endowment Account</w:t>
            </w:r>
          </w:p>
        </w:tc>
        <w:tc>
          <w:tcPr>
            <w:tcW w:w="900" w:type="dxa"/>
            <w:tcBorders>
              <w:top w:val="nil"/>
              <w:left w:val="nil"/>
              <w:bottom w:val="nil"/>
              <w:right w:val="nil"/>
            </w:tcBorders>
            <w:shd w:val="clear" w:color="auto" w:fill="auto"/>
            <w:noWrap/>
            <w:tcMar>
              <w:left w:w="0" w:type="dxa"/>
            </w:tcMar>
            <w:vAlign w:val="bottom"/>
            <w:hideMark/>
          </w:tcPr>
          <w:p w14:paraId="42337109" w14:textId="77777777" w:rsidR="00E33B5D" w:rsidRPr="00E33B5D" w:rsidRDefault="00E33B5D" w:rsidP="00E33B5D">
            <w:pPr>
              <w:spacing w:after="0"/>
              <w:jc w:val="right"/>
              <w:rPr>
                <w:rFonts w:ascii="Arial" w:hAnsi="Arial" w:cs="Arial"/>
                <w:sz w:val="16"/>
                <w:szCs w:val="16"/>
              </w:rPr>
            </w:pPr>
            <w:r w:rsidRPr="00E33B5D">
              <w:rPr>
                <w:rFonts w:ascii="Arial" w:hAnsi="Arial" w:cs="Arial"/>
                <w:sz w:val="16"/>
                <w:szCs w:val="16"/>
              </w:rPr>
              <w:t>898,337</w:t>
            </w:r>
          </w:p>
        </w:tc>
        <w:tc>
          <w:tcPr>
            <w:tcW w:w="900" w:type="dxa"/>
            <w:tcBorders>
              <w:top w:val="nil"/>
              <w:left w:val="nil"/>
              <w:bottom w:val="nil"/>
              <w:right w:val="nil"/>
            </w:tcBorders>
            <w:shd w:val="clear" w:color="000000" w:fill="D9D9D9"/>
            <w:noWrap/>
            <w:tcMar>
              <w:left w:w="0" w:type="dxa"/>
            </w:tcMar>
            <w:vAlign w:val="bottom"/>
            <w:hideMark/>
          </w:tcPr>
          <w:p w14:paraId="4A843B04"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945,880</w:t>
            </w:r>
          </w:p>
        </w:tc>
        <w:tc>
          <w:tcPr>
            <w:tcW w:w="900" w:type="dxa"/>
            <w:tcBorders>
              <w:top w:val="nil"/>
              <w:left w:val="nil"/>
              <w:bottom w:val="nil"/>
              <w:right w:val="nil"/>
            </w:tcBorders>
            <w:shd w:val="clear" w:color="auto" w:fill="auto"/>
            <w:tcMar>
              <w:left w:w="0" w:type="dxa"/>
            </w:tcMar>
            <w:vAlign w:val="bottom"/>
            <w:hideMark/>
          </w:tcPr>
          <w:p w14:paraId="4DD8E3A4"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983,050</w:t>
            </w:r>
          </w:p>
        </w:tc>
        <w:tc>
          <w:tcPr>
            <w:tcW w:w="900" w:type="dxa"/>
            <w:tcBorders>
              <w:top w:val="nil"/>
              <w:left w:val="nil"/>
              <w:bottom w:val="nil"/>
              <w:right w:val="nil"/>
            </w:tcBorders>
            <w:shd w:val="clear" w:color="auto" w:fill="auto"/>
            <w:tcMar>
              <w:left w:w="0" w:type="dxa"/>
            </w:tcMar>
            <w:vAlign w:val="bottom"/>
            <w:hideMark/>
          </w:tcPr>
          <w:p w14:paraId="14A1E698"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995,561</w:t>
            </w:r>
          </w:p>
        </w:tc>
        <w:tc>
          <w:tcPr>
            <w:tcW w:w="900" w:type="dxa"/>
            <w:tcBorders>
              <w:top w:val="nil"/>
              <w:left w:val="nil"/>
              <w:bottom w:val="nil"/>
              <w:right w:val="nil"/>
            </w:tcBorders>
            <w:shd w:val="clear" w:color="auto" w:fill="auto"/>
            <w:tcMar>
              <w:left w:w="0" w:type="dxa"/>
            </w:tcMar>
            <w:vAlign w:val="bottom"/>
            <w:hideMark/>
          </w:tcPr>
          <w:p w14:paraId="22180ACB"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989,396</w:t>
            </w:r>
          </w:p>
        </w:tc>
      </w:tr>
      <w:tr w:rsidR="00E33B5D" w:rsidRPr="00E33B5D" w14:paraId="4116627E" w14:textId="77777777" w:rsidTr="00E33B5D">
        <w:trPr>
          <w:trHeight w:val="300"/>
        </w:trPr>
        <w:tc>
          <w:tcPr>
            <w:tcW w:w="2840" w:type="dxa"/>
            <w:tcBorders>
              <w:top w:val="nil"/>
              <w:left w:val="nil"/>
              <w:bottom w:val="nil"/>
              <w:right w:val="nil"/>
            </w:tcBorders>
            <w:shd w:val="clear" w:color="auto" w:fill="auto"/>
            <w:noWrap/>
            <w:tcMar>
              <w:left w:w="0" w:type="dxa"/>
              <w:right w:w="0" w:type="dxa"/>
            </w:tcMar>
            <w:vAlign w:val="bottom"/>
            <w:hideMark/>
          </w:tcPr>
          <w:p w14:paraId="5FA05F92" w14:textId="77777777" w:rsidR="00E33B5D" w:rsidRPr="00E33B5D" w:rsidRDefault="00E33B5D" w:rsidP="00E33B5D">
            <w:pPr>
              <w:spacing w:after="0"/>
              <w:ind w:leftChars="75" w:left="143"/>
              <w:rPr>
                <w:rFonts w:ascii="Arial" w:hAnsi="Arial" w:cs="Arial"/>
                <w:color w:val="auto"/>
                <w:sz w:val="16"/>
                <w:szCs w:val="16"/>
              </w:rPr>
            </w:pPr>
            <w:r w:rsidRPr="00E33B5D">
              <w:rPr>
                <w:rFonts w:ascii="Arial" w:hAnsi="Arial" w:cs="Arial"/>
                <w:color w:val="auto"/>
                <w:sz w:val="16"/>
                <w:szCs w:val="16"/>
              </w:rPr>
              <w:t>Departmental expenses</w:t>
            </w:r>
          </w:p>
        </w:tc>
        <w:tc>
          <w:tcPr>
            <w:tcW w:w="900" w:type="dxa"/>
            <w:tcBorders>
              <w:top w:val="nil"/>
              <w:left w:val="nil"/>
              <w:bottom w:val="nil"/>
              <w:right w:val="nil"/>
            </w:tcBorders>
            <w:shd w:val="clear" w:color="auto" w:fill="auto"/>
            <w:noWrap/>
            <w:tcMar>
              <w:left w:w="0" w:type="dxa"/>
            </w:tcMar>
            <w:vAlign w:val="bottom"/>
            <w:hideMark/>
          </w:tcPr>
          <w:p w14:paraId="267F3CC2" w14:textId="77777777" w:rsidR="00E33B5D" w:rsidRPr="00E33B5D" w:rsidRDefault="00E33B5D" w:rsidP="00E33B5D">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tcMar>
              <w:left w:w="0" w:type="dxa"/>
            </w:tcMar>
            <w:vAlign w:val="bottom"/>
            <w:hideMark/>
          </w:tcPr>
          <w:p w14:paraId="7A4A9459"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 </w:t>
            </w:r>
          </w:p>
        </w:tc>
        <w:tc>
          <w:tcPr>
            <w:tcW w:w="900" w:type="dxa"/>
            <w:tcBorders>
              <w:top w:val="nil"/>
              <w:left w:val="nil"/>
              <w:bottom w:val="nil"/>
              <w:right w:val="nil"/>
            </w:tcBorders>
            <w:shd w:val="clear" w:color="auto" w:fill="auto"/>
            <w:noWrap/>
            <w:tcMar>
              <w:left w:w="0" w:type="dxa"/>
            </w:tcMar>
            <w:vAlign w:val="bottom"/>
            <w:hideMark/>
          </w:tcPr>
          <w:p w14:paraId="1A2A0B2D" w14:textId="77777777" w:rsidR="00E33B5D" w:rsidRPr="00E33B5D" w:rsidRDefault="00E33B5D" w:rsidP="00E33B5D">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tcMar>
              <w:left w:w="0" w:type="dxa"/>
            </w:tcMar>
            <w:vAlign w:val="bottom"/>
            <w:hideMark/>
          </w:tcPr>
          <w:p w14:paraId="59FB861A" w14:textId="77777777" w:rsidR="00E33B5D" w:rsidRPr="00E33B5D" w:rsidRDefault="00E33B5D" w:rsidP="00E33B5D">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tcMar>
              <w:left w:w="0" w:type="dxa"/>
            </w:tcMar>
            <w:vAlign w:val="bottom"/>
            <w:hideMark/>
          </w:tcPr>
          <w:p w14:paraId="21547B99" w14:textId="77777777" w:rsidR="00E33B5D" w:rsidRPr="00E33B5D" w:rsidRDefault="00E33B5D" w:rsidP="00E33B5D">
            <w:pPr>
              <w:spacing w:after="0"/>
              <w:jc w:val="right"/>
              <w:rPr>
                <w:rFonts w:ascii="Times New Roman" w:hAnsi="Times New Roman"/>
                <w:color w:val="auto"/>
                <w:sz w:val="20"/>
              </w:rPr>
            </w:pPr>
          </w:p>
        </w:tc>
      </w:tr>
      <w:tr w:rsidR="00E33B5D" w:rsidRPr="00E33B5D" w14:paraId="23098AB9" w14:textId="77777777" w:rsidTr="00E33B5D">
        <w:trPr>
          <w:trHeight w:val="225"/>
        </w:trPr>
        <w:tc>
          <w:tcPr>
            <w:tcW w:w="2840" w:type="dxa"/>
            <w:tcBorders>
              <w:top w:val="nil"/>
              <w:left w:val="nil"/>
              <w:bottom w:val="nil"/>
              <w:right w:val="nil"/>
            </w:tcBorders>
            <w:shd w:val="clear" w:color="auto" w:fill="auto"/>
            <w:noWrap/>
            <w:tcMar>
              <w:left w:w="0" w:type="dxa"/>
              <w:right w:w="0" w:type="dxa"/>
            </w:tcMar>
            <w:vAlign w:val="bottom"/>
            <w:hideMark/>
          </w:tcPr>
          <w:p w14:paraId="12CD414F" w14:textId="77777777" w:rsidR="00E33B5D" w:rsidRPr="00E33B5D" w:rsidRDefault="00E33B5D" w:rsidP="00E33B5D">
            <w:pPr>
              <w:spacing w:after="0"/>
              <w:ind w:leftChars="175" w:left="333"/>
              <w:rPr>
                <w:rFonts w:ascii="Arial" w:hAnsi="Arial" w:cs="Arial"/>
                <w:color w:val="auto"/>
                <w:sz w:val="16"/>
                <w:szCs w:val="16"/>
              </w:rPr>
            </w:pPr>
            <w:r w:rsidRPr="00E33B5D">
              <w:rPr>
                <w:rFonts w:ascii="Arial" w:hAnsi="Arial" w:cs="Arial"/>
                <w:color w:val="auto"/>
                <w:sz w:val="16"/>
                <w:szCs w:val="16"/>
              </w:rPr>
              <w:t>Departmental appropriation</w:t>
            </w:r>
            <w:r w:rsidRPr="00E33B5D">
              <w:rPr>
                <w:rFonts w:ascii="Arial" w:hAnsi="Arial" w:cs="Arial"/>
                <w:color w:val="auto"/>
                <w:sz w:val="16"/>
                <w:szCs w:val="16"/>
                <w:vertAlign w:val="superscript"/>
              </w:rPr>
              <w:t xml:space="preserve"> (b)</w:t>
            </w:r>
          </w:p>
        </w:tc>
        <w:tc>
          <w:tcPr>
            <w:tcW w:w="900" w:type="dxa"/>
            <w:tcBorders>
              <w:top w:val="nil"/>
              <w:left w:val="nil"/>
              <w:bottom w:val="nil"/>
              <w:right w:val="nil"/>
            </w:tcBorders>
            <w:shd w:val="clear" w:color="auto" w:fill="auto"/>
            <w:tcMar>
              <w:left w:w="0" w:type="dxa"/>
            </w:tcMar>
            <w:vAlign w:val="bottom"/>
            <w:hideMark/>
          </w:tcPr>
          <w:p w14:paraId="674F3CC1"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50,593</w:t>
            </w:r>
          </w:p>
        </w:tc>
        <w:tc>
          <w:tcPr>
            <w:tcW w:w="900" w:type="dxa"/>
            <w:tcBorders>
              <w:top w:val="nil"/>
              <w:left w:val="nil"/>
              <w:bottom w:val="nil"/>
              <w:right w:val="nil"/>
            </w:tcBorders>
            <w:shd w:val="clear" w:color="000000" w:fill="D9D9D9"/>
            <w:noWrap/>
            <w:tcMar>
              <w:left w:w="0" w:type="dxa"/>
            </w:tcMar>
            <w:vAlign w:val="bottom"/>
            <w:hideMark/>
          </w:tcPr>
          <w:p w14:paraId="65DA95C6"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51,501</w:t>
            </w:r>
          </w:p>
        </w:tc>
        <w:tc>
          <w:tcPr>
            <w:tcW w:w="900" w:type="dxa"/>
            <w:tcBorders>
              <w:top w:val="nil"/>
              <w:left w:val="nil"/>
              <w:bottom w:val="nil"/>
              <w:right w:val="nil"/>
            </w:tcBorders>
            <w:shd w:val="clear" w:color="auto" w:fill="auto"/>
            <w:tcMar>
              <w:left w:w="0" w:type="dxa"/>
            </w:tcMar>
            <w:vAlign w:val="bottom"/>
            <w:hideMark/>
          </w:tcPr>
          <w:p w14:paraId="0DB0A8B8"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52,359</w:t>
            </w:r>
          </w:p>
        </w:tc>
        <w:tc>
          <w:tcPr>
            <w:tcW w:w="900" w:type="dxa"/>
            <w:tcBorders>
              <w:top w:val="nil"/>
              <w:left w:val="nil"/>
              <w:bottom w:val="nil"/>
              <w:right w:val="nil"/>
            </w:tcBorders>
            <w:shd w:val="clear" w:color="auto" w:fill="auto"/>
            <w:tcMar>
              <w:left w:w="0" w:type="dxa"/>
            </w:tcMar>
            <w:vAlign w:val="bottom"/>
            <w:hideMark/>
          </w:tcPr>
          <w:p w14:paraId="4D4561E0"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52,922</w:t>
            </w:r>
          </w:p>
        </w:tc>
        <w:tc>
          <w:tcPr>
            <w:tcW w:w="900" w:type="dxa"/>
            <w:tcBorders>
              <w:top w:val="nil"/>
              <w:left w:val="nil"/>
              <w:bottom w:val="nil"/>
              <w:right w:val="nil"/>
            </w:tcBorders>
            <w:shd w:val="clear" w:color="auto" w:fill="auto"/>
            <w:tcMar>
              <w:left w:w="0" w:type="dxa"/>
            </w:tcMar>
            <w:vAlign w:val="bottom"/>
            <w:hideMark/>
          </w:tcPr>
          <w:p w14:paraId="79C8AFB4"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53,604</w:t>
            </w:r>
          </w:p>
        </w:tc>
      </w:tr>
      <w:tr w:rsidR="00E33B5D" w:rsidRPr="00E33B5D" w14:paraId="75098B61" w14:textId="77777777" w:rsidTr="00E33B5D">
        <w:trPr>
          <w:trHeight w:val="450"/>
        </w:trPr>
        <w:tc>
          <w:tcPr>
            <w:tcW w:w="2840" w:type="dxa"/>
            <w:tcBorders>
              <w:top w:val="nil"/>
              <w:left w:val="nil"/>
              <w:bottom w:val="nil"/>
              <w:right w:val="nil"/>
            </w:tcBorders>
            <w:shd w:val="clear" w:color="auto" w:fill="auto"/>
            <w:tcMar>
              <w:left w:w="0" w:type="dxa"/>
              <w:right w:w="0" w:type="dxa"/>
            </w:tcMar>
            <w:vAlign w:val="bottom"/>
            <w:hideMark/>
          </w:tcPr>
          <w:p w14:paraId="401B9846" w14:textId="77777777" w:rsidR="00E33B5D" w:rsidRPr="00E33B5D" w:rsidRDefault="00E33B5D" w:rsidP="00E33B5D">
            <w:pPr>
              <w:spacing w:after="0"/>
              <w:ind w:leftChars="175" w:left="333"/>
              <w:rPr>
                <w:rFonts w:ascii="Arial" w:hAnsi="Arial" w:cs="Arial"/>
                <w:color w:val="auto"/>
                <w:sz w:val="16"/>
                <w:szCs w:val="16"/>
              </w:rPr>
            </w:pPr>
            <w:r w:rsidRPr="00E33B5D">
              <w:rPr>
                <w:rFonts w:ascii="Arial" w:hAnsi="Arial" w:cs="Arial"/>
                <w:color w:val="auto"/>
                <w:sz w:val="16"/>
                <w:szCs w:val="16"/>
              </w:rPr>
              <w:t>Expenses not requiring appropriation in the Budget year</w:t>
            </w:r>
            <w:r w:rsidRPr="00E33B5D">
              <w:rPr>
                <w:rFonts w:ascii="Arial" w:hAnsi="Arial" w:cs="Arial"/>
                <w:color w:val="auto"/>
                <w:sz w:val="16"/>
                <w:szCs w:val="16"/>
                <w:vertAlign w:val="superscript"/>
              </w:rPr>
              <w:t xml:space="preserve"> (c)</w:t>
            </w:r>
          </w:p>
        </w:tc>
        <w:tc>
          <w:tcPr>
            <w:tcW w:w="900" w:type="dxa"/>
            <w:tcBorders>
              <w:top w:val="nil"/>
              <w:left w:val="nil"/>
              <w:bottom w:val="nil"/>
              <w:right w:val="nil"/>
            </w:tcBorders>
            <w:shd w:val="clear" w:color="auto" w:fill="auto"/>
            <w:noWrap/>
            <w:tcMar>
              <w:left w:w="0" w:type="dxa"/>
            </w:tcMar>
            <w:vAlign w:val="bottom"/>
            <w:hideMark/>
          </w:tcPr>
          <w:p w14:paraId="7DAD90B0"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8,090</w:t>
            </w:r>
          </w:p>
        </w:tc>
        <w:tc>
          <w:tcPr>
            <w:tcW w:w="900" w:type="dxa"/>
            <w:tcBorders>
              <w:top w:val="nil"/>
              <w:left w:val="nil"/>
              <w:bottom w:val="nil"/>
              <w:right w:val="nil"/>
            </w:tcBorders>
            <w:shd w:val="clear" w:color="000000" w:fill="D9D9D9"/>
            <w:noWrap/>
            <w:tcMar>
              <w:left w:w="0" w:type="dxa"/>
            </w:tcMar>
            <w:vAlign w:val="bottom"/>
            <w:hideMark/>
          </w:tcPr>
          <w:p w14:paraId="0694B949"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5,688</w:t>
            </w:r>
          </w:p>
        </w:tc>
        <w:tc>
          <w:tcPr>
            <w:tcW w:w="900" w:type="dxa"/>
            <w:tcBorders>
              <w:top w:val="nil"/>
              <w:left w:val="nil"/>
              <w:bottom w:val="nil"/>
              <w:right w:val="nil"/>
            </w:tcBorders>
            <w:shd w:val="clear" w:color="auto" w:fill="auto"/>
            <w:noWrap/>
            <w:tcMar>
              <w:left w:w="0" w:type="dxa"/>
            </w:tcMar>
            <w:vAlign w:val="bottom"/>
            <w:hideMark/>
          </w:tcPr>
          <w:p w14:paraId="1294D70D"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5,455</w:t>
            </w:r>
          </w:p>
        </w:tc>
        <w:tc>
          <w:tcPr>
            <w:tcW w:w="900" w:type="dxa"/>
            <w:tcBorders>
              <w:top w:val="nil"/>
              <w:left w:val="nil"/>
              <w:bottom w:val="nil"/>
              <w:right w:val="nil"/>
            </w:tcBorders>
            <w:shd w:val="clear" w:color="auto" w:fill="auto"/>
            <w:noWrap/>
            <w:tcMar>
              <w:left w:w="0" w:type="dxa"/>
            </w:tcMar>
            <w:vAlign w:val="bottom"/>
            <w:hideMark/>
          </w:tcPr>
          <w:p w14:paraId="730AC3AB"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5,113</w:t>
            </w:r>
          </w:p>
        </w:tc>
        <w:tc>
          <w:tcPr>
            <w:tcW w:w="900" w:type="dxa"/>
            <w:tcBorders>
              <w:top w:val="nil"/>
              <w:left w:val="nil"/>
              <w:bottom w:val="nil"/>
              <w:right w:val="nil"/>
            </w:tcBorders>
            <w:shd w:val="clear" w:color="auto" w:fill="auto"/>
            <w:noWrap/>
            <w:tcMar>
              <w:left w:w="0" w:type="dxa"/>
            </w:tcMar>
            <w:vAlign w:val="bottom"/>
            <w:hideMark/>
          </w:tcPr>
          <w:p w14:paraId="7F016EEE"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5,104</w:t>
            </w:r>
          </w:p>
        </w:tc>
      </w:tr>
      <w:tr w:rsidR="00E33B5D" w:rsidRPr="00E33B5D" w14:paraId="7965FE3F" w14:textId="77777777" w:rsidTr="00E33B5D">
        <w:trPr>
          <w:trHeight w:val="225"/>
        </w:trPr>
        <w:tc>
          <w:tcPr>
            <w:tcW w:w="2840" w:type="dxa"/>
            <w:tcBorders>
              <w:top w:val="nil"/>
              <w:left w:val="nil"/>
              <w:bottom w:val="nil"/>
              <w:right w:val="nil"/>
            </w:tcBorders>
            <w:shd w:val="clear" w:color="auto" w:fill="auto"/>
            <w:noWrap/>
            <w:tcMar>
              <w:left w:w="0" w:type="dxa"/>
              <w:right w:w="0" w:type="dxa"/>
            </w:tcMar>
            <w:vAlign w:val="bottom"/>
            <w:hideMark/>
          </w:tcPr>
          <w:p w14:paraId="0A35103D" w14:textId="77777777" w:rsidR="00E33B5D" w:rsidRPr="00E33B5D" w:rsidRDefault="00E33B5D" w:rsidP="00E33B5D">
            <w:pPr>
              <w:spacing w:after="0"/>
              <w:ind w:leftChars="175" w:left="333"/>
              <w:rPr>
                <w:rFonts w:ascii="Arial" w:hAnsi="Arial" w:cs="Arial"/>
                <w:color w:val="auto"/>
                <w:sz w:val="16"/>
                <w:szCs w:val="16"/>
              </w:rPr>
            </w:pPr>
            <w:r w:rsidRPr="00E33B5D">
              <w:rPr>
                <w:rFonts w:ascii="Arial" w:hAnsi="Arial" w:cs="Arial"/>
                <w:color w:val="auto"/>
                <w:sz w:val="16"/>
                <w:szCs w:val="16"/>
              </w:rPr>
              <w:t>Operating deficit (surplus)</w:t>
            </w:r>
          </w:p>
        </w:tc>
        <w:tc>
          <w:tcPr>
            <w:tcW w:w="900" w:type="dxa"/>
            <w:tcBorders>
              <w:top w:val="nil"/>
              <w:left w:val="nil"/>
              <w:bottom w:val="single" w:sz="4" w:space="0" w:color="auto"/>
              <w:right w:val="nil"/>
            </w:tcBorders>
            <w:shd w:val="clear" w:color="auto" w:fill="auto"/>
            <w:noWrap/>
            <w:tcMar>
              <w:left w:w="0" w:type="dxa"/>
            </w:tcMar>
            <w:vAlign w:val="bottom"/>
            <w:hideMark/>
          </w:tcPr>
          <w:p w14:paraId="30BC9B59"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w:t>
            </w:r>
          </w:p>
        </w:tc>
        <w:tc>
          <w:tcPr>
            <w:tcW w:w="900" w:type="dxa"/>
            <w:tcBorders>
              <w:top w:val="nil"/>
              <w:left w:val="nil"/>
              <w:bottom w:val="single" w:sz="4" w:space="0" w:color="auto"/>
              <w:right w:val="nil"/>
            </w:tcBorders>
            <w:shd w:val="clear" w:color="000000" w:fill="D9D9D9"/>
            <w:noWrap/>
            <w:tcMar>
              <w:left w:w="0" w:type="dxa"/>
            </w:tcMar>
            <w:vAlign w:val="bottom"/>
            <w:hideMark/>
          </w:tcPr>
          <w:p w14:paraId="4EA07F18"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tcMar>
              <w:left w:w="0" w:type="dxa"/>
            </w:tcMar>
            <w:vAlign w:val="bottom"/>
            <w:hideMark/>
          </w:tcPr>
          <w:p w14:paraId="7E38ACC8"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tcMar>
              <w:left w:w="0" w:type="dxa"/>
            </w:tcMar>
            <w:vAlign w:val="bottom"/>
            <w:hideMark/>
          </w:tcPr>
          <w:p w14:paraId="5F497887"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tcMar>
              <w:left w:w="0" w:type="dxa"/>
            </w:tcMar>
            <w:vAlign w:val="bottom"/>
            <w:hideMark/>
          </w:tcPr>
          <w:p w14:paraId="20A1C742" w14:textId="77777777" w:rsidR="00E33B5D" w:rsidRPr="00E33B5D" w:rsidRDefault="00E33B5D" w:rsidP="00E33B5D">
            <w:pPr>
              <w:spacing w:after="0"/>
              <w:jc w:val="right"/>
              <w:rPr>
                <w:rFonts w:ascii="Arial" w:hAnsi="Arial" w:cs="Arial"/>
                <w:color w:val="auto"/>
                <w:sz w:val="16"/>
                <w:szCs w:val="16"/>
              </w:rPr>
            </w:pPr>
            <w:r w:rsidRPr="00E33B5D">
              <w:rPr>
                <w:rFonts w:ascii="Arial" w:hAnsi="Arial" w:cs="Arial"/>
                <w:color w:val="auto"/>
                <w:sz w:val="16"/>
                <w:szCs w:val="16"/>
              </w:rPr>
              <w:t>-</w:t>
            </w:r>
          </w:p>
        </w:tc>
      </w:tr>
      <w:tr w:rsidR="00E33B5D" w:rsidRPr="00E33B5D" w14:paraId="1E4B6A4D" w14:textId="77777777" w:rsidTr="00E33B5D">
        <w:trPr>
          <w:trHeight w:val="300"/>
        </w:trPr>
        <w:tc>
          <w:tcPr>
            <w:tcW w:w="2840" w:type="dxa"/>
            <w:tcBorders>
              <w:top w:val="nil"/>
              <w:left w:val="nil"/>
              <w:bottom w:val="nil"/>
              <w:right w:val="nil"/>
            </w:tcBorders>
            <w:shd w:val="clear" w:color="auto" w:fill="auto"/>
            <w:noWrap/>
            <w:tcMar>
              <w:left w:w="0" w:type="dxa"/>
              <w:right w:w="0" w:type="dxa"/>
            </w:tcMar>
            <w:vAlign w:val="bottom"/>
            <w:hideMark/>
          </w:tcPr>
          <w:p w14:paraId="58D7BDD5" w14:textId="77777777" w:rsidR="00E33B5D" w:rsidRPr="00E33B5D" w:rsidRDefault="00E33B5D" w:rsidP="00E33B5D">
            <w:pPr>
              <w:spacing w:after="0"/>
              <w:ind w:firstLineChars="100" w:firstLine="160"/>
              <w:rPr>
                <w:rFonts w:ascii="Arial" w:hAnsi="Arial" w:cs="Arial"/>
                <w:b/>
                <w:bCs/>
                <w:color w:val="auto"/>
                <w:sz w:val="16"/>
                <w:szCs w:val="16"/>
              </w:rPr>
            </w:pPr>
            <w:r w:rsidRPr="00E33B5D">
              <w:rPr>
                <w:rFonts w:ascii="Arial" w:hAnsi="Arial" w:cs="Arial"/>
                <w:b/>
                <w:bCs/>
                <w:color w:val="auto"/>
                <w:sz w:val="16"/>
                <w:szCs w:val="16"/>
              </w:rPr>
              <w:t>Total for Program 1.1</w:t>
            </w:r>
          </w:p>
        </w:tc>
        <w:tc>
          <w:tcPr>
            <w:tcW w:w="900" w:type="dxa"/>
            <w:tcBorders>
              <w:top w:val="nil"/>
              <w:left w:val="nil"/>
              <w:bottom w:val="single" w:sz="4" w:space="0" w:color="auto"/>
              <w:right w:val="nil"/>
            </w:tcBorders>
            <w:shd w:val="clear" w:color="auto" w:fill="auto"/>
            <w:noWrap/>
            <w:tcMar>
              <w:left w:w="0" w:type="dxa"/>
            </w:tcMar>
            <w:vAlign w:val="bottom"/>
            <w:hideMark/>
          </w:tcPr>
          <w:p w14:paraId="679A7376" w14:textId="77777777" w:rsidR="00E33B5D" w:rsidRPr="00E33B5D" w:rsidRDefault="00E33B5D" w:rsidP="00E33B5D">
            <w:pPr>
              <w:spacing w:after="0"/>
              <w:jc w:val="right"/>
              <w:rPr>
                <w:rFonts w:ascii="Arial" w:hAnsi="Arial" w:cs="Arial"/>
                <w:b/>
                <w:bCs/>
                <w:color w:val="auto"/>
                <w:sz w:val="16"/>
                <w:szCs w:val="16"/>
              </w:rPr>
            </w:pPr>
            <w:r w:rsidRPr="00E33B5D">
              <w:rPr>
                <w:rFonts w:ascii="Arial" w:hAnsi="Arial" w:cs="Arial"/>
                <w:b/>
                <w:bCs/>
                <w:color w:val="auto"/>
                <w:sz w:val="16"/>
                <w:szCs w:val="16"/>
              </w:rPr>
              <w:t>972,117</w:t>
            </w:r>
          </w:p>
        </w:tc>
        <w:tc>
          <w:tcPr>
            <w:tcW w:w="900" w:type="dxa"/>
            <w:tcBorders>
              <w:top w:val="nil"/>
              <w:left w:val="nil"/>
              <w:bottom w:val="single" w:sz="4" w:space="0" w:color="auto"/>
              <w:right w:val="nil"/>
            </w:tcBorders>
            <w:shd w:val="clear" w:color="000000" w:fill="D9D9D9"/>
            <w:noWrap/>
            <w:tcMar>
              <w:left w:w="0" w:type="dxa"/>
            </w:tcMar>
            <w:vAlign w:val="bottom"/>
            <w:hideMark/>
          </w:tcPr>
          <w:p w14:paraId="2B4C62F7" w14:textId="77777777" w:rsidR="00E33B5D" w:rsidRPr="00E33B5D" w:rsidRDefault="00E33B5D" w:rsidP="00E33B5D">
            <w:pPr>
              <w:spacing w:after="0"/>
              <w:jc w:val="right"/>
              <w:rPr>
                <w:rFonts w:ascii="Arial" w:hAnsi="Arial" w:cs="Arial"/>
                <w:b/>
                <w:bCs/>
                <w:color w:val="auto"/>
                <w:sz w:val="16"/>
                <w:szCs w:val="16"/>
              </w:rPr>
            </w:pPr>
            <w:r w:rsidRPr="00E33B5D">
              <w:rPr>
                <w:rFonts w:ascii="Arial" w:hAnsi="Arial" w:cs="Arial"/>
                <w:b/>
                <w:bCs/>
                <w:color w:val="auto"/>
                <w:sz w:val="16"/>
                <w:szCs w:val="16"/>
              </w:rPr>
              <w:t>1,016,197</w:t>
            </w:r>
          </w:p>
        </w:tc>
        <w:tc>
          <w:tcPr>
            <w:tcW w:w="900" w:type="dxa"/>
            <w:tcBorders>
              <w:top w:val="nil"/>
              <w:left w:val="nil"/>
              <w:bottom w:val="single" w:sz="4" w:space="0" w:color="auto"/>
              <w:right w:val="nil"/>
            </w:tcBorders>
            <w:shd w:val="clear" w:color="auto" w:fill="auto"/>
            <w:noWrap/>
            <w:tcMar>
              <w:left w:w="0" w:type="dxa"/>
            </w:tcMar>
            <w:vAlign w:val="bottom"/>
            <w:hideMark/>
          </w:tcPr>
          <w:p w14:paraId="2C7D6331" w14:textId="77777777" w:rsidR="00E33B5D" w:rsidRPr="00E33B5D" w:rsidRDefault="00E33B5D" w:rsidP="00E33B5D">
            <w:pPr>
              <w:spacing w:after="0"/>
              <w:jc w:val="right"/>
              <w:rPr>
                <w:rFonts w:ascii="Arial" w:hAnsi="Arial" w:cs="Arial"/>
                <w:b/>
                <w:bCs/>
                <w:color w:val="auto"/>
                <w:sz w:val="16"/>
                <w:szCs w:val="16"/>
              </w:rPr>
            </w:pPr>
            <w:r w:rsidRPr="00E33B5D">
              <w:rPr>
                <w:rFonts w:ascii="Arial" w:hAnsi="Arial" w:cs="Arial"/>
                <w:b/>
                <w:bCs/>
                <w:color w:val="auto"/>
                <w:sz w:val="16"/>
                <w:szCs w:val="16"/>
              </w:rPr>
              <w:t>1,054,406</w:t>
            </w:r>
          </w:p>
        </w:tc>
        <w:tc>
          <w:tcPr>
            <w:tcW w:w="900" w:type="dxa"/>
            <w:tcBorders>
              <w:top w:val="nil"/>
              <w:left w:val="nil"/>
              <w:bottom w:val="single" w:sz="4" w:space="0" w:color="auto"/>
              <w:right w:val="nil"/>
            </w:tcBorders>
            <w:shd w:val="clear" w:color="auto" w:fill="auto"/>
            <w:noWrap/>
            <w:tcMar>
              <w:left w:w="0" w:type="dxa"/>
            </w:tcMar>
            <w:vAlign w:val="bottom"/>
            <w:hideMark/>
          </w:tcPr>
          <w:p w14:paraId="615310E3" w14:textId="77777777" w:rsidR="00E33B5D" w:rsidRPr="00E33B5D" w:rsidRDefault="00E33B5D" w:rsidP="00E33B5D">
            <w:pPr>
              <w:spacing w:after="0"/>
              <w:jc w:val="right"/>
              <w:rPr>
                <w:rFonts w:ascii="Arial" w:hAnsi="Arial" w:cs="Arial"/>
                <w:b/>
                <w:bCs/>
                <w:color w:val="auto"/>
                <w:sz w:val="16"/>
                <w:szCs w:val="16"/>
              </w:rPr>
            </w:pPr>
            <w:r w:rsidRPr="00E33B5D">
              <w:rPr>
                <w:rFonts w:ascii="Arial" w:hAnsi="Arial" w:cs="Arial"/>
                <w:b/>
                <w:bCs/>
                <w:color w:val="auto"/>
                <w:sz w:val="16"/>
                <w:szCs w:val="16"/>
              </w:rPr>
              <w:t>1,067,399</w:t>
            </w:r>
          </w:p>
        </w:tc>
        <w:tc>
          <w:tcPr>
            <w:tcW w:w="900" w:type="dxa"/>
            <w:tcBorders>
              <w:top w:val="nil"/>
              <w:left w:val="nil"/>
              <w:bottom w:val="single" w:sz="4" w:space="0" w:color="auto"/>
              <w:right w:val="nil"/>
            </w:tcBorders>
            <w:shd w:val="clear" w:color="auto" w:fill="auto"/>
            <w:noWrap/>
            <w:tcMar>
              <w:left w:w="0" w:type="dxa"/>
            </w:tcMar>
            <w:vAlign w:val="bottom"/>
            <w:hideMark/>
          </w:tcPr>
          <w:p w14:paraId="4ABBB63F" w14:textId="77777777" w:rsidR="00E33B5D" w:rsidRPr="00E33B5D" w:rsidRDefault="00E33B5D" w:rsidP="00E33B5D">
            <w:pPr>
              <w:spacing w:after="0"/>
              <w:jc w:val="right"/>
              <w:rPr>
                <w:rFonts w:ascii="Arial" w:hAnsi="Arial" w:cs="Arial"/>
                <w:b/>
                <w:bCs/>
                <w:color w:val="auto"/>
                <w:sz w:val="16"/>
                <w:szCs w:val="16"/>
              </w:rPr>
            </w:pPr>
            <w:r w:rsidRPr="00E33B5D">
              <w:rPr>
                <w:rFonts w:ascii="Arial" w:hAnsi="Arial" w:cs="Arial"/>
                <w:b/>
                <w:bCs/>
                <w:color w:val="auto"/>
                <w:sz w:val="16"/>
                <w:szCs w:val="16"/>
              </w:rPr>
              <w:t>1,062,140</w:t>
            </w:r>
          </w:p>
        </w:tc>
      </w:tr>
      <w:tr w:rsidR="00E33B5D" w:rsidRPr="00E33B5D" w14:paraId="6ABA5A0C" w14:textId="77777777" w:rsidTr="00E33B5D">
        <w:trPr>
          <w:trHeight w:val="300"/>
        </w:trPr>
        <w:tc>
          <w:tcPr>
            <w:tcW w:w="2840" w:type="dxa"/>
            <w:tcBorders>
              <w:top w:val="nil"/>
              <w:left w:val="nil"/>
              <w:bottom w:val="single" w:sz="4" w:space="0" w:color="auto"/>
              <w:right w:val="nil"/>
            </w:tcBorders>
            <w:shd w:val="clear" w:color="auto" w:fill="auto"/>
            <w:noWrap/>
            <w:tcMar>
              <w:left w:w="0" w:type="dxa"/>
              <w:right w:w="0" w:type="dxa"/>
            </w:tcMar>
            <w:vAlign w:val="bottom"/>
            <w:hideMark/>
          </w:tcPr>
          <w:p w14:paraId="4E39D687" w14:textId="77777777" w:rsidR="00E33B5D" w:rsidRPr="00E33B5D" w:rsidRDefault="00E33B5D" w:rsidP="00E33B5D">
            <w:pPr>
              <w:spacing w:after="0"/>
              <w:rPr>
                <w:rFonts w:ascii="Arial" w:hAnsi="Arial" w:cs="Arial"/>
                <w:b/>
                <w:bCs/>
                <w:sz w:val="16"/>
                <w:szCs w:val="16"/>
              </w:rPr>
            </w:pPr>
            <w:r w:rsidRPr="00E33B5D">
              <w:rPr>
                <w:rFonts w:ascii="Arial" w:hAnsi="Arial" w:cs="Arial"/>
                <w:b/>
                <w:bCs/>
                <w:sz w:val="16"/>
                <w:szCs w:val="16"/>
              </w:rPr>
              <w:t>Total expenses for Outcome 1</w:t>
            </w:r>
          </w:p>
        </w:tc>
        <w:tc>
          <w:tcPr>
            <w:tcW w:w="900" w:type="dxa"/>
            <w:tcBorders>
              <w:top w:val="nil"/>
              <w:left w:val="nil"/>
              <w:bottom w:val="single" w:sz="4" w:space="0" w:color="auto"/>
              <w:right w:val="nil"/>
            </w:tcBorders>
            <w:shd w:val="clear" w:color="auto" w:fill="auto"/>
            <w:noWrap/>
            <w:tcMar>
              <w:left w:w="0" w:type="dxa"/>
            </w:tcMar>
            <w:vAlign w:val="bottom"/>
            <w:hideMark/>
          </w:tcPr>
          <w:p w14:paraId="1BE7C89F" w14:textId="77777777" w:rsidR="00E33B5D" w:rsidRPr="00E33B5D" w:rsidRDefault="00E33B5D" w:rsidP="00E33B5D">
            <w:pPr>
              <w:spacing w:after="0"/>
              <w:jc w:val="right"/>
              <w:rPr>
                <w:rFonts w:ascii="Arial" w:hAnsi="Arial" w:cs="Arial"/>
                <w:b/>
                <w:bCs/>
                <w:color w:val="auto"/>
                <w:sz w:val="16"/>
                <w:szCs w:val="16"/>
              </w:rPr>
            </w:pPr>
            <w:r w:rsidRPr="00E33B5D">
              <w:rPr>
                <w:rFonts w:ascii="Arial" w:hAnsi="Arial" w:cs="Arial"/>
                <w:b/>
                <w:bCs/>
                <w:color w:val="auto"/>
                <w:sz w:val="16"/>
                <w:szCs w:val="16"/>
              </w:rPr>
              <w:t>972,117</w:t>
            </w:r>
          </w:p>
        </w:tc>
        <w:tc>
          <w:tcPr>
            <w:tcW w:w="900" w:type="dxa"/>
            <w:tcBorders>
              <w:top w:val="nil"/>
              <w:left w:val="nil"/>
              <w:bottom w:val="single" w:sz="4" w:space="0" w:color="auto"/>
              <w:right w:val="nil"/>
            </w:tcBorders>
            <w:shd w:val="clear" w:color="000000" w:fill="D9D9D9"/>
            <w:noWrap/>
            <w:tcMar>
              <w:left w:w="0" w:type="dxa"/>
            </w:tcMar>
            <w:vAlign w:val="bottom"/>
            <w:hideMark/>
          </w:tcPr>
          <w:p w14:paraId="26082B7E" w14:textId="77777777" w:rsidR="00E33B5D" w:rsidRPr="00E33B5D" w:rsidRDefault="00E33B5D" w:rsidP="00E33B5D">
            <w:pPr>
              <w:spacing w:after="0"/>
              <w:jc w:val="right"/>
              <w:rPr>
                <w:rFonts w:ascii="Arial" w:hAnsi="Arial" w:cs="Arial"/>
                <w:b/>
                <w:bCs/>
                <w:color w:val="auto"/>
                <w:sz w:val="16"/>
                <w:szCs w:val="16"/>
              </w:rPr>
            </w:pPr>
            <w:r w:rsidRPr="00E33B5D">
              <w:rPr>
                <w:rFonts w:ascii="Arial" w:hAnsi="Arial" w:cs="Arial"/>
                <w:b/>
                <w:bCs/>
                <w:color w:val="auto"/>
                <w:sz w:val="16"/>
                <w:szCs w:val="16"/>
              </w:rPr>
              <w:t>1,016,197</w:t>
            </w:r>
          </w:p>
        </w:tc>
        <w:tc>
          <w:tcPr>
            <w:tcW w:w="900" w:type="dxa"/>
            <w:tcBorders>
              <w:top w:val="nil"/>
              <w:left w:val="nil"/>
              <w:bottom w:val="single" w:sz="4" w:space="0" w:color="auto"/>
              <w:right w:val="nil"/>
            </w:tcBorders>
            <w:shd w:val="clear" w:color="auto" w:fill="auto"/>
            <w:noWrap/>
            <w:tcMar>
              <w:left w:w="0" w:type="dxa"/>
            </w:tcMar>
            <w:vAlign w:val="bottom"/>
            <w:hideMark/>
          </w:tcPr>
          <w:p w14:paraId="22794F4D" w14:textId="77777777" w:rsidR="00E33B5D" w:rsidRPr="00E33B5D" w:rsidRDefault="00E33B5D" w:rsidP="00E33B5D">
            <w:pPr>
              <w:spacing w:after="0"/>
              <w:jc w:val="right"/>
              <w:rPr>
                <w:rFonts w:ascii="Arial" w:hAnsi="Arial" w:cs="Arial"/>
                <w:b/>
                <w:bCs/>
                <w:color w:val="auto"/>
                <w:sz w:val="16"/>
                <w:szCs w:val="16"/>
              </w:rPr>
            </w:pPr>
            <w:r w:rsidRPr="00E33B5D">
              <w:rPr>
                <w:rFonts w:ascii="Arial" w:hAnsi="Arial" w:cs="Arial"/>
                <w:b/>
                <w:bCs/>
                <w:color w:val="auto"/>
                <w:sz w:val="16"/>
                <w:szCs w:val="16"/>
              </w:rPr>
              <w:t>1,054,406</w:t>
            </w:r>
          </w:p>
        </w:tc>
        <w:tc>
          <w:tcPr>
            <w:tcW w:w="900" w:type="dxa"/>
            <w:tcBorders>
              <w:top w:val="nil"/>
              <w:left w:val="nil"/>
              <w:bottom w:val="single" w:sz="4" w:space="0" w:color="auto"/>
              <w:right w:val="nil"/>
            </w:tcBorders>
            <w:shd w:val="clear" w:color="auto" w:fill="auto"/>
            <w:noWrap/>
            <w:tcMar>
              <w:left w:w="0" w:type="dxa"/>
            </w:tcMar>
            <w:vAlign w:val="bottom"/>
            <w:hideMark/>
          </w:tcPr>
          <w:p w14:paraId="22E3FE3D" w14:textId="77777777" w:rsidR="00E33B5D" w:rsidRPr="00E33B5D" w:rsidRDefault="00E33B5D" w:rsidP="00E33B5D">
            <w:pPr>
              <w:spacing w:after="0"/>
              <w:jc w:val="right"/>
              <w:rPr>
                <w:rFonts w:ascii="Arial" w:hAnsi="Arial" w:cs="Arial"/>
                <w:b/>
                <w:bCs/>
                <w:color w:val="auto"/>
                <w:sz w:val="16"/>
                <w:szCs w:val="16"/>
              </w:rPr>
            </w:pPr>
            <w:r w:rsidRPr="00E33B5D">
              <w:rPr>
                <w:rFonts w:ascii="Arial" w:hAnsi="Arial" w:cs="Arial"/>
                <w:b/>
                <w:bCs/>
                <w:color w:val="auto"/>
                <w:sz w:val="16"/>
                <w:szCs w:val="16"/>
              </w:rPr>
              <w:t>1,067,399</w:t>
            </w:r>
          </w:p>
        </w:tc>
        <w:tc>
          <w:tcPr>
            <w:tcW w:w="900" w:type="dxa"/>
            <w:tcBorders>
              <w:top w:val="nil"/>
              <w:left w:val="nil"/>
              <w:bottom w:val="single" w:sz="4" w:space="0" w:color="auto"/>
              <w:right w:val="nil"/>
            </w:tcBorders>
            <w:shd w:val="clear" w:color="auto" w:fill="auto"/>
            <w:noWrap/>
            <w:tcMar>
              <w:left w:w="0" w:type="dxa"/>
            </w:tcMar>
            <w:vAlign w:val="bottom"/>
            <w:hideMark/>
          </w:tcPr>
          <w:p w14:paraId="1F9D25A8" w14:textId="77777777" w:rsidR="00E33B5D" w:rsidRPr="00E33B5D" w:rsidRDefault="00E33B5D" w:rsidP="00E33B5D">
            <w:pPr>
              <w:spacing w:after="0"/>
              <w:jc w:val="right"/>
              <w:rPr>
                <w:rFonts w:ascii="Arial" w:hAnsi="Arial" w:cs="Arial"/>
                <w:b/>
                <w:bCs/>
                <w:color w:val="auto"/>
                <w:sz w:val="16"/>
                <w:szCs w:val="16"/>
              </w:rPr>
            </w:pPr>
            <w:r w:rsidRPr="00E33B5D">
              <w:rPr>
                <w:rFonts w:ascii="Arial" w:hAnsi="Arial" w:cs="Arial"/>
                <w:b/>
                <w:bCs/>
                <w:color w:val="auto"/>
                <w:sz w:val="16"/>
                <w:szCs w:val="16"/>
              </w:rPr>
              <w:t>1,062,140</w:t>
            </w:r>
          </w:p>
        </w:tc>
      </w:tr>
      <w:tr w:rsidR="00E33B5D" w:rsidRPr="00E33B5D" w14:paraId="1A5AFC4E" w14:textId="77777777" w:rsidTr="00E33B5D">
        <w:trPr>
          <w:trHeight w:val="240"/>
        </w:trPr>
        <w:tc>
          <w:tcPr>
            <w:tcW w:w="2840" w:type="dxa"/>
            <w:tcBorders>
              <w:top w:val="nil"/>
              <w:left w:val="nil"/>
              <w:bottom w:val="nil"/>
              <w:right w:val="nil"/>
            </w:tcBorders>
            <w:shd w:val="clear" w:color="auto" w:fill="auto"/>
            <w:noWrap/>
            <w:tcMar>
              <w:left w:w="0" w:type="dxa"/>
              <w:right w:w="0" w:type="dxa"/>
            </w:tcMar>
            <w:vAlign w:val="bottom"/>
            <w:hideMark/>
          </w:tcPr>
          <w:p w14:paraId="0A1D6B29" w14:textId="77777777" w:rsidR="00E33B5D" w:rsidRPr="00E33B5D" w:rsidRDefault="00E33B5D" w:rsidP="00E33B5D">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25A4AD7B" w14:textId="77777777" w:rsidR="00E33B5D" w:rsidRPr="00E33B5D" w:rsidRDefault="00E33B5D" w:rsidP="00E33B5D">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9A01A41" w14:textId="77777777" w:rsidR="00E33B5D" w:rsidRPr="00E33B5D" w:rsidRDefault="00E33B5D" w:rsidP="00E33B5D">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4E1C0FE5" w14:textId="77777777" w:rsidR="00E33B5D" w:rsidRPr="00E33B5D" w:rsidRDefault="00E33B5D" w:rsidP="00E33B5D">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259AADB1" w14:textId="77777777" w:rsidR="00E33B5D" w:rsidRPr="00E33B5D" w:rsidRDefault="00E33B5D" w:rsidP="00E33B5D">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A062F8D" w14:textId="77777777" w:rsidR="00E33B5D" w:rsidRPr="00E33B5D" w:rsidRDefault="00E33B5D" w:rsidP="00E33B5D">
            <w:pPr>
              <w:spacing w:after="0"/>
              <w:jc w:val="right"/>
              <w:rPr>
                <w:rFonts w:ascii="Times New Roman" w:hAnsi="Times New Roman"/>
                <w:color w:val="auto"/>
                <w:sz w:val="20"/>
              </w:rPr>
            </w:pPr>
          </w:p>
        </w:tc>
      </w:tr>
      <w:tr w:rsidR="00E33B5D" w:rsidRPr="00E33B5D" w14:paraId="3A8E3DE3" w14:textId="77777777" w:rsidTr="00E33B5D">
        <w:trPr>
          <w:trHeight w:val="225"/>
        </w:trPr>
        <w:tc>
          <w:tcPr>
            <w:tcW w:w="2840" w:type="dxa"/>
            <w:tcBorders>
              <w:top w:val="single" w:sz="4" w:space="0" w:color="auto"/>
              <w:left w:val="nil"/>
              <w:bottom w:val="nil"/>
              <w:right w:val="nil"/>
            </w:tcBorders>
            <w:shd w:val="clear" w:color="auto" w:fill="auto"/>
            <w:noWrap/>
            <w:tcMar>
              <w:left w:w="0" w:type="dxa"/>
            </w:tcMar>
            <w:vAlign w:val="bottom"/>
            <w:hideMark/>
          </w:tcPr>
          <w:p w14:paraId="2F8E0C23" w14:textId="77777777" w:rsidR="00E33B5D" w:rsidRPr="00E33B5D" w:rsidRDefault="00E33B5D" w:rsidP="00E33B5D">
            <w:pPr>
              <w:spacing w:after="0"/>
              <w:jc w:val="right"/>
              <w:rPr>
                <w:rFonts w:ascii="Arial" w:hAnsi="Arial" w:cs="Arial"/>
                <w:sz w:val="16"/>
                <w:szCs w:val="16"/>
              </w:rPr>
            </w:pPr>
            <w:r w:rsidRPr="00E33B5D">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77745F59" w14:textId="77777777" w:rsidR="00E33B5D" w:rsidRPr="00E33B5D" w:rsidRDefault="00E33B5D" w:rsidP="00E33B5D">
            <w:pPr>
              <w:spacing w:after="0"/>
              <w:jc w:val="right"/>
              <w:rPr>
                <w:rFonts w:ascii="Arial" w:hAnsi="Arial" w:cs="Arial"/>
                <w:b/>
                <w:bCs/>
                <w:color w:val="auto"/>
                <w:sz w:val="16"/>
                <w:szCs w:val="16"/>
              </w:rPr>
            </w:pPr>
            <w:r w:rsidRPr="00E33B5D">
              <w:rPr>
                <w:rFonts w:ascii="Arial" w:hAnsi="Arial" w:cs="Arial"/>
                <w:b/>
                <w:bCs/>
                <w:color w:val="auto"/>
                <w:sz w:val="16"/>
                <w:szCs w:val="16"/>
              </w:rPr>
              <w:t>2022–23</w:t>
            </w:r>
          </w:p>
        </w:tc>
        <w:tc>
          <w:tcPr>
            <w:tcW w:w="900" w:type="dxa"/>
            <w:tcBorders>
              <w:top w:val="single" w:sz="4" w:space="0" w:color="auto"/>
              <w:left w:val="nil"/>
              <w:bottom w:val="nil"/>
              <w:right w:val="nil"/>
            </w:tcBorders>
            <w:shd w:val="clear" w:color="000000" w:fill="D9D9D9"/>
            <w:noWrap/>
            <w:vAlign w:val="bottom"/>
            <w:hideMark/>
          </w:tcPr>
          <w:p w14:paraId="467AC1DB" w14:textId="77777777" w:rsidR="00E33B5D" w:rsidRPr="00E33B5D" w:rsidRDefault="00E33B5D" w:rsidP="00E33B5D">
            <w:pPr>
              <w:spacing w:after="0"/>
              <w:jc w:val="right"/>
              <w:rPr>
                <w:rFonts w:ascii="Arial" w:hAnsi="Arial" w:cs="Arial"/>
                <w:b/>
                <w:bCs/>
                <w:color w:val="auto"/>
                <w:sz w:val="16"/>
                <w:szCs w:val="16"/>
              </w:rPr>
            </w:pPr>
            <w:r w:rsidRPr="00E33B5D">
              <w:rPr>
                <w:rFonts w:ascii="Arial" w:hAnsi="Arial" w:cs="Arial"/>
                <w:b/>
                <w:bCs/>
                <w:color w:val="auto"/>
                <w:sz w:val="16"/>
                <w:szCs w:val="16"/>
              </w:rPr>
              <w:t>2023–24</w:t>
            </w:r>
          </w:p>
        </w:tc>
        <w:tc>
          <w:tcPr>
            <w:tcW w:w="900" w:type="dxa"/>
            <w:tcBorders>
              <w:top w:val="nil"/>
              <w:left w:val="nil"/>
              <w:bottom w:val="nil"/>
              <w:right w:val="nil"/>
            </w:tcBorders>
            <w:shd w:val="clear" w:color="auto" w:fill="auto"/>
            <w:noWrap/>
            <w:vAlign w:val="center"/>
            <w:hideMark/>
          </w:tcPr>
          <w:p w14:paraId="6E6BD761" w14:textId="77777777" w:rsidR="00E33B5D" w:rsidRPr="00E33B5D" w:rsidRDefault="00E33B5D" w:rsidP="00E33B5D">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center"/>
            <w:hideMark/>
          </w:tcPr>
          <w:p w14:paraId="3A32A8DD" w14:textId="77777777" w:rsidR="00E33B5D" w:rsidRPr="00E33B5D" w:rsidRDefault="00E33B5D" w:rsidP="00E33B5D">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center"/>
            <w:hideMark/>
          </w:tcPr>
          <w:p w14:paraId="4484ED3E" w14:textId="77777777" w:rsidR="00E33B5D" w:rsidRPr="00E33B5D" w:rsidRDefault="00E33B5D" w:rsidP="00E33B5D">
            <w:pPr>
              <w:spacing w:after="0"/>
              <w:rPr>
                <w:rFonts w:ascii="Times New Roman" w:hAnsi="Times New Roman"/>
                <w:color w:val="auto"/>
                <w:sz w:val="20"/>
              </w:rPr>
            </w:pPr>
          </w:p>
        </w:tc>
      </w:tr>
      <w:tr w:rsidR="00E33B5D" w:rsidRPr="00E33B5D" w14:paraId="30C4F3B3" w14:textId="77777777" w:rsidTr="00E33B5D">
        <w:trPr>
          <w:trHeight w:val="225"/>
        </w:trPr>
        <w:tc>
          <w:tcPr>
            <w:tcW w:w="2840" w:type="dxa"/>
            <w:tcBorders>
              <w:top w:val="nil"/>
              <w:left w:val="nil"/>
              <w:bottom w:val="single" w:sz="4" w:space="0" w:color="auto"/>
              <w:right w:val="nil"/>
            </w:tcBorders>
            <w:shd w:val="clear" w:color="auto" w:fill="auto"/>
            <w:noWrap/>
            <w:tcMar>
              <w:left w:w="0" w:type="dxa"/>
            </w:tcMar>
            <w:vAlign w:val="bottom"/>
            <w:hideMark/>
          </w:tcPr>
          <w:p w14:paraId="7DE9098C" w14:textId="77777777" w:rsidR="00E33B5D" w:rsidRPr="00E33B5D" w:rsidRDefault="00E33B5D" w:rsidP="00E33B5D">
            <w:pPr>
              <w:spacing w:after="0"/>
              <w:rPr>
                <w:rFonts w:ascii="Arial" w:hAnsi="Arial" w:cs="Arial"/>
                <w:b/>
                <w:bCs/>
                <w:sz w:val="16"/>
                <w:szCs w:val="16"/>
              </w:rPr>
            </w:pPr>
            <w:r w:rsidRPr="00E33B5D">
              <w:rPr>
                <w:rFonts w:ascii="Arial" w:hAnsi="Arial" w:cs="Arial"/>
                <w:b/>
                <w:bCs/>
                <w:sz w:val="16"/>
                <w:szCs w:val="16"/>
              </w:rPr>
              <w:t xml:space="preserve">Average </w:t>
            </w:r>
            <w:r w:rsidRPr="00E33B5D">
              <w:rPr>
                <w:rFonts w:ascii="Arial" w:hAnsi="Arial" w:cs="Arial"/>
                <w:b/>
                <w:bCs/>
                <w:color w:val="auto"/>
                <w:sz w:val="16"/>
                <w:szCs w:val="16"/>
              </w:rPr>
              <w:t>s</w:t>
            </w:r>
            <w:r w:rsidRPr="00E33B5D">
              <w:rPr>
                <w:rFonts w:ascii="Arial" w:hAnsi="Arial" w:cs="Arial"/>
                <w:b/>
                <w:bCs/>
                <w:sz w:val="16"/>
                <w:szCs w:val="16"/>
              </w:rPr>
              <w:t xml:space="preserve">taffing </w:t>
            </w:r>
            <w:r w:rsidRPr="00E33B5D">
              <w:rPr>
                <w:rFonts w:ascii="Arial" w:hAnsi="Arial" w:cs="Arial"/>
                <w:b/>
                <w:bCs/>
                <w:color w:val="auto"/>
                <w:sz w:val="16"/>
                <w:szCs w:val="16"/>
              </w:rPr>
              <w:t>l</w:t>
            </w:r>
            <w:r w:rsidRPr="00E33B5D">
              <w:rPr>
                <w:rFonts w:ascii="Arial" w:hAnsi="Arial" w:cs="Arial"/>
                <w:b/>
                <w:bCs/>
                <w:sz w:val="16"/>
                <w:szCs w:val="16"/>
              </w:rPr>
              <w:t>evel (number)</w:t>
            </w:r>
          </w:p>
        </w:tc>
        <w:tc>
          <w:tcPr>
            <w:tcW w:w="900" w:type="dxa"/>
            <w:tcBorders>
              <w:top w:val="single" w:sz="4" w:space="0" w:color="auto"/>
              <w:left w:val="nil"/>
              <w:bottom w:val="single" w:sz="4" w:space="0" w:color="auto"/>
              <w:right w:val="nil"/>
            </w:tcBorders>
            <w:shd w:val="clear" w:color="auto" w:fill="auto"/>
            <w:noWrap/>
            <w:vAlign w:val="bottom"/>
            <w:hideMark/>
          </w:tcPr>
          <w:p w14:paraId="70204920" w14:textId="77777777" w:rsidR="00E33B5D" w:rsidRPr="00E33B5D" w:rsidRDefault="00E33B5D" w:rsidP="00E33B5D">
            <w:pPr>
              <w:spacing w:after="0"/>
              <w:jc w:val="right"/>
              <w:rPr>
                <w:rFonts w:ascii="Arial" w:hAnsi="Arial" w:cs="Arial"/>
                <w:sz w:val="16"/>
                <w:szCs w:val="16"/>
              </w:rPr>
            </w:pPr>
            <w:r w:rsidRPr="00E33B5D">
              <w:rPr>
                <w:rFonts w:ascii="Arial" w:hAnsi="Arial" w:cs="Arial"/>
                <w:sz w:val="16"/>
                <w:szCs w:val="16"/>
              </w:rPr>
              <w:t>205</w:t>
            </w:r>
          </w:p>
        </w:tc>
        <w:tc>
          <w:tcPr>
            <w:tcW w:w="900" w:type="dxa"/>
            <w:tcBorders>
              <w:top w:val="single" w:sz="4" w:space="0" w:color="auto"/>
              <w:left w:val="nil"/>
              <w:bottom w:val="single" w:sz="4" w:space="0" w:color="auto"/>
              <w:right w:val="nil"/>
            </w:tcBorders>
            <w:shd w:val="clear" w:color="000000" w:fill="D9D9D9"/>
            <w:noWrap/>
            <w:vAlign w:val="bottom"/>
            <w:hideMark/>
          </w:tcPr>
          <w:p w14:paraId="21A247D7" w14:textId="77777777" w:rsidR="00E33B5D" w:rsidRPr="00E33B5D" w:rsidRDefault="00E33B5D" w:rsidP="00E33B5D">
            <w:pPr>
              <w:spacing w:after="0"/>
              <w:jc w:val="right"/>
              <w:rPr>
                <w:rFonts w:ascii="Arial" w:hAnsi="Arial" w:cs="Arial"/>
                <w:sz w:val="16"/>
                <w:szCs w:val="16"/>
              </w:rPr>
            </w:pPr>
            <w:r w:rsidRPr="00E33B5D">
              <w:rPr>
                <w:rFonts w:ascii="Arial" w:hAnsi="Arial" w:cs="Arial"/>
                <w:sz w:val="16"/>
                <w:szCs w:val="16"/>
              </w:rPr>
              <w:t>205</w:t>
            </w:r>
          </w:p>
        </w:tc>
        <w:tc>
          <w:tcPr>
            <w:tcW w:w="900" w:type="dxa"/>
            <w:tcBorders>
              <w:top w:val="nil"/>
              <w:left w:val="nil"/>
              <w:bottom w:val="nil"/>
              <w:right w:val="nil"/>
            </w:tcBorders>
            <w:shd w:val="clear" w:color="auto" w:fill="auto"/>
            <w:noWrap/>
            <w:vAlign w:val="center"/>
            <w:hideMark/>
          </w:tcPr>
          <w:p w14:paraId="69AAB647" w14:textId="77777777" w:rsidR="00E33B5D" w:rsidRPr="00E33B5D" w:rsidRDefault="00E33B5D" w:rsidP="00E33B5D">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14:paraId="551FC451" w14:textId="77777777" w:rsidR="00E33B5D" w:rsidRPr="00E33B5D" w:rsidRDefault="00E33B5D" w:rsidP="00E33B5D">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center"/>
            <w:hideMark/>
          </w:tcPr>
          <w:p w14:paraId="3EBB414D" w14:textId="77777777" w:rsidR="00E33B5D" w:rsidRPr="00E33B5D" w:rsidRDefault="00E33B5D" w:rsidP="00E33B5D">
            <w:pPr>
              <w:spacing w:after="0"/>
              <w:rPr>
                <w:rFonts w:ascii="Times New Roman" w:hAnsi="Times New Roman"/>
                <w:color w:val="auto"/>
                <w:sz w:val="20"/>
              </w:rPr>
            </w:pPr>
          </w:p>
        </w:tc>
      </w:tr>
    </w:tbl>
    <w:p w14:paraId="57BDF70E" w14:textId="5DF6E1C8" w:rsidR="00422920" w:rsidRPr="00422920" w:rsidRDefault="00422920" w:rsidP="00422920">
      <w:pPr>
        <w:pStyle w:val="FootnoteText"/>
        <w:spacing w:before="120"/>
      </w:pPr>
      <w:r w:rsidRPr="00422920">
        <w:rPr>
          <w:vertAlign w:val="superscript"/>
        </w:rPr>
        <w:t>(a)</w:t>
      </w:r>
      <w:r>
        <w:tab/>
      </w:r>
      <w:r w:rsidRPr="00422920">
        <w:t>Appropriation Bill (No.1) 2023–24.</w:t>
      </w:r>
    </w:p>
    <w:p w14:paraId="2DBBC2D5" w14:textId="2C0E77B7" w:rsidR="00422920" w:rsidRPr="00422920" w:rsidRDefault="00422920" w:rsidP="00422920">
      <w:pPr>
        <w:pStyle w:val="FootnoteText"/>
      </w:pPr>
      <w:r w:rsidRPr="00422920">
        <w:rPr>
          <w:vertAlign w:val="superscript"/>
        </w:rPr>
        <w:t>(b)</w:t>
      </w:r>
      <w:r>
        <w:tab/>
      </w:r>
      <w:r w:rsidRPr="00422920">
        <w:t>Departmental appropriation combines 'Ordinary annual services Appropriation Bill (No.1) and 'Revenue from independent sources (s74)'.</w:t>
      </w:r>
    </w:p>
    <w:p w14:paraId="2322DEF8" w14:textId="2B804924" w:rsidR="00422920" w:rsidRPr="00422920" w:rsidRDefault="00422920" w:rsidP="00422920">
      <w:pPr>
        <w:pStyle w:val="FootnoteText"/>
      </w:pPr>
      <w:r w:rsidRPr="00422920">
        <w:rPr>
          <w:vertAlign w:val="superscript"/>
        </w:rPr>
        <w:t>(c)</w:t>
      </w:r>
      <w:r>
        <w:tab/>
      </w:r>
      <w:r w:rsidRPr="00422920">
        <w:t>Expenses not requiring appropriation in the Budget year are made up of depreciation expense, amortisation expense, makegood expense and audit fees.</w:t>
      </w:r>
    </w:p>
    <w:p w14:paraId="66E2BDBE" w14:textId="0140845F" w:rsidR="00405212" w:rsidRPr="00405212" w:rsidRDefault="00405212" w:rsidP="00405212">
      <w:pPr>
        <w:pStyle w:val="FootnoteText"/>
      </w:pPr>
      <w:r>
        <w:rPr>
          <w:rFonts w:ascii="Arial Bold" w:hAnsi="Arial Bold"/>
          <w:b/>
          <w:color w:val="auto"/>
          <w:sz w:val="20"/>
        </w:rPr>
        <w:br w:type="page"/>
      </w:r>
    </w:p>
    <w:p w14:paraId="106BBB5E" w14:textId="704374BF" w:rsidR="007431FE" w:rsidRPr="007431FE" w:rsidRDefault="007431FE" w:rsidP="007431FE">
      <w:pPr>
        <w:keepNext/>
        <w:outlineLvl w:val="3"/>
        <w:rPr>
          <w:rFonts w:ascii="Arial Bold" w:hAnsi="Arial Bold"/>
          <w:b/>
          <w:color w:val="auto"/>
          <w:sz w:val="20"/>
        </w:rPr>
      </w:pPr>
      <w:r w:rsidRPr="007431FE">
        <w:rPr>
          <w:rFonts w:ascii="Arial Bold" w:hAnsi="Arial Bold"/>
          <w:b/>
          <w:color w:val="auto"/>
          <w:sz w:val="20"/>
        </w:rPr>
        <w:lastRenderedPageBreak/>
        <w:t>Performance measures for Outcome 1</w:t>
      </w:r>
    </w:p>
    <w:p w14:paraId="0FFFD121" w14:textId="006869F9" w:rsidR="007431FE" w:rsidRPr="007431FE" w:rsidRDefault="007431FE" w:rsidP="007431FE">
      <w:pPr>
        <w:rPr>
          <w:color w:val="auto"/>
          <w:szCs w:val="19"/>
        </w:rPr>
      </w:pPr>
      <w:r w:rsidRPr="007431FE">
        <w:rPr>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w:t>
      </w:r>
      <w:r w:rsidR="00FD6A71">
        <w:rPr>
          <w:szCs w:val="19"/>
        </w:rPr>
        <w:t>elevant, details of the 2023</w:t>
      </w:r>
      <w:r w:rsidR="00D44E13">
        <w:t>–</w:t>
      </w:r>
      <w:r w:rsidR="00FD6A71">
        <w:rPr>
          <w:szCs w:val="19"/>
        </w:rPr>
        <w:t>24</w:t>
      </w:r>
      <w:r w:rsidRPr="007431FE">
        <w:rPr>
          <w:szCs w:val="19"/>
        </w:rPr>
        <w:t xml:space="preserve"> Budget measures that have created new programs or materially changed existing programs are provided.</w:t>
      </w:r>
    </w:p>
    <w:p w14:paraId="231BCDA9" w14:textId="6BEFA701" w:rsidR="00BC0659" w:rsidRPr="005407C4" w:rsidRDefault="00BC0659" w:rsidP="00BC0659">
      <w:pPr>
        <w:pStyle w:val="Tablenumberandreference"/>
        <w:rPr>
          <w:color w:val="000000" w:themeColor="text1"/>
        </w:rPr>
      </w:pPr>
      <w:r w:rsidRPr="005407C4">
        <w:rPr>
          <w:color w:val="000000" w:themeColor="text1"/>
        </w:rPr>
        <w:t>Table 2.1.2: Pe</w:t>
      </w:r>
      <w:r w:rsidR="002B3EE7" w:rsidRPr="005407C4">
        <w:rPr>
          <w:color w:val="000000" w:themeColor="text1"/>
        </w:rPr>
        <w:t xml:space="preserve">rformance </w:t>
      </w:r>
      <w:r w:rsidR="007431FE">
        <w:rPr>
          <w:color w:val="000000" w:themeColor="text1"/>
        </w:rPr>
        <w:t>m</w:t>
      </w:r>
      <w:r w:rsidR="002B3EE7" w:rsidRPr="005407C4">
        <w:rPr>
          <w:color w:val="000000" w:themeColor="text1"/>
        </w:rPr>
        <w:t>easure</w:t>
      </w:r>
      <w:r w:rsidR="004C6969" w:rsidRPr="005407C4">
        <w:rPr>
          <w:color w:val="000000" w:themeColor="text1"/>
        </w:rPr>
        <w:t>s</w:t>
      </w:r>
      <w:r w:rsidRPr="005407C4">
        <w:rPr>
          <w:color w:val="000000" w:themeColor="text1"/>
        </w:rPr>
        <w:t xml:space="preserve"> for</w:t>
      </w:r>
      <w:r w:rsidR="00892FCD" w:rsidRPr="005407C4">
        <w:rPr>
          <w:color w:val="000000" w:themeColor="text1"/>
        </w:rPr>
        <w:t xml:space="preserve"> </w:t>
      </w:r>
      <w:r w:rsidR="002B3EE7" w:rsidRPr="005407C4">
        <w:rPr>
          <w:color w:val="000000" w:themeColor="text1"/>
        </w:rPr>
        <w:t>NHMRC</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NHMRC"/>
        <w:tblDescription w:val="This table outlines NHMRC's Outcome 1 outcome statement, Program 1.1's objective and the key activities for Program 1.1. It also includes 2 performance measures for Program 1.1, with an expected performance result for 2021-22, and planned performance results for 2022-23 and the forward estimates&#10;"/>
      </w:tblPr>
      <w:tblGrid>
        <w:gridCol w:w="2558"/>
        <w:gridCol w:w="2420"/>
        <w:gridCol w:w="2432"/>
      </w:tblGrid>
      <w:tr w:rsidR="005407C4" w:rsidRPr="005407C4" w14:paraId="287C6F43" w14:textId="77777777" w:rsidTr="000540E0">
        <w:trPr>
          <w:jc w:val="center"/>
        </w:trPr>
        <w:tc>
          <w:tcPr>
            <w:tcW w:w="5000" w:type="pct"/>
            <w:gridSpan w:val="3"/>
            <w:shd w:val="clear" w:color="auto" w:fill="D9D9D9" w:themeFill="background1" w:themeFillShade="D9"/>
            <w:tcMar>
              <w:left w:w="85" w:type="dxa"/>
            </w:tcMar>
            <w:vAlign w:val="center"/>
          </w:tcPr>
          <w:p w14:paraId="7CAD8962" w14:textId="036A1C92" w:rsidR="00FD6A71" w:rsidRPr="00404588" w:rsidRDefault="00BC0659" w:rsidP="00430169">
            <w:pPr>
              <w:pStyle w:val="Tableheadingrow9pt"/>
              <w:rPr>
                <w:color w:val="000000" w:themeColor="text1"/>
              </w:rPr>
            </w:pPr>
            <w:r w:rsidRPr="005407C4">
              <w:rPr>
                <w:color w:val="000000" w:themeColor="text1"/>
              </w:rPr>
              <w:t>Outcome 1</w:t>
            </w:r>
          </w:p>
        </w:tc>
      </w:tr>
      <w:tr w:rsidR="005407C4" w:rsidRPr="005407C4" w14:paraId="4D229C94" w14:textId="77777777" w:rsidTr="000540E0">
        <w:trPr>
          <w:jc w:val="center"/>
        </w:trPr>
        <w:tc>
          <w:tcPr>
            <w:tcW w:w="5000" w:type="pct"/>
            <w:gridSpan w:val="3"/>
            <w:shd w:val="clear" w:color="auto" w:fill="auto"/>
            <w:tcMar>
              <w:left w:w="85" w:type="dxa"/>
            </w:tcMar>
          </w:tcPr>
          <w:p w14:paraId="48C51E27" w14:textId="6673AD05" w:rsidR="00BC0659" w:rsidRPr="005407C4" w:rsidRDefault="002B3EE7" w:rsidP="00305715">
            <w:pPr>
              <w:pStyle w:val="Tabletextnormal9pt"/>
              <w:rPr>
                <w:rFonts w:eastAsiaTheme="minorEastAsia"/>
                <w:color w:val="000000" w:themeColor="text1"/>
              </w:rPr>
            </w:pPr>
            <w:r w:rsidRPr="005407C4">
              <w:rPr>
                <w:rFonts w:eastAsiaTheme="minorEastAsia"/>
                <w:color w:val="000000" w:themeColor="text1"/>
              </w:rPr>
              <w:t>Improved health and medical knowledge, including through funding research, translating research findings into evidence-based clinical practice, administering legislation governing research, issuing guidelines and advice for ethics in health and the promotion of public health</w:t>
            </w:r>
            <w:r w:rsidR="00365E69" w:rsidRPr="005407C4">
              <w:rPr>
                <w:rFonts w:eastAsiaTheme="minorEastAsia"/>
                <w:color w:val="000000" w:themeColor="text1"/>
              </w:rPr>
              <w:t>.</w:t>
            </w:r>
          </w:p>
        </w:tc>
      </w:tr>
      <w:tr w:rsidR="005407C4" w:rsidRPr="005407C4" w14:paraId="2A7C9BC7" w14:textId="77777777" w:rsidTr="000540E0">
        <w:trPr>
          <w:jc w:val="center"/>
        </w:trPr>
        <w:tc>
          <w:tcPr>
            <w:tcW w:w="5000" w:type="pct"/>
            <w:gridSpan w:val="3"/>
            <w:shd w:val="clear" w:color="auto" w:fill="D9D9D9" w:themeFill="background1" w:themeFillShade="D9"/>
            <w:tcMar>
              <w:left w:w="85" w:type="dxa"/>
            </w:tcMar>
          </w:tcPr>
          <w:p w14:paraId="43DDAE82" w14:textId="474F0A44" w:rsidR="00FD6A71" w:rsidRPr="005407C4" w:rsidRDefault="00BC0659" w:rsidP="0029200D">
            <w:pPr>
              <w:pStyle w:val="Tableheadingrow9pt"/>
              <w:rPr>
                <w:color w:val="000000" w:themeColor="text1"/>
              </w:rPr>
            </w:pPr>
            <w:r w:rsidRPr="005407C4">
              <w:rPr>
                <w:color w:val="000000" w:themeColor="text1"/>
              </w:rPr>
              <w:t xml:space="preserve">Program Objective – Program 1.1: </w:t>
            </w:r>
            <w:r w:rsidR="00365E69" w:rsidRPr="005407C4">
              <w:rPr>
                <w:color w:val="000000" w:themeColor="text1"/>
              </w:rPr>
              <w:t>Health and Medical Research</w:t>
            </w:r>
          </w:p>
        </w:tc>
      </w:tr>
      <w:tr w:rsidR="005407C4" w:rsidRPr="005407C4" w14:paraId="05E2CF5B" w14:textId="77777777" w:rsidTr="000540E0">
        <w:trPr>
          <w:jc w:val="center"/>
        </w:trPr>
        <w:tc>
          <w:tcPr>
            <w:tcW w:w="5000" w:type="pct"/>
            <w:gridSpan w:val="3"/>
            <w:shd w:val="clear" w:color="auto" w:fill="auto"/>
            <w:tcMar>
              <w:left w:w="85" w:type="dxa"/>
            </w:tcMar>
          </w:tcPr>
          <w:p w14:paraId="3B6373B6" w14:textId="77777777" w:rsidR="005F5856" w:rsidRPr="005407C4" w:rsidRDefault="005F5856" w:rsidP="005F5856">
            <w:pPr>
              <w:pStyle w:val="Tabletextnormal9pt"/>
              <w:rPr>
                <w:rFonts w:eastAsiaTheme="minorEastAsia"/>
                <w:color w:val="000000" w:themeColor="text1"/>
              </w:rPr>
            </w:pPr>
            <w:r w:rsidRPr="005407C4">
              <w:rPr>
                <w:rFonts w:eastAsiaTheme="minorEastAsia"/>
                <w:color w:val="000000" w:themeColor="text1"/>
              </w:rPr>
              <w:t xml:space="preserve">The Australian Government, through </w:t>
            </w:r>
            <w:r>
              <w:rPr>
                <w:rFonts w:eastAsiaTheme="minorEastAsia"/>
                <w:color w:val="000000" w:themeColor="text1"/>
              </w:rPr>
              <w:t>NHMRC, aims to:</w:t>
            </w:r>
          </w:p>
          <w:p w14:paraId="715ADE90" w14:textId="77777777" w:rsidR="005F5856" w:rsidRPr="00B171CC" w:rsidRDefault="005F5856" w:rsidP="005F5856">
            <w:pPr>
              <w:pStyle w:val="Tabletextnormal9pt"/>
              <w:numPr>
                <w:ilvl w:val="0"/>
                <w:numId w:val="6"/>
              </w:numPr>
              <w:ind w:left="284" w:hanging="284"/>
              <w:rPr>
                <w:rFonts w:eastAsiaTheme="minorEastAsia"/>
                <w:color w:val="000000" w:themeColor="text1"/>
              </w:rPr>
            </w:pPr>
            <w:r w:rsidRPr="00B171CC">
              <w:rPr>
                <w:rFonts w:eastAsiaTheme="minorEastAsia"/>
                <w:color w:val="000000" w:themeColor="text1"/>
              </w:rPr>
              <w:t>create knowledge and build research capability through investment in the highest quality health and medical research</w:t>
            </w:r>
            <w:r>
              <w:rPr>
                <w:rFonts w:eastAsiaTheme="minorEastAsia"/>
                <w:color w:val="000000" w:themeColor="text1"/>
              </w:rPr>
              <w:t>,</w:t>
            </w:r>
            <w:r w:rsidRPr="00B171CC">
              <w:rPr>
                <w:rFonts w:eastAsiaTheme="minorEastAsia"/>
                <w:color w:val="000000" w:themeColor="text1"/>
              </w:rPr>
              <w:t xml:space="preserve"> and the best researchers (Investment)</w:t>
            </w:r>
          </w:p>
          <w:p w14:paraId="46192529" w14:textId="77777777" w:rsidR="005F5856" w:rsidRPr="00B171CC" w:rsidRDefault="005F5856" w:rsidP="005F5856">
            <w:pPr>
              <w:pStyle w:val="Tabletextnormal9pt"/>
              <w:numPr>
                <w:ilvl w:val="0"/>
                <w:numId w:val="6"/>
              </w:numPr>
              <w:ind w:left="284" w:hanging="284"/>
              <w:rPr>
                <w:rFonts w:eastAsiaTheme="minorEastAsia"/>
                <w:color w:val="000000" w:themeColor="text1"/>
              </w:rPr>
            </w:pPr>
            <w:r w:rsidRPr="00B171CC">
              <w:rPr>
                <w:rFonts w:eastAsiaTheme="minorEastAsia"/>
                <w:color w:val="000000" w:themeColor="text1"/>
              </w:rPr>
              <w:t xml:space="preserve">drive the translation of health and medical research into </w:t>
            </w:r>
            <w:r>
              <w:rPr>
                <w:rFonts w:eastAsiaTheme="minorEastAsia"/>
                <w:color w:val="000000" w:themeColor="text1"/>
              </w:rPr>
              <w:t>public</w:t>
            </w:r>
            <w:r w:rsidRPr="00B171CC">
              <w:rPr>
                <w:rFonts w:eastAsiaTheme="minorEastAsia"/>
                <w:color w:val="000000" w:themeColor="text1"/>
              </w:rPr>
              <w:t xml:space="preserve"> policy</w:t>
            </w:r>
            <w:r>
              <w:rPr>
                <w:rFonts w:eastAsiaTheme="minorEastAsia"/>
                <w:color w:val="000000" w:themeColor="text1"/>
              </w:rPr>
              <w:t>,</w:t>
            </w:r>
            <w:r w:rsidRPr="00B171CC">
              <w:rPr>
                <w:rFonts w:eastAsiaTheme="minorEastAsia"/>
                <w:color w:val="000000" w:themeColor="text1"/>
              </w:rPr>
              <w:t xml:space="preserve"> health systems</w:t>
            </w:r>
            <w:r>
              <w:rPr>
                <w:rFonts w:eastAsiaTheme="minorEastAsia"/>
                <w:color w:val="000000" w:themeColor="text1"/>
              </w:rPr>
              <w:t xml:space="preserve"> and clinical practice,</w:t>
            </w:r>
            <w:r w:rsidRPr="00B171CC">
              <w:rPr>
                <w:rFonts w:eastAsiaTheme="minorEastAsia"/>
                <w:color w:val="000000" w:themeColor="text1"/>
              </w:rPr>
              <w:t xml:space="preserve"> and support the commercialisation of research discoveries (Translation)</w:t>
            </w:r>
          </w:p>
          <w:p w14:paraId="106B77E2" w14:textId="4DB370A2" w:rsidR="0097234D" w:rsidRPr="00AF4A43" w:rsidRDefault="005F5856" w:rsidP="005F5856">
            <w:pPr>
              <w:pStyle w:val="Tabletextnormal9pt"/>
              <w:numPr>
                <w:ilvl w:val="0"/>
                <w:numId w:val="6"/>
              </w:numPr>
              <w:ind w:left="284" w:hanging="284"/>
              <w:rPr>
                <w:rFonts w:eastAsiaTheme="minorEastAsia"/>
                <w:color w:val="000000" w:themeColor="text1"/>
              </w:rPr>
            </w:pPr>
            <w:r w:rsidRPr="00D6655E">
              <w:rPr>
                <w:rFonts w:eastAsiaTheme="minorEastAsia"/>
                <w:color w:val="000000" w:themeColor="text1"/>
              </w:rPr>
              <w:t>maintain a strong integrity framework underpinning rigorous and ethical research</w:t>
            </w:r>
            <w:r>
              <w:rPr>
                <w:rFonts w:eastAsiaTheme="minorEastAsia"/>
                <w:color w:val="000000" w:themeColor="text1"/>
              </w:rPr>
              <w:t>,</w:t>
            </w:r>
            <w:r w:rsidRPr="00D6655E">
              <w:rPr>
                <w:rFonts w:eastAsiaTheme="minorEastAsia"/>
                <w:color w:val="000000" w:themeColor="text1"/>
              </w:rPr>
              <w:t xml:space="preserve"> and promoting community trust (Integrity).</w:t>
            </w:r>
          </w:p>
        </w:tc>
      </w:tr>
      <w:tr w:rsidR="005407C4" w:rsidRPr="005407C4" w14:paraId="5C89BF08" w14:textId="77777777" w:rsidTr="000540E0">
        <w:trPr>
          <w:jc w:val="center"/>
        </w:trPr>
        <w:tc>
          <w:tcPr>
            <w:tcW w:w="5000" w:type="pct"/>
            <w:gridSpan w:val="3"/>
            <w:shd w:val="clear" w:color="auto" w:fill="D9D9D9" w:themeFill="background1" w:themeFillShade="D9"/>
            <w:tcMar>
              <w:left w:w="85" w:type="dxa"/>
            </w:tcMar>
            <w:vAlign w:val="center"/>
          </w:tcPr>
          <w:p w14:paraId="693976A6" w14:textId="3B3677B3" w:rsidR="00FD6A71" w:rsidRPr="00C01755" w:rsidRDefault="00CB6B50" w:rsidP="00C01755">
            <w:pPr>
              <w:pStyle w:val="Tableheadingrow9pt"/>
              <w:rPr>
                <w:color w:val="000000" w:themeColor="text1"/>
              </w:rPr>
            </w:pPr>
            <w:r>
              <w:rPr>
                <w:color w:val="000000" w:themeColor="text1"/>
              </w:rPr>
              <w:t>Key Activities</w:t>
            </w:r>
          </w:p>
        </w:tc>
      </w:tr>
      <w:tr w:rsidR="00BC0659" w:rsidRPr="005407C4" w14:paraId="3F5BC903" w14:textId="77777777" w:rsidTr="000540E0">
        <w:trPr>
          <w:trHeight w:val="2162"/>
          <w:jc w:val="center"/>
        </w:trPr>
        <w:tc>
          <w:tcPr>
            <w:tcW w:w="5000" w:type="pct"/>
            <w:gridSpan w:val="3"/>
            <w:tcBorders>
              <w:bottom w:val="single" w:sz="4" w:space="0" w:color="auto"/>
            </w:tcBorders>
            <w:shd w:val="clear" w:color="auto" w:fill="auto"/>
            <w:tcMar>
              <w:left w:w="85" w:type="dxa"/>
            </w:tcMar>
          </w:tcPr>
          <w:p w14:paraId="069DFCD3" w14:textId="1D4ED07A" w:rsidR="005F5856" w:rsidRPr="00DC038F" w:rsidRDefault="005F5856" w:rsidP="005F5856">
            <w:pPr>
              <w:pStyle w:val="ListParagraph"/>
              <w:numPr>
                <w:ilvl w:val="0"/>
                <w:numId w:val="17"/>
              </w:numPr>
              <w:spacing w:before="40" w:after="40"/>
              <w:ind w:left="284" w:hanging="284"/>
              <w:contextualSpacing w:val="0"/>
              <w:rPr>
                <w:rFonts w:ascii="Arial" w:hAnsi="Arial" w:cs="Arial"/>
                <w:sz w:val="18"/>
                <w:szCs w:val="18"/>
              </w:rPr>
            </w:pPr>
            <w:bookmarkStart w:id="7" w:name="_Toc488133322"/>
            <w:r w:rsidRPr="00DC038F">
              <w:rPr>
                <w:rFonts w:ascii="Arial" w:eastAsiaTheme="minorEastAsia" w:hAnsi="Arial" w:cs="Arial"/>
                <w:color w:val="auto"/>
                <w:sz w:val="18"/>
                <w:szCs w:val="18"/>
              </w:rPr>
              <w:t>Investment</w:t>
            </w:r>
            <w:r w:rsidRPr="00DC038F">
              <w:rPr>
                <w:rFonts w:ascii="Arial" w:eastAsiaTheme="minorEastAsia" w:hAnsi="Arial" w:cs="Arial"/>
                <w:color w:val="2E74B5" w:themeColor="accent1" w:themeShade="BF"/>
                <w:sz w:val="18"/>
                <w:szCs w:val="18"/>
              </w:rPr>
              <w:t>:</w:t>
            </w:r>
            <w:bookmarkEnd w:id="7"/>
          </w:p>
          <w:p w14:paraId="75F8D283" w14:textId="77777777" w:rsidR="005F5856" w:rsidRPr="00B25E1E" w:rsidRDefault="005F5856" w:rsidP="005F5856">
            <w:pPr>
              <w:pStyle w:val="ListParagraph"/>
              <w:numPr>
                <w:ilvl w:val="0"/>
                <w:numId w:val="16"/>
              </w:numPr>
              <w:spacing w:before="40" w:after="40" w:line="276" w:lineRule="auto"/>
              <w:ind w:left="567" w:hanging="284"/>
              <w:contextualSpacing w:val="0"/>
              <w:rPr>
                <w:rFonts w:ascii="Arial" w:hAnsi="Arial" w:cs="Arial"/>
                <w:sz w:val="18"/>
                <w:szCs w:val="18"/>
              </w:rPr>
            </w:pPr>
            <w:r>
              <w:rPr>
                <w:rFonts w:ascii="Arial" w:hAnsi="Arial" w:cs="Arial"/>
                <w:sz w:val="18"/>
                <w:szCs w:val="18"/>
              </w:rPr>
              <w:t>f</w:t>
            </w:r>
            <w:r w:rsidRPr="00B25E1E">
              <w:rPr>
                <w:rFonts w:ascii="Arial" w:hAnsi="Arial" w:cs="Arial"/>
                <w:sz w:val="18"/>
                <w:szCs w:val="18"/>
              </w:rPr>
              <w:t xml:space="preserve">und the best researchers and research </w:t>
            </w:r>
            <w:r>
              <w:rPr>
                <w:rFonts w:ascii="Arial" w:hAnsi="Arial" w:cs="Arial"/>
                <w:sz w:val="18"/>
                <w:szCs w:val="18"/>
              </w:rPr>
              <w:t>to meet</w:t>
            </w:r>
            <w:r w:rsidRPr="00B25E1E">
              <w:rPr>
                <w:rFonts w:ascii="Arial" w:hAnsi="Arial" w:cs="Arial"/>
                <w:sz w:val="18"/>
                <w:szCs w:val="18"/>
              </w:rPr>
              <w:t xml:space="preserve"> Australia</w:t>
            </w:r>
            <w:r>
              <w:rPr>
                <w:rFonts w:ascii="Arial" w:hAnsi="Arial" w:cs="Arial"/>
                <w:sz w:val="18"/>
                <w:szCs w:val="18"/>
              </w:rPr>
              <w:t>’s diverse</w:t>
            </w:r>
            <w:r w:rsidRPr="00B25E1E">
              <w:rPr>
                <w:rFonts w:ascii="Arial" w:hAnsi="Arial" w:cs="Arial"/>
                <w:sz w:val="18"/>
                <w:szCs w:val="18"/>
              </w:rPr>
              <w:t xml:space="preserve"> health and medical research needs</w:t>
            </w:r>
            <w:r>
              <w:rPr>
                <w:rFonts w:ascii="Arial" w:hAnsi="Arial" w:cs="Arial"/>
                <w:sz w:val="18"/>
                <w:szCs w:val="18"/>
              </w:rPr>
              <w:t>,</w:t>
            </w:r>
            <w:r w:rsidRPr="00B25E1E">
              <w:rPr>
                <w:rFonts w:ascii="Arial" w:hAnsi="Arial" w:cs="Arial"/>
                <w:sz w:val="18"/>
                <w:szCs w:val="18"/>
              </w:rPr>
              <w:t xml:space="preserve"> and invest in innovative and collaborative research projects</w:t>
            </w:r>
          </w:p>
          <w:p w14:paraId="65B0DDB4" w14:textId="59E778BF" w:rsidR="005F5856" w:rsidRDefault="005F5856" w:rsidP="005F5856">
            <w:pPr>
              <w:pStyle w:val="ListParagraph"/>
              <w:numPr>
                <w:ilvl w:val="0"/>
                <w:numId w:val="16"/>
              </w:numPr>
              <w:spacing w:before="40" w:after="40" w:line="276" w:lineRule="auto"/>
              <w:ind w:left="567" w:hanging="284"/>
              <w:contextualSpacing w:val="0"/>
              <w:rPr>
                <w:rFonts w:ascii="Arial" w:hAnsi="Arial" w:cs="Arial"/>
                <w:sz w:val="18"/>
                <w:szCs w:val="18"/>
              </w:rPr>
            </w:pPr>
            <w:r>
              <w:rPr>
                <w:rFonts w:ascii="Arial" w:hAnsi="Arial" w:cs="Arial"/>
                <w:sz w:val="18"/>
                <w:szCs w:val="18"/>
              </w:rPr>
              <w:t>f</w:t>
            </w:r>
            <w:r w:rsidRPr="00B25E1E">
              <w:rPr>
                <w:rFonts w:ascii="Arial" w:hAnsi="Arial" w:cs="Arial"/>
                <w:sz w:val="18"/>
                <w:szCs w:val="18"/>
              </w:rPr>
              <w:t xml:space="preserve">und research to improve health outcomes for </w:t>
            </w:r>
            <w:r w:rsidR="00F1786E">
              <w:rPr>
                <w:rFonts w:ascii="Arial" w:hAnsi="Arial" w:cs="Arial"/>
                <w:sz w:val="18"/>
                <w:szCs w:val="18"/>
              </w:rPr>
              <w:t xml:space="preserve">First Nations </w:t>
            </w:r>
            <w:r w:rsidR="000B09E6">
              <w:rPr>
                <w:rFonts w:ascii="Arial" w:hAnsi="Arial" w:cs="Arial"/>
                <w:sz w:val="18"/>
                <w:szCs w:val="18"/>
              </w:rPr>
              <w:t>Australians</w:t>
            </w:r>
            <w:r>
              <w:rPr>
                <w:rFonts w:ascii="Arial" w:hAnsi="Arial" w:cs="Arial"/>
                <w:sz w:val="18"/>
                <w:szCs w:val="18"/>
              </w:rPr>
              <w:t>,</w:t>
            </w:r>
            <w:r w:rsidRPr="00B25E1E">
              <w:rPr>
                <w:rFonts w:ascii="Arial" w:hAnsi="Arial" w:cs="Arial"/>
                <w:sz w:val="18"/>
                <w:szCs w:val="18"/>
              </w:rPr>
              <w:t xml:space="preserve"> and build and strengthen </w:t>
            </w:r>
            <w:r w:rsidR="000B09E6">
              <w:rPr>
                <w:rFonts w:ascii="Arial" w:hAnsi="Arial" w:cs="Arial"/>
                <w:sz w:val="18"/>
                <w:szCs w:val="18"/>
              </w:rPr>
              <w:t>Aboriginal and Torres Strait Islander</w:t>
            </w:r>
            <w:r w:rsidRPr="00B25E1E">
              <w:rPr>
                <w:rFonts w:ascii="Arial" w:hAnsi="Arial" w:cs="Arial"/>
                <w:sz w:val="18"/>
                <w:szCs w:val="18"/>
              </w:rPr>
              <w:t xml:space="preserve"> health researcher capacity.</w:t>
            </w:r>
          </w:p>
          <w:p w14:paraId="4D3634CE" w14:textId="77777777" w:rsidR="005F5856" w:rsidRPr="00B2588E" w:rsidRDefault="005F5856" w:rsidP="005F5856">
            <w:pPr>
              <w:pStyle w:val="ListParagraph"/>
              <w:widowControl w:val="0"/>
              <w:numPr>
                <w:ilvl w:val="0"/>
                <w:numId w:val="18"/>
              </w:numPr>
              <w:spacing w:before="40" w:after="40" w:line="276" w:lineRule="auto"/>
              <w:ind w:left="284" w:hanging="284"/>
              <w:rPr>
                <w:rFonts w:ascii="Arial" w:hAnsi="Arial" w:cs="Arial"/>
                <w:sz w:val="18"/>
                <w:szCs w:val="18"/>
              </w:rPr>
            </w:pPr>
            <w:r w:rsidRPr="00B2588E">
              <w:rPr>
                <w:rFonts w:ascii="Arial" w:hAnsi="Arial" w:cs="Arial"/>
                <w:sz w:val="18"/>
                <w:szCs w:val="18"/>
              </w:rPr>
              <w:t>Translation:</w:t>
            </w:r>
            <w:r w:rsidRPr="00B2588E">
              <w:rPr>
                <w:rFonts w:ascii="Arial" w:hAnsi="Arial" w:cs="Arial"/>
                <w:color w:val="auto"/>
                <w:sz w:val="18"/>
                <w:szCs w:val="18"/>
              </w:rPr>
              <w:t xml:space="preserve"> </w:t>
            </w:r>
          </w:p>
          <w:p w14:paraId="3394AAB0" w14:textId="5CC63B9B" w:rsidR="005F5856" w:rsidRPr="00B2588E" w:rsidRDefault="005F5856" w:rsidP="005F5856">
            <w:pPr>
              <w:pStyle w:val="ListParagraph"/>
              <w:widowControl w:val="0"/>
              <w:numPr>
                <w:ilvl w:val="0"/>
                <w:numId w:val="16"/>
              </w:numPr>
              <w:spacing w:before="40" w:after="40" w:line="276" w:lineRule="auto"/>
              <w:ind w:left="568" w:hanging="284"/>
              <w:rPr>
                <w:rFonts w:ascii="Arial" w:hAnsi="Arial" w:cs="Arial"/>
                <w:sz w:val="18"/>
                <w:szCs w:val="18"/>
              </w:rPr>
            </w:pPr>
            <w:r>
              <w:rPr>
                <w:rFonts w:ascii="Arial" w:hAnsi="Arial" w:cs="Arial"/>
                <w:sz w:val="18"/>
                <w:szCs w:val="18"/>
              </w:rPr>
              <w:t>d</w:t>
            </w:r>
            <w:r w:rsidRPr="00B25E1E">
              <w:rPr>
                <w:rFonts w:ascii="Arial" w:hAnsi="Arial" w:cs="Arial"/>
                <w:sz w:val="18"/>
                <w:szCs w:val="18"/>
              </w:rPr>
              <w:t xml:space="preserve">evelop and </w:t>
            </w:r>
            <w:r w:rsidR="00430169">
              <w:rPr>
                <w:rFonts w:ascii="Arial" w:hAnsi="Arial" w:cs="Arial"/>
                <w:sz w:val="18"/>
                <w:szCs w:val="18"/>
              </w:rPr>
              <w:t>update</w:t>
            </w:r>
            <w:r w:rsidRPr="00B25E1E">
              <w:rPr>
                <w:rFonts w:ascii="Arial" w:hAnsi="Arial" w:cs="Arial"/>
                <w:sz w:val="18"/>
                <w:szCs w:val="18"/>
              </w:rPr>
              <w:t xml:space="preserve"> guidelines in public and environmental health and clinical practice to support consistent standards</w:t>
            </w:r>
            <w:r>
              <w:rPr>
                <w:rFonts w:ascii="Arial" w:hAnsi="Arial" w:cs="Arial"/>
                <w:sz w:val="18"/>
                <w:szCs w:val="18"/>
              </w:rPr>
              <w:t xml:space="preserve"> and clinical, policy and regulatory decisions</w:t>
            </w:r>
          </w:p>
          <w:p w14:paraId="6964F255" w14:textId="7339CADD" w:rsidR="005F5856" w:rsidRPr="00B2588E" w:rsidRDefault="005F5856" w:rsidP="005F5856">
            <w:pPr>
              <w:pStyle w:val="ListParagraph"/>
              <w:widowControl w:val="0"/>
              <w:numPr>
                <w:ilvl w:val="0"/>
                <w:numId w:val="16"/>
              </w:numPr>
              <w:spacing w:before="40" w:after="40" w:line="276" w:lineRule="auto"/>
              <w:ind w:left="568" w:hanging="284"/>
              <w:rPr>
                <w:rFonts w:ascii="Arial" w:hAnsi="Arial" w:cs="Arial"/>
                <w:sz w:val="18"/>
                <w:szCs w:val="18"/>
              </w:rPr>
            </w:pPr>
            <w:r>
              <w:rPr>
                <w:rFonts w:ascii="Arial" w:hAnsi="Arial" w:cs="Arial"/>
                <w:sz w:val="18"/>
                <w:szCs w:val="18"/>
              </w:rPr>
              <w:t>d</w:t>
            </w:r>
            <w:r w:rsidRPr="00B2588E">
              <w:rPr>
                <w:rFonts w:ascii="Arial" w:hAnsi="Arial" w:cs="Arial"/>
                <w:sz w:val="18"/>
                <w:szCs w:val="18"/>
              </w:rPr>
              <w:t>rive translation of evidence into innovative and evidence-based health</w:t>
            </w:r>
            <w:r w:rsidR="00C01755">
              <w:rPr>
                <w:rFonts w:ascii="Arial" w:hAnsi="Arial" w:cs="Arial"/>
                <w:sz w:val="18"/>
                <w:szCs w:val="18"/>
              </w:rPr>
              <w:t xml:space="preserve"> care and public health policy.</w:t>
            </w:r>
          </w:p>
          <w:p w14:paraId="60B1A342" w14:textId="77777777" w:rsidR="005F5856" w:rsidRPr="00B4496F" w:rsidRDefault="005F5856" w:rsidP="007431FE">
            <w:pPr>
              <w:pStyle w:val="ListParagraph"/>
              <w:widowControl w:val="0"/>
              <w:numPr>
                <w:ilvl w:val="0"/>
                <w:numId w:val="18"/>
              </w:numPr>
              <w:spacing w:before="40" w:after="40" w:line="276" w:lineRule="auto"/>
              <w:ind w:left="284" w:hanging="284"/>
            </w:pPr>
            <w:r w:rsidRPr="007431FE">
              <w:rPr>
                <w:rFonts w:ascii="Arial" w:hAnsi="Arial" w:cs="Arial"/>
                <w:sz w:val="18"/>
                <w:szCs w:val="18"/>
              </w:rPr>
              <w:t>Integrity</w:t>
            </w:r>
            <w:r>
              <w:t>:</w:t>
            </w:r>
          </w:p>
          <w:p w14:paraId="19D108E6" w14:textId="77777777" w:rsidR="005F5856" w:rsidRPr="00B25E1E" w:rsidRDefault="005F5856" w:rsidP="005F5856">
            <w:pPr>
              <w:pStyle w:val="ListParagraph"/>
              <w:numPr>
                <w:ilvl w:val="0"/>
                <w:numId w:val="16"/>
              </w:numPr>
              <w:spacing w:before="40" w:after="40" w:line="276" w:lineRule="auto"/>
              <w:ind w:left="567" w:hanging="284"/>
              <w:rPr>
                <w:rFonts w:ascii="Arial" w:hAnsi="Arial" w:cs="Arial"/>
                <w:sz w:val="18"/>
                <w:szCs w:val="18"/>
              </w:rPr>
            </w:pPr>
            <w:r>
              <w:rPr>
                <w:rFonts w:ascii="Arial" w:hAnsi="Arial" w:cs="Arial"/>
                <w:sz w:val="18"/>
                <w:szCs w:val="18"/>
              </w:rPr>
              <w:t>p</w:t>
            </w:r>
            <w:r w:rsidRPr="00B25E1E">
              <w:rPr>
                <w:rFonts w:ascii="Arial" w:hAnsi="Arial" w:cs="Arial"/>
                <w:sz w:val="18"/>
                <w:szCs w:val="18"/>
              </w:rPr>
              <w:t>romote the highest standards of research quality and integrity, including</w:t>
            </w:r>
            <w:r>
              <w:rPr>
                <w:rFonts w:ascii="Arial" w:hAnsi="Arial" w:cs="Arial"/>
                <w:sz w:val="18"/>
                <w:szCs w:val="18"/>
              </w:rPr>
              <w:t xml:space="preserve"> engaging with the research sector on good practice and maintaining</w:t>
            </w:r>
            <w:r w:rsidRPr="00B25E1E">
              <w:rPr>
                <w:rFonts w:ascii="Arial" w:hAnsi="Arial" w:cs="Arial"/>
                <w:sz w:val="18"/>
                <w:szCs w:val="18"/>
              </w:rPr>
              <w:t xml:space="preserve"> key statements, codes and</w:t>
            </w:r>
            <w:r>
              <w:rPr>
                <w:rFonts w:ascii="Arial" w:hAnsi="Arial" w:cs="Arial"/>
                <w:sz w:val="18"/>
                <w:szCs w:val="18"/>
              </w:rPr>
              <w:t xml:space="preserve"> human research and ethics</w:t>
            </w:r>
            <w:r w:rsidRPr="00B25E1E">
              <w:rPr>
                <w:rFonts w:ascii="Arial" w:hAnsi="Arial" w:cs="Arial"/>
                <w:sz w:val="18"/>
                <w:szCs w:val="18"/>
              </w:rPr>
              <w:t xml:space="preserve"> guidelines</w:t>
            </w:r>
          </w:p>
          <w:p w14:paraId="31D7D038" w14:textId="09B4FEB2" w:rsidR="0097234D" w:rsidRPr="00E86610" w:rsidRDefault="00C01755" w:rsidP="005F5856">
            <w:pPr>
              <w:pStyle w:val="ListParagraph"/>
              <w:widowControl w:val="0"/>
              <w:numPr>
                <w:ilvl w:val="0"/>
                <w:numId w:val="16"/>
              </w:numPr>
              <w:spacing w:before="40" w:after="40" w:line="276" w:lineRule="auto"/>
              <w:ind w:left="567" w:hanging="284"/>
              <w:rPr>
                <w:rFonts w:ascii="Arial" w:hAnsi="Arial" w:cs="Arial"/>
                <w:sz w:val="18"/>
                <w:szCs w:val="18"/>
              </w:rPr>
            </w:pPr>
            <w:r>
              <w:rPr>
                <w:rFonts w:ascii="Arial" w:hAnsi="Arial" w:cs="Arial"/>
                <w:sz w:val="18"/>
                <w:szCs w:val="18"/>
              </w:rPr>
              <w:t>a</w:t>
            </w:r>
            <w:r w:rsidRPr="00B25E1E">
              <w:rPr>
                <w:rFonts w:ascii="Arial" w:hAnsi="Arial" w:cs="Arial"/>
                <w:sz w:val="18"/>
                <w:szCs w:val="18"/>
              </w:rPr>
              <w:t xml:space="preserve">dminister the </w:t>
            </w:r>
            <w:r w:rsidRPr="00B25E1E">
              <w:rPr>
                <w:rFonts w:ascii="Arial" w:hAnsi="Arial" w:cs="Arial"/>
                <w:i/>
                <w:sz w:val="18"/>
                <w:szCs w:val="18"/>
              </w:rPr>
              <w:t>Research Involving Human Embryos Act 2002</w:t>
            </w:r>
            <w:r w:rsidRPr="00B25E1E">
              <w:rPr>
                <w:rFonts w:ascii="Arial" w:hAnsi="Arial" w:cs="Arial"/>
                <w:sz w:val="18"/>
                <w:szCs w:val="18"/>
              </w:rPr>
              <w:t xml:space="preserve"> and the </w:t>
            </w:r>
            <w:r w:rsidRPr="00B25E1E">
              <w:rPr>
                <w:rFonts w:ascii="Arial" w:hAnsi="Arial" w:cs="Arial"/>
                <w:i/>
                <w:sz w:val="18"/>
                <w:szCs w:val="18"/>
              </w:rPr>
              <w:t>Prohibition of Human Cloning for Reproduction Act 2002</w:t>
            </w:r>
            <w:r w:rsidRPr="006C0B9C">
              <w:rPr>
                <w:rFonts w:ascii="Arial" w:hAnsi="Arial" w:cs="Arial"/>
                <w:sz w:val="18"/>
                <w:szCs w:val="18"/>
              </w:rPr>
              <w:t>, as amended by the</w:t>
            </w:r>
            <w:r>
              <w:rPr>
                <w:rFonts w:ascii="Arial" w:hAnsi="Arial" w:cs="Arial"/>
                <w:i/>
                <w:sz w:val="18"/>
                <w:szCs w:val="18"/>
              </w:rPr>
              <w:t xml:space="preserve"> </w:t>
            </w:r>
            <w:r w:rsidRPr="006C0B9C">
              <w:rPr>
                <w:rFonts w:ascii="Arial" w:hAnsi="Arial" w:cs="Arial"/>
                <w:i/>
                <w:sz w:val="18"/>
                <w:szCs w:val="18"/>
              </w:rPr>
              <w:t>Mitochondrial Donation Law Reform (Maeve’s Law) Act 2022</w:t>
            </w:r>
            <w:r>
              <w:rPr>
                <w:rFonts w:ascii="Arial" w:hAnsi="Arial" w:cs="Arial"/>
                <w:sz w:val="18"/>
                <w:szCs w:val="18"/>
              </w:rPr>
              <w:t xml:space="preserve">, </w:t>
            </w:r>
            <w:r w:rsidRPr="00B25E1E">
              <w:rPr>
                <w:rFonts w:ascii="Arial" w:hAnsi="Arial" w:cs="Arial"/>
                <w:sz w:val="18"/>
                <w:szCs w:val="18"/>
              </w:rPr>
              <w:t>through the work of the Embryo Research Licensing Committee.</w:t>
            </w:r>
          </w:p>
        </w:tc>
      </w:tr>
      <w:tr w:rsidR="005407C4" w:rsidRPr="005407C4" w14:paraId="0D385C88" w14:textId="77777777" w:rsidTr="000540E0">
        <w:trPr>
          <w:trHeight w:val="104"/>
          <w:tblHeader/>
          <w:jc w:val="center"/>
        </w:trPr>
        <w:tc>
          <w:tcPr>
            <w:tcW w:w="5000" w:type="pct"/>
            <w:gridSpan w:val="3"/>
            <w:shd w:val="clear" w:color="auto" w:fill="D9D9D9" w:themeFill="background1" w:themeFillShade="D9"/>
            <w:tcMar>
              <w:left w:w="85" w:type="dxa"/>
            </w:tcMar>
          </w:tcPr>
          <w:p w14:paraId="63389852" w14:textId="3D3953C2" w:rsidR="00603FA6" w:rsidRPr="005407C4" w:rsidRDefault="00BC0659" w:rsidP="005F5856">
            <w:pPr>
              <w:pStyle w:val="Tableheadingrow9pt"/>
              <w:keepNext/>
              <w:keepLines/>
              <w:pageBreakBefore/>
              <w:rPr>
                <w:color w:val="000000" w:themeColor="text1"/>
              </w:rPr>
            </w:pPr>
            <w:r w:rsidRPr="005407C4">
              <w:rPr>
                <w:color w:val="000000" w:themeColor="text1"/>
              </w:rPr>
              <w:lastRenderedPageBreak/>
              <w:t xml:space="preserve">Performance </w:t>
            </w:r>
            <w:r w:rsidR="00365E69" w:rsidRPr="005407C4">
              <w:rPr>
                <w:color w:val="000000" w:themeColor="text1"/>
              </w:rPr>
              <w:t>Measure</w:t>
            </w:r>
            <w:r w:rsidR="00652C15" w:rsidRPr="005407C4">
              <w:rPr>
                <w:color w:val="000000" w:themeColor="text1"/>
              </w:rPr>
              <w:t>s</w:t>
            </w:r>
          </w:p>
        </w:tc>
      </w:tr>
      <w:tr w:rsidR="005407C4" w:rsidRPr="005407C4" w14:paraId="002651FA" w14:textId="77777777" w:rsidTr="000540E0">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46427F9C" w14:textId="2649DF37" w:rsidR="00FD6A71" w:rsidRPr="00975C97" w:rsidRDefault="00365E69" w:rsidP="00CB6B50">
            <w:pPr>
              <w:pStyle w:val="Tableheadingrowmeasures85pt"/>
              <w:rPr>
                <w:color w:val="000000" w:themeColor="text1"/>
              </w:rPr>
            </w:pPr>
            <w:r w:rsidRPr="005407C4">
              <w:rPr>
                <w:color w:val="000000" w:themeColor="text1"/>
              </w:rPr>
              <w:t>Research grants in basic science, clinical medicine, public health and health services research meet the health needs of Australians, and include national, state and ter</w:t>
            </w:r>
            <w:r w:rsidR="00C01755">
              <w:rPr>
                <w:color w:val="000000" w:themeColor="text1"/>
              </w:rPr>
              <w:t>ritory and community priorities.</w:t>
            </w:r>
          </w:p>
        </w:tc>
      </w:tr>
      <w:tr w:rsidR="009F6D98" w:rsidRPr="005407C4" w14:paraId="6E8CB3FD" w14:textId="77777777" w:rsidTr="000540E0">
        <w:tblPrEx>
          <w:tblCellMar>
            <w:top w:w="0" w:type="dxa"/>
            <w:left w:w="108" w:type="dxa"/>
            <w:bottom w:w="0" w:type="dxa"/>
            <w:right w:w="108" w:type="dxa"/>
          </w:tblCellMar>
        </w:tblPrEx>
        <w:trPr>
          <w:trHeight w:val="283"/>
          <w:jc w:val="center"/>
        </w:trPr>
        <w:tc>
          <w:tcPr>
            <w:tcW w:w="1726" w:type="pct"/>
            <w:tcMar>
              <w:left w:w="85" w:type="dxa"/>
            </w:tcMar>
          </w:tcPr>
          <w:p w14:paraId="5923902D" w14:textId="4A6D37FB" w:rsidR="009F6D98" w:rsidRPr="00286E03" w:rsidRDefault="00FD6A71" w:rsidP="009F6D98">
            <w:pPr>
              <w:pStyle w:val="Tableheadingrowmeasures85pt"/>
              <w:keepNext/>
              <w:rPr>
                <w:color w:val="000000" w:themeColor="text1"/>
              </w:rPr>
            </w:pPr>
            <w:r>
              <w:t>Current Year</w:t>
            </w:r>
            <w:r>
              <w:br/>
              <w:t>2022</w:t>
            </w:r>
            <w:r w:rsidR="00205DCE">
              <w:t>–</w:t>
            </w:r>
            <w:r>
              <w:t>23</w:t>
            </w:r>
            <w:r w:rsidR="00205DCE" w:rsidRPr="00744C28">
              <w:t xml:space="preserve"> </w:t>
            </w:r>
            <w:r w:rsidR="00396667">
              <w:rPr>
                <w:color w:val="auto"/>
              </w:rPr>
              <w:t xml:space="preserve">Expected </w:t>
            </w:r>
            <w:r w:rsidR="00205DCE">
              <w:t>Performance Results</w:t>
            </w:r>
          </w:p>
        </w:tc>
        <w:tc>
          <w:tcPr>
            <w:tcW w:w="1633" w:type="pct"/>
            <w:shd w:val="clear" w:color="auto" w:fill="auto"/>
            <w:tcMar>
              <w:left w:w="85" w:type="dxa"/>
            </w:tcMar>
          </w:tcPr>
          <w:p w14:paraId="445EFC92" w14:textId="43C2F84B" w:rsidR="009F6D98" w:rsidRPr="00286E03" w:rsidRDefault="00FD6A71" w:rsidP="009F6D98">
            <w:pPr>
              <w:pStyle w:val="Tableheadingrowmeasures85pt"/>
              <w:keepNext/>
              <w:rPr>
                <w:color w:val="000000" w:themeColor="text1"/>
              </w:rPr>
            </w:pPr>
            <w:r>
              <w:t>Budget Year</w:t>
            </w:r>
            <w:r>
              <w:br/>
              <w:t>2023</w:t>
            </w:r>
            <w:r w:rsidR="008135AB">
              <w:t>–</w:t>
            </w:r>
            <w:r>
              <w:t>24</w:t>
            </w:r>
            <w:r w:rsidR="009F6D98">
              <w:t xml:space="preserve"> Planned Performance Results </w:t>
            </w:r>
          </w:p>
        </w:tc>
        <w:tc>
          <w:tcPr>
            <w:tcW w:w="1641" w:type="pct"/>
            <w:shd w:val="clear" w:color="auto" w:fill="auto"/>
            <w:tcMar>
              <w:left w:w="85" w:type="dxa"/>
            </w:tcMar>
          </w:tcPr>
          <w:p w14:paraId="0B0C3653" w14:textId="06E80E19" w:rsidR="009F6D98" w:rsidRPr="00286E03" w:rsidRDefault="009F6D98" w:rsidP="009F6D98">
            <w:pPr>
              <w:pStyle w:val="Tableheadingrowmeasures85pt"/>
              <w:keepNext/>
              <w:rPr>
                <w:color w:val="000000" w:themeColor="text1"/>
              </w:rPr>
            </w:pPr>
            <w:r>
              <w:t>Forward Estimates</w:t>
            </w:r>
            <w:r>
              <w:br/>
            </w:r>
            <w:r w:rsidR="00FD6A71">
              <w:t>2024</w:t>
            </w:r>
            <w:r w:rsidR="008135AB">
              <w:t>–</w:t>
            </w:r>
            <w:r w:rsidRPr="00C004D1">
              <w:t>2</w:t>
            </w:r>
            <w:r w:rsidR="00FD6A71">
              <w:t>7</w:t>
            </w:r>
            <w:r w:rsidRPr="00C004D1">
              <w:t xml:space="preserve"> </w:t>
            </w:r>
            <w:r>
              <w:t>Planned Performance Results</w:t>
            </w:r>
          </w:p>
        </w:tc>
      </w:tr>
      <w:tr w:rsidR="005407C4" w:rsidRPr="005407C4" w14:paraId="35DE0379" w14:textId="77777777" w:rsidTr="000540E0">
        <w:tblPrEx>
          <w:tblCellMar>
            <w:top w:w="0" w:type="dxa"/>
            <w:left w:w="108" w:type="dxa"/>
            <w:bottom w:w="0" w:type="dxa"/>
            <w:right w:w="108" w:type="dxa"/>
          </w:tblCellMar>
        </w:tblPrEx>
        <w:trPr>
          <w:trHeight w:val="283"/>
          <w:jc w:val="center"/>
        </w:trPr>
        <w:tc>
          <w:tcPr>
            <w:tcW w:w="1726" w:type="pct"/>
            <w:tcMar>
              <w:left w:w="85" w:type="dxa"/>
            </w:tcMar>
          </w:tcPr>
          <w:p w14:paraId="6BDFD65E" w14:textId="71BF6335" w:rsidR="00FD6A71" w:rsidRPr="00183A8A" w:rsidRDefault="00C01755" w:rsidP="00FD6A71">
            <w:pPr>
              <w:pStyle w:val="Tabletextmeasures85pt"/>
              <w:rPr>
                <w:color w:val="000000" w:themeColor="text1"/>
              </w:rPr>
            </w:pPr>
            <w:r>
              <w:rPr>
                <w:color w:val="000000" w:themeColor="text1"/>
              </w:rPr>
              <w:t>Grants were</w:t>
            </w:r>
            <w:r w:rsidR="00FD6A71" w:rsidRPr="005407C4">
              <w:rPr>
                <w:color w:val="000000" w:themeColor="text1"/>
              </w:rPr>
              <w:t xml:space="preserve"> awarded based on expert peer review across the full spectrum of health and medical research areas, and focus</w:t>
            </w:r>
            <w:r>
              <w:rPr>
                <w:color w:val="000000" w:themeColor="text1"/>
              </w:rPr>
              <w:t>ed</w:t>
            </w:r>
            <w:r w:rsidR="00FD6A71" w:rsidRPr="005407C4">
              <w:rPr>
                <w:color w:val="000000" w:themeColor="text1"/>
              </w:rPr>
              <w:t xml:space="preserve"> on achieving better health </w:t>
            </w:r>
            <w:r w:rsidR="00FD6A71" w:rsidRPr="00183A8A">
              <w:rPr>
                <w:color w:val="000000" w:themeColor="text1"/>
              </w:rPr>
              <w:t>outcomes.</w:t>
            </w:r>
          </w:p>
          <w:p w14:paraId="696D0CFB" w14:textId="07465D9B" w:rsidR="00BC0659" w:rsidRPr="005407C4" w:rsidRDefault="00205E35" w:rsidP="00FD6A71">
            <w:pPr>
              <w:pStyle w:val="Tabletextmeasures85pt"/>
              <w:rPr>
                <w:color w:val="000000" w:themeColor="text1"/>
              </w:rPr>
            </w:pPr>
            <w:r w:rsidRPr="00183A8A">
              <w:rPr>
                <w:color w:val="000000" w:themeColor="text1"/>
              </w:rPr>
              <w:t xml:space="preserve">More than 5% </w:t>
            </w:r>
            <w:r w:rsidR="00FD6A71" w:rsidRPr="00183A8A">
              <w:rPr>
                <w:color w:val="000000" w:themeColor="text1"/>
              </w:rPr>
              <w:t xml:space="preserve">of NHMRC’s annual </w:t>
            </w:r>
            <w:r w:rsidR="00C01755" w:rsidRPr="00183A8A">
              <w:rPr>
                <w:color w:val="000000" w:themeColor="text1"/>
              </w:rPr>
              <w:t xml:space="preserve">research grant budget was </w:t>
            </w:r>
            <w:r w:rsidR="00FD6A71" w:rsidRPr="00183A8A">
              <w:rPr>
                <w:color w:val="000000" w:themeColor="text1"/>
              </w:rPr>
              <w:t xml:space="preserve">expended/awarded on research that will provide better health outcomes for </w:t>
            </w:r>
            <w:r w:rsidR="000B09E6" w:rsidRPr="00183A8A">
              <w:rPr>
                <w:color w:val="000000" w:themeColor="text1"/>
              </w:rPr>
              <w:t>Aboriginal and Torres Strait Islander</w:t>
            </w:r>
            <w:r w:rsidR="00FD6A71" w:rsidRPr="00183A8A">
              <w:rPr>
                <w:color w:val="000000" w:themeColor="text1"/>
              </w:rPr>
              <w:t xml:space="preserve"> people.</w:t>
            </w:r>
            <w:r w:rsidRPr="00183A8A">
              <w:rPr>
                <w:rStyle w:val="FootnoteReference"/>
                <w:color w:val="000000" w:themeColor="text1"/>
              </w:rPr>
              <w:footnoteReference w:id="2"/>
            </w:r>
          </w:p>
        </w:tc>
        <w:tc>
          <w:tcPr>
            <w:tcW w:w="1633" w:type="pct"/>
            <w:shd w:val="clear" w:color="auto" w:fill="auto"/>
            <w:tcMar>
              <w:left w:w="85" w:type="dxa"/>
            </w:tcMar>
          </w:tcPr>
          <w:p w14:paraId="7F098EC9" w14:textId="77777777" w:rsidR="00C01755" w:rsidRPr="005407C4" w:rsidRDefault="00C01755" w:rsidP="00C01755">
            <w:pPr>
              <w:pStyle w:val="Tabletextmeasures85pt"/>
              <w:rPr>
                <w:color w:val="000000" w:themeColor="text1"/>
              </w:rPr>
            </w:pPr>
            <w:r w:rsidRPr="005407C4">
              <w:rPr>
                <w:color w:val="000000" w:themeColor="text1"/>
              </w:rPr>
              <w:t>Grants are awarded based on expert peer review across the full spectrum of health and medical research areas, and focus on achieving better health outcomes.</w:t>
            </w:r>
            <w:r w:rsidRPr="005407C4">
              <w:rPr>
                <w:color w:val="000000" w:themeColor="text1"/>
                <w:vertAlign w:val="superscript"/>
              </w:rPr>
              <w:footnoteReference w:id="3"/>
            </w:r>
          </w:p>
          <w:p w14:paraId="38C924DC" w14:textId="0774752C" w:rsidR="00365E69" w:rsidRPr="005407C4" w:rsidRDefault="00C01755" w:rsidP="00C01755">
            <w:pPr>
              <w:pStyle w:val="Tabletextmeasures85pt"/>
              <w:rPr>
                <w:color w:val="000000" w:themeColor="text1"/>
                <w:highlight w:val="yellow"/>
              </w:rPr>
            </w:pPr>
            <w:r w:rsidRPr="005407C4">
              <w:rPr>
                <w:color w:val="000000" w:themeColor="text1"/>
              </w:rPr>
              <w:t xml:space="preserve">More than 5% of NHMRC’s annual </w:t>
            </w:r>
            <w:r>
              <w:rPr>
                <w:color w:val="000000" w:themeColor="text1"/>
              </w:rPr>
              <w:t xml:space="preserve">research grant </w:t>
            </w:r>
            <w:r w:rsidRPr="005407C4">
              <w:rPr>
                <w:color w:val="000000" w:themeColor="text1"/>
              </w:rPr>
              <w:t xml:space="preserve">budget is expended/awarded on research that will provide better health outcomes for </w:t>
            </w:r>
            <w:r w:rsidR="000B09E6">
              <w:rPr>
                <w:color w:val="000000" w:themeColor="text1"/>
              </w:rPr>
              <w:t>Aboriginal and Torres Strait Islander</w:t>
            </w:r>
            <w:r w:rsidRPr="005407C4">
              <w:rPr>
                <w:color w:val="000000" w:themeColor="text1"/>
              </w:rPr>
              <w:t xml:space="preserve"> people.</w:t>
            </w:r>
          </w:p>
        </w:tc>
        <w:tc>
          <w:tcPr>
            <w:tcW w:w="1641" w:type="pct"/>
            <w:shd w:val="clear" w:color="auto" w:fill="auto"/>
            <w:tcMar>
              <w:left w:w="85" w:type="dxa"/>
            </w:tcMar>
          </w:tcPr>
          <w:p w14:paraId="1797CE9C" w14:textId="40219DCF" w:rsidR="00BC0659" w:rsidRPr="005407C4" w:rsidRDefault="00C01755" w:rsidP="00FD6A71">
            <w:pPr>
              <w:pStyle w:val="Tabletextmeasures85pt"/>
              <w:rPr>
                <w:color w:val="000000" w:themeColor="text1"/>
                <w:highlight w:val="yellow"/>
              </w:rPr>
            </w:pPr>
            <w:r w:rsidRPr="00C01755">
              <w:t>As per 2023–24.</w:t>
            </w:r>
          </w:p>
        </w:tc>
      </w:tr>
    </w:tbl>
    <w:p w14:paraId="4BD99443" w14:textId="77777777" w:rsidR="00C01755" w:rsidRDefault="00C01755">
      <w:r>
        <w:rPr>
          <w:b/>
        </w:rPr>
        <w:br w:type="page"/>
      </w:r>
    </w:p>
    <w:tbl>
      <w:tblPr>
        <w:tblStyle w:val="TableGrid"/>
        <w:tblW w:w="5034" w:type="pct"/>
        <w:jc w:val="center"/>
        <w:tblLayout w:type="fixed"/>
        <w:tblLook w:val="04A0" w:firstRow="1" w:lastRow="0" w:firstColumn="1" w:lastColumn="0" w:noHBand="0" w:noVBand="1"/>
        <w:tblCaption w:val="Table 2.1.2: Performance Measures for NHMRC"/>
        <w:tblDescription w:val="This table outlines NHMRC's Outcome 1 outcome statement, Program 1.1's objective and the key activities for Program 1.1. It also includes 2 performance measures for Program 1.1, with an expected performance result for 2021-22, and planned performance results for 2022-23 and the forward estimates&#10;"/>
      </w:tblPr>
      <w:tblGrid>
        <w:gridCol w:w="2558"/>
        <w:gridCol w:w="2420"/>
        <w:gridCol w:w="2432"/>
      </w:tblGrid>
      <w:tr w:rsidR="00811957" w:rsidRPr="00811957" w14:paraId="004141C2" w14:textId="77777777" w:rsidTr="000540E0">
        <w:trPr>
          <w:trHeight w:val="70"/>
          <w:jc w:val="center"/>
        </w:trPr>
        <w:tc>
          <w:tcPr>
            <w:tcW w:w="5000" w:type="pct"/>
            <w:gridSpan w:val="3"/>
            <w:shd w:val="clear" w:color="auto" w:fill="D9D9D9" w:themeFill="background1" w:themeFillShade="D9"/>
            <w:tcMar>
              <w:left w:w="85" w:type="dxa"/>
            </w:tcMar>
            <w:vAlign w:val="center"/>
          </w:tcPr>
          <w:p w14:paraId="213819C4" w14:textId="5A5A0E0B" w:rsidR="00FD6A71" w:rsidRPr="00C01755" w:rsidRDefault="00365E69" w:rsidP="00811957">
            <w:pPr>
              <w:pStyle w:val="Tableheadingrowmeasures85pt"/>
              <w:rPr>
                <w:color w:val="auto"/>
              </w:rPr>
            </w:pPr>
            <w:r w:rsidRPr="00811957">
              <w:rPr>
                <w:color w:val="auto"/>
              </w:rPr>
              <w:lastRenderedPageBreak/>
              <w:t>Support an Australian health system that is research-led, evidence-based, efficient and sustainable.</w:t>
            </w:r>
          </w:p>
        </w:tc>
      </w:tr>
      <w:tr w:rsidR="009F6D98" w:rsidRPr="005407C4" w14:paraId="2E096155" w14:textId="77777777" w:rsidTr="000540E0">
        <w:trPr>
          <w:trHeight w:val="283"/>
          <w:jc w:val="center"/>
        </w:trPr>
        <w:tc>
          <w:tcPr>
            <w:tcW w:w="1726" w:type="pct"/>
            <w:tcMar>
              <w:left w:w="85" w:type="dxa"/>
            </w:tcMar>
          </w:tcPr>
          <w:p w14:paraId="628462E0" w14:textId="30640B3F" w:rsidR="009F6D98" w:rsidRPr="00286E03" w:rsidRDefault="00657EB8" w:rsidP="009F6D98">
            <w:pPr>
              <w:pStyle w:val="Tableheadingrowmeasures85pt"/>
              <w:keepNext/>
              <w:rPr>
                <w:color w:val="000000" w:themeColor="text1"/>
              </w:rPr>
            </w:pPr>
            <w:r>
              <w:t>Current Year</w:t>
            </w:r>
            <w:r>
              <w:br/>
              <w:t>2022</w:t>
            </w:r>
            <w:r w:rsidR="00205DCE">
              <w:t>–</w:t>
            </w:r>
            <w:r>
              <w:t>23</w:t>
            </w:r>
            <w:r w:rsidR="00205DCE" w:rsidRPr="00744C28">
              <w:t xml:space="preserve"> </w:t>
            </w:r>
            <w:r w:rsidR="00396667">
              <w:rPr>
                <w:color w:val="auto"/>
              </w:rPr>
              <w:t xml:space="preserve">Expected </w:t>
            </w:r>
            <w:r w:rsidR="00205DCE">
              <w:t>Performance Results</w:t>
            </w:r>
          </w:p>
        </w:tc>
        <w:tc>
          <w:tcPr>
            <w:tcW w:w="1633" w:type="pct"/>
            <w:shd w:val="clear" w:color="auto" w:fill="auto"/>
            <w:tcMar>
              <w:left w:w="85" w:type="dxa"/>
            </w:tcMar>
          </w:tcPr>
          <w:p w14:paraId="0BD21C72" w14:textId="15D6A116" w:rsidR="009F6D98" w:rsidRPr="00286E03" w:rsidRDefault="00657EB8" w:rsidP="009F6D98">
            <w:pPr>
              <w:pStyle w:val="Tableheadingrowmeasures85pt"/>
              <w:keepNext/>
              <w:rPr>
                <w:color w:val="000000" w:themeColor="text1"/>
              </w:rPr>
            </w:pPr>
            <w:r>
              <w:t>Budget Year</w:t>
            </w:r>
            <w:r>
              <w:br/>
              <w:t>2023</w:t>
            </w:r>
            <w:r w:rsidR="008135AB">
              <w:t>–</w:t>
            </w:r>
            <w:r>
              <w:t>24</w:t>
            </w:r>
            <w:r w:rsidR="009F6D98">
              <w:t xml:space="preserve"> Planned Performance Results </w:t>
            </w:r>
          </w:p>
        </w:tc>
        <w:tc>
          <w:tcPr>
            <w:tcW w:w="1641" w:type="pct"/>
            <w:shd w:val="clear" w:color="auto" w:fill="auto"/>
            <w:tcMar>
              <w:left w:w="85" w:type="dxa"/>
            </w:tcMar>
          </w:tcPr>
          <w:p w14:paraId="169A06F3" w14:textId="5199512B" w:rsidR="009F6D98" w:rsidRPr="00286E03" w:rsidRDefault="009F6D98" w:rsidP="009F6D98">
            <w:pPr>
              <w:pStyle w:val="Tableheadingrowmeasures85pt"/>
              <w:keepNext/>
              <w:rPr>
                <w:color w:val="000000" w:themeColor="text1"/>
              </w:rPr>
            </w:pPr>
            <w:r>
              <w:t>Forward Estimates</w:t>
            </w:r>
            <w:r>
              <w:br/>
            </w:r>
            <w:r w:rsidR="00657EB8">
              <w:t>2024</w:t>
            </w:r>
            <w:r w:rsidR="008135AB">
              <w:t>–</w:t>
            </w:r>
            <w:r w:rsidRPr="00C004D1">
              <w:t>2</w:t>
            </w:r>
            <w:r w:rsidR="00657EB8">
              <w:t>7</w:t>
            </w:r>
            <w:r w:rsidRPr="00C004D1">
              <w:t xml:space="preserve"> </w:t>
            </w:r>
            <w:r>
              <w:t>Planned Performance Results</w:t>
            </w:r>
          </w:p>
        </w:tc>
      </w:tr>
      <w:tr w:rsidR="005407C4" w:rsidRPr="005407C4" w14:paraId="45C0EE69" w14:textId="77777777" w:rsidTr="000540E0">
        <w:trPr>
          <w:trHeight w:val="283"/>
          <w:jc w:val="center"/>
        </w:trPr>
        <w:tc>
          <w:tcPr>
            <w:tcW w:w="1726" w:type="pct"/>
            <w:tcMar>
              <w:left w:w="85" w:type="dxa"/>
            </w:tcMar>
          </w:tcPr>
          <w:p w14:paraId="6074B382" w14:textId="77777777" w:rsidR="00C01755" w:rsidRDefault="00C01755" w:rsidP="00C01755">
            <w:pPr>
              <w:pStyle w:val="Tabletextmeasures85pt"/>
              <w:rPr>
                <w:color w:val="000000" w:themeColor="text1"/>
              </w:rPr>
            </w:pPr>
            <w:r>
              <w:rPr>
                <w:color w:val="000000" w:themeColor="text1"/>
              </w:rPr>
              <w:t xml:space="preserve">NHMRC approved the following clinical practice guidelines developed by third parties: </w:t>
            </w:r>
          </w:p>
          <w:p w14:paraId="781761D5" w14:textId="77777777" w:rsidR="00C01755" w:rsidRDefault="00C01755" w:rsidP="00C01755">
            <w:pPr>
              <w:pStyle w:val="Tabletextmeasures85pt"/>
              <w:numPr>
                <w:ilvl w:val="0"/>
                <w:numId w:val="18"/>
              </w:numPr>
              <w:ind w:left="334" w:hanging="334"/>
              <w:rPr>
                <w:i/>
                <w:iCs/>
              </w:rPr>
            </w:pPr>
            <w:r>
              <w:rPr>
                <w:i/>
                <w:iCs/>
              </w:rPr>
              <w:t>Australian Evidence Based Clinical Practice Guideline for Attention Deficit Hyperactivity Disorder Guideline for Appropriate Use of Psychotropic Medications in Dementia and Residential Aged Care</w:t>
            </w:r>
          </w:p>
          <w:p w14:paraId="34111FE4" w14:textId="77777777" w:rsidR="00C01755" w:rsidRDefault="00C01755" w:rsidP="00C01755">
            <w:pPr>
              <w:pStyle w:val="Tabletextmeasures85pt"/>
              <w:numPr>
                <w:ilvl w:val="0"/>
                <w:numId w:val="18"/>
              </w:numPr>
              <w:ind w:left="334" w:hanging="334"/>
              <w:rPr>
                <w:i/>
                <w:iCs/>
              </w:rPr>
            </w:pPr>
            <w:r>
              <w:rPr>
                <w:i/>
                <w:iCs/>
              </w:rPr>
              <w:t>National Guideline for Supporting the Learning, Participation and Wellbeing of Autistic Children and Their Families in Australia</w:t>
            </w:r>
          </w:p>
          <w:p w14:paraId="10013CE1" w14:textId="77777777" w:rsidR="00C01755" w:rsidRDefault="00C01755" w:rsidP="00C01755">
            <w:pPr>
              <w:pStyle w:val="Tabletextmeasures85pt"/>
              <w:numPr>
                <w:ilvl w:val="0"/>
                <w:numId w:val="18"/>
              </w:numPr>
              <w:ind w:left="334" w:hanging="334"/>
              <w:rPr>
                <w:i/>
                <w:iCs/>
              </w:rPr>
            </w:pPr>
            <w:r>
              <w:rPr>
                <w:i/>
                <w:iCs/>
              </w:rPr>
              <w:t>Evidence-Based Guideline for Deprescribing Opioid Analgesics</w:t>
            </w:r>
          </w:p>
          <w:p w14:paraId="1A894F6B" w14:textId="6DEC3CAB" w:rsidR="00C01755" w:rsidRDefault="00C01755" w:rsidP="00C01755">
            <w:pPr>
              <w:pStyle w:val="Tabletextmeasures85pt"/>
              <w:numPr>
                <w:ilvl w:val="0"/>
                <w:numId w:val="18"/>
              </w:numPr>
              <w:ind w:left="334" w:hanging="334"/>
              <w:rPr>
                <w:i/>
                <w:iCs/>
              </w:rPr>
            </w:pPr>
            <w:r>
              <w:rPr>
                <w:i/>
                <w:iCs/>
              </w:rPr>
              <w:t>Mental health care in the perinatal period Australian clinical practice guideline</w:t>
            </w:r>
          </w:p>
          <w:p w14:paraId="20B880E2" w14:textId="575DA865" w:rsidR="00C01755" w:rsidRDefault="00C01755" w:rsidP="00C01755">
            <w:pPr>
              <w:pStyle w:val="Tabletextmeasures85pt"/>
              <w:numPr>
                <w:ilvl w:val="0"/>
                <w:numId w:val="18"/>
              </w:numPr>
              <w:ind w:left="334" w:hanging="334"/>
            </w:pPr>
            <w:r>
              <w:rPr>
                <w:i/>
                <w:iCs/>
              </w:rPr>
              <w:t xml:space="preserve">Clinical Guidelines for Hepatocellular Carcinoma Surveillance for </w:t>
            </w:r>
            <w:r w:rsidR="00EE4D7A">
              <w:rPr>
                <w:i/>
                <w:iCs/>
              </w:rPr>
              <w:t>High-Risk Patients in Australia</w:t>
            </w:r>
          </w:p>
          <w:p w14:paraId="1012598C" w14:textId="77777777" w:rsidR="00C01755" w:rsidRDefault="00C01755" w:rsidP="00C01755">
            <w:pPr>
              <w:pStyle w:val="Tabletextmeasures85pt"/>
              <w:numPr>
                <w:ilvl w:val="0"/>
                <w:numId w:val="18"/>
              </w:numPr>
              <w:ind w:left="334" w:hanging="334"/>
            </w:pPr>
            <w:r>
              <w:rPr>
                <w:i/>
                <w:iCs/>
              </w:rPr>
              <w:t>Australian guidelines for the clinical care of people with COVID-19</w:t>
            </w:r>
            <w:r>
              <w:t xml:space="preserve"> (update to living guideline)</w:t>
            </w:r>
          </w:p>
          <w:p w14:paraId="2B0206EF" w14:textId="77777777" w:rsidR="00C01755" w:rsidRDefault="00C01755" w:rsidP="00C01755">
            <w:pPr>
              <w:pStyle w:val="Tabletextmeasures85pt"/>
              <w:numPr>
                <w:ilvl w:val="0"/>
                <w:numId w:val="18"/>
              </w:numPr>
              <w:ind w:left="334" w:hanging="334"/>
            </w:pPr>
            <w:r>
              <w:rPr>
                <w:i/>
                <w:iCs/>
              </w:rPr>
              <w:t>Clinical guidelines for stroke management</w:t>
            </w:r>
            <w:r>
              <w:t xml:space="preserve"> (update to living guideline)</w:t>
            </w:r>
          </w:p>
          <w:p w14:paraId="07D0C5B6" w14:textId="77777777" w:rsidR="00C01755" w:rsidRDefault="00C01755" w:rsidP="00C01755">
            <w:pPr>
              <w:pStyle w:val="Tabletextmeasures85pt"/>
              <w:numPr>
                <w:ilvl w:val="0"/>
                <w:numId w:val="18"/>
              </w:numPr>
              <w:spacing w:after="0"/>
              <w:ind w:left="334" w:hanging="334"/>
              <w:rPr>
                <w:i/>
                <w:iCs/>
              </w:rPr>
            </w:pPr>
            <w:r>
              <w:rPr>
                <w:i/>
                <w:iCs/>
              </w:rPr>
              <w:t xml:space="preserve">Australian Immunisation Handbook </w:t>
            </w:r>
            <w:r>
              <w:t>(update to living guideline)</w:t>
            </w:r>
          </w:p>
          <w:p w14:paraId="4E2B849E" w14:textId="3C3ACFEA" w:rsidR="00BC0659" w:rsidRPr="00C01755" w:rsidRDefault="00C01755" w:rsidP="00657EB8">
            <w:pPr>
              <w:pStyle w:val="Tabletextmeasures85pt"/>
              <w:numPr>
                <w:ilvl w:val="0"/>
                <w:numId w:val="18"/>
              </w:numPr>
              <w:spacing w:after="0"/>
              <w:ind w:left="334" w:hanging="334"/>
              <w:rPr>
                <w:color w:val="000000" w:themeColor="text1"/>
              </w:rPr>
            </w:pPr>
            <w:r w:rsidRPr="00F847F8">
              <w:rPr>
                <w:i/>
                <w:iCs/>
              </w:rPr>
              <w:t>Australian Living Guideline for the Pharmacological Management of Inflammatory Arthritis (update)</w:t>
            </w:r>
            <w:r w:rsidR="009E789F">
              <w:rPr>
                <w:i/>
                <w:iCs/>
              </w:rPr>
              <w:t>.</w:t>
            </w:r>
            <w:r w:rsidRPr="00F847F8">
              <w:rPr>
                <w:i/>
                <w:iCs/>
              </w:rPr>
              <w:t xml:space="preserve"> </w:t>
            </w:r>
          </w:p>
        </w:tc>
        <w:tc>
          <w:tcPr>
            <w:tcW w:w="1633" w:type="pct"/>
            <w:shd w:val="clear" w:color="auto" w:fill="auto"/>
            <w:tcMar>
              <w:left w:w="85" w:type="dxa"/>
            </w:tcMar>
          </w:tcPr>
          <w:p w14:paraId="61F20E96" w14:textId="106C9BA2" w:rsidR="00B4550F" w:rsidRPr="00B4550F" w:rsidRDefault="00C01755" w:rsidP="00260A26">
            <w:pPr>
              <w:pStyle w:val="Tabletextmeasures85pt"/>
              <w:rPr>
                <w:color w:val="000000" w:themeColor="text1"/>
              </w:rPr>
            </w:pPr>
            <w:r w:rsidRPr="005407C4">
              <w:rPr>
                <w:color w:val="000000" w:themeColor="text1"/>
              </w:rPr>
              <w:t>Develop and/or approv</w:t>
            </w:r>
            <w:r>
              <w:rPr>
                <w:color w:val="000000" w:themeColor="text1"/>
              </w:rPr>
              <w:t>e</w:t>
            </w:r>
            <w:r w:rsidRPr="005407C4">
              <w:rPr>
                <w:color w:val="000000" w:themeColor="text1"/>
              </w:rPr>
              <w:t xml:space="preserve"> public and environmental health and clinical practice guidelines.</w:t>
            </w:r>
          </w:p>
        </w:tc>
        <w:tc>
          <w:tcPr>
            <w:tcW w:w="1641" w:type="pct"/>
            <w:shd w:val="clear" w:color="auto" w:fill="auto"/>
            <w:tcMar>
              <w:left w:w="85" w:type="dxa"/>
            </w:tcMar>
          </w:tcPr>
          <w:p w14:paraId="1E267E1D" w14:textId="24EA1252" w:rsidR="00BC0659" w:rsidRPr="005407C4" w:rsidRDefault="00C01755" w:rsidP="00657EB8">
            <w:pPr>
              <w:pStyle w:val="Tabletextmeasures85pt"/>
              <w:rPr>
                <w:color w:val="000000" w:themeColor="text1"/>
                <w:highlight w:val="yellow"/>
              </w:rPr>
            </w:pPr>
            <w:r w:rsidRPr="00C01755">
              <w:t>As per 2023–24.</w:t>
            </w:r>
          </w:p>
        </w:tc>
      </w:tr>
    </w:tbl>
    <w:p w14:paraId="4E1A158B" w14:textId="77777777" w:rsidR="00C01755" w:rsidRDefault="00C01755">
      <w:r>
        <w:br w:type="page"/>
      </w:r>
    </w:p>
    <w:tbl>
      <w:tblPr>
        <w:tblStyle w:val="TableGrid"/>
        <w:tblW w:w="5019" w:type="pct"/>
        <w:jc w:val="center"/>
        <w:tblLayout w:type="fixed"/>
        <w:tblLook w:val="04A0" w:firstRow="1" w:lastRow="0" w:firstColumn="1" w:lastColumn="0" w:noHBand="0" w:noVBand="1"/>
        <w:tblCaption w:val="Table 2.1.2: Performance Measures for NHMRC"/>
        <w:tblDescription w:val="This table outlines NHMRC's Outcome 1 outcome statement, Program 1.1's objective and the key activities for Program 1.1. It also includes 2 performance measures for Program 1.1, with an expected performance result for 2021-22, and planned performance results for 2022-23 and the forward estimates&#10;"/>
      </w:tblPr>
      <w:tblGrid>
        <w:gridCol w:w="2551"/>
        <w:gridCol w:w="2411"/>
        <w:gridCol w:w="2426"/>
      </w:tblGrid>
      <w:tr w:rsidR="005407C4" w:rsidRPr="005407C4" w14:paraId="76C16CCA" w14:textId="77777777" w:rsidTr="00C01755">
        <w:trPr>
          <w:trHeight w:val="283"/>
          <w:jc w:val="center"/>
        </w:trPr>
        <w:tc>
          <w:tcPr>
            <w:tcW w:w="5000" w:type="pct"/>
            <w:gridSpan w:val="3"/>
            <w:shd w:val="clear" w:color="auto" w:fill="D9D9D9" w:themeFill="background1" w:themeFillShade="D9"/>
            <w:tcMar>
              <w:left w:w="85" w:type="dxa"/>
            </w:tcMar>
          </w:tcPr>
          <w:p w14:paraId="1586FDC0" w14:textId="7482B710" w:rsidR="00FD6A71" w:rsidRPr="005407C4" w:rsidRDefault="00C32CB8" w:rsidP="00CB6B50">
            <w:pPr>
              <w:pStyle w:val="Tabletextmeasures85pt"/>
              <w:rPr>
                <w:b/>
                <w:color w:val="000000" w:themeColor="text1"/>
                <w:lang w:eastAsia="en-US"/>
              </w:rPr>
            </w:pPr>
            <w:r>
              <w:lastRenderedPageBreak/>
              <w:br w:type="page"/>
            </w:r>
            <w:r w:rsidR="000540E0">
              <w:rPr>
                <w:b/>
                <w:color w:val="000000" w:themeColor="text1"/>
                <w:lang w:eastAsia="en-US"/>
              </w:rPr>
              <w:t>Research is conducted responsibly, ethically and with integrity in Australia.</w:t>
            </w:r>
          </w:p>
        </w:tc>
      </w:tr>
      <w:tr w:rsidR="009F6D98" w:rsidRPr="005407C4" w14:paraId="4BDABED7" w14:textId="77777777" w:rsidTr="00C01755">
        <w:trPr>
          <w:trHeight w:val="283"/>
          <w:jc w:val="center"/>
        </w:trPr>
        <w:tc>
          <w:tcPr>
            <w:tcW w:w="1726" w:type="pct"/>
            <w:tcMar>
              <w:left w:w="85" w:type="dxa"/>
            </w:tcMar>
          </w:tcPr>
          <w:p w14:paraId="75776A81" w14:textId="58B4B6DC" w:rsidR="009F6D98" w:rsidRPr="00286E03" w:rsidRDefault="00657EB8" w:rsidP="009F6D98">
            <w:pPr>
              <w:pStyle w:val="Tableheadingrowmeasures85pt"/>
              <w:keepNext/>
              <w:rPr>
                <w:color w:val="000000" w:themeColor="text1"/>
              </w:rPr>
            </w:pPr>
            <w:r>
              <w:t>Current Year</w:t>
            </w:r>
            <w:r>
              <w:br/>
              <w:t>2022</w:t>
            </w:r>
            <w:r w:rsidR="00205DCE">
              <w:t>–</w:t>
            </w:r>
            <w:r>
              <w:t>23</w:t>
            </w:r>
            <w:r w:rsidR="00205DCE" w:rsidRPr="00744C28">
              <w:t xml:space="preserve"> </w:t>
            </w:r>
            <w:r w:rsidR="00396667">
              <w:rPr>
                <w:color w:val="auto"/>
              </w:rPr>
              <w:t xml:space="preserve">Expected </w:t>
            </w:r>
            <w:r w:rsidR="00205DCE">
              <w:t>Performance Results</w:t>
            </w:r>
          </w:p>
        </w:tc>
        <w:tc>
          <w:tcPr>
            <w:tcW w:w="1632" w:type="pct"/>
            <w:shd w:val="clear" w:color="auto" w:fill="auto"/>
            <w:tcMar>
              <w:left w:w="85" w:type="dxa"/>
            </w:tcMar>
          </w:tcPr>
          <w:p w14:paraId="013DD113" w14:textId="00EF3F55" w:rsidR="009F6D98" w:rsidRPr="00286E03" w:rsidRDefault="00657EB8" w:rsidP="009F6D98">
            <w:pPr>
              <w:pStyle w:val="Tableheadingrowmeasures85pt"/>
              <w:keepNext/>
              <w:rPr>
                <w:color w:val="000000" w:themeColor="text1"/>
              </w:rPr>
            </w:pPr>
            <w:r>
              <w:t>Budget Year</w:t>
            </w:r>
            <w:r>
              <w:br/>
              <w:t>2023</w:t>
            </w:r>
            <w:r w:rsidR="008135AB">
              <w:t>–</w:t>
            </w:r>
            <w:r>
              <w:t>24</w:t>
            </w:r>
            <w:r w:rsidR="009F6D98">
              <w:t xml:space="preserve"> Planned Performance Results </w:t>
            </w:r>
          </w:p>
        </w:tc>
        <w:tc>
          <w:tcPr>
            <w:tcW w:w="1641" w:type="pct"/>
            <w:shd w:val="clear" w:color="auto" w:fill="auto"/>
            <w:tcMar>
              <w:left w:w="85" w:type="dxa"/>
            </w:tcMar>
          </w:tcPr>
          <w:p w14:paraId="3B8A8345" w14:textId="35C2F9DE" w:rsidR="009F6D98" w:rsidRPr="00286E03" w:rsidRDefault="009F6D98" w:rsidP="008135AB">
            <w:pPr>
              <w:pStyle w:val="Tableheadingrowmeasures85pt"/>
              <w:keepNext/>
              <w:rPr>
                <w:color w:val="000000" w:themeColor="text1"/>
              </w:rPr>
            </w:pPr>
            <w:r>
              <w:t>Forward Estimates</w:t>
            </w:r>
            <w:r>
              <w:br/>
            </w:r>
            <w:r w:rsidR="00657EB8">
              <w:t>2024</w:t>
            </w:r>
            <w:r w:rsidR="008135AB">
              <w:t>–</w:t>
            </w:r>
            <w:r w:rsidRPr="00C004D1">
              <w:t>2</w:t>
            </w:r>
            <w:r w:rsidR="00657EB8">
              <w:t>7</w:t>
            </w:r>
            <w:r w:rsidRPr="00C004D1">
              <w:t xml:space="preserve"> </w:t>
            </w:r>
            <w:r>
              <w:t>Planned Performance Results</w:t>
            </w:r>
          </w:p>
        </w:tc>
      </w:tr>
      <w:tr w:rsidR="005407C4" w:rsidRPr="005407C4" w14:paraId="47307E90" w14:textId="77777777" w:rsidTr="00C01755">
        <w:trPr>
          <w:trHeight w:val="283"/>
          <w:jc w:val="center"/>
        </w:trPr>
        <w:tc>
          <w:tcPr>
            <w:tcW w:w="1726" w:type="pct"/>
            <w:tcMar>
              <w:left w:w="85" w:type="dxa"/>
            </w:tcMar>
          </w:tcPr>
          <w:p w14:paraId="7AB98978" w14:textId="79442534" w:rsidR="00A26359" w:rsidRPr="005407C4" w:rsidRDefault="00C01755" w:rsidP="008A3529">
            <w:pPr>
              <w:pStyle w:val="Tabletextmeasures85pt"/>
              <w:rPr>
                <w:color w:val="000000" w:themeColor="text1"/>
              </w:rPr>
            </w:pPr>
            <w:r>
              <w:rPr>
                <w:color w:val="000000" w:themeColor="text1"/>
              </w:rPr>
              <w:t>Results of the 202</w:t>
            </w:r>
            <w:r w:rsidR="008A3529">
              <w:rPr>
                <w:color w:val="000000" w:themeColor="text1"/>
              </w:rPr>
              <w:t>1</w:t>
            </w:r>
            <w:r>
              <w:rPr>
                <w:color w:val="000000" w:themeColor="text1"/>
              </w:rPr>
              <w:t xml:space="preserve"> Institutional Annual Compliance Report demonstrate </w:t>
            </w:r>
            <w:r w:rsidRPr="00183A8A">
              <w:rPr>
                <w:color w:val="000000" w:themeColor="text1"/>
              </w:rPr>
              <w:t xml:space="preserve">that </w:t>
            </w:r>
            <w:r w:rsidR="008A3529" w:rsidRPr="00183A8A">
              <w:rPr>
                <w:color w:val="000000" w:themeColor="text1"/>
              </w:rPr>
              <w:t>99%</w:t>
            </w:r>
            <w:r w:rsidRPr="00183A8A">
              <w:rPr>
                <w:color w:val="000000" w:themeColor="text1"/>
              </w:rPr>
              <w:t xml:space="preserve"> of </w:t>
            </w:r>
            <w:r w:rsidR="00C407A3" w:rsidRPr="00183A8A">
              <w:rPr>
                <w:color w:val="000000" w:themeColor="text1"/>
              </w:rPr>
              <w:t>institutions</w:t>
            </w:r>
            <w:r w:rsidRPr="00183A8A">
              <w:rPr>
                <w:color w:val="000000" w:themeColor="text1"/>
              </w:rPr>
              <w:t xml:space="preserve"> that administer</w:t>
            </w:r>
            <w:r>
              <w:rPr>
                <w:color w:val="000000" w:themeColor="text1"/>
              </w:rPr>
              <w:t xml:space="preserve"> NHMRC funds have implemented </w:t>
            </w:r>
            <w:r w:rsidRPr="005407C4">
              <w:rPr>
                <w:color w:val="000000" w:themeColor="text1"/>
              </w:rPr>
              <w:t xml:space="preserve">the </w:t>
            </w:r>
            <w:r w:rsidRPr="003D1765">
              <w:rPr>
                <w:i/>
                <w:color w:val="000000" w:themeColor="text1"/>
              </w:rPr>
              <w:t>Australian Code</w:t>
            </w:r>
            <w:r w:rsidRPr="001B2261">
              <w:rPr>
                <w:i/>
                <w:color w:val="000000" w:themeColor="text1"/>
                <w:lang w:eastAsia="en-US"/>
              </w:rPr>
              <w:t xml:space="preserve"> for the Responsible Conduct of Research</w:t>
            </w:r>
            <w:r w:rsidRPr="005407C4">
              <w:rPr>
                <w:color w:val="000000" w:themeColor="text1"/>
              </w:rPr>
              <w:t>.</w:t>
            </w:r>
          </w:p>
        </w:tc>
        <w:tc>
          <w:tcPr>
            <w:tcW w:w="1632" w:type="pct"/>
            <w:shd w:val="clear" w:color="auto" w:fill="auto"/>
            <w:tcMar>
              <w:left w:w="85" w:type="dxa"/>
            </w:tcMar>
          </w:tcPr>
          <w:p w14:paraId="3ADBC3DE" w14:textId="3EDA1CBC" w:rsidR="00365E69" w:rsidRPr="005407C4" w:rsidRDefault="00C01755" w:rsidP="00657EB8">
            <w:pPr>
              <w:pStyle w:val="Tabletextmeasures85pt"/>
              <w:rPr>
                <w:color w:val="000000" w:themeColor="text1"/>
              </w:rPr>
            </w:pPr>
            <w:r w:rsidRPr="005407C4">
              <w:rPr>
                <w:color w:val="000000" w:themeColor="text1"/>
              </w:rPr>
              <w:t xml:space="preserve">Research integrity matters are managed appropriately by administering institutions in line with the requirements of the </w:t>
            </w:r>
            <w:r w:rsidRPr="003D1765">
              <w:rPr>
                <w:i/>
                <w:color w:val="000000" w:themeColor="text1"/>
              </w:rPr>
              <w:t>Australian Code</w:t>
            </w:r>
            <w:r w:rsidRPr="001B2261">
              <w:rPr>
                <w:i/>
                <w:color w:val="000000" w:themeColor="text1"/>
                <w:lang w:eastAsia="en-US"/>
              </w:rPr>
              <w:t xml:space="preserve"> for the Responsible Conduct of Research</w:t>
            </w:r>
            <w:r w:rsidRPr="005407C4">
              <w:rPr>
                <w:color w:val="000000" w:themeColor="text1"/>
              </w:rPr>
              <w:t>.</w:t>
            </w:r>
          </w:p>
        </w:tc>
        <w:tc>
          <w:tcPr>
            <w:tcW w:w="1641" w:type="pct"/>
            <w:shd w:val="clear" w:color="auto" w:fill="auto"/>
            <w:tcMar>
              <w:left w:w="85" w:type="dxa"/>
            </w:tcMar>
          </w:tcPr>
          <w:p w14:paraId="1BF5FE7B" w14:textId="4783ADD7" w:rsidR="00365E69" w:rsidRPr="005407C4" w:rsidRDefault="00C01755" w:rsidP="00657EB8">
            <w:pPr>
              <w:pStyle w:val="Tabletextmeasures85pt"/>
              <w:rPr>
                <w:color w:val="000000" w:themeColor="text1"/>
              </w:rPr>
            </w:pPr>
            <w:r>
              <w:t>As per 2023–24.</w:t>
            </w:r>
          </w:p>
        </w:tc>
      </w:tr>
      <w:tr w:rsidR="00657EB8" w:rsidRPr="005407C4" w14:paraId="15F8A3FE" w14:textId="77777777" w:rsidTr="00C01755">
        <w:trPr>
          <w:trHeight w:val="283"/>
          <w:jc w:val="center"/>
        </w:trPr>
        <w:tc>
          <w:tcPr>
            <w:tcW w:w="5000" w:type="pct"/>
            <w:gridSpan w:val="3"/>
            <w:shd w:val="clear" w:color="auto" w:fill="FFFFFF" w:themeFill="background1"/>
            <w:tcMar>
              <w:left w:w="85" w:type="dxa"/>
            </w:tcMar>
            <w:vAlign w:val="center"/>
          </w:tcPr>
          <w:p w14:paraId="09EC3032" w14:textId="77777777" w:rsidR="00657EB8" w:rsidRPr="00B92555" w:rsidRDefault="00657EB8" w:rsidP="00657EB8">
            <w:pPr>
              <w:pStyle w:val="Tableheadingrow9pt"/>
              <w:rPr>
                <w:color w:val="auto"/>
              </w:rPr>
            </w:pPr>
            <w:r w:rsidRPr="00B92555">
              <w:rPr>
                <w:color w:val="auto"/>
              </w:rPr>
              <w:t>Material changes to Program 1.1 resulting from the following measures:</w:t>
            </w:r>
          </w:p>
          <w:p w14:paraId="683D6280" w14:textId="32C42B2E" w:rsidR="00657EB8" w:rsidRPr="0095657D" w:rsidRDefault="00657EB8" w:rsidP="00657EB8">
            <w:pPr>
              <w:pStyle w:val="Tableheadingrow9pt"/>
              <w:rPr>
                <w:color w:val="000000" w:themeColor="text1"/>
              </w:rPr>
            </w:pPr>
            <w:r w:rsidRPr="00473719">
              <w:rPr>
                <w:b w:val="0"/>
                <w:sz w:val="17"/>
                <w:szCs w:val="17"/>
              </w:rPr>
              <w:t>There are no material changes to Program 1.1 resulting from measures.</w:t>
            </w:r>
          </w:p>
        </w:tc>
      </w:tr>
    </w:tbl>
    <w:p w14:paraId="79345B6B" w14:textId="77777777" w:rsidR="00BC0659" w:rsidRPr="005407C4" w:rsidRDefault="00BC0659" w:rsidP="00913388">
      <w:pPr>
        <w:rPr>
          <w:rFonts w:ascii="Arial" w:hAnsi="Arial" w:cs="Arial"/>
          <w:color w:val="000000" w:themeColor="text1"/>
        </w:rPr>
        <w:sectPr w:rsidR="00BC0659" w:rsidRPr="005407C4" w:rsidSect="00357948">
          <w:headerReference w:type="even" r:id="rId18"/>
          <w:headerReference w:type="default" r:id="rId19"/>
          <w:headerReference w:type="first" r:id="rId20"/>
          <w:pgSz w:w="11906" w:h="16838"/>
          <w:pgMar w:top="2466" w:right="2268" w:bottom="2126" w:left="2268" w:header="1899" w:footer="1899" w:gutter="0"/>
          <w:cols w:space="708"/>
          <w:docGrid w:linePitch="360"/>
        </w:sectPr>
      </w:pPr>
    </w:p>
    <w:p w14:paraId="68A41EF7" w14:textId="2223B513" w:rsidR="00BC0659" w:rsidRPr="005407C4" w:rsidRDefault="00BC0659" w:rsidP="009647A8">
      <w:pPr>
        <w:pStyle w:val="Heading2"/>
      </w:pPr>
      <w:bookmarkStart w:id="8" w:name="_Toc190682315"/>
      <w:bookmarkStart w:id="9" w:name="_Toc190682532"/>
      <w:bookmarkStart w:id="10" w:name="_Toc117407534"/>
      <w:r w:rsidRPr="005407C4">
        <w:lastRenderedPageBreak/>
        <w:t xml:space="preserve">Section 3: Budgeted </w:t>
      </w:r>
      <w:r w:rsidR="00AC10DE">
        <w:t>f</w:t>
      </w:r>
      <w:r w:rsidRPr="005407C4">
        <w:t xml:space="preserve">inancial </w:t>
      </w:r>
      <w:r w:rsidR="00AC10DE">
        <w:t>s</w:t>
      </w:r>
      <w:r w:rsidRPr="005407C4">
        <w:t>tatements</w:t>
      </w:r>
      <w:bookmarkEnd w:id="8"/>
      <w:bookmarkEnd w:id="9"/>
      <w:bookmarkEnd w:id="10"/>
    </w:p>
    <w:p w14:paraId="612E6DEE" w14:textId="7375CCFC" w:rsidR="00AC10DE" w:rsidRPr="00AC10DE" w:rsidRDefault="00AC10DE" w:rsidP="00AC10DE">
      <w:pPr>
        <w:spacing w:before="240" w:after="240" w:line="240" w:lineRule="exact"/>
        <w:rPr>
          <w:color w:val="auto"/>
        </w:rPr>
      </w:pPr>
      <w:r w:rsidRPr="00AC10DE">
        <w:rPr>
          <w:color w:val="auto"/>
        </w:rPr>
        <w:t xml:space="preserve">Section 3 presents budgeted financial statements which provide a comprehensive snapshot </w:t>
      </w:r>
      <w:r w:rsidR="00BD2155">
        <w:rPr>
          <w:color w:val="auto"/>
        </w:rPr>
        <w:t>of entity finances for the 2023</w:t>
      </w:r>
      <w:r w:rsidR="00D44E13">
        <w:t>–</w:t>
      </w:r>
      <w:r w:rsidR="00BD2155">
        <w:rPr>
          <w:color w:val="auto"/>
        </w:rPr>
        <w:t>24</w:t>
      </w:r>
      <w:r w:rsidRPr="00AC10DE">
        <w:rPr>
          <w:color w:val="00B050"/>
        </w:rPr>
        <w:t xml:space="preserve"> </w:t>
      </w:r>
      <w:r w:rsidR="006E42DA">
        <w:rPr>
          <w:color w:val="auto"/>
        </w:rPr>
        <w:t>B</w:t>
      </w:r>
      <w:r w:rsidRPr="00AC10DE">
        <w:rPr>
          <w:color w:val="auto"/>
        </w:rPr>
        <w:t>udget year, including the impact of budget measures and resourcing on financial statements.</w:t>
      </w:r>
    </w:p>
    <w:p w14:paraId="1AEF689B" w14:textId="15AA4370" w:rsidR="00BC0659" w:rsidRPr="005407C4" w:rsidRDefault="00BC0659" w:rsidP="009647A8">
      <w:pPr>
        <w:pStyle w:val="Heading3"/>
      </w:pPr>
      <w:bookmarkStart w:id="11" w:name="_Toc117407535"/>
      <w:r w:rsidRPr="005407C4">
        <w:t>3.1</w:t>
      </w:r>
      <w:r w:rsidRPr="005407C4">
        <w:tab/>
        <w:t xml:space="preserve">Budgeted </w:t>
      </w:r>
      <w:r w:rsidR="00AC10DE">
        <w:t>f</w:t>
      </w:r>
      <w:r w:rsidRPr="005407C4">
        <w:t xml:space="preserve">inancial </w:t>
      </w:r>
      <w:r w:rsidR="00AC10DE">
        <w:t>s</w:t>
      </w:r>
      <w:r w:rsidRPr="005407C4">
        <w:t>tatements</w:t>
      </w:r>
      <w:bookmarkEnd w:id="11"/>
    </w:p>
    <w:p w14:paraId="6D8CC8AA" w14:textId="5E51B82E" w:rsidR="00BC0659" w:rsidRPr="00BD13C2" w:rsidRDefault="00BC0659" w:rsidP="00BC0659">
      <w:pPr>
        <w:pStyle w:val="Heading4"/>
        <w:rPr>
          <w:color w:val="000000" w:themeColor="text1"/>
          <w:sz w:val="20"/>
        </w:rPr>
      </w:pPr>
      <w:r w:rsidRPr="00BD13C2">
        <w:rPr>
          <w:color w:val="000000" w:themeColor="text1"/>
          <w:sz w:val="20"/>
        </w:rPr>
        <w:t>3.1.1</w:t>
      </w:r>
      <w:r w:rsidRPr="00BD13C2">
        <w:rPr>
          <w:color w:val="000000" w:themeColor="text1"/>
          <w:sz w:val="20"/>
        </w:rPr>
        <w:tab/>
        <w:t xml:space="preserve">Differences between </w:t>
      </w:r>
      <w:r w:rsidR="00AC10DE" w:rsidRPr="00BD13C2">
        <w:rPr>
          <w:color w:val="000000" w:themeColor="text1"/>
          <w:sz w:val="20"/>
        </w:rPr>
        <w:t>e</w:t>
      </w:r>
      <w:r w:rsidRPr="00BD13C2">
        <w:rPr>
          <w:color w:val="000000" w:themeColor="text1"/>
          <w:sz w:val="20"/>
        </w:rPr>
        <w:t xml:space="preserve">ntity </w:t>
      </w:r>
      <w:r w:rsidR="00AC10DE" w:rsidRPr="00BD13C2">
        <w:rPr>
          <w:color w:val="000000" w:themeColor="text1"/>
          <w:sz w:val="20"/>
        </w:rPr>
        <w:t>r</w:t>
      </w:r>
      <w:r w:rsidRPr="00BD13C2">
        <w:rPr>
          <w:color w:val="000000" w:themeColor="text1"/>
          <w:sz w:val="20"/>
        </w:rPr>
        <w:t xml:space="preserve">esourcing and </w:t>
      </w:r>
      <w:r w:rsidR="00AC10DE" w:rsidRPr="00BD13C2">
        <w:rPr>
          <w:color w:val="000000" w:themeColor="text1"/>
          <w:sz w:val="20"/>
        </w:rPr>
        <w:t>f</w:t>
      </w:r>
      <w:r w:rsidRPr="00BD13C2">
        <w:rPr>
          <w:color w:val="000000" w:themeColor="text1"/>
          <w:sz w:val="20"/>
        </w:rPr>
        <w:t xml:space="preserve">inancial </w:t>
      </w:r>
      <w:r w:rsidR="00AC10DE" w:rsidRPr="00BD13C2">
        <w:rPr>
          <w:color w:val="000000" w:themeColor="text1"/>
          <w:sz w:val="20"/>
        </w:rPr>
        <w:t>s</w:t>
      </w:r>
      <w:r w:rsidRPr="00BD13C2">
        <w:rPr>
          <w:color w:val="000000" w:themeColor="text1"/>
          <w:sz w:val="20"/>
        </w:rPr>
        <w:t>tatements</w:t>
      </w:r>
    </w:p>
    <w:p w14:paraId="5607B6BD" w14:textId="47C79309" w:rsidR="00BD2155" w:rsidRPr="00247542" w:rsidRDefault="00247542" w:rsidP="00221C8D">
      <w:pPr>
        <w:spacing w:before="120" w:line="240" w:lineRule="exact"/>
        <w:rPr>
          <w:color w:val="auto"/>
        </w:rPr>
      </w:pPr>
      <w:r w:rsidRPr="00247542">
        <w:rPr>
          <w:color w:val="auto"/>
        </w:rPr>
        <w:t>This section is not applicable to NHMRC.</w:t>
      </w:r>
    </w:p>
    <w:p w14:paraId="56CBE949" w14:textId="69B39A72" w:rsidR="00BC0659" w:rsidRPr="00BD13C2" w:rsidRDefault="00BC0659" w:rsidP="00BC0659">
      <w:pPr>
        <w:pStyle w:val="Heading4"/>
        <w:rPr>
          <w:color w:val="000000" w:themeColor="text1"/>
          <w:sz w:val="20"/>
        </w:rPr>
      </w:pPr>
      <w:r w:rsidRPr="00BD13C2">
        <w:rPr>
          <w:color w:val="000000" w:themeColor="text1"/>
          <w:sz w:val="20"/>
        </w:rPr>
        <w:t>3.1.2</w:t>
      </w:r>
      <w:r w:rsidRPr="00BD13C2">
        <w:rPr>
          <w:color w:val="000000" w:themeColor="text1"/>
          <w:sz w:val="20"/>
        </w:rPr>
        <w:tab/>
        <w:t xml:space="preserve">Explanatory </w:t>
      </w:r>
      <w:r w:rsidR="00AC10DE" w:rsidRPr="00BD13C2">
        <w:rPr>
          <w:color w:val="000000" w:themeColor="text1"/>
          <w:sz w:val="20"/>
        </w:rPr>
        <w:t>n</w:t>
      </w:r>
      <w:r w:rsidRPr="00BD13C2">
        <w:rPr>
          <w:color w:val="000000" w:themeColor="text1"/>
          <w:sz w:val="20"/>
        </w:rPr>
        <w:t xml:space="preserve">otes and </w:t>
      </w:r>
      <w:r w:rsidR="00AC10DE" w:rsidRPr="00BD13C2">
        <w:rPr>
          <w:color w:val="000000" w:themeColor="text1"/>
          <w:sz w:val="20"/>
        </w:rPr>
        <w:t>a</w:t>
      </w:r>
      <w:r w:rsidRPr="00BD13C2">
        <w:rPr>
          <w:color w:val="000000" w:themeColor="text1"/>
          <w:sz w:val="20"/>
        </w:rPr>
        <w:t xml:space="preserve">nalysis of </w:t>
      </w:r>
      <w:r w:rsidR="00AC10DE" w:rsidRPr="00BD13C2">
        <w:rPr>
          <w:color w:val="000000" w:themeColor="text1"/>
          <w:sz w:val="20"/>
        </w:rPr>
        <w:t>b</w:t>
      </w:r>
      <w:r w:rsidRPr="00BD13C2">
        <w:rPr>
          <w:color w:val="000000" w:themeColor="text1"/>
          <w:sz w:val="20"/>
        </w:rPr>
        <w:t xml:space="preserve">udgeted </w:t>
      </w:r>
      <w:r w:rsidR="00AC10DE" w:rsidRPr="00BD13C2">
        <w:rPr>
          <w:color w:val="000000" w:themeColor="text1"/>
          <w:sz w:val="20"/>
        </w:rPr>
        <w:t>f</w:t>
      </w:r>
      <w:r w:rsidRPr="00BD13C2">
        <w:rPr>
          <w:color w:val="000000" w:themeColor="text1"/>
          <w:sz w:val="20"/>
        </w:rPr>
        <w:t xml:space="preserve">inancial </w:t>
      </w:r>
      <w:r w:rsidR="00AC10DE" w:rsidRPr="00BD13C2">
        <w:rPr>
          <w:color w:val="000000" w:themeColor="text1"/>
          <w:sz w:val="20"/>
        </w:rPr>
        <w:t>s</w:t>
      </w:r>
      <w:r w:rsidRPr="00BD13C2">
        <w:rPr>
          <w:color w:val="000000" w:themeColor="text1"/>
          <w:sz w:val="20"/>
        </w:rPr>
        <w:t>tatements</w:t>
      </w:r>
    </w:p>
    <w:p w14:paraId="4D2839F2" w14:textId="77777777" w:rsidR="00D201B7" w:rsidRPr="00BD13C2" w:rsidRDefault="00D201B7" w:rsidP="00D201B7">
      <w:pPr>
        <w:spacing w:after="160" w:line="259" w:lineRule="auto"/>
        <w:rPr>
          <w:rFonts w:ascii="Arial" w:hAnsi="Arial"/>
          <w:b/>
          <w:color w:val="000000" w:themeColor="text1"/>
          <w:szCs w:val="19"/>
        </w:rPr>
      </w:pPr>
      <w:r w:rsidRPr="00BD13C2">
        <w:rPr>
          <w:rFonts w:ascii="Arial" w:hAnsi="Arial"/>
          <w:b/>
          <w:color w:val="000000" w:themeColor="text1"/>
          <w:szCs w:val="19"/>
        </w:rPr>
        <w:t>Departmental Resources</w:t>
      </w:r>
    </w:p>
    <w:p w14:paraId="1B43D18F" w14:textId="77777777" w:rsidR="00D201B7" w:rsidRPr="00BD13C2" w:rsidRDefault="00D201B7" w:rsidP="00D201B7">
      <w:pPr>
        <w:spacing w:after="160" w:line="259" w:lineRule="auto"/>
        <w:rPr>
          <w:rFonts w:ascii="Arial" w:hAnsi="Arial"/>
          <w:b/>
          <w:color w:val="000000" w:themeColor="text1"/>
          <w:szCs w:val="19"/>
        </w:rPr>
      </w:pPr>
      <w:r w:rsidRPr="00BD13C2">
        <w:rPr>
          <w:rFonts w:ascii="Arial" w:hAnsi="Arial"/>
          <w:b/>
          <w:color w:val="000000" w:themeColor="text1"/>
          <w:szCs w:val="19"/>
        </w:rPr>
        <w:t xml:space="preserve">Comprehensive Income Statement (showing net cost of services) </w:t>
      </w:r>
    </w:p>
    <w:p w14:paraId="4F0D24B5" w14:textId="6ACC843E" w:rsidR="00247542" w:rsidRPr="00247542" w:rsidRDefault="00247542" w:rsidP="00221C8D">
      <w:pPr>
        <w:spacing w:before="120" w:line="240" w:lineRule="exact"/>
        <w:rPr>
          <w:color w:val="auto"/>
        </w:rPr>
      </w:pPr>
      <w:r w:rsidRPr="00247542">
        <w:rPr>
          <w:color w:val="auto"/>
        </w:rPr>
        <w:t>Revenue and expenditure for 2023</w:t>
      </w:r>
      <w:r w:rsidR="008D6B59" w:rsidRPr="00422920">
        <w:t>–</w:t>
      </w:r>
      <w:r w:rsidRPr="00247542">
        <w:rPr>
          <w:color w:val="auto"/>
        </w:rPr>
        <w:t xml:space="preserve">24 is expected to be in line with Government forecasts, with employee expenses to be 48% of total expenditure. </w:t>
      </w:r>
    </w:p>
    <w:p w14:paraId="6F45E528" w14:textId="77777777" w:rsidR="00D201B7" w:rsidRPr="00BD13C2" w:rsidRDefault="00D201B7" w:rsidP="00D201B7">
      <w:pPr>
        <w:spacing w:after="160" w:line="259" w:lineRule="auto"/>
        <w:rPr>
          <w:rFonts w:ascii="Arial" w:hAnsi="Arial"/>
          <w:b/>
          <w:color w:val="000000" w:themeColor="text1"/>
          <w:szCs w:val="19"/>
        </w:rPr>
      </w:pPr>
      <w:r w:rsidRPr="00BD13C2">
        <w:rPr>
          <w:rFonts w:ascii="Arial" w:hAnsi="Arial"/>
          <w:b/>
          <w:color w:val="000000" w:themeColor="text1"/>
          <w:szCs w:val="19"/>
        </w:rPr>
        <w:t>Balance Sheet</w:t>
      </w:r>
    </w:p>
    <w:p w14:paraId="18B9F754" w14:textId="77777777" w:rsidR="00247542" w:rsidRPr="00247542" w:rsidRDefault="00247542" w:rsidP="00221C8D">
      <w:pPr>
        <w:spacing w:before="120" w:line="240" w:lineRule="exact"/>
        <w:rPr>
          <w:color w:val="auto"/>
        </w:rPr>
      </w:pPr>
      <w:r w:rsidRPr="00247542">
        <w:rPr>
          <w:color w:val="auto"/>
        </w:rPr>
        <w:t xml:space="preserve">Assets and Liabilities are expected to remain stable across the Budget and forward years. </w:t>
      </w:r>
    </w:p>
    <w:p w14:paraId="13118F5D" w14:textId="77777777" w:rsidR="00D201B7" w:rsidRPr="00BD13C2" w:rsidRDefault="00D201B7" w:rsidP="00D201B7">
      <w:pPr>
        <w:spacing w:after="160" w:line="259" w:lineRule="auto"/>
        <w:rPr>
          <w:rFonts w:ascii="Arial" w:hAnsi="Arial"/>
          <w:b/>
          <w:color w:val="000000" w:themeColor="text1"/>
          <w:szCs w:val="19"/>
        </w:rPr>
      </w:pPr>
      <w:r w:rsidRPr="00BD13C2">
        <w:rPr>
          <w:rFonts w:ascii="Arial" w:hAnsi="Arial"/>
          <w:b/>
          <w:color w:val="000000" w:themeColor="text1"/>
          <w:szCs w:val="19"/>
        </w:rPr>
        <w:t>Administered Resources</w:t>
      </w:r>
    </w:p>
    <w:p w14:paraId="43A2A159" w14:textId="13A6971A" w:rsidR="00247542" w:rsidRPr="00247542" w:rsidRDefault="00247542" w:rsidP="00221C8D">
      <w:pPr>
        <w:spacing w:before="120" w:line="240" w:lineRule="exact"/>
        <w:rPr>
          <w:color w:val="auto"/>
        </w:rPr>
      </w:pPr>
      <w:r w:rsidRPr="00247542">
        <w:rPr>
          <w:color w:val="auto"/>
        </w:rPr>
        <w:t>The Administered accounts are used as a mechanism to transfer the majority of funds to NHMRC’s Special Account (Medical Research Endowment Account). In 2023</w:t>
      </w:r>
      <w:r w:rsidR="008D6B59" w:rsidRPr="00422920">
        <w:t>–</w:t>
      </w:r>
      <w:r w:rsidRPr="00247542">
        <w:rPr>
          <w:color w:val="auto"/>
        </w:rPr>
        <w:t>24 the transfer to the Special Account is expected to be $911 million.</w:t>
      </w:r>
    </w:p>
    <w:p w14:paraId="5E678F00" w14:textId="3A26B3F1" w:rsidR="00A96EBC" w:rsidRPr="005407C4" w:rsidRDefault="00A96EBC" w:rsidP="00D201B7">
      <w:pPr>
        <w:rPr>
          <w:color w:val="000000" w:themeColor="text1"/>
        </w:rPr>
      </w:pPr>
      <w:r w:rsidRPr="005407C4">
        <w:rPr>
          <w:color w:val="000000" w:themeColor="text1"/>
        </w:rPr>
        <w:br w:type="page"/>
      </w:r>
    </w:p>
    <w:p w14:paraId="010058EB" w14:textId="0D6A0BFD" w:rsidR="00BC0659" w:rsidRPr="005407C4" w:rsidRDefault="00BC0659" w:rsidP="009647A8">
      <w:pPr>
        <w:pStyle w:val="Heading3"/>
      </w:pPr>
      <w:bookmarkStart w:id="12" w:name="_Toc117407536"/>
      <w:r w:rsidRPr="005407C4">
        <w:lastRenderedPageBreak/>
        <w:t>3.2</w:t>
      </w:r>
      <w:r w:rsidRPr="005407C4">
        <w:tab/>
        <w:t xml:space="preserve">Budgeted </w:t>
      </w:r>
      <w:r w:rsidR="00A52B29">
        <w:t>f</w:t>
      </w:r>
      <w:r w:rsidRPr="005407C4">
        <w:t xml:space="preserve">inancial </w:t>
      </w:r>
      <w:r w:rsidR="00A52B29">
        <w:t>s</w:t>
      </w:r>
      <w:r w:rsidRPr="005407C4">
        <w:t xml:space="preserve">tatements </w:t>
      </w:r>
      <w:r w:rsidR="00A52B29">
        <w:t>t</w:t>
      </w:r>
      <w:r w:rsidRPr="005407C4">
        <w:t>ables</w:t>
      </w:r>
      <w:bookmarkEnd w:id="12"/>
    </w:p>
    <w:p w14:paraId="36E3DE8D" w14:textId="1BC4FAAB" w:rsidR="004A62D0" w:rsidRDefault="00A52B29" w:rsidP="00185E10">
      <w:pPr>
        <w:keepNext/>
        <w:spacing w:before="120"/>
        <w:rPr>
          <w:rFonts w:ascii="Arial" w:hAnsi="Arial"/>
          <w:b/>
          <w:snapToGrid w:val="0"/>
          <w:color w:val="auto"/>
          <w:sz w:val="20"/>
        </w:rPr>
      </w:pPr>
      <w:r w:rsidRPr="00A52B29">
        <w:rPr>
          <w:rFonts w:ascii="Arial" w:hAnsi="Arial"/>
          <w:b/>
          <w:color w:val="auto"/>
          <w:sz w:val="20"/>
        </w:rPr>
        <w:t xml:space="preserve">Table 3.1: Comprehensive income statement (showing net cost of services) </w:t>
      </w:r>
      <w:r w:rsidR="00B96B40">
        <w:rPr>
          <w:rFonts w:ascii="Arial" w:hAnsi="Arial"/>
          <w:b/>
          <w:snapToGrid w:val="0"/>
          <w:color w:val="auto"/>
          <w:sz w:val="20"/>
        </w:rPr>
        <w:t>for the period ended 30 June</w:t>
      </w:r>
    </w:p>
    <w:tbl>
      <w:tblPr>
        <w:tblW w:w="7380" w:type="dxa"/>
        <w:tblLayout w:type="fixed"/>
        <w:tblLook w:val="04A0" w:firstRow="1" w:lastRow="0" w:firstColumn="1" w:lastColumn="0" w:noHBand="0" w:noVBand="1"/>
      </w:tblPr>
      <w:tblGrid>
        <w:gridCol w:w="2880"/>
        <w:gridCol w:w="900"/>
        <w:gridCol w:w="900"/>
        <w:gridCol w:w="900"/>
        <w:gridCol w:w="900"/>
        <w:gridCol w:w="900"/>
      </w:tblGrid>
      <w:tr w:rsidR="000B79F5" w:rsidRPr="000B79F5" w14:paraId="2C15C72D" w14:textId="77777777" w:rsidTr="000B79F5">
        <w:trPr>
          <w:trHeight w:val="227"/>
        </w:trPr>
        <w:tc>
          <w:tcPr>
            <w:tcW w:w="2880" w:type="dxa"/>
            <w:tcBorders>
              <w:top w:val="single" w:sz="4" w:space="0" w:color="auto"/>
              <w:left w:val="nil"/>
              <w:bottom w:val="nil"/>
              <w:right w:val="nil"/>
            </w:tcBorders>
            <w:shd w:val="clear" w:color="auto" w:fill="auto"/>
            <w:hideMark/>
          </w:tcPr>
          <w:p w14:paraId="41E42277" w14:textId="77777777" w:rsidR="000B79F5" w:rsidRPr="000B79F5" w:rsidRDefault="000B79F5" w:rsidP="000B79F5">
            <w:pPr>
              <w:spacing w:before="40" w:after="0"/>
              <w:jc w:val="right"/>
              <w:rPr>
                <w:rFonts w:ascii="Arial" w:hAnsi="Arial" w:cs="Arial"/>
                <w:b/>
                <w:bCs/>
                <w:color w:val="auto"/>
                <w:sz w:val="16"/>
                <w:szCs w:val="16"/>
              </w:rPr>
            </w:pPr>
            <w:r w:rsidRPr="000B79F5">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680B071F" w14:textId="77777777" w:rsidR="000B79F5" w:rsidRPr="000B79F5" w:rsidRDefault="000B79F5" w:rsidP="000B79F5">
            <w:pPr>
              <w:spacing w:before="40" w:after="0"/>
              <w:jc w:val="right"/>
              <w:rPr>
                <w:rFonts w:ascii="Arial" w:hAnsi="Arial" w:cs="Arial"/>
                <w:b/>
                <w:bCs/>
                <w:color w:val="auto"/>
                <w:sz w:val="16"/>
                <w:szCs w:val="16"/>
              </w:rPr>
            </w:pPr>
            <w:r w:rsidRPr="000B79F5">
              <w:rPr>
                <w:rFonts w:ascii="Arial" w:hAnsi="Arial" w:cs="Arial"/>
                <w:b/>
                <w:bCs/>
                <w:color w:val="auto"/>
                <w:sz w:val="16"/>
                <w:szCs w:val="16"/>
              </w:rPr>
              <w:t>2022–23 Estimated actual</w:t>
            </w:r>
            <w:r w:rsidRPr="000B79F5">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0A1D0C94" w14:textId="77777777" w:rsidR="000B79F5" w:rsidRPr="000B79F5" w:rsidRDefault="000B79F5" w:rsidP="000B79F5">
            <w:pPr>
              <w:spacing w:before="40" w:after="0"/>
              <w:jc w:val="right"/>
              <w:rPr>
                <w:rFonts w:ascii="Arial" w:hAnsi="Arial" w:cs="Arial"/>
                <w:b/>
                <w:bCs/>
                <w:color w:val="auto"/>
                <w:sz w:val="16"/>
                <w:szCs w:val="16"/>
              </w:rPr>
            </w:pPr>
            <w:r w:rsidRPr="000B79F5">
              <w:rPr>
                <w:rFonts w:ascii="Arial" w:hAnsi="Arial" w:cs="Arial"/>
                <w:b/>
                <w:bCs/>
                <w:color w:val="auto"/>
                <w:sz w:val="16"/>
                <w:szCs w:val="16"/>
              </w:rPr>
              <w:t xml:space="preserve">2023–24 Budget </w:t>
            </w:r>
            <w:r w:rsidRPr="000B79F5">
              <w:rPr>
                <w:rFonts w:ascii="Arial" w:hAnsi="Arial" w:cs="Arial"/>
                <w:b/>
                <w:bCs/>
                <w:color w:val="auto"/>
                <w:sz w:val="16"/>
                <w:szCs w:val="16"/>
              </w:rPr>
              <w:br/>
            </w:r>
            <w:r w:rsidRPr="000B79F5">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177834DA" w14:textId="77777777" w:rsidR="000B79F5" w:rsidRPr="000B79F5" w:rsidRDefault="000B79F5" w:rsidP="000B79F5">
            <w:pPr>
              <w:spacing w:before="40" w:after="0"/>
              <w:jc w:val="right"/>
              <w:rPr>
                <w:rFonts w:ascii="Arial" w:hAnsi="Arial" w:cs="Arial"/>
                <w:b/>
                <w:bCs/>
                <w:color w:val="auto"/>
                <w:sz w:val="16"/>
                <w:szCs w:val="16"/>
              </w:rPr>
            </w:pPr>
            <w:r w:rsidRPr="000B79F5">
              <w:rPr>
                <w:rFonts w:ascii="Arial" w:hAnsi="Arial" w:cs="Arial"/>
                <w:b/>
                <w:bCs/>
                <w:color w:val="auto"/>
                <w:sz w:val="16"/>
                <w:szCs w:val="16"/>
              </w:rPr>
              <w:t>2024–25 Forward estimate</w:t>
            </w:r>
            <w:r w:rsidRPr="000B79F5">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799053AD" w14:textId="77777777" w:rsidR="000B79F5" w:rsidRPr="000B79F5" w:rsidRDefault="000B79F5" w:rsidP="000B79F5">
            <w:pPr>
              <w:spacing w:before="40" w:after="0"/>
              <w:jc w:val="right"/>
              <w:rPr>
                <w:rFonts w:ascii="Arial" w:hAnsi="Arial" w:cs="Arial"/>
                <w:b/>
                <w:bCs/>
                <w:color w:val="auto"/>
                <w:sz w:val="16"/>
                <w:szCs w:val="16"/>
              </w:rPr>
            </w:pPr>
            <w:r w:rsidRPr="000B79F5">
              <w:rPr>
                <w:rFonts w:ascii="Arial" w:hAnsi="Arial" w:cs="Arial"/>
                <w:b/>
                <w:bCs/>
                <w:color w:val="auto"/>
                <w:sz w:val="16"/>
                <w:szCs w:val="16"/>
              </w:rPr>
              <w:t>2025–26 Forward estimate</w:t>
            </w:r>
            <w:r w:rsidRPr="000B79F5">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30E714CD" w14:textId="77777777" w:rsidR="000B79F5" w:rsidRPr="000B79F5" w:rsidRDefault="000B79F5" w:rsidP="000B79F5">
            <w:pPr>
              <w:spacing w:before="40" w:after="0"/>
              <w:jc w:val="right"/>
              <w:rPr>
                <w:rFonts w:ascii="Arial" w:hAnsi="Arial" w:cs="Arial"/>
                <w:b/>
                <w:bCs/>
                <w:color w:val="auto"/>
                <w:sz w:val="16"/>
                <w:szCs w:val="16"/>
              </w:rPr>
            </w:pPr>
            <w:r w:rsidRPr="000B79F5">
              <w:rPr>
                <w:rFonts w:ascii="Arial" w:hAnsi="Arial" w:cs="Arial"/>
                <w:b/>
                <w:bCs/>
                <w:color w:val="auto"/>
                <w:sz w:val="16"/>
                <w:szCs w:val="16"/>
              </w:rPr>
              <w:t>2026–27 Forward estimate</w:t>
            </w:r>
            <w:r w:rsidRPr="000B79F5">
              <w:rPr>
                <w:rFonts w:ascii="Arial" w:hAnsi="Arial" w:cs="Arial"/>
                <w:b/>
                <w:bCs/>
                <w:color w:val="auto"/>
                <w:sz w:val="16"/>
                <w:szCs w:val="16"/>
              </w:rPr>
              <w:br/>
              <w:t>$'000</w:t>
            </w:r>
          </w:p>
        </w:tc>
      </w:tr>
      <w:tr w:rsidR="000B79F5" w:rsidRPr="000B79F5" w14:paraId="727EFF80" w14:textId="77777777" w:rsidTr="000B79F5">
        <w:trPr>
          <w:trHeight w:val="227"/>
        </w:trPr>
        <w:tc>
          <w:tcPr>
            <w:tcW w:w="2880" w:type="dxa"/>
            <w:tcBorders>
              <w:top w:val="nil"/>
              <w:left w:val="nil"/>
              <w:bottom w:val="nil"/>
              <w:right w:val="nil"/>
            </w:tcBorders>
            <w:shd w:val="clear" w:color="auto" w:fill="auto"/>
            <w:noWrap/>
            <w:vAlign w:val="bottom"/>
            <w:hideMark/>
          </w:tcPr>
          <w:p w14:paraId="5A86E6DB" w14:textId="77777777" w:rsidR="000B79F5" w:rsidRPr="000B79F5" w:rsidRDefault="000B79F5" w:rsidP="000B79F5">
            <w:pPr>
              <w:spacing w:after="0"/>
              <w:rPr>
                <w:rFonts w:ascii="Arial" w:hAnsi="Arial" w:cs="Arial"/>
                <w:b/>
                <w:bCs/>
                <w:color w:val="auto"/>
                <w:sz w:val="16"/>
                <w:szCs w:val="16"/>
              </w:rPr>
            </w:pPr>
            <w:r w:rsidRPr="000B79F5">
              <w:rPr>
                <w:rFonts w:ascii="Arial" w:hAnsi="Arial" w:cs="Arial"/>
                <w:b/>
                <w:bCs/>
                <w:color w:val="auto"/>
                <w:sz w:val="16"/>
                <w:szCs w:val="16"/>
              </w:rPr>
              <w:t>EXPENSES</w:t>
            </w:r>
          </w:p>
        </w:tc>
        <w:tc>
          <w:tcPr>
            <w:tcW w:w="900" w:type="dxa"/>
            <w:tcBorders>
              <w:top w:val="nil"/>
              <w:left w:val="nil"/>
              <w:bottom w:val="nil"/>
              <w:right w:val="nil"/>
            </w:tcBorders>
            <w:shd w:val="clear" w:color="auto" w:fill="auto"/>
            <w:noWrap/>
            <w:vAlign w:val="bottom"/>
            <w:hideMark/>
          </w:tcPr>
          <w:p w14:paraId="045353C7" w14:textId="77777777" w:rsidR="000B79F5" w:rsidRPr="000B79F5" w:rsidRDefault="000B79F5" w:rsidP="000B79F5">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BC1A235"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1E78857A" w14:textId="77777777" w:rsidR="000B79F5" w:rsidRPr="000B79F5" w:rsidRDefault="000B79F5" w:rsidP="000B79F5">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10A551F8" w14:textId="77777777" w:rsidR="000B79F5" w:rsidRPr="000B79F5" w:rsidRDefault="000B79F5" w:rsidP="000B79F5">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14656DC" w14:textId="77777777" w:rsidR="000B79F5" w:rsidRPr="000B79F5" w:rsidRDefault="000B79F5" w:rsidP="000B79F5">
            <w:pPr>
              <w:spacing w:after="0"/>
              <w:jc w:val="right"/>
              <w:rPr>
                <w:rFonts w:ascii="Times New Roman" w:hAnsi="Times New Roman"/>
                <w:color w:val="auto"/>
                <w:sz w:val="20"/>
              </w:rPr>
            </w:pPr>
          </w:p>
        </w:tc>
      </w:tr>
      <w:tr w:rsidR="000B79F5" w:rsidRPr="000B79F5" w14:paraId="38D653FF" w14:textId="77777777" w:rsidTr="000B79F5">
        <w:trPr>
          <w:trHeight w:val="227"/>
        </w:trPr>
        <w:tc>
          <w:tcPr>
            <w:tcW w:w="2880" w:type="dxa"/>
            <w:tcBorders>
              <w:top w:val="nil"/>
              <w:left w:val="nil"/>
              <w:bottom w:val="nil"/>
              <w:right w:val="nil"/>
            </w:tcBorders>
            <w:shd w:val="clear" w:color="auto" w:fill="auto"/>
            <w:noWrap/>
            <w:vAlign w:val="bottom"/>
            <w:hideMark/>
          </w:tcPr>
          <w:p w14:paraId="0D1CB994" w14:textId="77777777" w:rsidR="000B79F5" w:rsidRPr="000B79F5" w:rsidRDefault="000B79F5" w:rsidP="000B79F5">
            <w:pPr>
              <w:spacing w:after="0"/>
              <w:ind w:firstLineChars="100" w:firstLine="160"/>
              <w:rPr>
                <w:rFonts w:ascii="Arial" w:hAnsi="Arial" w:cs="Arial"/>
                <w:color w:val="auto"/>
                <w:sz w:val="16"/>
                <w:szCs w:val="16"/>
              </w:rPr>
            </w:pPr>
            <w:r w:rsidRPr="000B79F5">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220821C8"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26,656</w:t>
            </w:r>
          </w:p>
        </w:tc>
        <w:tc>
          <w:tcPr>
            <w:tcW w:w="900" w:type="dxa"/>
            <w:tcBorders>
              <w:top w:val="nil"/>
              <w:left w:val="nil"/>
              <w:bottom w:val="nil"/>
              <w:right w:val="nil"/>
            </w:tcBorders>
            <w:shd w:val="clear" w:color="000000" w:fill="D9D9D9"/>
            <w:noWrap/>
            <w:vAlign w:val="bottom"/>
            <w:hideMark/>
          </w:tcPr>
          <w:p w14:paraId="2D04C648"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27,456</w:t>
            </w:r>
          </w:p>
        </w:tc>
        <w:tc>
          <w:tcPr>
            <w:tcW w:w="900" w:type="dxa"/>
            <w:tcBorders>
              <w:top w:val="nil"/>
              <w:left w:val="nil"/>
              <w:bottom w:val="nil"/>
              <w:right w:val="nil"/>
            </w:tcBorders>
            <w:shd w:val="clear" w:color="auto" w:fill="auto"/>
            <w:noWrap/>
            <w:vAlign w:val="bottom"/>
            <w:hideMark/>
          </w:tcPr>
          <w:p w14:paraId="2B377CB8"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28,280</w:t>
            </w:r>
          </w:p>
        </w:tc>
        <w:tc>
          <w:tcPr>
            <w:tcW w:w="900" w:type="dxa"/>
            <w:tcBorders>
              <w:top w:val="nil"/>
              <w:left w:val="nil"/>
              <w:bottom w:val="nil"/>
              <w:right w:val="nil"/>
            </w:tcBorders>
            <w:shd w:val="clear" w:color="auto" w:fill="auto"/>
            <w:noWrap/>
            <w:vAlign w:val="bottom"/>
            <w:hideMark/>
          </w:tcPr>
          <w:p w14:paraId="0AB85A0A"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29,128</w:t>
            </w:r>
          </w:p>
        </w:tc>
        <w:tc>
          <w:tcPr>
            <w:tcW w:w="900" w:type="dxa"/>
            <w:tcBorders>
              <w:top w:val="nil"/>
              <w:left w:val="nil"/>
              <w:bottom w:val="nil"/>
              <w:right w:val="nil"/>
            </w:tcBorders>
            <w:shd w:val="clear" w:color="auto" w:fill="auto"/>
            <w:noWrap/>
            <w:vAlign w:val="bottom"/>
            <w:hideMark/>
          </w:tcPr>
          <w:p w14:paraId="5D62F824"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30,002</w:t>
            </w:r>
          </w:p>
        </w:tc>
      </w:tr>
      <w:tr w:rsidR="000B79F5" w:rsidRPr="000B79F5" w14:paraId="51747BAE" w14:textId="77777777" w:rsidTr="000B79F5">
        <w:trPr>
          <w:trHeight w:val="227"/>
        </w:trPr>
        <w:tc>
          <w:tcPr>
            <w:tcW w:w="2880" w:type="dxa"/>
            <w:tcBorders>
              <w:top w:val="nil"/>
              <w:left w:val="nil"/>
              <w:bottom w:val="nil"/>
              <w:right w:val="nil"/>
            </w:tcBorders>
            <w:shd w:val="clear" w:color="auto" w:fill="auto"/>
            <w:noWrap/>
            <w:vAlign w:val="bottom"/>
            <w:hideMark/>
          </w:tcPr>
          <w:p w14:paraId="11612C17" w14:textId="77777777" w:rsidR="000B79F5" w:rsidRPr="000B79F5" w:rsidRDefault="000B79F5" w:rsidP="000B79F5">
            <w:pPr>
              <w:spacing w:after="0"/>
              <w:ind w:firstLineChars="100" w:firstLine="160"/>
              <w:rPr>
                <w:rFonts w:ascii="Arial" w:hAnsi="Arial" w:cs="Arial"/>
                <w:color w:val="auto"/>
                <w:sz w:val="16"/>
                <w:szCs w:val="16"/>
              </w:rPr>
            </w:pPr>
            <w:r w:rsidRPr="000B79F5">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57E528A6"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23,870</w:t>
            </w:r>
          </w:p>
        </w:tc>
        <w:tc>
          <w:tcPr>
            <w:tcW w:w="900" w:type="dxa"/>
            <w:tcBorders>
              <w:top w:val="nil"/>
              <w:left w:val="nil"/>
              <w:bottom w:val="nil"/>
              <w:right w:val="nil"/>
            </w:tcBorders>
            <w:shd w:val="clear" w:color="000000" w:fill="D9D9D9"/>
            <w:noWrap/>
            <w:vAlign w:val="bottom"/>
            <w:hideMark/>
          </w:tcPr>
          <w:p w14:paraId="0D554E49"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24,004</w:t>
            </w:r>
          </w:p>
        </w:tc>
        <w:tc>
          <w:tcPr>
            <w:tcW w:w="900" w:type="dxa"/>
            <w:tcBorders>
              <w:top w:val="nil"/>
              <w:left w:val="nil"/>
              <w:bottom w:val="nil"/>
              <w:right w:val="nil"/>
            </w:tcBorders>
            <w:shd w:val="clear" w:color="auto" w:fill="auto"/>
            <w:noWrap/>
            <w:vAlign w:val="bottom"/>
            <w:hideMark/>
          </w:tcPr>
          <w:p w14:paraId="1CA9022A"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24,066</w:t>
            </w:r>
          </w:p>
        </w:tc>
        <w:tc>
          <w:tcPr>
            <w:tcW w:w="900" w:type="dxa"/>
            <w:tcBorders>
              <w:top w:val="nil"/>
              <w:left w:val="nil"/>
              <w:bottom w:val="nil"/>
              <w:right w:val="nil"/>
            </w:tcBorders>
            <w:shd w:val="clear" w:color="auto" w:fill="auto"/>
            <w:noWrap/>
            <w:vAlign w:val="bottom"/>
            <w:hideMark/>
          </w:tcPr>
          <w:p w14:paraId="1AC4CF37"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23,810</w:t>
            </w:r>
          </w:p>
        </w:tc>
        <w:tc>
          <w:tcPr>
            <w:tcW w:w="900" w:type="dxa"/>
            <w:tcBorders>
              <w:top w:val="nil"/>
              <w:left w:val="nil"/>
              <w:bottom w:val="nil"/>
              <w:right w:val="nil"/>
            </w:tcBorders>
            <w:shd w:val="clear" w:color="auto" w:fill="auto"/>
            <w:noWrap/>
            <w:vAlign w:val="bottom"/>
            <w:hideMark/>
          </w:tcPr>
          <w:p w14:paraId="0B4E2F2D"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23,649</w:t>
            </w:r>
          </w:p>
        </w:tc>
      </w:tr>
      <w:tr w:rsidR="000B79F5" w:rsidRPr="000B79F5" w14:paraId="7670EEAA" w14:textId="77777777" w:rsidTr="000B79F5">
        <w:trPr>
          <w:trHeight w:val="227"/>
        </w:trPr>
        <w:tc>
          <w:tcPr>
            <w:tcW w:w="2880" w:type="dxa"/>
            <w:tcBorders>
              <w:top w:val="nil"/>
              <w:left w:val="nil"/>
              <w:bottom w:val="nil"/>
              <w:right w:val="nil"/>
            </w:tcBorders>
            <w:shd w:val="clear" w:color="auto" w:fill="auto"/>
            <w:noWrap/>
            <w:vAlign w:val="bottom"/>
            <w:hideMark/>
          </w:tcPr>
          <w:p w14:paraId="7CB9B419" w14:textId="77777777" w:rsidR="000B79F5" w:rsidRPr="000B79F5" w:rsidRDefault="000B79F5" w:rsidP="000B79F5">
            <w:pPr>
              <w:spacing w:after="0"/>
              <w:ind w:firstLineChars="100" w:firstLine="160"/>
              <w:rPr>
                <w:rFonts w:ascii="Arial" w:hAnsi="Arial" w:cs="Arial"/>
                <w:color w:val="auto"/>
                <w:sz w:val="16"/>
                <w:szCs w:val="16"/>
              </w:rPr>
            </w:pPr>
            <w:r w:rsidRPr="000B79F5">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7B3F26E1"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7,982</w:t>
            </w:r>
          </w:p>
        </w:tc>
        <w:tc>
          <w:tcPr>
            <w:tcW w:w="900" w:type="dxa"/>
            <w:tcBorders>
              <w:top w:val="nil"/>
              <w:left w:val="nil"/>
              <w:bottom w:val="nil"/>
              <w:right w:val="nil"/>
            </w:tcBorders>
            <w:shd w:val="clear" w:color="000000" w:fill="D9D9D9"/>
            <w:noWrap/>
            <w:vAlign w:val="bottom"/>
            <w:hideMark/>
          </w:tcPr>
          <w:p w14:paraId="40C3730F"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5,580</w:t>
            </w:r>
          </w:p>
        </w:tc>
        <w:tc>
          <w:tcPr>
            <w:tcW w:w="900" w:type="dxa"/>
            <w:tcBorders>
              <w:top w:val="nil"/>
              <w:left w:val="nil"/>
              <w:bottom w:val="nil"/>
              <w:right w:val="nil"/>
            </w:tcBorders>
            <w:shd w:val="clear" w:color="auto" w:fill="auto"/>
            <w:noWrap/>
            <w:vAlign w:val="bottom"/>
            <w:hideMark/>
          </w:tcPr>
          <w:p w14:paraId="2521E0E4"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5,347</w:t>
            </w:r>
          </w:p>
        </w:tc>
        <w:tc>
          <w:tcPr>
            <w:tcW w:w="900" w:type="dxa"/>
            <w:tcBorders>
              <w:top w:val="nil"/>
              <w:left w:val="nil"/>
              <w:bottom w:val="nil"/>
              <w:right w:val="nil"/>
            </w:tcBorders>
            <w:shd w:val="clear" w:color="auto" w:fill="auto"/>
            <w:noWrap/>
            <w:vAlign w:val="bottom"/>
            <w:hideMark/>
          </w:tcPr>
          <w:p w14:paraId="1FBD4786"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5,005</w:t>
            </w:r>
          </w:p>
        </w:tc>
        <w:tc>
          <w:tcPr>
            <w:tcW w:w="900" w:type="dxa"/>
            <w:tcBorders>
              <w:top w:val="nil"/>
              <w:left w:val="nil"/>
              <w:bottom w:val="nil"/>
              <w:right w:val="nil"/>
            </w:tcBorders>
            <w:shd w:val="clear" w:color="auto" w:fill="auto"/>
            <w:noWrap/>
            <w:vAlign w:val="bottom"/>
            <w:hideMark/>
          </w:tcPr>
          <w:p w14:paraId="3B6D981A"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4,996</w:t>
            </w:r>
          </w:p>
        </w:tc>
      </w:tr>
      <w:tr w:rsidR="000B79F5" w:rsidRPr="000B79F5" w14:paraId="535F9225" w14:textId="77777777" w:rsidTr="000B79F5">
        <w:trPr>
          <w:trHeight w:val="227"/>
        </w:trPr>
        <w:tc>
          <w:tcPr>
            <w:tcW w:w="2880" w:type="dxa"/>
            <w:tcBorders>
              <w:top w:val="nil"/>
              <w:left w:val="nil"/>
              <w:bottom w:val="nil"/>
              <w:right w:val="nil"/>
            </w:tcBorders>
            <w:shd w:val="clear" w:color="auto" w:fill="auto"/>
            <w:noWrap/>
            <w:vAlign w:val="bottom"/>
            <w:hideMark/>
          </w:tcPr>
          <w:p w14:paraId="6580EC10" w14:textId="77777777" w:rsidR="000B79F5" w:rsidRPr="000B79F5" w:rsidRDefault="000B79F5" w:rsidP="000B79F5">
            <w:pPr>
              <w:spacing w:after="0"/>
              <w:ind w:firstLineChars="100" w:firstLine="160"/>
              <w:rPr>
                <w:rFonts w:ascii="Arial" w:hAnsi="Arial" w:cs="Arial"/>
                <w:color w:val="auto"/>
                <w:sz w:val="16"/>
                <w:szCs w:val="16"/>
              </w:rPr>
            </w:pPr>
            <w:r w:rsidRPr="000B79F5">
              <w:rPr>
                <w:rFonts w:ascii="Arial" w:hAnsi="Arial" w:cs="Arial"/>
                <w:color w:val="auto"/>
                <w:sz w:val="16"/>
                <w:szCs w:val="16"/>
              </w:rPr>
              <w:t>Interest on RoU</w:t>
            </w:r>
          </w:p>
        </w:tc>
        <w:tc>
          <w:tcPr>
            <w:tcW w:w="900" w:type="dxa"/>
            <w:tcBorders>
              <w:top w:val="nil"/>
              <w:left w:val="nil"/>
              <w:bottom w:val="nil"/>
              <w:right w:val="nil"/>
            </w:tcBorders>
            <w:shd w:val="clear" w:color="auto" w:fill="auto"/>
            <w:noWrap/>
            <w:vAlign w:val="bottom"/>
            <w:hideMark/>
          </w:tcPr>
          <w:p w14:paraId="1DED08D7"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175</w:t>
            </w:r>
          </w:p>
        </w:tc>
        <w:tc>
          <w:tcPr>
            <w:tcW w:w="900" w:type="dxa"/>
            <w:tcBorders>
              <w:top w:val="nil"/>
              <w:left w:val="nil"/>
              <w:bottom w:val="nil"/>
              <w:right w:val="nil"/>
            </w:tcBorders>
            <w:shd w:val="clear" w:color="000000" w:fill="D9D9D9"/>
            <w:noWrap/>
            <w:vAlign w:val="bottom"/>
            <w:hideMark/>
          </w:tcPr>
          <w:p w14:paraId="2978F095"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149</w:t>
            </w:r>
          </w:p>
        </w:tc>
        <w:tc>
          <w:tcPr>
            <w:tcW w:w="900" w:type="dxa"/>
            <w:tcBorders>
              <w:top w:val="nil"/>
              <w:left w:val="nil"/>
              <w:bottom w:val="nil"/>
              <w:right w:val="nil"/>
            </w:tcBorders>
            <w:shd w:val="clear" w:color="auto" w:fill="auto"/>
            <w:noWrap/>
            <w:vAlign w:val="bottom"/>
            <w:hideMark/>
          </w:tcPr>
          <w:p w14:paraId="1FB23AC1"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121</w:t>
            </w:r>
          </w:p>
        </w:tc>
        <w:tc>
          <w:tcPr>
            <w:tcW w:w="900" w:type="dxa"/>
            <w:tcBorders>
              <w:top w:val="nil"/>
              <w:left w:val="nil"/>
              <w:bottom w:val="nil"/>
              <w:right w:val="nil"/>
            </w:tcBorders>
            <w:shd w:val="clear" w:color="auto" w:fill="auto"/>
            <w:noWrap/>
            <w:vAlign w:val="bottom"/>
            <w:hideMark/>
          </w:tcPr>
          <w:p w14:paraId="1384C18D"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92</w:t>
            </w:r>
          </w:p>
        </w:tc>
        <w:tc>
          <w:tcPr>
            <w:tcW w:w="900" w:type="dxa"/>
            <w:tcBorders>
              <w:top w:val="nil"/>
              <w:left w:val="nil"/>
              <w:bottom w:val="nil"/>
              <w:right w:val="nil"/>
            </w:tcBorders>
            <w:shd w:val="clear" w:color="auto" w:fill="auto"/>
            <w:noWrap/>
            <w:vAlign w:val="bottom"/>
            <w:hideMark/>
          </w:tcPr>
          <w:p w14:paraId="670203FB"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61</w:t>
            </w:r>
          </w:p>
        </w:tc>
      </w:tr>
      <w:tr w:rsidR="000B79F5" w:rsidRPr="000B79F5" w14:paraId="46F8D4AB" w14:textId="77777777" w:rsidTr="000B79F5">
        <w:trPr>
          <w:trHeight w:val="227"/>
        </w:trPr>
        <w:tc>
          <w:tcPr>
            <w:tcW w:w="2880" w:type="dxa"/>
            <w:tcBorders>
              <w:top w:val="nil"/>
              <w:left w:val="nil"/>
              <w:bottom w:val="nil"/>
              <w:right w:val="nil"/>
            </w:tcBorders>
            <w:shd w:val="clear" w:color="auto" w:fill="auto"/>
            <w:noWrap/>
            <w:vAlign w:val="bottom"/>
            <w:hideMark/>
          </w:tcPr>
          <w:p w14:paraId="147666BE" w14:textId="77777777" w:rsidR="000B79F5" w:rsidRPr="000B79F5" w:rsidRDefault="000B79F5" w:rsidP="000B79F5">
            <w:pPr>
              <w:spacing w:after="0"/>
              <w:ind w:firstLineChars="100" w:firstLine="160"/>
              <w:rPr>
                <w:rFonts w:ascii="Arial" w:hAnsi="Arial" w:cs="Arial"/>
                <w:color w:val="auto"/>
                <w:sz w:val="16"/>
                <w:szCs w:val="16"/>
              </w:rPr>
            </w:pPr>
            <w:r w:rsidRPr="000B79F5">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1D503D93"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2A56ECDF"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3C9F0E4"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52B386A"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6200F53"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w:t>
            </w:r>
          </w:p>
        </w:tc>
      </w:tr>
      <w:tr w:rsidR="000B79F5" w:rsidRPr="000B79F5" w14:paraId="3E184419" w14:textId="77777777" w:rsidTr="000B79F5">
        <w:trPr>
          <w:trHeight w:val="227"/>
        </w:trPr>
        <w:tc>
          <w:tcPr>
            <w:tcW w:w="2880" w:type="dxa"/>
            <w:tcBorders>
              <w:top w:val="nil"/>
              <w:left w:val="nil"/>
              <w:bottom w:val="nil"/>
              <w:right w:val="nil"/>
            </w:tcBorders>
            <w:shd w:val="clear" w:color="auto" w:fill="auto"/>
            <w:noWrap/>
            <w:vAlign w:val="bottom"/>
            <w:hideMark/>
          </w:tcPr>
          <w:p w14:paraId="53038527" w14:textId="77777777" w:rsidR="000B79F5" w:rsidRPr="000B79F5" w:rsidRDefault="000B79F5" w:rsidP="000B79F5">
            <w:pPr>
              <w:spacing w:after="0"/>
              <w:ind w:firstLineChars="100" w:firstLine="160"/>
              <w:rPr>
                <w:rFonts w:ascii="Arial" w:hAnsi="Arial" w:cs="Arial"/>
                <w:b/>
                <w:bCs/>
                <w:color w:val="auto"/>
                <w:sz w:val="16"/>
                <w:szCs w:val="16"/>
              </w:rPr>
            </w:pPr>
            <w:r w:rsidRPr="000B79F5">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49180BA0"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58,683</w:t>
            </w:r>
          </w:p>
        </w:tc>
        <w:tc>
          <w:tcPr>
            <w:tcW w:w="900" w:type="dxa"/>
            <w:tcBorders>
              <w:top w:val="nil"/>
              <w:left w:val="nil"/>
              <w:bottom w:val="single" w:sz="4" w:space="0" w:color="auto"/>
              <w:right w:val="nil"/>
            </w:tcBorders>
            <w:shd w:val="clear" w:color="000000" w:fill="D9D9D9"/>
            <w:noWrap/>
            <w:vAlign w:val="bottom"/>
            <w:hideMark/>
          </w:tcPr>
          <w:p w14:paraId="3A82C687"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57,189</w:t>
            </w:r>
          </w:p>
        </w:tc>
        <w:tc>
          <w:tcPr>
            <w:tcW w:w="900" w:type="dxa"/>
            <w:tcBorders>
              <w:top w:val="nil"/>
              <w:left w:val="nil"/>
              <w:bottom w:val="single" w:sz="4" w:space="0" w:color="auto"/>
              <w:right w:val="nil"/>
            </w:tcBorders>
            <w:shd w:val="clear" w:color="auto" w:fill="auto"/>
            <w:noWrap/>
            <w:vAlign w:val="bottom"/>
            <w:hideMark/>
          </w:tcPr>
          <w:p w14:paraId="4606F4DF"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57,814</w:t>
            </w:r>
          </w:p>
        </w:tc>
        <w:tc>
          <w:tcPr>
            <w:tcW w:w="900" w:type="dxa"/>
            <w:tcBorders>
              <w:top w:val="nil"/>
              <w:left w:val="nil"/>
              <w:bottom w:val="single" w:sz="4" w:space="0" w:color="auto"/>
              <w:right w:val="nil"/>
            </w:tcBorders>
            <w:shd w:val="clear" w:color="auto" w:fill="auto"/>
            <w:noWrap/>
            <w:vAlign w:val="bottom"/>
            <w:hideMark/>
          </w:tcPr>
          <w:p w14:paraId="13ECE1F6"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58,035</w:t>
            </w:r>
          </w:p>
        </w:tc>
        <w:tc>
          <w:tcPr>
            <w:tcW w:w="900" w:type="dxa"/>
            <w:tcBorders>
              <w:top w:val="nil"/>
              <w:left w:val="nil"/>
              <w:bottom w:val="single" w:sz="4" w:space="0" w:color="auto"/>
              <w:right w:val="nil"/>
            </w:tcBorders>
            <w:shd w:val="clear" w:color="auto" w:fill="auto"/>
            <w:noWrap/>
            <w:vAlign w:val="bottom"/>
            <w:hideMark/>
          </w:tcPr>
          <w:p w14:paraId="01A550C5"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58,708</w:t>
            </w:r>
          </w:p>
        </w:tc>
      </w:tr>
      <w:tr w:rsidR="000B79F5" w:rsidRPr="000B79F5" w14:paraId="240ED804" w14:textId="77777777" w:rsidTr="000B79F5">
        <w:trPr>
          <w:trHeight w:val="227"/>
        </w:trPr>
        <w:tc>
          <w:tcPr>
            <w:tcW w:w="2880" w:type="dxa"/>
            <w:tcBorders>
              <w:top w:val="nil"/>
              <w:left w:val="nil"/>
              <w:bottom w:val="nil"/>
              <w:right w:val="nil"/>
            </w:tcBorders>
            <w:shd w:val="clear" w:color="auto" w:fill="auto"/>
            <w:noWrap/>
            <w:vAlign w:val="bottom"/>
            <w:hideMark/>
          </w:tcPr>
          <w:p w14:paraId="43F94534" w14:textId="77777777" w:rsidR="000B79F5" w:rsidRPr="000B79F5" w:rsidRDefault="000B79F5" w:rsidP="000B79F5">
            <w:pPr>
              <w:spacing w:after="0"/>
              <w:rPr>
                <w:rFonts w:ascii="Arial" w:hAnsi="Arial" w:cs="Arial"/>
                <w:b/>
                <w:bCs/>
                <w:color w:val="auto"/>
                <w:sz w:val="16"/>
                <w:szCs w:val="16"/>
              </w:rPr>
            </w:pPr>
            <w:r w:rsidRPr="000B79F5">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4CE0C431" w14:textId="77777777" w:rsidR="000B79F5" w:rsidRPr="000B79F5" w:rsidRDefault="000B79F5" w:rsidP="000B79F5">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5D35FA5"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79092098" w14:textId="77777777" w:rsidR="000B79F5" w:rsidRPr="000B79F5" w:rsidRDefault="000B79F5" w:rsidP="000B79F5">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6E345762" w14:textId="77777777" w:rsidR="000B79F5" w:rsidRPr="000B79F5" w:rsidRDefault="000B79F5" w:rsidP="000B79F5">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690947A8" w14:textId="77777777" w:rsidR="000B79F5" w:rsidRPr="000B79F5" w:rsidRDefault="000B79F5" w:rsidP="000B79F5">
            <w:pPr>
              <w:spacing w:after="0"/>
              <w:jc w:val="right"/>
              <w:rPr>
                <w:rFonts w:ascii="Times New Roman" w:hAnsi="Times New Roman"/>
                <w:color w:val="auto"/>
                <w:sz w:val="20"/>
              </w:rPr>
            </w:pPr>
          </w:p>
        </w:tc>
      </w:tr>
      <w:tr w:rsidR="000B79F5" w:rsidRPr="000B79F5" w14:paraId="13709965" w14:textId="77777777" w:rsidTr="000B79F5">
        <w:trPr>
          <w:trHeight w:val="227"/>
        </w:trPr>
        <w:tc>
          <w:tcPr>
            <w:tcW w:w="2880" w:type="dxa"/>
            <w:tcBorders>
              <w:top w:val="nil"/>
              <w:left w:val="nil"/>
              <w:bottom w:val="nil"/>
              <w:right w:val="nil"/>
            </w:tcBorders>
            <w:shd w:val="clear" w:color="auto" w:fill="auto"/>
            <w:noWrap/>
            <w:vAlign w:val="bottom"/>
            <w:hideMark/>
          </w:tcPr>
          <w:p w14:paraId="6881DF14" w14:textId="77777777" w:rsidR="000B79F5" w:rsidRPr="000B79F5" w:rsidRDefault="000B79F5" w:rsidP="000B79F5">
            <w:pPr>
              <w:spacing w:after="0"/>
              <w:rPr>
                <w:rFonts w:ascii="Arial" w:hAnsi="Arial" w:cs="Arial"/>
                <w:b/>
                <w:bCs/>
                <w:color w:val="auto"/>
                <w:sz w:val="16"/>
                <w:szCs w:val="16"/>
              </w:rPr>
            </w:pPr>
            <w:r w:rsidRPr="000B79F5">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5957E2FF" w14:textId="77777777" w:rsidR="000B79F5" w:rsidRPr="000B79F5" w:rsidRDefault="000B79F5" w:rsidP="000B79F5">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1BAC3D96"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39C35B04" w14:textId="77777777" w:rsidR="000B79F5" w:rsidRPr="000B79F5" w:rsidRDefault="000B79F5" w:rsidP="000B79F5">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168772C9" w14:textId="77777777" w:rsidR="000B79F5" w:rsidRPr="000B79F5" w:rsidRDefault="000B79F5" w:rsidP="000B79F5">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654B43B0" w14:textId="77777777" w:rsidR="000B79F5" w:rsidRPr="000B79F5" w:rsidRDefault="000B79F5" w:rsidP="000B79F5">
            <w:pPr>
              <w:spacing w:after="0"/>
              <w:jc w:val="right"/>
              <w:rPr>
                <w:rFonts w:ascii="Times New Roman" w:hAnsi="Times New Roman"/>
                <w:color w:val="auto"/>
                <w:sz w:val="20"/>
              </w:rPr>
            </w:pPr>
          </w:p>
        </w:tc>
      </w:tr>
      <w:tr w:rsidR="000B79F5" w:rsidRPr="000B79F5" w14:paraId="296424E3" w14:textId="77777777" w:rsidTr="000B79F5">
        <w:trPr>
          <w:trHeight w:val="227"/>
        </w:trPr>
        <w:tc>
          <w:tcPr>
            <w:tcW w:w="2880" w:type="dxa"/>
            <w:tcBorders>
              <w:top w:val="nil"/>
              <w:left w:val="nil"/>
              <w:bottom w:val="nil"/>
              <w:right w:val="nil"/>
            </w:tcBorders>
            <w:shd w:val="clear" w:color="auto" w:fill="auto"/>
            <w:noWrap/>
            <w:vAlign w:val="bottom"/>
            <w:hideMark/>
          </w:tcPr>
          <w:p w14:paraId="61B98517" w14:textId="77777777" w:rsidR="000B79F5" w:rsidRPr="000B79F5" w:rsidRDefault="000B79F5" w:rsidP="000B79F5">
            <w:pPr>
              <w:spacing w:after="0"/>
              <w:ind w:firstLineChars="100" w:firstLine="160"/>
              <w:rPr>
                <w:rFonts w:ascii="Arial" w:hAnsi="Arial" w:cs="Arial"/>
                <w:b/>
                <w:bCs/>
                <w:color w:val="auto"/>
                <w:sz w:val="16"/>
                <w:szCs w:val="16"/>
              </w:rPr>
            </w:pPr>
            <w:r w:rsidRPr="000B79F5">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14:paraId="2533B58C" w14:textId="77777777" w:rsidR="000B79F5" w:rsidRPr="000B79F5" w:rsidRDefault="000B79F5" w:rsidP="000B79F5">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BC88ECE"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681B5198" w14:textId="77777777" w:rsidR="000B79F5" w:rsidRPr="000B79F5" w:rsidRDefault="000B79F5" w:rsidP="000B79F5">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7B162F79" w14:textId="77777777" w:rsidR="000B79F5" w:rsidRPr="000B79F5" w:rsidRDefault="000B79F5" w:rsidP="000B79F5">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1D282D72" w14:textId="77777777" w:rsidR="000B79F5" w:rsidRPr="000B79F5" w:rsidRDefault="000B79F5" w:rsidP="000B79F5">
            <w:pPr>
              <w:spacing w:after="0"/>
              <w:jc w:val="right"/>
              <w:rPr>
                <w:rFonts w:ascii="Times New Roman" w:hAnsi="Times New Roman"/>
                <w:color w:val="auto"/>
                <w:sz w:val="20"/>
              </w:rPr>
            </w:pPr>
          </w:p>
        </w:tc>
      </w:tr>
      <w:tr w:rsidR="000B79F5" w:rsidRPr="000B79F5" w14:paraId="4E05FCA7" w14:textId="77777777" w:rsidTr="000B79F5">
        <w:trPr>
          <w:trHeight w:val="227"/>
        </w:trPr>
        <w:tc>
          <w:tcPr>
            <w:tcW w:w="2880" w:type="dxa"/>
            <w:tcBorders>
              <w:top w:val="nil"/>
              <w:left w:val="nil"/>
              <w:bottom w:val="nil"/>
              <w:right w:val="nil"/>
            </w:tcBorders>
            <w:shd w:val="clear" w:color="auto" w:fill="auto"/>
            <w:vAlign w:val="bottom"/>
            <w:hideMark/>
          </w:tcPr>
          <w:p w14:paraId="01E7F455" w14:textId="77777777" w:rsidR="000B79F5" w:rsidRPr="000B79F5" w:rsidRDefault="000B79F5" w:rsidP="000B79F5">
            <w:pPr>
              <w:spacing w:after="0"/>
              <w:ind w:leftChars="150" w:left="285"/>
              <w:rPr>
                <w:rFonts w:ascii="Arial" w:hAnsi="Arial" w:cs="Arial"/>
                <w:color w:val="auto"/>
                <w:sz w:val="16"/>
                <w:szCs w:val="16"/>
              </w:rPr>
            </w:pPr>
            <w:r w:rsidRPr="000B79F5">
              <w:rPr>
                <w:rFonts w:ascii="Arial" w:hAnsi="Arial" w:cs="Arial"/>
                <w:color w:val="auto"/>
                <w:sz w:val="16"/>
                <w:szCs w:val="16"/>
              </w:rPr>
              <w:t>Sale of goods and rendering of services</w:t>
            </w:r>
          </w:p>
        </w:tc>
        <w:tc>
          <w:tcPr>
            <w:tcW w:w="900" w:type="dxa"/>
            <w:tcBorders>
              <w:top w:val="nil"/>
              <w:left w:val="nil"/>
              <w:bottom w:val="nil"/>
              <w:right w:val="nil"/>
            </w:tcBorders>
            <w:shd w:val="clear" w:color="auto" w:fill="auto"/>
            <w:noWrap/>
            <w:vAlign w:val="bottom"/>
            <w:hideMark/>
          </w:tcPr>
          <w:p w14:paraId="3A950884"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16,749</w:t>
            </w:r>
          </w:p>
        </w:tc>
        <w:tc>
          <w:tcPr>
            <w:tcW w:w="900" w:type="dxa"/>
            <w:tcBorders>
              <w:top w:val="nil"/>
              <w:left w:val="nil"/>
              <w:bottom w:val="nil"/>
              <w:right w:val="nil"/>
            </w:tcBorders>
            <w:shd w:val="clear" w:color="000000" w:fill="D9D9D9"/>
            <w:noWrap/>
            <w:vAlign w:val="bottom"/>
            <w:hideMark/>
          </w:tcPr>
          <w:p w14:paraId="02748D2C"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16,668</w:t>
            </w:r>
          </w:p>
        </w:tc>
        <w:tc>
          <w:tcPr>
            <w:tcW w:w="900" w:type="dxa"/>
            <w:tcBorders>
              <w:top w:val="nil"/>
              <w:left w:val="nil"/>
              <w:bottom w:val="nil"/>
              <w:right w:val="nil"/>
            </w:tcBorders>
            <w:shd w:val="clear" w:color="auto" w:fill="auto"/>
            <w:noWrap/>
            <w:vAlign w:val="bottom"/>
            <w:hideMark/>
          </w:tcPr>
          <w:p w14:paraId="4C58739A"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16,709</w:t>
            </w:r>
          </w:p>
        </w:tc>
        <w:tc>
          <w:tcPr>
            <w:tcW w:w="900" w:type="dxa"/>
            <w:tcBorders>
              <w:top w:val="nil"/>
              <w:left w:val="nil"/>
              <w:bottom w:val="nil"/>
              <w:right w:val="nil"/>
            </w:tcBorders>
            <w:shd w:val="clear" w:color="auto" w:fill="auto"/>
            <w:noWrap/>
            <w:vAlign w:val="bottom"/>
            <w:hideMark/>
          </w:tcPr>
          <w:p w14:paraId="7857B1A3"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16,709</w:t>
            </w:r>
          </w:p>
        </w:tc>
        <w:tc>
          <w:tcPr>
            <w:tcW w:w="900" w:type="dxa"/>
            <w:tcBorders>
              <w:top w:val="nil"/>
              <w:left w:val="nil"/>
              <w:bottom w:val="nil"/>
              <w:right w:val="nil"/>
            </w:tcBorders>
            <w:shd w:val="clear" w:color="auto" w:fill="auto"/>
            <w:noWrap/>
            <w:vAlign w:val="bottom"/>
            <w:hideMark/>
          </w:tcPr>
          <w:p w14:paraId="5746B120"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16,709</w:t>
            </w:r>
          </w:p>
        </w:tc>
      </w:tr>
      <w:tr w:rsidR="000B79F5" w:rsidRPr="000B79F5" w14:paraId="41196787" w14:textId="77777777" w:rsidTr="000B79F5">
        <w:trPr>
          <w:trHeight w:val="227"/>
        </w:trPr>
        <w:tc>
          <w:tcPr>
            <w:tcW w:w="2880" w:type="dxa"/>
            <w:tcBorders>
              <w:top w:val="nil"/>
              <w:left w:val="nil"/>
              <w:bottom w:val="nil"/>
              <w:right w:val="nil"/>
            </w:tcBorders>
            <w:shd w:val="clear" w:color="auto" w:fill="auto"/>
            <w:noWrap/>
            <w:vAlign w:val="bottom"/>
            <w:hideMark/>
          </w:tcPr>
          <w:p w14:paraId="56BA7F50" w14:textId="77777777" w:rsidR="000B79F5" w:rsidRPr="000B79F5" w:rsidRDefault="000B79F5" w:rsidP="000B79F5">
            <w:pPr>
              <w:spacing w:after="0"/>
              <w:ind w:leftChars="150" w:left="285"/>
              <w:rPr>
                <w:rFonts w:ascii="Arial" w:hAnsi="Arial" w:cs="Arial"/>
                <w:b/>
                <w:bCs/>
                <w:color w:val="auto"/>
                <w:sz w:val="16"/>
                <w:szCs w:val="16"/>
              </w:rPr>
            </w:pPr>
            <w:r w:rsidRPr="000B79F5">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4BB30870"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16,749</w:t>
            </w:r>
          </w:p>
        </w:tc>
        <w:tc>
          <w:tcPr>
            <w:tcW w:w="900" w:type="dxa"/>
            <w:tcBorders>
              <w:top w:val="nil"/>
              <w:left w:val="nil"/>
              <w:bottom w:val="single" w:sz="4" w:space="0" w:color="auto"/>
              <w:right w:val="nil"/>
            </w:tcBorders>
            <w:shd w:val="clear" w:color="000000" w:fill="D9D9D9"/>
            <w:noWrap/>
            <w:vAlign w:val="bottom"/>
            <w:hideMark/>
          </w:tcPr>
          <w:p w14:paraId="2E578B81"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16,668</w:t>
            </w:r>
          </w:p>
        </w:tc>
        <w:tc>
          <w:tcPr>
            <w:tcW w:w="900" w:type="dxa"/>
            <w:tcBorders>
              <w:top w:val="nil"/>
              <w:left w:val="nil"/>
              <w:bottom w:val="single" w:sz="4" w:space="0" w:color="auto"/>
              <w:right w:val="nil"/>
            </w:tcBorders>
            <w:shd w:val="clear" w:color="auto" w:fill="auto"/>
            <w:noWrap/>
            <w:vAlign w:val="bottom"/>
            <w:hideMark/>
          </w:tcPr>
          <w:p w14:paraId="6F8F8D08"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16,709</w:t>
            </w:r>
          </w:p>
        </w:tc>
        <w:tc>
          <w:tcPr>
            <w:tcW w:w="900" w:type="dxa"/>
            <w:tcBorders>
              <w:top w:val="nil"/>
              <w:left w:val="nil"/>
              <w:bottom w:val="single" w:sz="4" w:space="0" w:color="auto"/>
              <w:right w:val="nil"/>
            </w:tcBorders>
            <w:shd w:val="clear" w:color="auto" w:fill="auto"/>
            <w:noWrap/>
            <w:vAlign w:val="bottom"/>
            <w:hideMark/>
          </w:tcPr>
          <w:p w14:paraId="71225C72"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16,709</w:t>
            </w:r>
          </w:p>
        </w:tc>
        <w:tc>
          <w:tcPr>
            <w:tcW w:w="900" w:type="dxa"/>
            <w:tcBorders>
              <w:top w:val="nil"/>
              <w:left w:val="nil"/>
              <w:bottom w:val="single" w:sz="4" w:space="0" w:color="auto"/>
              <w:right w:val="nil"/>
            </w:tcBorders>
            <w:shd w:val="clear" w:color="auto" w:fill="auto"/>
            <w:noWrap/>
            <w:vAlign w:val="bottom"/>
            <w:hideMark/>
          </w:tcPr>
          <w:p w14:paraId="4E417B06"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16,709</w:t>
            </w:r>
          </w:p>
        </w:tc>
      </w:tr>
      <w:tr w:rsidR="000B79F5" w:rsidRPr="000B79F5" w14:paraId="75EFB165" w14:textId="77777777" w:rsidTr="000B79F5">
        <w:trPr>
          <w:trHeight w:val="227"/>
        </w:trPr>
        <w:tc>
          <w:tcPr>
            <w:tcW w:w="2880" w:type="dxa"/>
            <w:tcBorders>
              <w:top w:val="nil"/>
              <w:left w:val="nil"/>
              <w:bottom w:val="nil"/>
              <w:right w:val="nil"/>
            </w:tcBorders>
            <w:shd w:val="clear" w:color="auto" w:fill="auto"/>
            <w:noWrap/>
            <w:vAlign w:val="bottom"/>
            <w:hideMark/>
          </w:tcPr>
          <w:p w14:paraId="06A5716D" w14:textId="77777777" w:rsidR="000B79F5" w:rsidRPr="000B79F5" w:rsidRDefault="000B79F5" w:rsidP="000B79F5">
            <w:pPr>
              <w:spacing w:after="0"/>
              <w:ind w:firstLineChars="100" w:firstLine="160"/>
              <w:rPr>
                <w:rFonts w:ascii="Arial" w:hAnsi="Arial" w:cs="Arial"/>
                <w:b/>
                <w:bCs/>
                <w:color w:val="auto"/>
                <w:sz w:val="16"/>
                <w:szCs w:val="16"/>
              </w:rPr>
            </w:pPr>
            <w:r w:rsidRPr="000B79F5">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13FD0BBC" w14:textId="77777777" w:rsidR="000B79F5" w:rsidRPr="000B79F5" w:rsidRDefault="000B79F5" w:rsidP="000B79F5">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DB7FA6B"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460ED3E1" w14:textId="77777777" w:rsidR="000B79F5" w:rsidRPr="000B79F5" w:rsidRDefault="000B79F5" w:rsidP="000B79F5">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41E34611" w14:textId="77777777" w:rsidR="000B79F5" w:rsidRPr="000B79F5" w:rsidRDefault="000B79F5" w:rsidP="000B79F5">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4703C029" w14:textId="77777777" w:rsidR="000B79F5" w:rsidRPr="000B79F5" w:rsidRDefault="000B79F5" w:rsidP="000B79F5">
            <w:pPr>
              <w:spacing w:after="0"/>
              <w:jc w:val="right"/>
              <w:rPr>
                <w:rFonts w:ascii="Times New Roman" w:hAnsi="Times New Roman"/>
                <w:color w:val="auto"/>
                <w:sz w:val="20"/>
              </w:rPr>
            </w:pPr>
          </w:p>
        </w:tc>
      </w:tr>
      <w:tr w:rsidR="000B79F5" w:rsidRPr="000B79F5" w14:paraId="4B909A84" w14:textId="77777777" w:rsidTr="000B79F5">
        <w:trPr>
          <w:trHeight w:val="227"/>
        </w:trPr>
        <w:tc>
          <w:tcPr>
            <w:tcW w:w="2880" w:type="dxa"/>
            <w:tcBorders>
              <w:top w:val="nil"/>
              <w:left w:val="nil"/>
              <w:bottom w:val="nil"/>
              <w:right w:val="nil"/>
            </w:tcBorders>
            <w:shd w:val="clear" w:color="auto" w:fill="auto"/>
            <w:noWrap/>
            <w:vAlign w:val="bottom"/>
            <w:hideMark/>
          </w:tcPr>
          <w:p w14:paraId="07755AFE" w14:textId="77777777" w:rsidR="000B79F5" w:rsidRPr="000B79F5" w:rsidRDefault="000B79F5" w:rsidP="000B79F5">
            <w:pPr>
              <w:spacing w:after="0"/>
              <w:ind w:leftChars="150" w:left="285"/>
              <w:rPr>
                <w:rFonts w:ascii="Arial" w:hAnsi="Arial" w:cs="Arial"/>
                <w:color w:val="auto"/>
                <w:sz w:val="16"/>
                <w:szCs w:val="16"/>
              </w:rPr>
            </w:pPr>
            <w:r w:rsidRPr="000B79F5">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3C3079F2"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108</w:t>
            </w:r>
          </w:p>
        </w:tc>
        <w:tc>
          <w:tcPr>
            <w:tcW w:w="900" w:type="dxa"/>
            <w:tcBorders>
              <w:top w:val="nil"/>
              <w:left w:val="nil"/>
              <w:bottom w:val="nil"/>
              <w:right w:val="nil"/>
            </w:tcBorders>
            <w:shd w:val="clear" w:color="000000" w:fill="D9D9D9"/>
            <w:noWrap/>
            <w:vAlign w:val="bottom"/>
            <w:hideMark/>
          </w:tcPr>
          <w:p w14:paraId="2AC3112E"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108</w:t>
            </w:r>
          </w:p>
        </w:tc>
        <w:tc>
          <w:tcPr>
            <w:tcW w:w="900" w:type="dxa"/>
            <w:tcBorders>
              <w:top w:val="nil"/>
              <w:left w:val="nil"/>
              <w:bottom w:val="nil"/>
              <w:right w:val="nil"/>
            </w:tcBorders>
            <w:shd w:val="clear" w:color="auto" w:fill="auto"/>
            <w:noWrap/>
            <w:vAlign w:val="bottom"/>
            <w:hideMark/>
          </w:tcPr>
          <w:p w14:paraId="1876EA81"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108</w:t>
            </w:r>
          </w:p>
        </w:tc>
        <w:tc>
          <w:tcPr>
            <w:tcW w:w="900" w:type="dxa"/>
            <w:tcBorders>
              <w:top w:val="nil"/>
              <w:left w:val="nil"/>
              <w:bottom w:val="nil"/>
              <w:right w:val="nil"/>
            </w:tcBorders>
            <w:shd w:val="clear" w:color="auto" w:fill="auto"/>
            <w:noWrap/>
            <w:vAlign w:val="bottom"/>
            <w:hideMark/>
          </w:tcPr>
          <w:p w14:paraId="250F13B5"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108</w:t>
            </w:r>
          </w:p>
        </w:tc>
        <w:tc>
          <w:tcPr>
            <w:tcW w:w="900" w:type="dxa"/>
            <w:tcBorders>
              <w:top w:val="nil"/>
              <w:left w:val="nil"/>
              <w:bottom w:val="nil"/>
              <w:right w:val="nil"/>
            </w:tcBorders>
            <w:shd w:val="clear" w:color="auto" w:fill="auto"/>
            <w:noWrap/>
            <w:vAlign w:val="bottom"/>
            <w:hideMark/>
          </w:tcPr>
          <w:p w14:paraId="4E73CD1C"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108</w:t>
            </w:r>
          </w:p>
        </w:tc>
      </w:tr>
      <w:tr w:rsidR="000B79F5" w:rsidRPr="000B79F5" w14:paraId="48E9E095" w14:textId="77777777" w:rsidTr="000B79F5">
        <w:trPr>
          <w:trHeight w:val="227"/>
        </w:trPr>
        <w:tc>
          <w:tcPr>
            <w:tcW w:w="2880" w:type="dxa"/>
            <w:tcBorders>
              <w:top w:val="nil"/>
              <w:left w:val="nil"/>
              <w:bottom w:val="nil"/>
              <w:right w:val="nil"/>
            </w:tcBorders>
            <w:shd w:val="clear" w:color="auto" w:fill="auto"/>
            <w:noWrap/>
            <w:vAlign w:val="bottom"/>
            <w:hideMark/>
          </w:tcPr>
          <w:p w14:paraId="058490A6" w14:textId="77777777" w:rsidR="000B79F5" w:rsidRPr="000B79F5" w:rsidRDefault="000B79F5" w:rsidP="000B79F5">
            <w:pPr>
              <w:spacing w:after="0"/>
              <w:ind w:leftChars="150" w:left="285"/>
              <w:rPr>
                <w:rFonts w:ascii="Arial" w:hAnsi="Arial" w:cs="Arial"/>
                <w:b/>
                <w:bCs/>
                <w:color w:val="auto"/>
                <w:sz w:val="16"/>
                <w:szCs w:val="16"/>
              </w:rPr>
            </w:pPr>
            <w:r w:rsidRPr="000B79F5">
              <w:rPr>
                <w:rFonts w:ascii="Arial" w:hAnsi="Arial" w:cs="Arial"/>
                <w:b/>
                <w:bCs/>
                <w:color w:val="auto"/>
                <w:sz w:val="16"/>
                <w:szCs w:val="16"/>
              </w:rPr>
              <w:t>Total gains</w:t>
            </w:r>
          </w:p>
        </w:tc>
        <w:tc>
          <w:tcPr>
            <w:tcW w:w="900" w:type="dxa"/>
            <w:tcBorders>
              <w:top w:val="nil"/>
              <w:left w:val="nil"/>
              <w:bottom w:val="single" w:sz="4" w:space="0" w:color="auto"/>
              <w:right w:val="nil"/>
            </w:tcBorders>
            <w:shd w:val="clear" w:color="auto" w:fill="auto"/>
            <w:noWrap/>
            <w:vAlign w:val="bottom"/>
            <w:hideMark/>
          </w:tcPr>
          <w:p w14:paraId="49ADE9D9"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108</w:t>
            </w:r>
          </w:p>
        </w:tc>
        <w:tc>
          <w:tcPr>
            <w:tcW w:w="900" w:type="dxa"/>
            <w:tcBorders>
              <w:top w:val="nil"/>
              <w:left w:val="nil"/>
              <w:bottom w:val="single" w:sz="4" w:space="0" w:color="auto"/>
              <w:right w:val="nil"/>
            </w:tcBorders>
            <w:shd w:val="clear" w:color="000000" w:fill="D9D9D9"/>
            <w:noWrap/>
            <w:vAlign w:val="bottom"/>
            <w:hideMark/>
          </w:tcPr>
          <w:p w14:paraId="2FF116DB"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108</w:t>
            </w:r>
          </w:p>
        </w:tc>
        <w:tc>
          <w:tcPr>
            <w:tcW w:w="900" w:type="dxa"/>
            <w:tcBorders>
              <w:top w:val="nil"/>
              <w:left w:val="nil"/>
              <w:bottom w:val="single" w:sz="4" w:space="0" w:color="auto"/>
              <w:right w:val="nil"/>
            </w:tcBorders>
            <w:shd w:val="clear" w:color="auto" w:fill="auto"/>
            <w:noWrap/>
            <w:vAlign w:val="bottom"/>
            <w:hideMark/>
          </w:tcPr>
          <w:p w14:paraId="4F068E0C"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108</w:t>
            </w:r>
          </w:p>
        </w:tc>
        <w:tc>
          <w:tcPr>
            <w:tcW w:w="900" w:type="dxa"/>
            <w:tcBorders>
              <w:top w:val="nil"/>
              <w:left w:val="nil"/>
              <w:bottom w:val="single" w:sz="4" w:space="0" w:color="auto"/>
              <w:right w:val="nil"/>
            </w:tcBorders>
            <w:shd w:val="clear" w:color="auto" w:fill="auto"/>
            <w:noWrap/>
            <w:vAlign w:val="bottom"/>
            <w:hideMark/>
          </w:tcPr>
          <w:p w14:paraId="49844EEE"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108</w:t>
            </w:r>
          </w:p>
        </w:tc>
        <w:tc>
          <w:tcPr>
            <w:tcW w:w="900" w:type="dxa"/>
            <w:tcBorders>
              <w:top w:val="nil"/>
              <w:left w:val="nil"/>
              <w:bottom w:val="single" w:sz="4" w:space="0" w:color="auto"/>
              <w:right w:val="nil"/>
            </w:tcBorders>
            <w:shd w:val="clear" w:color="auto" w:fill="auto"/>
            <w:noWrap/>
            <w:vAlign w:val="bottom"/>
            <w:hideMark/>
          </w:tcPr>
          <w:p w14:paraId="73D4E1DD"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108</w:t>
            </w:r>
          </w:p>
        </w:tc>
      </w:tr>
      <w:tr w:rsidR="000B79F5" w:rsidRPr="000B79F5" w14:paraId="2E997096" w14:textId="77777777" w:rsidTr="000B79F5">
        <w:trPr>
          <w:trHeight w:val="227"/>
        </w:trPr>
        <w:tc>
          <w:tcPr>
            <w:tcW w:w="2880" w:type="dxa"/>
            <w:tcBorders>
              <w:top w:val="nil"/>
              <w:left w:val="nil"/>
              <w:bottom w:val="nil"/>
              <w:right w:val="nil"/>
            </w:tcBorders>
            <w:shd w:val="clear" w:color="auto" w:fill="auto"/>
            <w:noWrap/>
            <w:vAlign w:val="bottom"/>
            <w:hideMark/>
          </w:tcPr>
          <w:p w14:paraId="4F59935D" w14:textId="77777777" w:rsidR="000B79F5" w:rsidRPr="000B79F5" w:rsidRDefault="000B79F5" w:rsidP="000B79F5">
            <w:pPr>
              <w:spacing w:after="0"/>
              <w:ind w:firstLineChars="100" w:firstLine="160"/>
              <w:rPr>
                <w:rFonts w:ascii="Arial" w:hAnsi="Arial" w:cs="Arial"/>
                <w:b/>
                <w:bCs/>
                <w:color w:val="auto"/>
                <w:sz w:val="16"/>
                <w:szCs w:val="16"/>
              </w:rPr>
            </w:pPr>
            <w:r w:rsidRPr="000B79F5">
              <w:rPr>
                <w:rFonts w:ascii="Arial" w:hAnsi="Arial" w:cs="Arial"/>
                <w:b/>
                <w:bCs/>
                <w:color w:val="auto"/>
                <w:sz w:val="16"/>
                <w:szCs w:val="16"/>
              </w:rPr>
              <w:t>Total own-source income</w:t>
            </w:r>
          </w:p>
        </w:tc>
        <w:tc>
          <w:tcPr>
            <w:tcW w:w="900" w:type="dxa"/>
            <w:tcBorders>
              <w:top w:val="nil"/>
              <w:left w:val="nil"/>
              <w:bottom w:val="single" w:sz="4" w:space="0" w:color="auto"/>
              <w:right w:val="nil"/>
            </w:tcBorders>
            <w:shd w:val="clear" w:color="auto" w:fill="auto"/>
            <w:noWrap/>
            <w:vAlign w:val="bottom"/>
            <w:hideMark/>
          </w:tcPr>
          <w:p w14:paraId="3A772B74"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16,857</w:t>
            </w:r>
          </w:p>
        </w:tc>
        <w:tc>
          <w:tcPr>
            <w:tcW w:w="900" w:type="dxa"/>
            <w:tcBorders>
              <w:top w:val="nil"/>
              <w:left w:val="nil"/>
              <w:bottom w:val="single" w:sz="4" w:space="0" w:color="auto"/>
              <w:right w:val="nil"/>
            </w:tcBorders>
            <w:shd w:val="clear" w:color="000000" w:fill="D9D9D9"/>
            <w:noWrap/>
            <w:vAlign w:val="bottom"/>
            <w:hideMark/>
          </w:tcPr>
          <w:p w14:paraId="08CAE4B9"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16,776</w:t>
            </w:r>
          </w:p>
        </w:tc>
        <w:tc>
          <w:tcPr>
            <w:tcW w:w="900" w:type="dxa"/>
            <w:tcBorders>
              <w:top w:val="nil"/>
              <w:left w:val="nil"/>
              <w:bottom w:val="single" w:sz="4" w:space="0" w:color="auto"/>
              <w:right w:val="nil"/>
            </w:tcBorders>
            <w:shd w:val="clear" w:color="auto" w:fill="auto"/>
            <w:noWrap/>
            <w:vAlign w:val="bottom"/>
            <w:hideMark/>
          </w:tcPr>
          <w:p w14:paraId="6AB5500A"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16,817</w:t>
            </w:r>
          </w:p>
        </w:tc>
        <w:tc>
          <w:tcPr>
            <w:tcW w:w="900" w:type="dxa"/>
            <w:tcBorders>
              <w:top w:val="nil"/>
              <w:left w:val="nil"/>
              <w:bottom w:val="single" w:sz="4" w:space="0" w:color="auto"/>
              <w:right w:val="nil"/>
            </w:tcBorders>
            <w:shd w:val="clear" w:color="auto" w:fill="auto"/>
            <w:noWrap/>
            <w:vAlign w:val="bottom"/>
            <w:hideMark/>
          </w:tcPr>
          <w:p w14:paraId="48CC90BC"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16,817</w:t>
            </w:r>
          </w:p>
        </w:tc>
        <w:tc>
          <w:tcPr>
            <w:tcW w:w="900" w:type="dxa"/>
            <w:tcBorders>
              <w:top w:val="nil"/>
              <w:left w:val="nil"/>
              <w:bottom w:val="single" w:sz="4" w:space="0" w:color="auto"/>
              <w:right w:val="nil"/>
            </w:tcBorders>
            <w:shd w:val="clear" w:color="auto" w:fill="auto"/>
            <w:noWrap/>
            <w:vAlign w:val="bottom"/>
            <w:hideMark/>
          </w:tcPr>
          <w:p w14:paraId="6AD954DC"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16,817</w:t>
            </w:r>
          </w:p>
        </w:tc>
      </w:tr>
      <w:tr w:rsidR="000B79F5" w:rsidRPr="000B79F5" w14:paraId="0D7BF608" w14:textId="77777777" w:rsidTr="000B79F5">
        <w:trPr>
          <w:trHeight w:val="227"/>
        </w:trPr>
        <w:tc>
          <w:tcPr>
            <w:tcW w:w="2880" w:type="dxa"/>
            <w:tcBorders>
              <w:top w:val="nil"/>
              <w:left w:val="nil"/>
              <w:bottom w:val="nil"/>
              <w:right w:val="nil"/>
            </w:tcBorders>
            <w:shd w:val="clear" w:color="auto" w:fill="auto"/>
            <w:vAlign w:val="bottom"/>
            <w:hideMark/>
          </w:tcPr>
          <w:p w14:paraId="4F80FD4A" w14:textId="77777777" w:rsidR="000B79F5" w:rsidRPr="000B79F5" w:rsidRDefault="000B79F5" w:rsidP="000B79F5">
            <w:pPr>
              <w:spacing w:after="0"/>
              <w:rPr>
                <w:rFonts w:ascii="Arial" w:hAnsi="Arial" w:cs="Arial"/>
                <w:b/>
                <w:bCs/>
                <w:color w:val="auto"/>
                <w:sz w:val="16"/>
                <w:szCs w:val="16"/>
              </w:rPr>
            </w:pPr>
            <w:r w:rsidRPr="000B79F5">
              <w:rPr>
                <w:rFonts w:ascii="Arial" w:hAnsi="Arial" w:cs="Arial"/>
                <w:b/>
                <w:bCs/>
                <w:color w:val="auto"/>
                <w:sz w:val="16"/>
                <w:szCs w:val="16"/>
              </w:rPr>
              <w:t>Net cost of (contribution by) services</w:t>
            </w:r>
          </w:p>
        </w:tc>
        <w:tc>
          <w:tcPr>
            <w:tcW w:w="900" w:type="dxa"/>
            <w:tcBorders>
              <w:top w:val="nil"/>
              <w:left w:val="nil"/>
              <w:bottom w:val="single" w:sz="4" w:space="0" w:color="auto"/>
              <w:right w:val="nil"/>
            </w:tcBorders>
            <w:shd w:val="clear" w:color="auto" w:fill="auto"/>
            <w:noWrap/>
            <w:vAlign w:val="bottom"/>
            <w:hideMark/>
          </w:tcPr>
          <w:p w14:paraId="2281CEB6"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41,826</w:t>
            </w:r>
          </w:p>
        </w:tc>
        <w:tc>
          <w:tcPr>
            <w:tcW w:w="900" w:type="dxa"/>
            <w:tcBorders>
              <w:top w:val="nil"/>
              <w:left w:val="nil"/>
              <w:bottom w:val="single" w:sz="4" w:space="0" w:color="auto"/>
              <w:right w:val="nil"/>
            </w:tcBorders>
            <w:shd w:val="clear" w:color="000000" w:fill="D9D9D9"/>
            <w:noWrap/>
            <w:vAlign w:val="bottom"/>
            <w:hideMark/>
          </w:tcPr>
          <w:p w14:paraId="68E3D2E3"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40,413</w:t>
            </w:r>
          </w:p>
        </w:tc>
        <w:tc>
          <w:tcPr>
            <w:tcW w:w="900" w:type="dxa"/>
            <w:tcBorders>
              <w:top w:val="nil"/>
              <w:left w:val="nil"/>
              <w:bottom w:val="single" w:sz="4" w:space="0" w:color="auto"/>
              <w:right w:val="nil"/>
            </w:tcBorders>
            <w:shd w:val="clear" w:color="auto" w:fill="auto"/>
            <w:noWrap/>
            <w:vAlign w:val="bottom"/>
            <w:hideMark/>
          </w:tcPr>
          <w:p w14:paraId="071E4634"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40,997</w:t>
            </w:r>
          </w:p>
        </w:tc>
        <w:tc>
          <w:tcPr>
            <w:tcW w:w="900" w:type="dxa"/>
            <w:tcBorders>
              <w:top w:val="nil"/>
              <w:left w:val="nil"/>
              <w:bottom w:val="single" w:sz="4" w:space="0" w:color="auto"/>
              <w:right w:val="nil"/>
            </w:tcBorders>
            <w:shd w:val="clear" w:color="auto" w:fill="auto"/>
            <w:noWrap/>
            <w:vAlign w:val="bottom"/>
            <w:hideMark/>
          </w:tcPr>
          <w:p w14:paraId="2F77F668"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41,218</w:t>
            </w:r>
          </w:p>
        </w:tc>
        <w:tc>
          <w:tcPr>
            <w:tcW w:w="900" w:type="dxa"/>
            <w:tcBorders>
              <w:top w:val="nil"/>
              <w:left w:val="nil"/>
              <w:bottom w:val="single" w:sz="4" w:space="0" w:color="auto"/>
              <w:right w:val="nil"/>
            </w:tcBorders>
            <w:shd w:val="clear" w:color="auto" w:fill="auto"/>
            <w:noWrap/>
            <w:vAlign w:val="bottom"/>
            <w:hideMark/>
          </w:tcPr>
          <w:p w14:paraId="2834D27E"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41,891</w:t>
            </w:r>
          </w:p>
        </w:tc>
      </w:tr>
      <w:tr w:rsidR="000B79F5" w:rsidRPr="000B79F5" w14:paraId="319B9648" w14:textId="77777777" w:rsidTr="000B79F5">
        <w:trPr>
          <w:trHeight w:val="227"/>
        </w:trPr>
        <w:tc>
          <w:tcPr>
            <w:tcW w:w="2880" w:type="dxa"/>
            <w:tcBorders>
              <w:top w:val="nil"/>
              <w:left w:val="nil"/>
              <w:bottom w:val="nil"/>
              <w:right w:val="nil"/>
            </w:tcBorders>
            <w:shd w:val="clear" w:color="auto" w:fill="auto"/>
            <w:noWrap/>
            <w:vAlign w:val="bottom"/>
            <w:hideMark/>
          </w:tcPr>
          <w:p w14:paraId="679A449B" w14:textId="77777777" w:rsidR="000B79F5" w:rsidRPr="000B79F5" w:rsidRDefault="000B79F5" w:rsidP="000B79F5">
            <w:pPr>
              <w:spacing w:after="0"/>
              <w:ind w:firstLineChars="100" w:firstLine="160"/>
              <w:rPr>
                <w:rFonts w:ascii="Arial" w:hAnsi="Arial" w:cs="Arial"/>
                <w:color w:val="auto"/>
                <w:sz w:val="16"/>
                <w:szCs w:val="16"/>
              </w:rPr>
            </w:pPr>
            <w:r w:rsidRPr="000B79F5">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2446D4E3"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36,309</w:t>
            </w:r>
          </w:p>
        </w:tc>
        <w:tc>
          <w:tcPr>
            <w:tcW w:w="900" w:type="dxa"/>
            <w:tcBorders>
              <w:top w:val="nil"/>
              <w:left w:val="nil"/>
              <w:bottom w:val="nil"/>
              <w:right w:val="nil"/>
            </w:tcBorders>
            <w:shd w:val="clear" w:color="000000" w:fill="D9D9D9"/>
            <w:noWrap/>
            <w:vAlign w:val="bottom"/>
            <w:hideMark/>
          </w:tcPr>
          <w:p w14:paraId="4C61D57E"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37,414</w:t>
            </w:r>
          </w:p>
        </w:tc>
        <w:tc>
          <w:tcPr>
            <w:tcW w:w="900" w:type="dxa"/>
            <w:tcBorders>
              <w:top w:val="nil"/>
              <w:left w:val="nil"/>
              <w:bottom w:val="nil"/>
              <w:right w:val="nil"/>
            </w:tcBorders>
            <w:shd w:val="clear" w:color="auto" w:fill="auto"/>
            <w:noWrap/>
            <w:vAlign w:val="bottom"/>
            <w:hideMark/>
          </w:tcPr>
          <w:p w14:paraId="6048121F"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38,350</w:t>
            </w:r>
          </w:p>
        </w:tc>
        <w:tc>
          <w:tcPr>
            <w:tcW w:w="900" w:type="dxa"/>
            <w:tcBorders>
              <w:top w:val="nil"/>
              <w:left w:val="nil"/>
              <w:bottom w:val="nil"/>
              <w:right w:val="nil"/>
            </w:tcBorders>
            <w:shd w:val="clear" w:color="auto" w:fill="auto"/>
            <w:noWrap/>
            <w:vAlign w:val="bottom"/>
            <w:hideMark/>
          </w:tcPr>
          <w:p w14:paraId="47EC16D0"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38,963</w:t>
            </w:r>
          </w:p>
        </w:tc>
        <w:tc>
          <w:tcPr>
            <w:tcW w:w="900" w:type="dxa"/>
            <w:tcBorders>
              <w:top w:val="nil"/>
              <w:left w:val="nil"/>
              <w:bottom w:val="nil"/>
              <w:right w:val="nil"/>
            </w:tcBorders>
            <w:shd w:val="clear" w:color="auto" w:fill="auto"/>
            <w:noWrap/>
            <w:vAlign w:val="bottom"/>
            <w:hideMark/>
          </w:tcPr>
          <w:p w14:paraId="47340473"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39,695</w:t>
            </w:r>
          </w:p>
        </w:tc>
      </w:tr>
      <w:tr w:rsidR="000B79F5" w:rsidRPr="000B79F5" w14:paraId="15836186" w14:textId="77777777" w:rsidTr="000B79F5">
        <w:trPr>
          <w:trHeight w:val="227"/>
        </w:trPr>
        <w:tc>
          <w:tcPr>
            <w:tcW w:w="2880" w:type="dxa"/>
            <w:tcBorders>
              <w:top w:val="nil"/>
              <w:left w:val="nil"/>
              <w:bottom w:val="nil"/>
              <w:right w:val="nil"/>
            </w:tcBorders>
            <w:shd w:val="clear" w:color="auto" w:fill="auto"/>
            <w:noWrap/>
            <w:vAlign w:val="bottom"/>
            <w:hideMark/>
          </w:tcPr>
          <w:p w14:paraId="38E10E37" w14:textId="77777777" w:rsidR="000B79F5" w:rsidRPr="000B79F5" w:rsidRDefault="000B79F5" w:rsidP="000B79F5">
            <w:pPr>
              <w:spacing w:after="0"/>
              <w:rPr>
                <w:rFonts w:ascii="Arial" w:hAnsi="Arial" w:cs="Arial"/>
                <w:b/>
                <w:bCs/>
                <w:color w:val="auto"/>
                <w:sz w:val="16"/>
                <w:szCs w:val="16"/>
              </w:rPr>
            </w:pPr>
            <w:r w:rsidRPr="000B79F5">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2CEB2774"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(5,517)</w:t>
            </w:r>
          </w:p>
        </w:tc>
        <w:tc>
          <w:tcPr>
            <w:tcW w:w="900" w:type="dxa"/>
            <w:tcBorders>
              <w:top w:val="nil"/>
              <w:left w:val="nil"/>
              <w:bottom w:val="single" w:sz="4" w:space="0" w:color="auto"/>
              <w:right w:val="nil"/>
            </w:tcBorders>
            <w:shd w:val="clear" w:color="000000" w:fill="D9D9D9"/>
            <w:noWrap/>
            <w:vAlign w:val="bottom"/>
            <w:hideMark/>
          </w:tcPr>
          <w:p w14:paraId="54554DF4"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(2,999)</w:t>
            </w:r>
          </w:p>
        </w:tc>
        <w:tc>
          <w:tcPr>
            <w:tcW w:w="900" w:type="dxa"/>
            <w:tcBorders>
              <w:top w:val="nil"/>
              <w:left w:val="nil"/>
              <w:bottom w:val="single" w:sz="4" w:space="0" w:color="auto"/>
              <w:right w:val="nil"/>
            </w:tcBorders>
            <w:shd w:val="clear" w:color="auto" w:fill="auto"/>
            <w:noWrap/>
            <w:vAlign w:val="bottom"/>
            <w:hideMark/>
          </w:tcPr>
          <w:p w14:paraId="679C680C"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(2,647)</w:t>
            </w:r>
          </w:p>
        </w:tc>
        <w:tc>
          <w:tcPr>
            <w:tcW w:w="900" w:type="dxa"/>
            <w:tcBorders>
              <w:top w:val="nil"/>
              <w:left w:val="nil"/>
              <w:bottom w:val="single" w:sz="4" w:space="0" w:color="auto"/>
              <w:right w:val="nil"/>
            </w:tcBorders>
            <w:shd w:val="clear" w:color="auto" w:fill="auto"/>
            <w:noWrap/>
            <w:vAlign w:val="bottom"/>
            <w:hideMark/>
          </w:tcPr>
          <w:p w14:paraId="76508F77"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(2,255)</w:t>
            </w:r>
          </w:p>
        </w:tc>
        <w:tc>
          <w:tcPr>
            <w:tcW w:w="900" w:type="dxa"/>
            <w:tcBorders>
              <w:top w:val="nil"/>
              <w:left w:val="nil"/>
              <w:bottom w:val="single" w:sz="4" w:space="0" w:color="auto"/>
              <w:right w:val="nil"/>
            </w:tcBorders>
            <w:shd w:val="clear" w:color="auto" w:fill="auto"/>
            <w:noWrap/>
            <w:vAlign w:val="bottom"/>
            <w:hideMark/>
          </w:tcPr>
          <w:p w14:paraId="0B9CB2C8"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(2,196)</w:t>
            </w:r>
          </w:p>
        </w:tc>
      </w:tr>
      <w:tr w:rsidR="000B79F5" w:rsidRPr="000B79F5" w14:paraId="403D1FBF" w14:textId="77777777" w:rsidTr="000B79F5">
        <w:trPr>
          <w:trHeight w:val="227"/>
        </w:trPr>
        <w:tc>
          <w:tcPr>
            <w:tcW w:w="2880" w:type="dxa"/>
            <w:tcBorders>
              <w:top w:val="nil"/>
              <w:left w:val="nil"/>
              <w:bottom w:val="nil"/>
              <w:right w:val="nil"/>
            </w:tcBorders>
            <w:shd w:val="clear" w:color="auto" w:fill="auto"/>
            <w:vAlign w:val="bottom"/>
            <w:hideMark/>
          </w:tcPr>
          <w:p w14:paraId="6C41145D" w14:textId="77777777" w:rsidR="000B79F5" w:rsidRPr="000B79F5" w:rsidRDefault="000B79F5" w:rsidP="000B79F5">
            <w:pPr>
              <w:spacing w:after="0"/>
              <w:rPr>
                <w:rFonts w:ascii="Arial" w:hAnsi="Arial" w:cs="Arial"/>
                <w:b/>
                <w:bCs/>
                <w:color w:val="auto"/>
                <w:sz w:val="16"/>
                <w:szCs w:val="16"/>
              </w:rPr>
            </w:pPr>
            <w:r w:rsidRPr="000B79F5">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17B726F4"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(5,517)</w:t>
            </w:r>
          </w:p>
        </w:tc>
        <w:tc>
          <w:tcPr>
            <w:tcW w:w="900" w:type="dxa"/>
            <w:tcBorders>
              <w:top w:val="nil"/>
              <w:left w:val="nil"/>
              <w:bottom w:val="single" w:sz="4" w:space="0" w:color="auto"/>
              <w:right w:val="nil"/>
            </w:tcBorders>
            <w:shd w:val="clear" w:color="000000" w:fill="D9D9D9"/>
            <w:noWrap/>
            <w:vAlign w:val="bottom"/>
            <w:hideMark/>
          </w:tcPr>
          <w:p w14:paraId="685E1928"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(2,999)</w:t>
            </w:r>
          </w:p>
        </w:tc>
        <w:tc>
          <w:tcPr>
            <w:tcW w:w="900" w:type="dxa"/>
            <w:tcBorders>
              <w:top w:val="nil"/>
              <w:left w:val="nil"/>
              <w:bottom w:val="single" w:sz="4" w:space="0" w:color="auto"/>
              <w:right w:val="nil"/>
            </w:tcBorders>
            <w:shd w:val="clear" w:color="auto" w:fill="auto"/>
            <w:noWrap/>
            <w:vAlign w:val="bottom"/>
            <w:hideMark/>
          </w:tcPr>
          <w:p w14:paraId="7CF80E69"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(2,647)</w:t>
            </w:r>
          </w:p>
        </w:tc>
        <w:tc>
          <w:tcPr>
            <w:tcW w:w="900" w:type="dxa"/>
            <w:tcBorders>
              <w:top w:val="nil"/>
              <w:left w:val="nil"/>
              <w:bottom w:val="single" w:sz="4" w:space="0" w:color="auto"/>
              <w:right w:val="nil"/>
            </w:tcBorders>
            <w:shd w:val="clear" w:color="auto" w:fill="auto"/>
            <w:noWrap/>
            <w:vAlign w:val="bottom"/>
            <w:hideMark/>
          </w:tcPr>
          <w:p w14:paraId="534DCE26"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(2,255)</w:t>
            </w:r>
          </w:p>
        </w:tc>
        <w:tc>
          <w:tcPr>
            <w:tcW w:w="900" w:type="dxa"/>
            <w:tcBorders>
              <w:top w:val="nil"/>
              <w:left w:val="nil"/>
              <w:bottom w:val="single" w:sz="4" w:space="0" w:color="auto"/>
              <w:right w:val="nil"/>
            </w:tcBorders>
            <w:shd w:val="clear" w:color="auto" w:fill="auto"/>
            <w:noWrap/>
            <w:vAlign w:val="bottom"/>
            <w:hideMark/>
          </w:tcPr>
          <w:p w14:paraId="6AEA7952"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(2,196)</w:t>
            </w:r>
          </w:p>
        </w:tc>
      </w:tr>
      <w:tr w:rsidR="000B79F5" w:rsidRPr="000B79F5" w14:paraId="64078D9D" w14:textId="77777777" w:rsidTr="000B79F5">
        <w:trPr>
          <w:trHeight w:val="227"/>
        </w:trPr>
        <w:tc>
          <w:tcPr>
            <w:tcW w:w="2880" w:type="dxa"/>
            <w:tcBorders>
              <w:top w:val="nil"/>
              <w:left w:val="nil"/>
              <w:bottom w:val="nil"/>
              <w:right w:val="nil"/>
            </w:tcBorders>
            <w:shd w:val="clear" w:color="auto" w:fill="auto"/>
            <w:noWrap/>
            <w:tcMar>
              <w:left w:w="0" w:type="dxa"/>
            </w:tcMar>
            <w:vAlign w:val="bottom"/>
            <w:hideMark/>
          </w:tcPr>
          <w:p w14:paraId="03F7BE07" w14:textId="77777777" w:rsidR="000B79F5" w:rsidRPr="000B79F5" w:rsidRDefault="000B79F5" w:rsidP="000B79F5">
            <w:pPr>
              <w:spacing w:after="0"/>
              <w:rPr>
                <w:rFonts w:ascii="Arial" w:hAnsi="Arial" w:cs="Arial"/>
                <w:b/>
                <w:bCs/>
                <w:color w:val="auto"/>
                <w:sz w:val="16"/>
                <w:szCs w:val="16"/>
              </w:rPr>
            </w:pPr>
            <w:r w:rsidRPr="000B79F5">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5241CBA3" w14:textId="77777777" w:rsidR="000B79F5" w:rsidRPr="000B79F5" w:rsidRDefault="000B79F5" w:rsidP="000B79F5">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12E15CA"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2006BD9A" w14:textId="77777777" w:rsidR="000B79F5" w:rsidRPr="000B79F5" w:rsidRDefault="000B79F5" w:rsidP="000B79F5">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3DA480E8" w14:textId="77777777" w:rsidR="000B79F5" w:rsidRPr="000B79F5" w:rsidRDefault="000B79F5" w:rsidP="000B79F5">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6AF21474" w14:textId="77777777" w:rsidR="000B79F5" w:rsidRPr="000B79F5" w:rsidRDefault="000B79F5" w:rsidP="000B79F5">
            <w:pPr>
              <w:spacing w:after="0"/>
              <w:jc w:val="right"/>
              <w:rPr>
                <w:rFonts w:ascii="Times New Roman" w:hAnsi="Times New Roman"/>
                <w:color w:val="auto"/>
                <w:sz w:val="20"/>
              </w:rPr>
            </w:pPr>
          </w:p>
        </w:tc>
      </w:tr>
      <w:tr w:rsidR="000B79F5" w:rsidRPr="000B79F5" w14:paraId="67C5D227" w14:textId="77777777" w:rsidTr="000B79F5">
        <w:trPr>
          <w:trHeight w:val="227"/>
        </w:trPr>
        <w:tc>
          <w:tcPr>
            <w:tcW w:w="2880" w:type="dxa"/>
            <w:tcBorders>
              <w:top w:val="nil"/>
              <w:left w:val="nil"/>
              <w:bottom w:val="nil"/>
              <w:right w:val="nil"/>
            </w:tcBorders>
            <w:shd w:val="clear" w:color="auto" w:fill="auto"/>
            <w:vAlign w:val="bottom"/>
            <w:hideMark/>
          </w:tcPr>
          <w:p w14:paraId="10D0BA65" w14:textId="77777777" w:rsidR="000B79F5" w:rsidRPr="000B79F5" w:rsidRDefault="000B79F5" w:rsidP="000B79F5">
            <w:pPr>
              <w:spacing w:after="0"/>
              <w:ind w:leftChars="75" w:left="143"/>
              <w:rPr>
                <w:rFonts w:ascii="Arial" w:hAnsi="Arial" w:cs="Arial"/>
                <w:color w:val="auto"/>
                <w:sz w:val="16"/>
                <w:szCs w:val="16"/>
              </w:rPr>
            </w:pPr>
            <w:r w:rsidRPr="000B79F5">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328B7FEC"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2CB7424C"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D7734FB"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1382CB8"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31856C6"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w:t>
            </w:r>
          </w:p>
        </w:tc>
      </w:tr>
      <w:tr w:rsidR="000B79F5" w:rsidRPr="000B79F5" w14:paraId="0E1B22B2" w14:textId="77777777" w:rsidTr="000B79F5">
        <w:trPr>
          <w:trHeight w:val="227"/>
        </w:trPr>
        <w:tc>
          <w:tcPr>
            <w:tcW w:w="2880" w:type="dxa"/>
            <w:tcBorders>
              <w:top w:val="nil"/>
              <w:left w:val="nil"/>
              <w:bottom w:val="nil"/>
              <w:right w:val="nil"/>
            </w:tcBorders>
            <w:shd w:val="clear" w:color="auto" w:fill="auto"/>
            <w:vAlign w:val="bottom"/>
            <w:hideMark/>
          </w:tcPr>
          <w:p w14:paraId="2B1C1569" w14:textId="77777777" w:rsidR="000B79F5" w:rsidRPr="000B79F5" w:rsidRDefault="000B79F5" w:rsidP="000B79F5">
            <w:pPr>
              <w:spacing w:after="0"/>
              <w:ind w:leftChars="75" w:left="143"/>
              <w:rPr>
                <w:rFonts w:ascii="Arial" w:hAnsi="Arial" w:cs="Arial"/>
                <w:b/>
                <w:bCs/>
                <w:color w:val="auto"/>
                <w:sz w:val="16"/>
                <w:szCs w:val="16"/>
              </w:rPr>
            </w:pPr>
            <w:r w:rsidRPr="000B79F5">
              <w:rPr>
                <w:rFonts w:ascii="Arial" w:hAnsi="Arial" w:cs="Arial"/>
                <w:b/>
                <w:bCs/>
                <w:color w:val="auto"/>
                <w:sz w:val="16"/>
                <w:szCs w:val="16"/>
              </w:rPr>
              <w:t>Total other comprehensive income (loss)</w:t>
            </w:r>
          </w:p>
        </w:tc>
        <w:tc>
          <w:tcPr>
            <w:tcW w:w="900" w:type="dxa"/>
            <w:tcBorders>
              <w:top w:val="nil"/>
              <w:left w:val="nil"/>
              <w:bottom w:val="single" w:sz="4" w:space="0" w:color="auto"/>
              <w:right w:val="nil"/>
            </w:tcBorders>
            <w:shd w:val="clear" w:color="auto" w:fill="auto"/>
            <w:noWrap/>
            <w:vAlign w:val="bottom"/>
            <w:hideMark/>
          </w:tcPr>
          <w:p w14:paraId="6F6E1E8E"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6E971D60"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64EEC61"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CCF0C80"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E1F3402"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w:t>
            </w:r>
          </w:p>
        </w:tc>
      </w:tr>
      <w:tr w:rsidR="000B79F5" w:rsidRPr="000B79F5" w14:paraId="40B70BB2" w14:textId="77777777" w:rsidTr="000B79F5">
        <w:trPr>
          <w:trHeight w:val="227"/>
        </w:trPr>
        <w:tc>
          <w:tcPr>
            <w:tcW w:w="2880" w:type="dxa"/>
            <w:tcBorders>
              <w:top w:val="nil"/>
              <w:left w:val="nil"/>
              <w:bottom w:val="nil"/>
              <w:right w:val="nil"/>
            </w:tcBorders>
            <w:shd w:val="clear" w:color="auto" w:fill="auto"/>
            <w:vAlign w:val="bottom"/>
            <w:hideMark/>
          </w:tcPr>
          <w:p w14:paraId="420EC4C8" w14:textId="77777777" w:rsidR="000B79F5" w:rsidRPr="000B79F5" w:rsidRDefault="000B79F5" w:rsidP="000B79F5">
            <w:pPr>
              <w:spacing w:after="0"/>
              <w:rPr>
                <w:rFonts w:ascii="Arial" w:hAnsi="Arial" w:cs="Arial"/>
                <w:b/>
                <w:bCs/>
                <w:color w:val="auto"/>
                <w:sz w:val="16"/>
                <w:szCs w:val="16"/>
              </w:rPr>
            </w:pPr>
            <w:r w:rsidRPr="000B79F5">
              <w:rPr>
                <w:rFonts w:ascii="Arial" w:hAnsi="Arial" w:cs="Arial"/>
                <w:b/>
                <w:bCs/>
                <w:color w:val="auto"/>
                <w:sz w:val="16"/>
                <w:szCs w:val="16"/>
              </w:rPr>
              <w:t>Total comprehensive income (loss)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4B9FF663"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(5,517)</w:t>
            </w:r>
          </w:p>
        </w:tc>
        <w:tc>
          <w:tcPr>
            <w:tcW w:w="900" w:type="dxa"/>
            <w:tcBorders>
              <w:top w:val="nil"/>
              <w:left w:val="nil"/>
              <w:bottom w:val="single" w:sz="4" w:space="0" w:color="auto"/>
              <w:right w:val="nil"/>
            </w:tcBorders>
            <w:shd w:val="clear" w:color="000000" w:fill="D9D9D9"/>
            <w:noWrap/>
            <w:vAlign w:val="bottom"/>
            <w:hideMark/>
          </w:tcPr>
          <w:p w14:paraId="52BC039D"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(2,999)</w:t>
            </w:r>
          </w:p>
        </w:tc>
        <w:tc>
          <w:tcPr>
            <w:tcW w:w="900" w:type="dxa"/>
            <w:tcBorders>
              <w:top w:val="nil"/>
              <w:left w:val="nil"/>
              <w:bottom w:val="single" w:sz="4" w:space="0" w:color="auto"/>
              <w:right w:val="nil"/>
            </w:tcBorders>
            <w:shd w:val="clear" w:color="auto" w:fill="auto"/>
            <w:noWrap/>
            <w:vAlign w:val="bottom"/>
            <w:hideMark/>
          </w:tcPr>
          <w:p w14:paraId="11E37B19"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(2,647)</w:t>
            </w:r>
          </w:p>
        </w:tc>
        <w:tc>
          <w:tcPr>
            <w:tcW w:w="900" w:type="dxa"/>
            <w:tcBorders>
              <w:top w:val="nil"/>
              <w:left w:val="nil"/>
              <w:bottom w:val="single" w:sz="4" w:space="0" w:color="auto"/>
              <w:right w:val="nil"/>
            </w:tcBorders>
            <w:shd w:val="clear" w:color="auto" w:fill="auto"/>
            <w:noWrap/>
            <w:vAlign w:val="bottom"/>
            <w:hideMark/>
          </w:tcPr>
          <w:p w14:paraId="5EF6387C"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(2,255)</w:t>
            </w:r>
          </w:p>
        </w:tc>
        <w:tc>
          <w:tcPr>
            <w:tcW w:w="900" w:type="dxa"/>
            <w:tcBorders>
              <w:top w:val="nil"/>
              <w:left w:val="nil"/>
              <w:bottom w:val="single" w:sz="4" w:space="0" w:color="auto"/>
              <w:right w:val="nil"/>
            </w:tcBorders>
            <w:shd w:val="clear" w:color="auto" w:fill="auto"/>
            <w:noWrap/>
            <w:vAlign w:val="bottom"/>
            <w:hideMark/>
          </w:tcPr>
          <w:p w14:paraId="26E1D50D"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(2,196)</w:t>
            </w:r>
          </w:p>
        </w:tc>
      </w:tr>
      <w:tr w:rsidR="000B79F5" w:rsidRPr="000B79F5" w14:paraId="005EC8CC" w14:textId="77777777" w:rsidTr="000B79F5">
        <w:trPr>
          <w:trHeight w:val="113"/>
        </w:trPr>
        <w:tc>
          <w:tcPr>
            <w:tcW w:w="2880" w:type="dxa"/>
            <w:tcBorders>
              <w:top w:val="single" w:sz="4" w:space="0" w:color="auto"/>
              <w:left w:val="nil"/>
              <w:bottom w:val="nil"/>
              <w:right w:val="nil"/>
            </w:tcBorders>
            <w:shd w:val="clear" w:color="auto" w:fill="auto"/>
            <w:vAlign w:val="bottom"/>
            <w:hideMark/>
          </w:tcPr>
          <w:p w14:paraId="49487970" w14:textId="77777777" w:rsidR="000B79F5" w:rsidRPr="000B79F5" w:rsidRDefault="000B79F5" w:rsidP="000B79F5">
            <w:pPr>
              <w:spacing w:after="0"/>
              <w:rPr>
                <w:rFonts w:ascii="Arial" w:hAnsi="Arial" w:cs="Arial"/>
                <w:b/>
                <w:bCs/>
                <w:color w:val="auto"/>
                <w:sz w:val="12"/>
                <w:szCs w:val="12"/>
              </w:rPr>
            </w:pPr>
            <w:r w:rsidRPr="000B79F5">
              <w:rPr>
                <w:rFonts w:ascii="Arial" w:hAnsi="Arial" w:cs="Arial"/>
                <w:b/>
                <w:bCs/>
                <w:color w:val="auto"/>
                <w:sz w:val="12"/>
                <w:szCs w:val="12"/>
              </w:rPr>
              <w:t> </w:t>
            </w:r>
          </w:p>
        </w:tc>
        <w:tc>
          <w:tcPr>
            <w:tcW w:w="900" w:type="dxa"/>
            <w:tcBorders>
              <w:top w:val="nil"/>
              <w:left w:val="nil"/>
              <w:bottom w:val="nil"/>
              <w:right w:val="nil"/>
            </w:tcBorders>
            <w:shd w:val="clear" w:color="auto" w:fill="auto"/>
            <w:noWrap/>
            <w:vAlign w:val="bottom"/>
            <w:hideMark/>
          </w:tcPr>
          <w:p w14:paraId="7C67AC5A" w14:textId="77777777" w:rsidR="000B79F5" w:rsidRPr="000B79F5" w:rsidRDefault="000B79F5" w:rsidP="000B79F5">
            <w:pPr>
              <w:spacing w:after="0"/>
              <w:rPr>
                <w:rFonts w:ascii="Arial" w:hAnsi="Arial" w:cs="Arial"/>
                <w:b/>
                <w:bCs/>
                <w:color w:val="auto"/>
                <w:sz w:val="12"/>
                <w:szCs w:val="12"/>
              </w:rPr>
            </w:pPr>
          </w:p>
        </w:tc>
        <w:tc>
          <w:tcPr>
            <w:tcW w:w="900" w:type="dxa"/>
            <w:tcBorders>
              <w:top w:val="nil"/>
              <w:left w:val="nil"/>
              <w:bottom w:val="nil"/>
              <w:right w:val="nil"/>
            </w:tcBorders>
            <w:shd w:val="clear" w:color="auto" w:fill="auto"/>
            <w:noWrap/>
            <w:vAlign w:val="bottom"/>
            <w:hideMark/>
          </w:tcPr>
          <w:p w14:paraId="304C03C3" w14:textId="77777777" w:rsidR="000B79F5" w:rsidRPr="000B79F5" w:rsidRDefault="000B79F5" w:rsidP="000B79F5">
            <w:pPr>
              <w:spacing w:after="0"/>
              <w:jc w:val="right"/>
              <w:rPr>
                <w:rFonts w:ascii="Times New Roman" w:hAnsi="Times New Roman"/>
                <w:color w:val="auto"/>
                <w:sz w:val="12"/>
                <w:szCs w:val="12"/>
              </w:rPr>
            </w:pPr>
          </w:p>
        </w:tc>
        <w:tc>
          <w:tcPr>
            <w:tcW w:w="900" w:type="dxa"/>
            <w:tcBorders>
              <w:top w:val="nil"/>
              <w:left w:val="nil"/>
              <w:bottom w:val="nil"/>
              <w:right w:val="nil"/>
            </w:tcBorders>
            <w:shd w:val="clear" w:color="auto" w:fill="auto"/>
            <w:noWrap/>
            <w:vAlign w:val="bottom"/>
            <w:hideMark/>
          </w:tcPr>
          <w:p w14:paraId="6F392E79" w14:textId="77777777" w:rsidR="000B79F5" w:rsidRPr="000B79F5" w:rsidRDefault="000B79F5" w:rsidP="000B79F5">
            <w:pPr>
              <w:spacing w:after="0"/>
              <w:jc w:val="right"/>
              <w:rPr>
                <w:rFonts w:ascii="Times New Roman" w:hAnsi="Times New Roman"/>
                <w:color w:val="auto"/>
                <w:sz w:val="12"/>
                <w:szCs w:val="12"/>
              </w:rPr>
            </w:pPr>
          </w:p>
        </w:tc>
        <w:tc>
          <w:tcPr>
            <w:tcW w:w="900" w:type="dxa"/>
            <w:tcBorders>
              <w:top w:val="nil"/>
              <w:left w:val="nil"/>
              <w:bottom w:val="nil"/>
              <w:right w:val="nil"/>
            </w:tcBorders>
            <w:shd w:val="clear" w:color="auto" w:fill="auto"/>
            <w:noWrap/>
            <w:vAlign w:val="bottom"/>
            <w:hideMark/>
          </w:tcPr>
          <w:p w14:paraId="7FB8C19A" w14:textId="77777777" w:rsidR="000B79F5" w:rsidRPr="000B79F5" w:rsidRDefault="000B79F5" w:rsidP="000B79F5">
            <w:pPr>
              <w:spacing w:after="0"/>
              <w:jc w:val="right"/>
              <w:rPr>
                <w:rFonts w:ascii="Times New Roman" w:hAnsi="Times New Roman"/>
                <w:color w:val="auto"/>
                <w:sz w:val="12"/>
                <w:szCs w:val="12"/>
              </w:rPr>
            </w:pPr>
          </w:p>
        </w:tc>
        <w:tc>
          <w:tcPr>
            <w:tcW w:w="900" w:type="dxa"/>
            <w:tcBorders>
              <w:top w:val="nil"/>
              <w:left w:val="nil"/>
              <w:bottom w:val="nil"/>
              <w:right w:val="nil"/>
            </w:tcBorders>
            <w:shd w:val="clear" w:color="auto" w:fill="auto"/>
            <w:noWrap/>
            <w:vAlign w:val="bottom"/>
            <w:hideMark/>
          </w:tcPr>
          <w:p w14:paraId="6DE835A4" w14:textId="77777777" w:rsidR="000B79F5" w:rsidRPr="000B79F5" w:rsidRDefault="000B79F5" w:rsidP="000B79F5">
            <w:pPr>
              <w:spacing w:after="0"/>
              <w:jc w:val="right"/>
              <w:rPr>
                <w:rFonts w:ascii="Times New Roman" w:hAnsi="Times New Roman"/>
                <w:color w:val="auto"/>
                <w:sz w:val="12"/>
                <w:szCs w:val="12"/>
              </w:rPr>
            </w:pPr>
          </w:p>
        </w:tc>
      </w:tr>
      <w:tr w:rsidR="000B79F5" w:rsidRPr="000B79F5" w14:paraId="3CE04382" w14:textId="77777777" w:rsidTr="000B79F5">
        <w:trPr>
          <w:trHeight w:val="227"/>
        </w:trPr>
        <w:tc>
          <w:tcPr>
            <w:tcW w:w="4680" w:type="dxa"/>
            <w:gridSpan w:val="3"/>
            <w:tcBorders>
              <w:top w:val="nil"/>
              <w:left w:val="nil"/>
              <w:bottom w:val="single" w:sz="4" w:space="0" w:color="auto"/>
              <w:right w:val="nil"/>
            </w:tcBorders>
            <w:shd w:val="clear" w:color="auto" w:fill="auto"/>
            <w:noWrap/>
            <w:vAlign w:val="bottom"/>
            <w:hideMark/>
          </w:tcPr>
          <w:p w14:paraId="4F49E318" w14:textId="77777777" w:rsidR="000B79F5" w:rsidRPr="000B79F5" w:rsidRDefault="000B79F5" w:rsidP="000B79F5">
            <w:pPr>
              <w:spacing w:after="0"/>
              <w:rPr>
                <w:rFonts w:ascii="Arial" w:hAnsi="Arial" w:cs="Arial"/>
                <w:b/>
                <w:bCs/>
                <w:sz w:val="16"/>
                <w:szCs w:val="16"/>
              </w:rPr>
            </w:pPr>
            <w:r w:rsidRPr="000B79F5">
              <w:rPr>
                <w:rFonts w:ascii="Arial" w:hAnsi="Arial" w:cs="Arial"/>
                <w:b/>
                <w:bCs/>
                <w:sz w:val="16"/>
                <w:szCs w:val="16"/>
              </w:rPr>
              <w:t>Note: Impact of net cash appropriation arrangements</w:t>
            </w:r>
          </w:p>
        </w:tc>
        <w:tc>
          <w:tcPr>
            <w:tcW w:w="900" w:type="dxa"/>
            <w:tcBorders>
              <w:top w:val="nil"/>
              <w:left w:val="nil"/>
              <w:bottom w:val="single" w:sz="4" w:space="0" w:color="auto"/>
              <w:right w:val="nil"/>
            </w:tcBorders>
            <w:shd w:val="clear" w:color="auto" w:fill="auto"/>
            <w:noWrap/>
            <w:vAlign w:val="bottom"/>
            <w:hideMark/>
          </w:tcPr>
          <w:p w14:paraId="6099F745"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 </w:t>
            </w:r>
          </w:p>
        </w:tc>
        <w:tc>
          <w:tcPr>
            <w:tcW w:w="900" w:type="dxa"/>
            <w:tcBorders>
              <w:top w:val="nil"/>
              <w:left w:val="nil"/>
              <w:bottom w:val="single" w:sz="4" w:space="0" w:color="auto"/>
              <w:right w:val="nil"/>
            </w:tcBorders>
            <w:shd w:val="clear" w:color="auto" w:fill="auto"/>
            <w:noWrap/>
            <w:vAlign w:val="bottom"/>
            <w:hideMark/>
          </w:tcPr>
          <w:p w14:paraId="0DAFFB58"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 </w:t>
            </w:r>
          </w:p>
        </w:tc>
        <w:tc>
          <w:tcPr>
            <w:tcW w:w="900" w:type="dxa"/>
            <w:tcBorders>
              <w:top w:val="nil"/>
              <w:left w:val="nil"/>
              <w:bottom w:val="single" w:sz="4" w:space="0" w:color="auto"/>
              <w:right w:val="nil"/>
            </w:tcBorders>
            <w:shd w:val="clear" w:color="auto" w:fill="auto"/>
            <w:noWrap/>
            <w:vAlign w:val="bottom"/>
            <w:hideMark/>
          </w:tcPr>
          <w:p w14:paraId="334A1A50"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 </w:t>
            </w:r>
          </w:p>
        </w:tc>
      </w:tr>
      <w:tr w:rsidR="000B79F5" w:rsidRPr="000B79F5" w14:paraId="5973DD03" w14:textId="77777777" w:rsidTr="000B79F5">
        <w:trPr>
          <w:trHeight w:val="227"/>
        </w:trPr>
        <w:tc>
          <w:tcPr>
            <w:tcW w:w="2880" w:type="dxa"/>
            <w:tcBorders>
              <w:top w:val="nil"/>
              <w:left w:val="nil"/>
              <w:bottom w:val="nil"/>
              <w:right w:val="nil"/>
            </w:tcBorders>
            <w:shd w:val="clear" w:color="auto" w:fill="auto"/>
            <w:hideMark/>
          </w:tcPr>
          <w:p w14:paraId="028AA0E8" w14:textId="77777777" w:rsidR="000B79F5" w:rsidRPr="000B79F5" w:rsidRDefault="000B79F5" w:rsidP="000B79F5">
            <w:pPr>
              <w:spacing w:before="40" w:after="0"/>
              <w:jc w:val="right"/>
              <w:rPr>
                <w:rFonts w:ascii="Arial" w:hAnsi="Arial" w:cs="Arial"/>
                <w:color w:val="auto"/>
                <w:sz w:val="16"/>
                <w:szCs w:val="16"/>
              </w:rPr>
            </w:pPr>
          </w:p>
        </w:tc>
        <w:tc>
          <w:tcPr>
            <w:tcW w:w="900" w:type="dxa"/>
            <w:tcBorders>
              <w:top w:val="nil"/>
              <w:left w:val="nil"/>
              <w:bottom w:val="single" w:sz="4" w:space="0" w:color="auto"/>
              <w:right w:val="nil"/>
            </w:tcBorders>
            <w:shd w:val="clear" w:color="auto" w:fill="auto"/>
            <w:tcMar>
              <w:left w:w="0" w:type="dxa"/>
            </w:tcMar>
            <w:hideMark/>
          </w:tcPr>
          <w:p w14:paraId="1B4B8D1F" w14:textId="77777777" w:rsidR="000B79F5" w:rsidRPr="000B79F5" w:rsidRDefault="000B79F5" w:rsidP="000B79F5">
            <w:pPr>
              <w:spacing w:before="40" w:after="0"/>
              <w:jc w:val="right"/>
              <w:rPr>
                <w:rFonts w:ascii="Arial" w:hAnsi="Arial" w:cs="Arial"/>
                <w:b/>
                <w:bCs/>
                <w:color w:val="auto"/>
                <w:sz w:val="16"/>
                <w:szCs w:val="16"/>
              </w:rPr>
            </w:pPr>
            <w:r w:rsidRPr="000B79F5">
              <w:rPr>
                <w:rFonts w:ascii="Arial" w:hAnsi="Arial" w:cs="Arial"/>
                <w:b/>
                <w:bCs/>
                <w:color w:val="auto"/>
                <w:sz w:val="16"/>
                <w:szCs w:val="16"/>
              </w:rPr>
              <w:t>2022–23 Estimated actual</w:t>
            </w:r>
            <w:r w:rsidRPr="000B79F5">
              <w:rPr>
                <w:rFonts w:ascii="Arial" w:hAnsi="Arial" w:cs="Arial"/>
                <w:b/>
                <w:bCs/>
                <w:color w:val="auto"/>
                <w:sz w:val="16"/>
                <w:szCs w:val="16"/>
              </w:rPr>
              <w:br/>
              <w:t>$'000</w:t>
            </w:r>
          </w:p>
        </w:tc>
        <w:tc>
          <w:tcPr>
            <w:tcW w:w="900" w:type="dxa"/>
            <w:tcBorders>
              <w:top w:val="nil"/>
              <w:left w:val="nil"/>
              <w:bottom w:val="single" w:sz="4" w:space="0" w:color="auto"/>
              <w:right w:val="nil"/>
            </w:tcBorders>
            <w:shd w:val="clear" w:color="000000" w:fill="D9D9D9"/>
            <w:hideMark/>
          </w:tcPr>
          <w:p w14:paraId="3C719184" w14:textId="77777777" w:rsidR="000B79F5" w:rsidRPr="000B79F5" w:rsidRDefault="000B79F5" w:rsidP="000B79F5">
            <w:pPr>
              <w:spacing w:before="40" w:after="0"/>
              <w:jc w:val="right"/>
              <w:rPr>
                <w:rFonts w:ascii="Arial" w:hAnsi="Arial" w:cs="Arial"/>
                <w:b/>
                <w:bCs/>
                <w:color w:val="auto"/>
                <w:sz w:val="16"/>
                <w:szCs w:val="16"/>
              </w:rPr>
            </w:pPr>
            <w:r w:rsidRPr="000B79F5">
              <w:rPr>
                <w:rFonts w:ascii="Arial" w:hAnsi="Arial" w:cs="Arial"/>
                <w:b/>
                <w:bCs/>
                <w:color w:val="auto"/>
                <w:sz w:val="16"/>
                <w:szCs w:val="16"/>
              </w:rPr>
              <w:t xml:space="preserve">2023–24 Budget </w:t>
            </w:r>
            <w:r w:rsidRPr="000B79F5">
              <w:rPr>
                <w:rFonts w:ascii="Arial" w:hAnsi="Arial" w:cs="Arial"/>
                <w:b/>
                <w:bCs/>
                <w:color w:val="auto"/>
                <w:sz w:val="16"/>
                <w:szCs w:val="16"/>
              </w:rPr>
              <w:br/>
            </w:r>
            <w:r w:rsidRPr="000B79F5">
              <w:rPr>
                <w:rFonts w:ascii="Arial" w:hAnsi="Arial" w:cs="Arial"/>
                <w:b/>
                <w:bCs/>
                <w:color w:val="auto"/>
                <w:sz w:val="16"/>
                <w:szCs w:val="16"/>
              </w:rPr>
              <w:br/>
              <w:t>$'000</w:t>
            </w:r>
          </w:p>
        </w:tc>
        <w:tc>
          <w:tcPr>
            <w:tcW w:w="900" w:type="dxa"/>
            <w:tcBorders>
              <w:top w:val="nil"/>
              <w:left w:val="nil"/>
              <w:bottom w:val="single" w:sz="4" w:space="0" w:color="auto"/>
              <w:right w:val="nil"/>
            </w:tcBorders>
            <w:shd w:val="clear" w:color="auto" w:fill="auto"/>
            <w:hideMark/>
          </w:tcPr>
          <w:p w14:paraId="6BE848B8" w14:textId="77777777" w:rsidR="000B79F5" w:rsidRPr="000B79F5" w:rsidRDefault="000B79F5" w:rsidP="000B79F5">
            <w:pPr>
              <w:spacing w:before="40" w:after="0"/>
              <w:jc w:val="right"/>
              <w:rPr>
                <w:rFonts w:ascii="Arial" w:hAnsi="Arial" w:cs="Arial"/>
                <w:b/>
                <w:bCs/>
                <w:color w:val="auto"/>
                <w:sz w:val="16"/>
                <w:szCs w:val="16"/>
              </w:rPr>
            </w:pPr>
            <w:r w:rsidRPr="000B79F5">
              <w:rPr>
                <w:rFonts w:ascii="Arial" w:hAnsi="Arial" w:cs="Arial"/>
                <w:b/>
                <w:bCs/>
                <w:color w:val="auto"/>
                <w:sz w:val="16"/>
                <w:szCs w:val="16"/>
              </w:rPr>
              <w:t>2024–25 Forward estimate</w:t>
            </w:r>
            <w:r w:rsidRPr="000B79F5">
              <w:rPr>
                <w:rFonts w:ascii="Arial" w:hAnsi="Arial" w:cs="Arial"/>
                <w:b/>
                <w:bCs/>
                <w:color w:val="auto"/>
                <w:sz w:val="16"/>
                <w:szCs w:val="16"/>
              </w:rPr>
              <w:br/>
              <w:t>$'000</w:t>
            </w:r>
          </w:p>
        </w:tc>
        <w:tc>
          <w:tcPr>
            <w:tcW w:w="900" w:type="dxa"/>
            <w:tcBorders>
              <w:top w:val="nil"/>
              <w:left w:val="nil"/>
              <w:bottom w:val="single" w:sz="4" w:space="0" w:color="auto"/>
              <w:right w:val="nil"/>
            </w:tcBorders>
            <w:shd w:val="clear" w:color="auto" w:fill="auto"/>
            <w:hideMark/>
          </w:tcPr>
          <w:p w14:paraId="493ABDE5" w14:textId="77777777" w:rsidR="000B79F5" w:rsidRPr="000B79F5" w:rsidRDefault="000B79F5" w:rsidP="000B79F5">
            <w:pPr>
              <w:spacing w:before="40" w:after="0"/>
              <w:jc w:val="right"/>
              <w:rPr>
                <w:rFonts w:ascii="Arial" w:hAnsi="Arial" w:cs="Arial"/>
                <w:b/>
                <w:bCs/>
                <w:color w:val="auto"/>
                <w:sz w:val="16"/>
                <w:szCs w:val="16"/>
              </w:rPr>
            </w:pPr>
            <w:r w:rsidRPr="000B79F5">
              <w:rPr>
                <w:rFonts w:ascii="Arial" w:hAnsi="Arial" w:cs="Arial"/>
                <w:b/>
                <w:bCs/>
                <w:color w:val="auto"/>
                <w:sz w:val="16"/>
                <w:szCs w:val="16"/>
              </w:rPr>
              <w:t>2025–26 Forward estimate</w:t>
            </w:r>
            <w:r w:rsidRPr="000B79F5">
              <w:rPr>
                <w:rFonts w:ascii="Arial" w:hAnsi="Arial" w:cs="Arial"/>
                <w:b/>
                <w:bCs/>
                <w:color w:val="auto"/>
                <w:sz w:val="16"/>
                <w:szCs w:val="16"/>
              </w:rPr>
              <w:br/>
              <w:t>$'000</w:t>
            </w:r>
          </w:p>
        </w:tc>
        <w:tc>
          <w:tcPr>
            <w:tcW w:w="900" w:type="dxa"/>
            <w:tcBorders>
              <w:top w:val="nil"/>
              <w:left w:val="nil"/>
              <w:bottom w:val="single" w:sz="4" w:space="0" w:color="auto"/>
              <w:right w:val="nil"/>
            </w:tcBorders>
            <w:shd w:val="clear" w:color="auto" w:fill="auto"/>
            <w:hideMark/>
          </w:tcPr>
          <w:p w14:paraId="6D93C830" w14:textId="77777777" w:rsidR="000B79F5" w:rsidRPr="000B79F5" w:rsidRDefault="000B79F5" w:rsidP="000B79F5">
            <w:pPr>
              <w:spacing w:before="40" w:after="0"/>
              <w:jc w:val="right"/>
              <w:rPr>
                <w:rFonts w:ascii="Arial" w:hAnsi="Arial" w:cs="Arial"/>
                <w:b/>
                <w:bCs/>
                <w:color w:val="auto"/>
                <w:sz w:val="16"/>
                <w:szCs w:val="16"/>
              </w:rPr>
            </w:pPr>
            <w:r w:rsidRPr="000B79F5">
              <w:rPr>
                <w:rFonts w:ascii="Arial" w:hAnsi="Arial" w:cs="Arial"/>
                <w:b/>
                <w:bCs/>
                <w:color w:val="auto"/>
                <w:sz w:val="16"/>
                <w:szCs w:val="16"/>
              </w:rPr>
              <w:t>2026–27 Forward estimate</w:t>
            </w:r>
            <w:r w:rsidRPr="000B79F5">
              <w:rPr>
                <w:rFonts w:ascii="Arial" w:hAnsi="Arial" w:cs="Arial"/>
                <w:b/>
                <w:bCs/>
                <w:color w:val="auto"/>
                <w:sz w:val="16"/>
                <w:szCs w:val="16"/>
              </w:rPr>
              <w:br/>
              <w:t>$'000</w:t>
            </w:r>
          </w:p>
        </w:tc>
      </w:tr>
      <w:tr w:rsidR="000B79F5" w:rsidRPr="000B79F5" w14:paraId="385C0966" w14:textId="77777777" w:rsidTr="000B79F5">
        <w:trPr>
          <w:trHeight w:val="227"/>
        </w:trPr>
        <w:tc>
          <w:tcPr>
            <w:tcW w:w="2880" w:type="dxa"/>
            <w:tcBorders>
              <w:top w:val="nil"/>
              <w:left w:val="nil"/>
              <w:bottom w:val="nil"/>
              <w:right w:val="nil"/>
            </w:tcBorders>
            <w:shd w:val="clear" w:color="auto" w:fill="auto"/>
            <w:vAlign w:val="bottom"/>
            <w:hideMark/>
          </w:tcPr>
          <w:p w14:paraId="4CF2946E" w14:textId="77777777" w:rsidR="000B79F5" w:rsidRPr="000B79F5" w:rsidRDefault="000B79F5" w:rsidP="000B79F5">
            <w:pPr>
              <w:spacing w:after="0"/>
              <w:rPr>
                <w:rFonts w:ascii="Arial" w:hAnsi="Arial" w:cs="Arial"/>
                <w:b/>
                <w:bCs/>
                <w:color w:val="auto"/>
                <w:sz w:val="16"/>
                <w:szCs w:val="16"/>
              </w:rPr>
            </w:pPr>
            <w:r w:rsidRPr="000B79F5">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11351FB9" w14:textId="77777777" w:rsidR="000B79F5" w:rsidRPr="000B79F5" w:rsidRDefault="000B79F5" w:rsidP="000B79F5">
            <w:pPr>
              <w:spacing w:after="0"/>
              <w:jc w:val="right"/>
              <w:rPr>
                <w:rFonts w:ascii="Arial" w:hAnsi="Arial" w:cs="Arial"/>
                <w:b/>
                <w:bCs/>
                <w:sz w:val="16"/>
                <w:szCs w:val="16"/>
              </w:rPr>
            </w:pPr>
            <w:r w:rsidRPr="000B79F5">
              <w:rPr>
                <w:rFonts w:ascii="Arial" w:hAnsi="Arial" w:cs="Arial"/>
                <w:b/>
                <w:bCs/>
                <w:sz w:val="16"/>
                <w:szCs w:val="16"/>
              </w:rPr>
              <w:t>(5,517)</w:t>
            </w:r>
          </w:p>
        </w:tc>
        <w:tc>
          <w:tcPr>
            <w:tcW w:w="900" w:type="dxa"/>
            <w:tcBorders>
              <w:top w:val="nil"/>
              <w:left w:val="nil"/>
              <w:bottom w:val="nil"/>
              <w:right w:val="nil"/>
            </w:tcBorders>
            <w:shd w:val="clear" w:color="000000" w:fill="D9D9D9"/>
            <w:noWrap/>
            <w:vAlign w:val="bottom"/>
            <w:hideMark/>
          </w:tcPr>
          <w:p w14:paraId="3E0EB4EE" w14:textId="77777777" w:rsidR="000B79F5" w:rsidRPr="000B79F5" w:rsidRDefault="000B79F5" w:rsidP="000B79F5">
            <w:pPr>
              <w:spacing w:after="0"/>
              <w:jc w:val="right"/>
              <w:rPr>
                <w:rFonts w:ascii="Arial" w:hAnsi="Arial" w:cs="Arial"/>
                <w:b/>
                <w:bCs/>
                <w:sz w:val="16"/>
                <w:szCs w:val="16"/>
              </w:rPr>
            </w:pPr>
            <w:r w:rsidRPr="000B79F5">
              <w:rPr>
                <w:rFonts w:ascii="Arial" w:hAnsi="Arial" w:cs="Arial"/>
                <w:b/>
                <w:bCs/>
                <w:sz w:val="16"/>
                <w:szCs w:val="16"/>
              </w:rPr>
              <w:t>(2,999)</w:t>
            </w:r>
          </w:p>
        </w:tc>
        <w:tc>
          <w:tcPr>
            <w:tcW w:w="900" w:type="dxa"/>
            <w:tcBorders>
              <w:top w:val="nil"/>
              <w:left w:val="nil"/>
              <w:bottom w:val="nil"/>
              <w:right w:val="nil"/>
            </w:tcBorders>
            <w:shd w:val="clear" w:color="auto" w:fill="auto"/>
            <w:noWrap/>
            <w:vAlign w:val="bottom"/>
            <w:hideMark/>
          </w:tcPr>
          <w:p w14:paraId="553FD531" w14:textId="77777777" w:rsidR="000B79F5" w:rsidRPr="000B79F5" w:rsidRDefault="000B79F5" w:rsidP="000B79F5">
            <w:pPr>
              <w:spacing w:after="0"/>
              <w:jc w:val="right"/>
              <w:rPr>
                <w:rFonts w:ascii="Arial" w:hAnsi="Arial" w:cs="Arial"/>
                <w:b/>
                <w:bCs/>
                <w:sz w:val="16"/>
                <w:szCs w:val="16"/>
              </w:rPr>
            </w:pPr>
            <w:r w:rsidRPr="000B79F5">
              <w:rPr>
                <w:rFonts w:ascii="Arial" w:hAnsi="Arial" w:cs="Arial"/>
                <w:b/>
                <w:bCs/>
                <w:sz w:val="16"/>
                <w:szCs w:val="16"/>
              </w:rPr>
              <w:t>(2,647)</w:t>
            </w:r>
          </w:p>
        </w:tc>
        <w:tc>
          <w:tcPr>
            <w:tcW w:w="900" w:type="dxa"/>
            <w:tcBorders>
              <w:top w:val="nil"/>
              <w:left w:val="nil"/>
              <w:bottom w:val="nil"/>
              <w:right w:val="nil"/>
            </w:tcBorders>
            <w:shd w:val="clear" w:color="auto" w:fill="auto"/>
            <w:noWrap/>
            <w:vAlign w:val="bottom"/>
            <w:hideMark/>
          </w:tcPr>
          <w:p w14:paraId="0CE2A4A0" w14:textId="77777777" w:rsidR="000B79F5" w:rsidRPr="000B79F5" w:rsidRDefault="000B79F5" w:rsidP="000B79F5">
            <w:pPr>
              <w:spacing w:after="0"/>
              <w:jc w:val="right"/>
              <w:rPr>
                <w:rFonts w:ascii="Arial" w:hAnsi="Arial" w:cs="Arial"/>
                <w:b/>
                <w:bCs/>
                <w:sz w:val="16"/>
                <w:szCs w:val="16"/>
              </w:rPr>
            </w:pPr>
            <w:r w:rsidRPr="000B79F5">
              <w:rPr>
                <w:rFonts w:ascii="Arial" w:hAnsi="Arial" w:cs="Arial"/>
                <w:b/>
                <w:bCs/>
                <w:sz w:val="16"/>
                <w:szCs w:val="16"/>
              </w:rPr>
              <w:t>(2,255)</w:t>
            </w:r>
          </w:p>
        </w:tc>
        <w:tc>
          <w:tcPr>
            <w:tcW w:w="900" w:type="dxa"/>
            <w:tcBorders>
              <w:top w:val="nil"/>
              <w:left w:val="nil"/>
              <w:bottom w:val="nil"/>
              <w:right w:val="nil"/>
            </w:tcBorders>
            <w:shd w:val="clear" w:color="auto" w:fill="auto"/>
            <w:noWrap/>
            <w:vAlign w:val="bottom"/>
            <w:hideMark/>
          </w:tcPr>
          <w:p w14:paraId="6DD25036" w14:textId="77777777" w:rsidR="000B79F5" w:rsidRPr="000B79F5" w:rsidRDefault="000B79F5" w:rsidP="000B79F5">
            <w:pPr>
              <w:spacing w:after="0"/>
              <w:jc w:val="right"/>
              <w:rPr>
                <w:rFonts w:ascii="Arial" w:hAnsi="Arial" w:cs="Arial"/>
                <w:b/>
                <w:bCs/>
                <w:sz w:val="16"/>
                <w:szCs w:val="16"/>
              </w:rPr>
            </w:pPr>
            <w:r w:rsidRPr="000B79F5">
              <w:rPr>
                <w:rFonts w:ascii="Arial" w:hAnsi="Arial" w:cs="Arial"/>
                <w:b/>
                <w:bCs/>
                <w:sz w:val="16"/>
                <w:szCs w:val="16"/>
              </w:rPr>
              <w:t>(2,196)</w:t>
            </w:r>
          </w:p>
        </w:tc>
      </w:tr>
      <w:tr w:rsidR="000B79F5" w:rsidRPr="000B79F5" w14:paraId="6501C101" w14:textId="77777777" w:rsidTr="000B79F5">
        <w:trPr>
          <w:trHeight w:val="227"/>
        </w:trPr>
        <w:tc>
          <w:tcPr>
            <w:tcW w:w="2880" w:type="dxa"/>
            <w:tcBorders>
              <w:top w:val="nil"/>
              <w:left w:val="nil"/>
              <w:bottom w:val="nil"/>
              <w:right w:val="nil"/>
            </w:tcBorders>
            <w:shd w:val="clear" w:color="auto" w:fill="auto"/>
            <w:vAlign w:val="bottom"/>
            <w:hideMark/>
          </w:tcPr>
          <w:p w14:paraId="3DE1698B" w14:textId="77777777" w:rsidR="000B79F5" w:rsidRPr="000B79F5" w:rsidRDefault="000B79F5" w:rsidP="000B79F5">
            <w:pPr>
              <w:spacing w:after="0"/>
              <w:ind w:leftChars="75" w:left="143"/>
              <w:rPr>
                <w:rFonts w:ascii="Arial" w:hAnsi="Arial" w:cs="Arial"/>
                <w:sz w:val="16"/>
                <w:szCs w:val="16"/>
              </w:rPr>
            </w:pPr>
            <w:r w:rsidRPr="000B79F5">
              <w:rPr>
                <w:rFonts w:ascii="Arial" w:hAnsi="Arial" w:cs="Arial"/>
                <w:sz w:val="16"/>
                <w:szCs w:val="16"/>
              </w:rPr>
              <w:t>plus non-appropriated expenses depreciation and amortisation expenses</w:t>
            </w:r>
          </w:p>
        </w:tc>
        <w:tc>
          <w:tcPr>
            <w:tcW w:w="900" w:type="dxa"/>
            <w:tcBorders>
              <w:top w:val="nil"/>
              <w:left w:val="nil"/>
              <w:bottom w:val="nil"/>
              <w:right w:val="nil"/>
            </w:tcBorders>
            <w:shd w:val="clear" w:color="auto" w:fill="auto"/>
            <w:noWrap/>
            <w:vAlign w:val="bottom"/>
            <w:hideMark/>
          </w:tcPr>
          <w:p w14:paraId="0B9ACB06"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5,142</w:t>
            </w:r>
          </w:p>
        </w:tc>
        <w:tc>
          <w:tcPr>
            <w:tcW w:w="900" w:type="dxa"/>
            <w:tcBorders>
              <w:top w:val="nil"/>
              <w:left w:val="nil"/>
              <w:bottom w:val="nil"/>
              <w:right w:val="nil"/>
            </w:tcBorders>
            <w:shd w:val="clear" w:color="000000" w:fill="D9D9D9"/>
            <w:noWrap/>
            <w:vAlign w:val="bottom"/>
            <w:hideMark/>
          </w:tcPr>
          <w:p w14:paraId="4C6B4A45"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2,902</w:t>
            </w:r>
          </w:p>
        </w:tc>
        <w:tc>
          <w:tcPr>
            <w:tcW w:w="900" w:type="dxa"/>
            <w:tcBorders>
              <w:top w:val="nil"/>
              <w:left w:val="nil"/>
              <w:bottom w:val="nil"/>
              <w:right w:val="nil"/>
            </w:tcBorders>
            <w:shd w:val="clear" w:color="auto" w:fill="auto"/>
            <w:noWrap/>
            <w:vAlign w:val="bottom"/>
            <w:hideMark/>
          </w:tcPr>
          <w:p w14:paraId="4B0D0F89"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2,783</w:t>
            </w:r>
          </w:p>
        </w:tc>
        <w:tc>
          <w:tcPr>
            <w:tcW w:w="900" w:type="dxa"/>
            <w:tcBorders>
              <w:top w:val="nil"/>
              <w:left w:val="nil"/>
              <w:bottom w:val="nil"/>
              <w:right w:val="nil"/>
            </w:tcBorders>
            <w:shd w:val="clear" w:color="auto" w:fill="auto"/>
            <w:noWrap/>
            <w:vAlign w:val="bottom"/>
            <w:hideMark/>
          </w:tcPr>
          <w:p w14:paraId="4F19C5C6"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2,573</w:t>
            </w:r>
          </w:p>
        </w:tc>
        <w:tc>
          <w:tcPr>
            <w:tcW w:w="900" w:type="dxa"/>
            <w:tcBorders>
              <w:top w:val="nil"/>
              <w:left w:val="nil"/>
              <w:bottom w:val="nil"/>
              <w:right w:val="nil"/>
            </w:tcBorders>
            <w:shd w:val="clear" w:color="auto" w:fill="auto"/>
            <w:noWrap/>
            <w:vAlign w:val="bottom"/>
            <w:hideMark/>
          </w:tcPr>
          <w:p w14:paraId="2AC50FF4"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2,564</w:t>
            </w:r>
          </w:p>
        </w:tc>
      </w:tr>
      <w:tr w:rsidR="000B79F5" w:rsidRPr="000B79F5" w14:paraId="3BB15E75" w14:textId="77777777" w:rsidTr="000B79F5">
        <w:trPr>
          <w:trHeight w:val="227"/>
        </w:trPr>
        <w:tc>
          <w:tcPr>
            <w:tcW w:w="2880" w:type="dxa"/>
            <w:tcBorders>
              <w:top w:val="nil"/>
              <w:left w:val="nil"/>
              <w:bottom w:val="nil"/>
              <w:right w:val="nil"/>
            </w:tcBorders>
            <w:shd w:val="clear" w:color="auto" w:fill="auto"/>
            <w:vAlign w:val="bottom"/>
            <w:hideMark/>
          </w:tcPr>
          <w:p w14:paraId="0F563A81" w14:textId="77777777" w:rsidR="000B79F5" w:rsidRPr="000B79F5" w:rsidRDefault="000B79F5" w:rsidP="000B79F5">
            <w:pPr>
              <w:spacing w:after="0"/>
              <w:ind w:leftChars="75" w:left="143"/>
              <w:rPr>
                <w:rFonts w:ascii="Arial" w:hAnsi="Arial" w:cs="Arial"/>
                <w:sz w:val="16"/>
                <w:szCs w:val="16"/>
              </w:rPr>
            </w:pPr>
            <w:r w:rsidRPr="000B79F5">
              <w:rPr>
                <w:rFonts w:ascii="Arial" w:hAnsi="Arial" w:cs="Arial"/>
                <w:sz w:val="16"/>
                <w:szCs w:val="16"/>
              </w:rPr>
              <w:t>plus depreciation and amortisation expenses for RoU</w:t>
            </w:r>
          </w:p>
        </w:tc>
        <w:tc>
          <w:tcPr>
            <w:tcW w:w="900" w:type="dxa"/>
            <w:tcBorders>
              <w:top w:val="nil"/>
              <w:left w:val="nil"/>
              <w:bottom w:val="nil"/>
              <w:right w:val="nil"/>
            </w:tcBorders>
            <w:shd w:val="clear" w:color="auto" w:fill="auto"/>
            <w:noWrap/>
            <w:vAlign w:val="bottom"/>
            <w:hideMark/>
          </w:tcPr>
          <w:p w14:paraId="7A0F12FE"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2,840</w:t>
            </w:r>
          </w:p>
        </w:tc>
        <w:tc>
          <w:tcPr>
            <w:tcW w:w="900" w:type="dxa"/>
            <w:tcBorders>
              <w:top w:val="nil"/>
              <w:left w:val="nil"/>
              <w:bottom w:val="nil"/>
              <w:right w:val="nil"/>
            </w:tcBorders>
            <w:shd w:val="clear" w:color="000000" w:fill="D9D9D9"/>
            <w:noWrap/>
            <w:vAlign w:val="bottom"/>
            <w:hideMark/>
          </w:tcPr>
          <w:p w14:paraId="2F5899F4"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2,678</w:t>
            </w:r>
          </w:p>
        </w:tc>
        <w:tc>
          <w:tcPr>
            <w:tcW w:w="900" w:type="dxa"/>
            <w:tcBorders>
              <w:top w:val="nil"/>
              <w:left w:val="nil"/>
              <w:bottom w:val="nil"/>
              <w:right w:val="nil"/>
            </w:tcBorders>
            <w:shd w:val="clear" w:color="auto" w:fill="auto"/>
            <w:noWrap/>
            <w:vAlign w:val="bottom"/>
            <w:hideMark/>
          </w:tcPr>
          <w:p w14:paraId="7516ECE5"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2,564</w:t>
            </w:r>
          </w:p>
        </w:tc>
        <w:tc>
          <w:tcPr>
            <w:tcW w:w="900" w:type="dxa"/>
            <w:tcBorders>
              <w:top w:val="nil"/>
              <w:left w:val="nil"/>
              <w:bottom w:val="nil"/>
              <w:right w:val="nil"/>
            </w:tcBorders>
            <w:shd w:val="clear" w:color="auto" w:fill="auto"/>
            <w:noWrap/>
            <w:vAlign w:val="bottom"/>
            <w:hideMark/>
          </w:tcPr>
          <w:p w14:paraId="0B8B036F"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2,432</w:t>
            </w:r>
          </w:p>
        </w:tc>
        <w:tc>
          <w:tcPr>
            <w:tcW w:w="900" w:type="dxa"/>
            <w:tcBorders>
              <w:top w:val="nil"/>
              <w:left w:val="nil"/>
              <w:bottom w:val="nil"/>
              <w:right w:val="nil"/>
            </w:tcBorders>
            <w:shd w:val="clear" w:color="auto" w:fill="auto"/>
            <w:noWrap/>
            <w:vAlign w:val="bottom"/>
            <w:hideMark/>
          </w:tcPr>
          <w:p w14:paraId="6F0F5EB6"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2,432</w:t>
            </w:r>
          </w:p>
        </w:tc>
      </w:tr>
      <w:tr w:rsidR="000B79F5" w:rsidRPr="000B79F5" w14:paraId="060D37E0" w14:textId="77777777" w:rsidTr="000B79F5">
        <w:trPr>
          <w:trHeight w:val="227"/>
        </w:trPr>
        <w:tc>
          <w:tcPr>
            <w:tcW w:w="2880" w:type="dxa"/>
            <w:tcBorders>
              <w:top w:val="nil"/>
              <w:left w:val="nil"/>
              <w:bottom w:val="nil"/>
              <w:right w:val="nil"/>
            </w:tcBorders>
            <w:shd w:val="clear" w:color="auto" w:fill="auto"/>
            <w:vAlign w:val="bottom"/>
            <w:hideMark/>
          </w:tcPr>
          <w:p w14:paraId="1E818F8A" w14:textId="77777777" w:rsidR="000B79F5" w:rsidRPr="000B79F5" w:rsidRDefault="000B79F5" w:rsidP="000B79F5">
            <w:pPr>
              <w:spacing w:after="0"/>
              <w:ind w:leftChars="75" w:left="143"/>
              <w:rPr>
                <w:rFonts w:ascii="Arial" w:hAnsi="Arial" w:cs="Arial"/>
                <w:sz w:val="16"/>
                <w:szCs w:val="16"/>
              </w:rPr>
            </w:pPr>
            <w:r w:rsidRPr="000B79F5">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6B6C5D39"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(2,465)</w:t>
            </w:r>
          </w:p>
        </w:tc>
        <w:tc>
          <w:tcPr>
            <w:tcW w:w="900" w:type="dxa"/>
            <w:tcBorders>
              <w:top w:val="nil"/>
              <w:left w:val="nil"/>
              <w:bottom w:val="nil"/>
              <w:right w:val="nil"/>
            </w:tcBorders>
            <w:shd w:val="clear" w:color="000000" w:fill="D9D9D9"/>
            <w:noWrap/>
            <w:vAlign w:val="bottom"/>
            <w:hideMark/>
          </w:tcPr>
          <w:p w14:paraId="37414779"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(2,581)</w:t>
            </w:r>
          </w:p>
        </w:tc>
        <w:tc>
          <w:tcPr>
            <w:tcW w:w="900" w:type="dxa"/>
            <w:tcBorders>
              <w:top w:val="nil"/>
              <w:left w:val="nil"/>
              <w:bottom w:val="nil"/>
              <w:right w:val="nil"/>
            </w:tcBorders>
            <w:shd w:val="clear" w:color="auto" w:fill="auto"/>
            <w:noWrap/>
            <w:vAlign w:val="bottom"/>
            <w:hideMark/>
          </w:tcPr>
          <w:p w14:paraId="5E5FB8DC"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(2,700)</w:t>
            </w:r>
          </w:p>
        </w:tc>
        <w:tc>
          <w:tcPr>
            <w:tcW w:w="900" w:type="dxa"/>
            <w:tcBorders>
              <w:top w:val="nil"/>
              <w:left w:val="nil"/>
              <w:bottom w:val="nil"/>
              <w:right w:val="nil"/>
            </w:tcBorders>
            <w:shd w:val="clear" w:color="auto" w:fill="auto"/>
            <w:noWrap/>
            <w:vAlign w:val="bottom"/>
            <w:hideMark/>
          </w:tcPr>
          <w:p w14:paraId="1943A9D7"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(2,750)</w:t>
            </w:r>
          </w:p>
        </w:tc>
        <w:tc>
          <w:tcPr>
            <w:tcW w:w="900" w:type="dxa"/>
            <w:tcBorders>
              <w:top w:val="nil"/>
              <w:left w:val="nil"/>
              <w:bottom w:val="nil"/>
              <w:right w:val="nil"/>
            </w:tcBorders>
            <w:shd w:val="clear" w:color="auto" w:fill="auto"/>
            <w:noWrap/>
            <w:vAlign w:val="bottom"/>
            <w:hideMark/>
          </w:tcPr>
          <w:p w14:paraId="53D74F62" w14:textId="77777777" w:rsidR="000B79F5" w:rsidRPr="000B79F5" w:rsidRDefault="000B79F5" w:rsidP="000B79F5">
            <w:pPr>
              <w:spacing w:after="0"/>
              <w:jc w:val="right"/>
              <w:rPr>
                <w:rFonts w:ascii="Arial" w:hAnsi="Arial" w:cs="Arial"/>
                <w:color w:val="auto"/>
                <w:sz w:val="16"/>
                <w:szCs w:val="16"/>
              </w:rPr>
            </w:pPr>
            <w:r w:rsidRPr="000B79F5">
              <w:rPr>
                <w:rFonts w:ascii="Arial" w:hAnsi="Arial" w:cs="Arial"/>
                <w:color w:val="auto"/>
                <w:sz w:val="16"/>
                <w:szCs w:val="16"/>
              </w:rPr>
              <w:t>(2,800)</w:t>
            </w:r>
          </w:p>
        </w:tc>
      </w:tr>
      <w:tr w:rsidR="000B79F5" w:rsidRPr="000B79F5" w14:paraId="5D70CD5D" w14:textId="77777777" w:rsidTr="000B79F5">
        <w:trPr>
          <w:trHeight w:val="227"/>
        </w:trPr>
        <w:tc>
          <w:tcPr>
            <w:tcW w:w="2880" w:type="dxa"/>
            <w:tcBorders>
              <w:top w:val="nil"/>
              <w:left w:val="nil"/>
              <w:bottom w:val="single" w:sz="4" w:space="0" w:color="auto"/>
              <w:right w:val="nil"/>
            </w:tcBorders>
            <w:shd w:val="clear" w:color="auto" w:fill="auto"/>
            <w:vAlign w:val="bottom"/>
            <w:hideMark/>
          </w:tcPr>
          <w:p w14:paraId="4425349D" w14:textId="77777777" w:rsidR="000B79F5" w:rsidRPr="000B79F5" w:rsidRDefault="000B79F5" w:rsidP="000B79F5">
            <w:pPr>
              <w:spacing w:after="0"/>
              <w:rPr>
                <w:rFonts w:ascii="Arial" w:hAnsi="Arial" w:cs="Arial"/>
                <w:b/>
                <w:bCs/>
                <w:color w:val="auto"/>
                <w:sz w:val="16"/>
                <w:szCs w:val="16"/>
              </w:rPr>
            </w:pPr>
            <w:r w:rsidRPr="000B79F5">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62603344"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1F9B9571"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EC0CC72"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56FF453"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2FCF5DC" w14:textId="77777777" w:rsidR="000B79F5" w:rsidRPr="000B79F5" w:rsidRDefault="000B79F5" w:rsidP="000B79F5">
            <w:pPr>
              <w:spacing w:after="0"/>
              <w:jc w:val="right"/>
              <w:rPr>
                <w:rFonts w:ascii="Arial" w:hAnsi="Arial" w:cs="Arial"/>
                <w:b/>
                <w:bCs/>
                <w:color w:val="auto"/>
                <w:sz w:val="16"/>
                <w:szCs w:val="16"/>
              </w:rPr>
            </w:pPr>
            <w:r w:rsidRPr="000B79F5">
              <w:rPr>
                <w:rFonts w:ascii="Arial" w:hAnsi="Arial" w:cs="Arial"/>
                <w:b/>
                <w:bCs/>
                <w:color w:val="auto"/>
                <w:sz w:val="16"/>
                <w:szCs w:val="16"/>
              </w:rPr>
              <w:t>-</w:t>
            </w:r>
          </w:p>
        </w:tc>
      </w:tr>
    </w:tbl>
    <w:p w14:paraId="4532DA5B" w14:textId="2FCC3723" w:rsidR="000B79F5" w:rsidRPr="000B79F5" w:rsidRDefault="000B79F5" w:rsidP="005A76C1">
      <w:pPr>
        <w:pStyle w:val="FootnoteText"/>
        <w:spacing w:before="120"/>
        <w:rPr>
          <w:lang w:eastAsia="en-US"/>
        </w:rPr>
      </w:pPr>
      <w:r w:rsidRPr="000B79F5">
        <w:rPr>
          <w:lang w:eastAsia="en-US"/>
        </w:rPr>
        <w:t>Prepared on Australian Accounting Standards basis.</w:t>
      </w:r>
    </w:p>
    <w:p w14:paraId="4F9A3165" w14:textId="25819555" w:rsidR="000A380F" w:rsidRDefault="000B79F5" w:rsidP="000B79F5">
      <w:pPr>
        <w:pStyle w:val="FootnoteText"/>
        <w:rPr>
          <w:lang w:eastAsia="en-US"/>
        </w:rPr>
      </w:pPr>
      <w:r w:rsidRPr="000B79F5">
        <w:rPr>
          <w:lang w:eastAsia="en-US"/>
        </w:rPr>
        <w:t>RoU = Right-of-Use asset</w:t>
      </w:r>
      <w:r w:rsidR="000A380F">
        <w:rPr>
          <w:lang w:eastAsia="en-US"/>
        </w:rPr>
        <w:br w:type="page"/>
      </w:r>
    </w:p>
    <w:p w14:paraId="726C8077" w14:textId="15288C47" w:rsidR="00A52B29" w:rsidRPr="00A52B29" w:rsidRDefault="00A52B29" w:rsidP="00A52B29">
      <w:pPr>
        <w:rPr>
          <w:rFonts w:ascii="Arial" w:hAnsi="Arial" w:cs="Arial"/>
          <w:b/>
          <w:sz w:val="20"/>
          <w:szCs w:val="18"/>
          <w:lang w:eastAsia="en-US"/>
        </w:rPr>
      </w:pPr>
      <w:r w:rsidRPr="00A52B29">
        <w:rPr>
          <w:rFonts w:ascii="Arial" w:hAnsi="Arial" w:cs="Arial"/>
          <w:b/>
          <w:sz w:val="20"/>
          <w:szCs w:val="18"/>
          <w:lang w:eastAsia="en-US"/>
        </w:rPr>
        <w:lastRenderedPageBreak/>
        <w:t>Table 3.2: Budgeted departmental balance sheet (as at 30 June)</w:t>
      </w:r>
    </w:p>
    <w:tbl>
      <w:tblPr>
        <w:tblW w:w="7380" w:type="dxa"/>
        <w:tblLayout w:type="fixed"/>
        <w:tblLook w:val="04A0" w:firstRow="1" w:lastRow="0" w:firstColumn="1" w:lastColumn="0" w:noHBand="0" w:noVBand="1"/>
      </w:tblPr>
      <w:tblGrid>
        <w:gridCol w:w="2963"/>
        <w:gridCol w:w="892"/>
        <w:gridCol w:w="876"/>
        <w:gridCol w:w="883"/>
        <w:gridCol w:w="883"/>
        <w:gridCol w:w="883"/>
      </w:tblGrid>
      <w:tr w:rsidR="00B8616D" w:rsidRPr="00B8616D" w14:paraId="25AA7900" w14:textId="77777777" w:rsidTr="00B8616D">
        <w:trPr>
          <w:trHeight w:val="765"/>
        </w:trPr>
        <w:tc>
          <w:tcPr>
            <w:tcW w:w="2963" w:type="dxa"/>
            <w:tcBorders>
              <w:top w:val="single" w:sz="4" w:space="0" w:color="auto"/>
              <w:left w:val="nil"/>
              <w:bottom w:val="nil"/>
              <w:right w:val="nil"/>
            </w:tcBorders>
            <w:shd w:val="clear" w:color="auto" w:fill="auto"/>
            <w:hideMark/>
          </w:tcPr>
          <w:p w14:paraId="5D9654E6" w14:textId="77777777" w:rsidR="00B8616D" w:rsidRPr="00B8616D" w:rsidRDefault="00B8616D" w:rsidP="00B8616D">
            <w:pPr>
              <w:spacing w:after="0"/>
              <w:jc w:val="right"/>
              <w:rPr>
                <w:rFonts w:ascii="Arial" w:hAnsi="Arial" w:cs="Arial"/>
                <w:b/>
                <w:bCs/>
                <w:color w:val="auto"/>
                <w:sz w:val="16"/>
                <w:szCs w:val="16"/>
              </w:rPr>
            </w:pPr>
            <w:r w:rsidRPr="00B8616D">
              <w:rPr>
                <w:rFonts w:ascii="Arial" w:hAnsi="Arial" w:cs="Arial"/>
                <w:b/>
                <w:bCs/>
                <w:color w:val="auto"/>
                <w:sz w:val="16"/>
                <w:szCs w:val="16"/>
              </w:rPr>
              <w:t> </w:t>
            </w:r>
          </w:p>
        </w:tc>
        <w:tc>
          <w:tcPr>
            <w:tcW w:w="892" w:type="dxa"/>
            <w:tcBorders>
              <w:top w:val="single" w:sz="4" w:space="0" w:color="auto"/>
              <w:left w:val="nil"/>
              <w:bottom w:val="single" w:sz="4" w:space="0" w:color="auto"/>
              <w:right w:val="nil"/>
            </w:tcBorders>
            <w:shd w:val="clear" w:color="auto" w:fill="auto"/>
            <w:tcMar>
              <w:left w:w="0" w:type="dxa"/>
            </w:tcMar>
            <w:hideMark/>
          </w:tcPr>
          <w:p w14:paraId="6B43EC6F" w14:textId="77777777" w:rsidR="00B8616D" w:rsidRPr="00B8616D" w:rsidRDefault="00B8616D" w:rsidP="00B8616D">
            <w:pPr>
              <w:spacing w:after="0"/>
              <w:jc w:val="right"/>
              <w:rPr>
                <w:rFonts w:ascii="Arial" w:hAnsi="Arial" w:cs="Arial"/>
                <w:b/>
                <w:bCs/>
                <w:color w:val="auto"/>
                <w:sz w:val="16"/>
                <w:szCs w:val="16"/>
              </w:rPr>
            </w:pPr>
            <w:r w:rsidRPr="00B8616D">
              <w:rPr>
                <w:rFonts w:ascii="Arial" w:hAnsi="Arial" w:cs="Arial"/>
                <w:b/>
                <w:bCs/>
                <w:color w:val="auto"/>
                <w:sz w:val="16"/>
                <w:szCs w:val="16"/>
              </w:rPr>
              <w:t>2022–23 Estimated actual</w:t>
            </w:r>
            <w:r w:rsidRPr="00B8616D">
              <w:rPr>
                <w:rFonts w:ascii="Arial" w:hAnsi="Arial" w:cs="Arial"/>
                <w:b/>
                <w:bCs/>
                <w:color w:val="auto"/>
                <w:sz w:val="16"/>
                <w:szCs w:val="16"/>
              </w:rPr>
              <w:br/>
              <w:t>$'000</w:t>
            </w:r>
          </w:p>
        </w:tc>
        <w:tc>
          <w:tcPr>
            <w:tcW w:w="876" w:type="dxa"/>
            <w:tcBorders>
              <w:top w:val="single" w:sz="4" w:space="0" w:color="auto"/>
              <w:left w:val="nil"/>
              <w:bottom w:val="single" w:sz="4" w:space="0" w:color="auto"/>
              <w:right w:val="nil"/>
            </w:tcBorders>
            <w:shd w:val="clear" w:color="000000" w:fill="D9D9D9"/>
            <w:hideMark/>
          </w:tcPr>
          <w:p w14:paraId="27D23DA3" w14:textId="77777777" w:rsidR="00B8616D" w:rsidRPr="00B8616D" w:rsidRDefault="00B8616D" w:rsidP="00B8616D">
            <w:pPr>
              <w:spacing w:after="0"/>
              <w:jc w:val="right"/>
              <w:rPr>
                <w:rFonts w:ascii="Arial" w:hAnsi="Arial" w:cs="Arial"/>
                <w:b/>
                <w:bCs/>
                <w:color w:val="auto"/>
                <w:sz w:val="16"/>
                <w:szCs w:val="16"/>
              </w:rPr>
            </w:pPr>
            <w:r w:rsidRPr="00B8616D">
              <w:rPr>
                <w:rFonts w:ascii="Arial" w:hAnsi="Arial" w:cs="Arial"/>
                <w:b/>
                <w:bCs/>
                <w:color w:val="auto"/>
                <w:sz w:val="16"/>
                <w:szCs w:val="16"/>
              </w:rPr>
              <w:t xml:space="preserve">2023–24 Budget </w:t>
            </w:r>
            <w:r w:rsidRPr="00B8616D">
              <w:rPr>
                <w:rFonts w:ascii="Arial" w:hAnsi="Arial" w:cs="Arial"/>
                <w:b/>
                <w:bCs/>
                <w:color w:val="auto"/>
                <w:sz w:val="16"/>
                <w:szCs w:val="16"/>
              </w:rPr>
              <w:br/>
            </w:r>
            <w:r w:rsidRPr="00B8616D">
              <w:rPr>
                <w:rFonts w:ascii="Arial" w:hAnsi="Arial" w:cs="Arial"/>
                <w:b/>
                <w:bCs/>
                <w:color w:val="auto"/>
                <w:sz w:val="16"/>
                <w:szCs w:val="16"/>
              </w:rPr>
              <w:br/>
              <w:t>$'000</w:t>
            </w:r>
          </w:p>
        </w:tc>
        <w:tc>
          <w:tcPr>
            <w:tcW w:w="883" w:type="dxa"/>
            <w:tcBorders>
              <w:top w:val="single" w:sz="4" w:space="0" w:color="auto"/>
              <w:left w:val="nil"/>
              <w:bottom w:val="single" w:sz="4" w:space="0" w:color="auto"/>
              <w:right w:val="nil"/>
            </w:tcBorders>
            <w:shd w:val="clear" w:color="auto" w:fill="auto"/>
            <w:hideMark/>
          </w:tcPr>
          <w:p w14:paraId="47934B7D" w14:textId="77777777" w:rsidR="00B8616D" w:rsidRPr="00B8616D" w:rsidRDefault="00B8616D" w:rsidP="00B8616D">
            <w:pPr>
              <w:spacing w:after="0"/>
              <w:jc w:val="right"/>
              <w:rPr>
                <w:rFonts w:ascii="Arial" w:hAnsi="Arial" w:cs="Arial"/>
                <w:b/>
                <w:bCs/>
                <w:color w:val="auto"/>
                <w:sz w:val="16"/>
                <w:szCs w:val="16"/>
              </w:rPr>
            </w:pPr>
            <w:r w:rsidRPr="00B8616D">
              <w:rPr>
                <w:rFonts w:ascii="Arial" w:hAnsi="Arial" w:cs="Arial"/>
                <w:b/>
                <w:bCs/>
                <w:color w:val="auto"/>
                <w:sz w:val="16"/>
                <w:szCs w:val="16"/>
              </w:rPr>
              <w:t>2024–25 Forward estimate</w:t>
            </w:r>
            <w:r w:rsidRPr="00B8616D">
              <w:rPr>
                <w:rFonts w:ascii="Arial" w:hAnsi="Arial" w:cs="Arial"/>
                <w:b/>
                <w:bCs/>
                <w:color w:val="auto"/>
                <w:sz w:val="16"/>
                <w:szCs w:val="16"/>
              </w:rPr>
              <w:br/>
              <w:t>$'000</w:t>
            </w:r>
          </w:p>
        </w:tc>
        <w:tc>
          <w:tcPr>
            <w:tcW w:w="883" w:type="dxa"/>
            <w:tcBorders>
              <w:top w:val="single" w:sz="4" w:space="0" w:color="auto"/>
              <w:left w:val="nil"/>
              <w:bottom w:val="single" w:sz="4" w:space="0" w:color="auto"/>
              <w:right w:val="nil"/>
            </w:tcBorders>
            <w:shd w:val="clear" w:color="auto" w:fill="auto"/>
            <w:hideMark/>
          </w:tcPr>
          <w:p w14:paraId="78C3D9DE" w14:textId="77777777" w:rsidR="00B8616D" w:rsidRPr="00B8616D" w:rsidRDefault="00B8616D" w:rsidP="00B8616D">
            <w:pPr>
              <w:spacing w:after="0"/>
              <w:jc w:val="right"/>
              <w:rPr>
                <w:rFonts w:ascii="Arial" w:hAnsi="Arial" w:cs="Arial"/>
                <w:b/>
                <w:bCs/>
                <w:color w:val="auto"/>
                <w:sz w:val="16"/>
                <w:szCs w:val="16"/>
              </w:rPr>
            </w:pPr>
            <w:r w:rsidRPr="00B8616D">
              <w:rPr>
                <w:rFonts w:ascii="Arial" w:hAnsi="Arial" w:cs="Arial"/>
                <w:b/>
                <w:bCs/>
                <w:color w:val="auto"/>
                <w:sz w:val="16"/>
                <w:szCs w:val="16"/>
              </w:rPr>
              <w:t>2025–26 Forward estimate</w:t>
            </w:r>
            <w:r w:rsidRPr="00B8616D">
              <w:rPr>
                <w:rFonts w:ascii="Arial" w:hAnsi="Arial" w:cs="Arial"/>
                <w:b/>
                <w:bCs/>
                <w:color w:val="auto"/>
                <w:sz w:val="16"/>
                <w:szCs w:val="16"/>
              </w:rPr>
              <w:br/>
              <w:t>$'000</w:t>
            </w:r>
          </w:p>
        </w:tc>
        <w:tc>
          <w:tcPr>
            <w:tcW w:w="883" w:type="dxa"/>
            <w:tcBorders>
              <w:top w:val="single" w:sz="4" w:space="0" w:color="auto"/>
              <w:left w:val="nil"/>
              <w:bottom w:val="single" w:sz="4" w:space="0" w:color="auto"/>
              <w:right w:val="nil"/>
            </w:tcBorders>
            <w:shd w:val="clear" w:color="auto" w:fill="auto"/>
            <w:hideMark/>
          </w:tcPr>
          <w:p w14:paraId="0C8A033A" w14:textId="77777777" w:rsidR="00B8616D" w:rsidRPr="00B8616D" w:rsidRDefault="00B8616D" w:rsidP="00B8616D">
            <w:pPr>
              <w:spacing w:after="0"/>
              <w:jc w:val="right"/>
              <w:rPr>
                <w:rFonts w:ascii="Arial" w:hAnsi="Arial" w:cs="Arial"/>
                <w:b/>
                <w:bCs/>
                <w:color w:val="auto"/>
                <w:sz w:val="16"/>
                <w:szCs w:val="16"/>
              </w:rPr>
            </w:pPr>
            <w:r w:rsidRPr="00B8616D">
              <w:rPr>
                <w:rFonts w:ascii="Arial" w:hAnsi="Arial" w:cs="Arial"/>
                <w:b/>
                <w:bCs/>
                <w:color w:val="auto"/>
                <w:sz w:val="16"/>
                <w:szCs w:val="16"/>
              </w:rPr>
              <w:t>2026–27 Forward estimate</w:t>
            </w:r>
            <w:r w:rsidRPr="00B8616D">
              <w:rPr>
                <w:rFonts w:ascii="Arial" w:hAnsi="Arial" w:cs="Arial"/>
                <w:b/>
                <w:bCs/>
                <w:color w:val="auto"/>
                <w:sz w:val="16"/>
                <w:szCs w:val="16"/>
              </w:rPr>
              <w:br/>
              <w:t>$'000</w:t>
            </w:r>
          </w:p>
        </w:tc>
      </w:tr>
      <w:tr w:rsidR="00B8616D" w:rsidRPr="00B8616D" w14:paraId="46F78C81" w14:textId="77777777" w:rsidTr="00B8616D">
        <w:trPr>
          <w:trHeight w:val="225"/>
        </w:trPr>
        <w:tc>
          <w:tcPr>
            <w:tcW w:w="2963" w:type="dxa"/>
            <w:tcBorders>
              <w:top w:val="nil"/>
              <w:left w:val="nil"/>
              <w:bottom w:val="nil"/>
              <w:right w:val="nil"/>
            </w:tcBorders>
            <w:shd w:val="clear" w:color="auto" w:fill="auto"/>
            <w:noWrap/>
            <w:vAlign w:val="bottom"/>
            <w:hideMark/>
          </w:tcPr>
          <w:p w14:paraId="17F0BFEE" w14:textId="77777777" w:rsidR="00B8616D" w:rsidRPr="00B8616D" w:rsidRDefault="00B8616D" w:rsidP="00B8616D">
            <w:pPr>
              <w:spacing w:after="0"/>
              <w:rPr>
                <w:rFonts w:ascii="Arial" w:hAnsi="Arial" w:cs="Arial"/>
                <w:b/>
                <w:bCs/>
                <w:sz w:val="16"/>
                <w:szCs w:val="16"/>
              </w:rPr>
            </w:pPr>
            <w:r w:rsidRPr="00B8616D">
              <w:rPr>
                <w:rFonts w:ascii="Arial" w:hAnsi="Arial" w:cs="Arial"/>
                <w:b/>
                <w:bCs/>
                <w:sz w:val="16"/>
                <w:szCs w:val="16"/>
              </w:rPr>
              <w:t>ASSETS</w:t>
            </w:r>
          </w:p>
        </w:tc>
        <w:tc>
          <w:tcPr>
            <w:tcW w:w="892" w:type="dxa"/>
            <w:tcBorders>
              <w:top w:val="single" w:sz="4" w:space="0" w:color="auto"/>
              <w:left w:val="nil"/>
              <w:bottom w:val="nil"/>
              <w:right w:val="nil"/>
            </w:tcBorders>
            <w:shd w:val="clear" w:color="auto" w:fill="auto"/>
            <w:noWrap/>
            <w:vAlign w:val="bottom"/>
            <w:hideMark/>
          </w:tcPr>
          <w:p w14:paraId="09FFD984"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w:t>
            </w:r>
          </w:p>
        </w:tc>
        <w:tc>
          <w:tcPr>
            <w:tcW w:w="876" w:type="dxa"/>
            <w:tcBorders>
              <w:top w:val="single" w:sz="4" w:space="0" w:color="auto"/>
              <w:left w:val="nil"/>
              <w:bottom w:val="nil"/>
              <w:right w:val="nil"/>
            </w:tcBorders>
            <w:shd w:val="clear" w:color="000000" w:fill="D9D9D9"/>
            <w:noWrap/>
            <w:vAlign w:val="bottom"/>
            <w:hideMark/>
          </w:tcPr>
          <w:p w14:paraId="37485E71"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w:t>
            </w:r>
          </w:p>
        </w:tc>
        <w:tc>
          <w:tcPr>
            <w:tcW w:w="883" w:type="dxa"/>
            <w:tcBorders>
              <w:top w:val="single" w:sz="4" w:space="0" w:color="auto"/>
              <w:left w:val="nil"/>
              <w:bottom w:val="nil"/>
              <w:right w:val="nil"/>
            </w:tcBorders>
            <w:shd w:val="clear" w:color="auto" w:fill="auto"/>
            <w:noWrap/>
            <w:vAlign w:val="bottom"/>
            <w:hideMark/>
          </w:tcPr>
          <w:p w14:paraId="6E5BE572"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w:t>
            </w:r>
          </w:p>
        </w:tc>
        <w:tc>
          <w:tcPr>
            <w:tcW w:w="883" w:type="dxa"/>
            <w:tcBorders>
              <w:top w:val="single" w:sz="4" w:space="0" w:color="auto"/>
              <w:left w:val="nil"/>
              <w:bottom w:val="nil"/>
              <w:right w:val="nil"/>
            </w:tcBorders>
            <w:shd w:val="clear" w:color="auto" w:fill="auto"/>
            <w:noWrap/>
            <w:vAlign w:val="bottom"/>
            <w:hideMark/>
          </w:tcPr>
          <w:p w14:paraId="567E42CB"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w:t>
            </w:r>
          </w:p>
        </w:tc>
        <w:tc>
          <w:tcPr>
            <w:tcW w:w="883" w:type="dxa"/>
            <w:tcBorders>
              <w:top w:val="single" w:sz="4" w:space="0" w:color="auto"/>
              <w:left w:val="nil"/>
              <w:bottom w:val="nil"/>
              <w:right w:val="nil"/>
            </w:tcBorders>
            <w:shd w:val="clear" w:color="auto" w:fill="auto"/>
            <w:noWrap/>
            <w:vAlign w:val="bottom"/>
            <w:hideMark/>
          </w:tcPr>
          <w:p w14:paraId="44D553AA"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w:t>
            </w:r>
          </w:p>
        </w:tc>
      </w:tr>
      <w:tr w:rsidR="00B8616D" w:rsidRPr="00B8616D" w14:paraId="6C34E393" w14:textId="77777777" w:rsidTr="00B8616D">
        <w:trPr>
          <w:trHeight w:val="225"/>
        </w:trPr>
        <w:tc>
          <w:tcPr>
            <w:tcW w:w="2963" w:type="dxa"/>
            <w:tcBorders>
              <w:top w:val="nil"/>
              <w:left w:val="nil"/>
              <w:bottom w:val="nil"/>
              <w:right w:val="nil"/>
            </w:tcBorders>
            <w:shd w:val="clear" w:color="auto" w:fill="auto"/>
            <w:noWrap/>
            <w:vAlign w:val="bottom"/>
            <w:hideMark/>
          </w:tcPr>
          <w:p w14:paraId="21D61259" w14:textId="77777777" w:rsidR="00B8616D" w:rsidRPr="00B8616D" w:rsidRDefault="00B8616D" w:rsidP="00B8616D">
            <w:pPr>
              <w:spacing w:after="0"/>
              <w:ind w:firstLineChars="100" w:firstLine="160"/>
              <w:rPr>
                <w:rFonts w:ascii="Arial" w:hAnsi="Arial" w:cs="Arial"/>
                <w:b/>
                <w:bCs/>
                <w:sz w:val="16"/>
                <w:szCs w:val="16"/>
              </w:rPr>
            </w:pPr>
            <w:r w:rsidRPr="00B8616D">
              <w:rPr>
                <w:rFonts w:ascii="Arial" w:hAnsi="Arial" w:cs="Arial"/>
                <w:b/>
                <w:bCs/>
                <w:sz w:val="16"/>
                <w:szCs w:val="16"/>
              </w:rPr>
              <w:t>Financial assets</w:t>
            </w:r>
          </w:p>
        </w:tc>
        <w:tc>
          <w:tcPr>
            <w:tcW w:w="892" w:type="dxa"/>
            <w:tcBorders>
              <w:top w:val="nil"/>
              <w:left w:val="nil"/>
              <w:bottom w:val="nil"/>
              <w:right w:val="nil"/>
            </w:tcBorders>
            <w:shd w:val="clear" w:color="auto" w:fill="auto"/>
            <w:noWrap/>
            <w:vAlign w:val="bottom"/>
            <w:hideMark/>
          </w:tcPr>
          <w:p w14:paraId="2C8A9FDF" w14:textId="77777777" w:rsidR="00B8616D" w:rsidRPr="00B8616D" w:rsidRDefault="00B8616D" w:rsidP="00B8616D">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5D24090C"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4A7C05CC" w14:textId="77777777" w:rsidR="00B8616D" w:rsidRPr="00B8616D" w:rsidRDefault="00B8616D" w:rsidP="00B8616D">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12F7474B" w14:textId="77777777" w:rsidR="00B8616D" w:rsidRPr="00B8616D" w:rsidRDefault="00B8616D" w:rsidP="00B8616D">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3376B61A" w14:textId="77777777" w:rsidR="00B8616D" w:rsidRPr="00B8616D" w:rsidRDefault="00B8616D" w:rsidP="00B8616D">
            <w:pPr>
              <w:spacing w:after="0"/>
              <w:jc w:val="right"/>
              <w:rPr>
                <w:rFonts w:ascii="Times New Roman" w:hAnsi="Times New Roman"/>
                <w:color w:val="auto"/>
                <w:sz w:val="20"/>
              </w:rPr>
            </w:pPr>
          </w:p>
        </w:tc>
      </w:tr>
      <w:tr w:rsidR="00B8616D" w:rsidRPr="00B8616D" w14:paraId="12011EC0" w14:textId="77777777" w:rsidTr="00B8616D">
        <w:trPr>
          <w:trHeight w:val="225"/>
        </w:trPr>
        <w:tc>
          <w:tcPr>
            <w:tcW w:w="2963" w:type="dxa"/>
            <w:tcBorders>
              <w:top w:val="nil"/>
              <w:left w:val="nil"/>
              <w:bottom w:val="nil"/>
              <w:right w:val="nil"/>
            </w:tcBorders>
            <w:shd w:val="clear" w:color="auto" w:fill="auto"/>
            <w:noWrap/>
            <w:vAlign w:val="bottom"/>
            <w:hideMark/>
          </w:tcPr>
          <w:p w14:paraId="440B8054" w14:textId="77777777" w:rsidR="00B8616D" w:rsidRPr="00B8616D" w:rsidRDefault="00B8616D" w:rsidP="00B8616D">
            <w:pPr>
              <w:spacing w:after="0"/>
              <w:ind w:firstLineChars="200" w:firstLine="320"/>
              <w:rPr>
                <w:rFonts w:ascii="Arial" w:hAnsi="Arial" w:cs="Arial"/>
                <w:sz w:val="16"/>
                <w:szCs w:val="16"/>
              </w:rPr>
            </w:pPr>
            <w:r w:rsidRPr="00B8616D">
              <w:rPr>
                <w:rFonts w:ascii="Arial" w:hAnsi="Arial" w:cs="Arial"/>
                <w:sz w:val="16"/>
                <w:szCs w:val="16"/>
              </w:rPr>
              <w:t>Cash and cash equivalents</w:t>
            </w:r>
          </w:p>
        </w:tc>
        <w:tc>
          <w:tcPr>
            <w:tcW w:w="892" w:type="dxa"/>
            <w:tcBorders>
              <w:top w:val="nil"/>
              <w:left w:val="nil"/>
              <w:bottom w:val="nil"/>
              <w:right w:val="nil"/>
            </w:tcBorders>
            <w:shd w:val="clear" w:color="auto" w:fill="auto"/>
            <w:noWrap/>
            <w:vAlign w:val="bottom"/>
            <w:hideMark/>
          </w:tcPr>
          <w:p w14:paraId="0846EF29"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664 </w:t>
            </w:r>
          </w:p>
        </w:tc>
        <w:tc>
          <w:tcPr>
            <w:tcW w:w="876" w:type="dxa"/>
            <w:tcBorders>
              <w:top w:val="nil"/>
              <w:left w:val="nil"/>
              <w:bottom w:val="nil"/>
              <w:right w:val="nil"/>
            </w:tcBorders>
            <w:shd w:val="clear" w:color="000000" w:fill="D9D9D9"/>
            <w:noWrap/>
            <w:vAlign w:val="bottom"/>
            <w:hideMark/>
          </w:tcPr>
          <w:p w14:paraId="2451A6CD"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664 </w:t>
            </w:r>
          </w:p>
        </w:tc>
        <w:tc>
          <w:tcPr>
            <w:tcW w:w="883" w:type="dxa"/>
            <w:tcBorders>
              <w:top w:val="nil"/>
              <w:left w:val="nil"/>
              <w:bottom w:val="nil"/>
              <w:right w:val="nil"/>
            </w:tcBorders>
            <w:shd w:val="clear" w:color="auto" w:fill="auto"/>
            <w:noWrap/>
            <w:vAlign w:val="bottom"/>
            <w:hideMark/>
          </w:tcPr>
          <w:p w14:paraId="6B78D512"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664 </w:t>
            </w:r>
          </w:p>
        </w:tc>
        <w:tc>
          <w:tcPr>
            <w:tcW w:w="883" w:type="dxa"/>
            <w:tcBorders>
              <w:top w:val="nil"/>
              <w:left w:val="nil"/>
              <w:bottom w:val="nil"/>
              <w:right w:val="nil"/>
            </w:tcBorders>
            <w:shd w:val="clear" w:color="auto" w:fill="auto"/>
            <w:noWrap/>
            <w:vAlign w:val="bottom"/>
            <w:hideMark/>
          </w:tcPr>
          <w:p w14:paraId="15930223"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664 </w:t>
            </w:r>
          </w:p>
        </w:tc>
        <w:tc>
          <w:tcPr>
            <w:tcW w:w="883" w:type="dxa"/>
            <w:tcBorders>
              <w:top w:val="nil"/>
              <w:left w:val="nil"/>
              <w:bottom w:val="nil"/>
              <w:right w:val="nil"/>
            </w:tcBorders>
            <w:shd w:val="clear" w:color="auto" w:fill="auto"/>
            <w:noWrap/>
            <w:vAlign w:val="bottom"/>
            <w:hideMark/>
          </w:tcPr>
          <w:p w14:paraId="43C5B016"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664 </w:t>
            </w:r>
          </w:p>
        </w:tc>
      </w:tr>
      <w:tr w:rsidR="00B8616D" w:rsidRPr="00B8616D" w14:paraId="18DF24AD" w14:textId="77777777" w:rsidTr="00B8616D">
        <w:trPr>
          <w:trHeight w:val="225"/>
        </w:trPr>
        <w:tc>
          <w:tcPr>
            <w:tcW w:w="2963" w:type="dxa"/>
            <w:tcBorders>
              <w:top w:val="nil"/>
              <w:left w:val="nil"/>
              <w:bottom w:val="nil"/>
              <w:right w:val="nil"/>
            </w:tcBorders>
            <w:shd w:val="clear" w:color="auto" w:fill="auto"/>
            <w:noWrap/>
            <w:vAlign w:val="bottom"/>
            <w:hideMark/>
          </w:tcPr>
          <w:p w14:paraId="50056EA9" w14:textId="77777777" w:rsidR="00B8616D" w:rsidRPr="00B8616D" w:rsidRDefault="00B8616D" w:rsidP="00B8616D">
            <w:pPr>
              <w:spacing w:after="0"/>
              <w:ind w:firstLineChars="200" w:firstLine="320"/>
              <w:rPr>
                <w:rFonts w:ascii="Arial" w:hAnsi="Arial" w:cs="Arial"/>
                <w:sz w:val="16"/>
                <w:szCs w:val="16"/>
              </w:rPr>
            </w:pPr>
            <w:r w:rsidRPr="00B8616D">
              <w:rPr>
                <w:rFonts w:ascii="Arial" w:hAnsi="Arial" w:cs="Arial"/>
                <w:sz w:val="16"/>
                <w:szCs w:val="16"/>
              </w:rPr>
              <w:t>Receivables</w:t>
            </w:r>
          </w:p>
        </w:tc>
        <w:tc>
          <w:tcPr>
            <w:tcW w:w="892" w:type="dxa"/>
            <w:tcBorders>
              <w:top w:val="nil"/>
              <w:left w:val="nil"/>
              <w:bottom w:val="nil"/>
              <w:right w:val="nil"/>
            </w:tcBorders>
            <w:shd w:val="clear" w:color="auto" w:fill="auto"/>
            <w:noWrap/>
            <w:vAlign w:val="bottom"/>
            <w:hideMark/>
          </w:tcPr>
          <w:p w14:paraId="7B732B19"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3,366 </w:t>
            </w:r>
          </w:p>
        </w:tc>
        <w:tc>
          <w:tcPr>
            <w:tcW w:w="876" w:type="dxa"/>
            <w:tcBorders>
              <w:top w:val="nil"/>
              <w:left w:val="nil"/>
              <w:bottom w:val="nil"/>
              <w:right w:val="nil"/>
            </w:tcBorders>
            <w:shd w:val="clear" w:color="000000" w:fill="D9D9D9"/>
            <w:noWrap/>
            <w:vAlign w:val="bottom"/>
            <w:hideMark/>
          </w:tcPr>
          <w:p w14:paraId="0C4958E5"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3,366 </w:t>
            </w:r>
          </w:p>
        </w:tc>
        <w:tc>
          <w:tcPr>
            <w:tcW w:w="883" w:type="dxa"/>
            <w:tcBorders>
              <w:top w:val="nil"/>
              <w:left w:val="nil"/>
              <w:bottom w:val="nil"/>
              <w:right w:val="nil"/>
            </w:tcBorders>
            <w:shd w:val="clear" w:color="auto" w:fill="auto"/>
            <w:noWrap/>
            <w:vAlign w:val="bottom"/>
            <w:hideMark/>
          </w:tcPr>
          <w:p w14:paraId="74E3F193"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3,366 </w:t>
            </w:r>
          </w:p>
        </w:tc>
        <w:tc>
          <w:tcPr>
            <w:tcW w:w="883" w:type="dxa"/>
            <w:tcBorders>
              <w:top w:val="nil"/>
              <w:left w:val="nil"/>
              <w:bottom w:val="nil"/>
              <w:right w:val="nil"/>
            </w:tcBorders>
            <w:shd w:val="clear" w:color="auto" w:fill="auto"/>
            <w:noWrap/>
            <w:vAlign w:val="bottom"/>
            <w:hideMark/>
          </w:tcPr>
          <w:p w14:paraId="67B790EE"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3,366 </w:t>
            </w:r>
          </w:p>
        </w:tc>
        <w:tc>
          <w:tcPr>
            <w:tcW w:w="883" w:type="dxa"/>
            <w:tcBorders>
              <w:top w:val="nil"/>
              <w:left w:val="nil"/>
              <w:bottom w:val="nil"/>
              <w:right w:val="nil"/>
            </w:tcBorders>
            <w:shd w:val="clear" w:color="auto" w:fill="auto"/>
            <w:noWrap/>
            <w:vAlign w:val="bottom"/>
            <w:hideMark/>
          </w:tcPr>
          <w:p w14:paraId="083FF679"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3,366 </w:t>
            </w:r>
          </w:p>
        </w:tc>
      </w:tr>
      <w:tr w:rsidR="00B8616D" w:rsidRPr="00B8616D" w14:paraId="008E94AA" w14:textId="77777777" w:rsidTr="00B8616D">
        <w:trPr>
          <w:trHeight w:val="225"/>
        </w:trPr>
        <w:tc>
          <w:tcPr>
            <w:tcW w:w="2963" w:type="dxa"/>
            <w:tcBorders>
              <w:top w:val="nil"/>
              <w:left w:val="nil"/>
              <w:bottom w:val="nil"/>
              <w:right w:val="nil"/>
            </w:tcBorders>
            <w:shd w:val="clear" w:color="auto" w:fill="auto"/>
            <w:noWrap/>
            <w:vAlign w:val="bottom"/>
            <w:hideMark/>
          </w:tcPr>
          <w:p w14:paraId="438EB479" w14:textId="77777777" w:rsidR="00B8616D" w:rsidRPr="00B8616D" w:rsidRDefault="00B8616D" w:rsidP="00B8616D">
            <w:pPr>
              <w:spacing w:after="0"/>
              <w:ind w:firstLineChars="200" w:firstLine="320"/>
              <w:rPr>
                <w:rFonts w:ascii="Arial" w:hAnsi="Arial" w:cs="Arial"/>
                <w:b/>
                <w:bCs/>
                <w:sz w:val="16"/>
                <w:szCs w:val="16"/>
              </w:rPr>
            </w:pPr>
            <w:r w:rsidRPr="00B8616D">
              <w:rPr>
                <w:rFonts w:ascii="Arial" w:hAnsi="Arial" w:cs="Arial"/>
                <w:b/>
                <w:bCs/>
                <w:sz w:val="16"/>
                <w:szCs w:val="16"/>
              </w:rPr>
              <w:t>Total financial assets</w:t>
            </w:r>
          </w:p>
        </w:tc>
        <w:tc>
          <w:tcPr>
            <w:tcW w:w="892" w:type="dxa"/>
            <w:tcBorders>
              <w:top w:val="nil"/>
              <w:left w:val="nil"/>
              <w:bottom w:val="single" w:sz="4" w:space="0" w:color="auto"/>
              <w:right w:val="nil"/>
            </w:tcBorders>
            <w:shd w:val="clear" w:color="auto" w:fill="auto"/>
            <w:noWrap/>
            <w:vAlign w:val="bottom"/>
            <w:hideMark/>
          </w:tcPr>
          <w:p w14:paraId="54AE6591"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4,030 </w:t>
            </w:r>
          </w:p>
        </w:tc>
        <w:tc>
          <w:tcPr>
            <w:tcW w:w="876" w:type="dxa"/>
            <w:tcBorders>
              <w:top w:val="nil"/>
              <w:left w:val="nil"/>
              <w:bottom w:val="single" w:sz="4" w:space="0" w:color="auto"/>
              <w:right w:val="nil"/>
            </w:tcBorders>
            <w:shd w:val="clear" w:color="000000" w:fill="D9D9D9"/>
            <w:noWrap/>
            <w:vAlign w:val="bottom"/>
            <w:hideMark/>
          </w:tcPr>
          <w:p w14:paraId="417B3CD3"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4,030 </w:t>
            </w:r>
          </w:p>
        </w:tc>
        <w:tc>
          <w:tcPr>
            <w:tcW w:w="883" w:type="dxa"/>
            <w:tcBorders>
              <w:top w:val="nil"/>
              <w:left w:val="nil"/>
              <w:bottom w:val="single" w:sz="4" w:space="0" w:color="auto"/>
              <w:right w:val="nil"/>
            </w:tcBorders>
            <w:shd w:val="clear" w:color="auto" w:fill="auto"/>
            <w:noWrap/>
            <w:vAlign w:val="bottom"/>
            <w:hideMark/>
          </w:tcPr>
          <w:p w14:paraId="2FD939A1"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4,030 </w:t>
            </w:r>
          </w:p>
        </w:tc>
        <w:tc>
          <w:tcPr>
            <w:tcW w:w="883" w:type="dxa"/>
            <w:tcBorders>
              <w:top w:val="nil"/>
              <w:left w:val="nil"/>
              <w:bottom w:val="single" w:sz="4" w:space="0" w:color="auto"/>
              <w:right w:val="nil"/>
            </w:tcBorders>
            <w:shd w:val="clear" w:color="auto" w:fill="auto"/>
            <w:noWrap/>
            <w:vAlign w:val="bottom"/>
            <w:hideMark/>
          </w:tcPr>
          <w:p w14:paraId="3B849A33"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4,030 </w:t>
            </w:r>
          </w:p>
        </w:tc>
        <w:tc>
          <w:tcPr>
            <w:tcW w:w="883" w:type="dxa"/>
            <w:tcBorders>
              <w:top w:val="nil"/>
              <w:left w:val="nil"/>
              <w:bottom w:val="single" w:sz="4" w:space="0" w:color="auto"/>
              <w:right w:val="nil"/>
            </w:tcBorders>
            <w:shd w:val="clear" w:color="auto" w:fill="auto"/>
            <w:noWrap/>
            <w:vAlign w:val="bottom"/>
            <w:hideMark/>
          </w:tcPr>
          <w:p w14:paraId="691C5FA8"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4,030 </w:t>
            </w:r>
          </w:p>
        </w:tc>
      </w:tr>
      <w:tr w:rsidR="00B8616D" w:rsidRPr="00B8616D" w14:paraId="44E0F8D2" w14:textId="77777777" w:rsidTr="00B8616D">
        <w:trPr>
          <w:trHeight w:val="300"/>
        </w:trPr>
        <w:tc>
          <w:tcPr>
            <w:tcW w:w="2963" w:type="dxa"/>
            <w:tcBorders>
              <w:top w:val="nil"/>
              <w:left w:val="nil"/>
              <w:bottom w:val="nil"/>
              <w:right w:val="nil"/>
            </w:tcBorders>
            <w:shd w:val="clear" w:color="auto" w:fill="auto"/>
            <w:noWrap/>
            <w:vAlign w:val="bottom"/>
            <w:hideMark/>
          </w:tcPr>
          <w:p w14:paraId="78E9EF0F" w14:textId="77777777" w:rsidR="00B8616D" w:rsidRPr="00B8616D" w:rsidRDefault="00B8616D" w:rsidP="00B8616D">
            <w:pPr>
              <w:spacing w:after="0"/>
              <w:ind w:firstLineChars="100" w:firstLine="160"/>
              <w:rPr>
                <w:rFonts w:ascii="Arial" w:hAnsi="Arial" w:cs="Arial"/>
                <w:b/>
                <w:bCs/>
                <w:sz w:val="16"/>
                <w:szCs w:val="16"/>
              </w:rPr>
            </w:pPr>
            <w:r w:rsidRPr="00B8616D">
              <w:rPr>
                <w:rFonts w:ascii="Arial" w:hAnsi="Arial" w:cs="Arial"/>
                <w:b/>
                <w:bCs/>
                <w:sz w:val="16"/>
                <w:szCs w:val="16"/>
              </w:rPr>
              <w:t>Non-financial assets</w:t>
            </w:r>
          </w:p>
        </w:tc>
        <w:tc>
          <w:tcPr>
            <w:tcW w:w="892" w:type="dxa"/>
            <w:tcBorders>
              <w:top w:val="nil"/>
              <w:left w:val="nil"/>
              <w:bottom w:val="nil"/>
              <w:right w:val="nil"/>
            </w:tcBorders>
            <w:shd w:val="clear" w:color="auto" w:fill="auto"/>
            <w:noWrap/>
            <w:vAlign w:val="bottom"/>
            <w:hideMark/>
          </w:tcPr>
          <w:p w14:paraId="41850038" w14:textId="77777777" w:rsidR="00B8616D" w:rsidRPr="00B8616D" w:rsidRDefault="00B8616D" w:rsidP="00B8616D">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26664DC5"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3DC247D9" w14:textId="77777777" w:rsidR="00B8616D" w:rsidRPr="00B8616D" w:rsidRDefault="00B8616D" w:rsidP="00B8616D">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614B1C08" w14:textId="77777777" w:rsidR="00B8616D" w:rsidRPr="00B8616D" w:rsidRDefault="00B8616D" w:rsidP="00B8616D">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197F54B2" w14:textId="77777777" w:rsidR="00B8616D" w:rsidRPr="00B8616D" w:rsidRDefault="00B8616D" w:rsidP="00B8616D">
            <w:pPr>
              <w:spacing w:after="0"/>
              <w:jc w:val="right"/>
              <w:rPr>
                <w:rFonts w:ascii="Times New Roman" w:hAnsi="Times New Roman"/>
                <w:color w:val="auto"/>
                <w:sz w:val="20"/>
              </w:rPr>
            </w:pPr>
          </w:p>
        </w:tc>
      </w:tr>
      <w:tr w:rsidR="00B8616D" w:rsidRPr="00B8616D" w14:paraId="29B62EE1" w14:textId="77777777" w:rsidTr="00B8616D">
        <w:trPr>
          <w:trHeight w:val="225"/>
        </w:trPr>
        <w:tc>
          <w:tcPr>
            <w:tcW w:w="2963" w:type="dxa"/>
            <w:tcBorders>
              <w:top w:val="nil"/>
              <w:left w:val="nil"/>
              <w:bottom w:val="nil"/>
              <w:right w:val="nil"/>
            </w:tcBorders>
            <w:shd w:val="clear" w:color="auto" w:fill="auto"/>
            <w:noWrap/>
            <w:vAlign w:val="bottom"/>
            <w:hideMark/>
          </w:tcPr>
          <w:p w14:paraId="05B6670F" w14:textId="77777777" w:rsidR="00B8616D" w:rsidRPr="00B8616D" w:rsidRDefault="00B8616D" w:rsidP="00B8616D">
            <w:pPr>
              <w:spacing w:after="0"/>
              <w:ind w:firstLineChars="200" w:firstLine="320"/>
              <w:rPr>
                <w:rFonts w:ascii="Arial" w:hAnsi="Arial" w:cs="Arial"/>
                <w:sz w:val="16"/>
                <w:szCs w:val="16"/>
              </w:rPr>
            </w:pPr>
            <w:r w:rsidRPr="00B8616D">
              <w:rPr>
                <w:rFonts w:ascii="Arial" w:hAnsi="Arial" w:cs="Arial"/>
                <w:sz w:val="16"/>
                <w:szCs w:val="16"/>
              </w:rPr>
              <w:t>Property, plant and equipment</w:t>
            </w:r>
          </w:p>
        </w:tc>
        <w:tc>
          <w:tcPr>
            <w:tcW w:w="892" w:type="dxa"/>
            <w:tcBorders>
              <w:top w:val="nil"/>
              <w:left w:val="nil"/>
              <w:bottom w:val="nil"/>
              <w:right w:val="nil"/>
            </w:tcBorders>
            <w:shd w:val="clear" w:color="auto" w:fill="auto"/>
            <w:noWrap/>
            <w:vAlign w:val="bottom"/>
            <w:hideMark/>
          </w:tcPr>
          <w:p w14:paraId="419C6AF6"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2,253 </w:t>
            </w:r>
          </w:p>
        </w:tc>
        <w:tc>
          <w:tcPr>
            <w:tcW w:w="876" w:type="dxa"/>
            <w:tcBorders>
              <w:top w:val="nil"/>
              <w:left w:val="nil"/>
              <w:bottom w:val="nil"/>
              <w:right w:val="nil"/>
            </w:tcBorders>
            <w:shd w:val="clear" w:color="000000" w:fill="D9D9D9"/>
            <w:noWrap/>
            <w:vAlign w:val="bottom"/>
            <w:hideMark/>
          </w:tcPr>
          <w:p w14:paraId="28C04845"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1,857 </w:t>
            </w:r>
          </w:p>
        </w:tc>
        <w:tc>
          <w:tcPr>
            <w:tcW w:w="883" w:type="dxa"/>
            <w:tcBorders>
              <w:top w:val="nil"/>
              <w:left w:val="nil"/>
              <w:bottom w:val="nil"/>
              <w:right w:val="nil"/>
            </w:tcBorders>
            <w:shd w:val="clear" w:color="auto" w:fill="auto"/>
            <w:noWrap/>
            <w:vAlign w:val="bottom"/>
            <w:hideMark/>
          </w:tcPr>
          <w:p w14:paraId="73A13DEE"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1,629 </w:t>
            </w:r>
          </w:p>
        </w:tc>
        <w:tc>
          <w:tcPr>
            <w:tcW w:w="883" w:type="dxa"/>
            <w:tcBorders>
              <w:top w:val="nil"/>
              <w:left w:val="nil"/>
              <w:bottom w:val="nil"/>
              <w:right w:val="nil"/>
            </w:tcBorders>
            <w:shd w:val="clear" w:color="auto" w:fill="auto"/>
            <w:noWrap/>
            <w:vAlign w:val="bottom"/>
            <w:hideMark/>
          </w:tcPr>
          <w:p w14:paraId="0BD1BC84"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1,439 </w:t>
            </w:r>
          </w:p>
        </w:tc>
        <w:tc>
          <w:tcPr>
            <w:tcW w:w="883" w:type="dxa"/>
            <w:tcBorders>
              <w:top w:val="nil"/>
              <w:left w:val="nil"/>
              <w:bottom w:val="nil"/>
              <w:right w:val="nil"/>
            </w:tcBorders>
            <w:shd w:val="clear" w:color="auto" w:fill="auto"/>
            <w:noWrap/>
            <w:vAlign w:val="bottom"/>
            <w:hideMark/>
          </w:tcPr>
          <w:p w14:paraId="0839BA8C"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1,254 </w:t>
            </w:r>
          </w:p>
        </w:tc>
      </w:tr>
      <w:tr w:rsidR="00B8616D" w:rsidRPr="00B8616D" w14:paraId="26C5EBA8" w14:textId="77777777" w:rsidTr="00B8616D">
        <w:trPr>
          <w:trHeight w:val="225"/>
        </w:trPr>
        <w:tc>
          <w:tcPr>
            <w:tcW w:w="2963" w:type="dxa"/>
            <w:tcBorders>
              <w:top w:val="nil"/>
              <w:left w:val="nil"/>
              <w:bottom w:val="nil"/>
              <w:right w:val="nil"/>
            </w:tcBorders>
            <w:shd w:val="clear" w:color="auto" w:fill="auto"/>
            <w:noWrap/>
            <w:vAlign w:val="bottom"/>
            <w:hideMark/>
          </w:tcPr>
          <w:p w14:paraId="4D31330C" w14:textId="77777777" w:rsidR="00B8616D" w:rsidRPr="00B8616D" w:rsidRDefault="00B8616D" w:rsidP="00B8616D">
            <w:pPr>
              <w:spacing w:after="0"/>
              <w:ind w:firstLineChars="200" w:firstLine="320"/>
              <w:rPr>
                <w:rFonts w:ascii="Arial" w:hAnsi="Arial" w:cs="Arial"/>
                <w:sz w:val="16"/>
                <w:szCs w:val="16"/>
              </w:rPr>
            </w:pPr>
            <w:r w:rsidRPr="00B8616D">
              <w:rPr>
                <w:rFonts w:ascii="Arial" w:hAnsi="Arial" w:cs="Arial"/>
                <w:sz w:val="16"/>
                <w:szCs w:val="16"/>
              </w:rPr>
              <w:t>Land and buildings</w:t>
            </w:r>
          </w:p>
        </w:tc>
        <w:tc>
          <w:tcPr>
            <w:tcW w:w="892" w:type="dxa"/>
            <w:tcBorders>
              <w:top w:val="nil"/>
              <w:left w:val="nil"/>
              <w:bottom w:val="nil"/>
              <w:right w:val="nil"/>
            </w:tcBorders>
            <w:shd w:val="clear" w:color="auto" w:fill="auto"/>
            <w:noWrap/>
            <w:vAlign w:val="bottom"/>
            <w:hideMark/>
          </w:tcPr>
          <w:p w14:paraId="73802DDF"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13,435 </w:t>
            </w:r>
          </w:p>
        </w:tc>
        <w:tc>
          <w:tcPr>
            <w:tcW w:w="876" w:type="dxa"/>
            <w:tcBorders>
              <w:top w:val="nil"/>
              <w:left w:val="nil"/>
              <w:bottom w:val="nil"/>
              <w:right w:val="nil"/>
            </w:tcBorders>
            <w:shd w:val="clear" w:color="000000" w:fill="D9D9D9"/>
            <w:noWrap/>
            <w:vAlign w:val="bottom"/>
            <w:hideMark/>
          </w:tcPr>
          <w:p w14:paraId="176CAE0A"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10,827 </w:t>
            </w:r>
          </w:p>
        </w:tc>
        <w:tc>
          <w:tcPr>
            <w:tcW w:w="883" w:type="dxa"/>
            <w:tcBorders>
              <w:top w:val="nil"/>
              <w:left w:val="nil"/>
              <w:bottom w:val="nil"/>
              <w:right w:val="nil"/>
            </w:tcBorders>
            <w:shd w:val="clear" w:color="auto" w:fill="auto"/>
            <w:noWrap/>
            <w:vAlign w:val="bottom"/>
            <w:hideMark/>
          </w:tcPr>
          <w:p w14:paraId="3F5D6A02"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8,269 </w:t>
            </w:r>
          </w:p>
        </w:tc>
        <w:tc>
          <w:tcPr>
            <w:tcW w:w="883" w:type="dxa"/>
            <w:tcBorders>
              <w:top w:val="nil"/>
              <w:left w:val="nil"/>
              <w:bottom w:val="nil"/>
              <w:right w:val="nil"/>
            </w:tcBorders>
            <w:shd w:val="clear" w:color="auto" w:fill="auto"/>
            <w:noWrap/>
            <w:vAlign w:val="bottom"/>
            <w:hideMark/>
          </w:tcPr>
          <w:p w14:paraId="7DB8A74A"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5,837 </w:t>
            </w:r>
          </w:p>
        </w:tc>
        <w:tc>
          <w:tcPr>
            <w:tcW w:w="883" w:type="dxa"/>
            <w:tcBorders>
              <w:top w:val="nil"/>
              <w:left w:val="nil"/>
              <w:bottom w:val="nil"/>
              <w:right w:val="nil"/>
            </w:tcBorders>
            <w:shd w:val="clear" w:color="auto" w:fill="auto"/>
            <w:noWrap/>
            <w:vAlign w:val="bottom"/>
            <w:hideMark/>
          </w:tcPr>
          <w:p w14:paraId="2FF6B68C"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3,405 </w:t>
            </w:r>
          </w:p>
        </w:tc>
      </w:tr>
      <w:tr w:rsidR="00B8616D" w:rsidRPr="00B8616D" w14:paraId="35E9892A" w14:textId="77777777" w:rsidTr="00B8616D">
        <w:trPr>
          <w:trHeight w:val="225"/>
        </w:trPr>
        <w:tc>
          <w:tcPr>
            <w:tcW w:w="2963" w:type="dxa"/>
            <w:tcBorders>
              <w:top w:val="nil"/>
              <w:left w:val="nil"/>
              <w:bottom w:val="nil"/>
              <w:right w:val="nil"/>
            </w:tcBorders>
            <w:shd w:val="clear" w:color="auto" w:fill="auto"/>
            <w:noWrap/>
            <w:vAlign w:val="bottom"/>
            <w:hideMark/>
          </w:tcPr>
          <w:p w14:paraId="11EE5ADC" w14:textId="77777777" w:rsidR="00B8616D" w:rsidRPr="00B8616D" w:rsidRDefault="00B8616D" w:rsidP="00B8616D">
            <w:pPr>
              <w:spacing w:after="0"/>
              <w:ind w:firstLineChars="200" w:firstLine="320"/>
              <w:rPr>
                <w:rFonts w:ascii="Arial" w:hAnsi="Arial" w:cs="Arial"/>
                <w:sz w:val="16"/>
                <w:szCs w:val="16"/>
              </w:rPr>
            </w:pPr>
            <w:r w:rsidRPr="00B8616D">
              <w:rPr>
                <w:rFonts w:ascii="Arial" w:hAnsi="Arial" w:cs="Arial"/>
                <w:sz w:val="16"/>
                <w:szCs w:val="16"/>
              </w:rPr>
              <w:t>Inventories</w:t>
            </w:r>
          </w:p>
        </w:tc>
        <w:tc>
          <w:tcPr>
            <w:tcW w:w="892" w:type="dxa"/>
            <w:tcBorders>
              <w:top w:val="nil"/>
              <w:left w:val="nil"/>
              <w:bottom w:val="nil"/>
              <w:right w:val="nil"/>
            </w:tcBorders>
            <w:shd w:val="clear" w:color="auto" w:fill="auto"/>
            <w:noWrap/>
            <w:vAlign w:val="bottom"/>
            <w:hideMark/>
          </w:tcPr>
          <w:p w14:paraId="002060B3"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94 </w:t>
            </w:r>
          </w:p>
        </w:tc>
        <w:tc>
          <w:tcPr>
            <w:tcW w:w="876" w:type="dxa"/>
            <w:tcBorders>
              <w:top w:val="nil"/>
              <w:left w:val="nil"/>
              <w:bottom w:val="nil"/>
              <w:right w:val="nil"/>
            </w:tcBorders>
            <w:shd w:val="clear" w:color="000000" w:fill="D9D9D9"/>
            <w:noWrap/>
            <w:vAlign w:val="bottom"/>
            <w:hideMark/>
          </w:tcPr>
          <w:p w14:paraId="752A5E09"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94 </w:t>
            </w:r>
          </w:p>
        </w:tc>
        <w:tc>
          <w:tcPr>
            <w:tcW w:w="883" w:type="dxa"/>
            <w:tcBorders>
              <w:top w:val="nil"/>
              <w:left w:val="nil"/>
              <w:bottom w:val="nil"/>
              <w:right w:val="nil"/>
            </w:tcBorders>
            <w:shd w:val="clear" w:color="auto" w:fill="auto"/>
            <w:noWrap/>
            <w:vAlign w:val="bottom"/>
            <w:hideMark/>
          </w:tcPr>
          <w:p w14:paraId="75666326"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94 </w:t>
            </w:r>
          </w:p>
        </w:tc>
        <w:tc>
          <w:tcPr>
            <w:tcW w:w="883" w:type="dxa"/>
            <w:tcBorders>
              <w:top w:val="nil"/>
              <w:left w:val="nil"/>
              <w:bottom w:val="nil"/>
              <w:right w:val="nil"/>
            </w:tcBorders>
            <w:shd w:val="clear" w:color="auto" w:fill="auto"/>
            <w:noWrap/>
            <w:vAlign w:val="bottom"/>
            <w:hideMark/>
          </w:tcPr>
          <w:p w14:paraId="73F695F9"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94 </w:t>
            </w:r>
          </w:p>
        </w:tc>
        <w:tc>
          <w:tcPr>
            <w:tcW w:w="883" w:type="dxa"/>
            <w:tcBorders>
              <w:top w:val="nil"/>
              <w:left w:val="nil"/>
              <w:bottom w:val="nil"/>
              <w:right w:val="nil"/>
            </w:tcBorders>
            <w:shd w:val="clear" w:color="auto" w:fill="auto"/>
            <w:noWrap/>
            <w:vAlign w:val="bottom"/>
            <w:hideMark/>
          </w:tcPr>
          <w:p w14:paraId="55E46452"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94 </w:t>
            </w:r>
          </w:p>
        </w:tc>
      </w:tr>
      <w:tr w:rsidR="00B8616D" w:rsidRPr="00B8616D" w14:paraId="761F0661" w14:textId="77777777" w:rsidTr="00B8616D">
        <w:trPr>
          <w:trHeight w:val="225"/>
        </w:trPr>
        <w:tc>
          <w:tcPr>
            <w:tcW w:w="2963" w:type="dxa"/>
            <w:tcBorders>
              <w:top w:val="nil"/>
              <w:left w:val="nil"/>
              <w:bottom w:val="nil"/>
              <w:right w:val="nil"/>
            </w:tcBorders>
            <w:shd w:val="clear" w:color="auto" w:fill="auto"/>
            <w:noWrap/>
            <w:vAlign w:val="bottom"/>
            <w:hideMark/>
          </w:tcPr>
          <w:p w14:paraId="5B3FCEE6" w14:textId="77777777" w:rsidR="00B8616D" w:rsidRPr="00B8616D" w:rsidRDefault="00B8616D" w:rsidP="00B8616D">
            <w:pPr>
              <w:spacing w:after="0"/>
              <w:ind w:firstLineChars="200" w:firstLine="320"/>
              <w:rPr>
                <w:rFonts w:ascii="Arial" w:hAnsi="Arial" w:cs="Arial"/>
                <w:sz w:val="16"/>
                <w:szCs w:val="16"/>
              </w:rPr>
            </w:pPr>
            <w:r w:rsidRPr="00B8616D">
              <w:rPr>
                <w:rFonts w:ascii="Arial" w:hAnsi="Arial" w:cs="Arial"/>
                <w:sz w:val="16"/>
                <w:szCs w:val="16"/>
              </w:rPr>
              <w:t>Intangibles</w:t>
            </w:r>
          </w:p>
        </w:tc>
        <w:tc>
          <w:tcPr>
            <w:tcW w:w="892" w:type="dxa"/>
            <w:tcBorders>
              <w:top w:val="nil"/>
              <w:left w:val="nil"/>
              <w:bottom w:val="nil"/>
              <w:right w:val="nil"/>
            </w:tcBorders>
            <w:shd w:val="clear" w:color="auto" w:fill="auto"/>
            <w:noWrap/>
            <w:vAlign w:val="bottom"/>
            <w:hideMark/>
          </w:tcPr>
          <w:p w14:paraId="39F121B3"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21,471 </w:t>
            </w:r>
          </w:p>
        </w:tc>
        <w:tc>
          <w:tcPr>
            <w:tcW w:w="876" w:type="dxa"/>
            <w:tcBorders>
              <w:top w:val="nil"/>
              <w:left w:val="nil"/>
              <w:bottom w:val="nil"/>
              <w:right w:val="nil"/>
            </w:tcBorders>
            <w:shd w:val="clear" w:color="000000" w:fill="D9D9D9"/>
            <w:noWrap/>
            <w:vAlign w:val="bottom"/>
            <w:hideMark/>
          </w:tcPr>
          <w:p w14:paraId="72A6A930"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19,080 </w:t>
            </w:r>
          </w:p>
        </w:tc>
        <w:tc>
          <w:tcPr>
            <w:tcW w:w="883" w:type="dxa"/>
            <w:tcBorders>
              <w:top w:val="nil"/>
              <w:left w:val="nil"/>
              <w:bottom w:val="nil"/>
              <w:right w:val="nil"/>
            </w:tcBorders>
            <w:shd w:val="clear" w:color="auto" w:fill="auto"/>
            <w:noWrap/>
            <w:vAlign w:val="bottom"/>
            <w:hideMark/>
          </w:tcPr>
          <w:p w14:paraId="7EB59C7B"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16,706 </w:t>
            </w:r>
          </w:p>
        </w:tc>
        <w:tc>
          <w:tcPr>
            <w:tcW w:w="883" w:type="dxa"/>
            <w:tcBorders>
              <w:top w:val="nil"/>
              <w:left w:val="nil"/>
              <w:bottom w:val="nil"/>
              <w:right w:val="nil"/>
            </w:tcBorders>
            <w:shd w:val="clear" w:color="auto" w:fill="auto"/>
            <w:noWrap/>
            <w:vAlign w:val="bottom"/>
            <w:hideMark/>
          </w:tcPr>
          <w:p w14:paraId="1841193D"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14,511 </w:t>
            </w:r>
          </w:p>
        </w:tc>
        <w:tc>
          <w:tcPr>
            <w:tcW w:w="883" w:type="dxa"/>
            <w:tcBorders>
              <w:top w:val="nil"/>
              <w:left w:val="nil"/>
              <w:bottom w:val="nil"/>
              <w:right w:val="nil"/>
            </w:tcBorders>
            <w:shd w:val="clear" w:color="auto" w:fill="auto"/>
            <w:noWrap/>
            <w:vAlign w:val="bottom"/>
            <w:hideMark/>
          </w:tcPr>
          <w:p w14:paraId="14720B0F"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12,322 </w:t>
            </w:r>
          </w:p>
        </w:tc>
      </w:tr>
      <w:tr w:rsidR="00B8616D" w:rsidRPr="00B8616D" w14:paraId="56BFD3C3" w14:textId="77777777" w:rsidTr="00B8616D">
        <w:trPr>
          <w:trHeight w:val="225"/>
        </w:trPr>
        <w:tc>
          <w:tcPr>
            <w:tcW w:w="2963" w:type="dxa"/>
            <w:tcBorders>
              <w:top w:val="nil"/>
              <w:left w:val="nil"/>
              <w:bottom w:val="nil"/>
              <w:right w:val="nil"/>
            </w:tcBorders>
            <w:shd w:val="clear" w:color="auto" w:fill="auto"/>
            <w:noWrap/>
            <w:vAlign w:val="bottom"/>
            <w:hideMark/>
          </w:tcPr>
          <w:p w14:paraId="1F449F77" w14:textId="77777777" w:rsidR="00B8616D" w:rsidRPr="00B8616D" w:rsidRDefault="00B8616D" w:rsidP="00B8616D">
            <w:pPr>
              <w:spacing w:after="0"/>
              <w:ind w:firstLineChars="200" w:firstLine="320"/>
              <w:rPr>
                <w:rFonts w:ascii="Arial" w:hAnsi="Arial" w:cs="Arial"/>
                <w:sz w:val="16"/>
                <w:szCs w:val="16"/>
              </w:rPr>
            </w:pPr>
            <w:r w:rsidRPr="00B8616D">
              <w:rPr>
                <w:rFonts w:ascii="Arial" w:hAnsi="Arial" w:cs="Arial"/>
                <w:sz w:val="16"/>
                <w:szCs w:val="16"/>
              </w:rPr>
              <w:t>Other</w:t>
            </w:r>
          </w:p>
        </w:tc>
        <w:tc>
          <w:tcPr>
            <w:tcW w:w="892" w:type="dxa"/>
            <w:tcBorders>
              <w:top w:val="nil"/>
              <w:left w:val="nil"/>
              <w:bottom w:val="nil"/>
              <w:right w:val="nil"/>
            </w:tcBorders>
            <w:shd w:val="clear" w:color="auto" w:fill="auto"/>
            <w:noWrap/>
            <w:vAlign w:val="bottom"/>
            <w:hideMark/>
          </w:tcPr>
          <w:p w14:paraId="26A6652F"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2,209 </w:t>
            </w:r>
          </w:p>
        </w:tc>
        <w:tc>
          <w:tcPr>
            <w:tcW w:w="876" w:type="dxa"/>
            <w:tcBorders>
              <w:top w:val="nil"/>
              <w:left w:val="nil"/>
              <w:bottom w:val="nil"/>
              <w:right w:val="nil"/>
            </w:tcBorders>
            <w:shd w:val="clear" w:color="000000" w:fill="D9D9D9"/>
            <w:noWrap/>
            <w:vAlign w:val="bottom"/>
            <w:hideMark/>
          </w:tcPr>
          <w:p w14:paraId="58848474"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2,209 </w:t>
            </w:r>
          </w:p>
        </w:tc>
        <w:tc>
          <w:tcPr>
            <w:tcW w:w="883" w:type="dxa"/>
            <w:tcBorders>
              <w:top w:val="nil"/>
              <w:left w:val="nil"/>
              <w:bottom w:val="nil"/>
              <w:right w:val="nil"/>
            </w:tcBorders>
            <w:shd w:val="clear" w:color="auto" w:fill="auto"/>
            <w:noWrap/>
            <w:vAlign w:val="bottom"/>
            <w:hideMark/>
          </w:tcPr>
          <w:p w14:paraId="6EDA41CF"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2,209 </w:t>
            </w:r>
          </w:p>
        </w:tc>
        <w:tc>
          <w:tcPr>
            <w:tcW w:w="883" w:type="dxa"/>
            <w:tcBorders>
              <w:top w:val="nil"/>
              <w:left w:val="nil"/>
              <w:bottom w:val="nil"/>
              <w:right w:val="nil"/>
            </w:tcBorders>
            <w:shd w:val="clear" w:color="auto" w:fill="auto"/>
            <w:noWrap/>
            <w:vAlign w:val="bottom"/>
            <w:hideMark/>
          </w:tcPr>
          <w:p w14:paraId="461BA313"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2,209 </w:t>
            </w:r>
          </w:p>
        </w:tc>
        <w:tc>
          <w:tcPr>
            <w:tcW w:w="883" w:type="dxa"/>
            <w:tcBorders>
              <w:top w:val="nil"/>
              <w:left w:val="nil"/>
              <w:bottom w:val="nil"/>
              <w:right w:val="nil"/>
            </w:tcBorders>
            <w:shd w:val="clear" w:color="auto" w:fill="auto"/>
            <w:noWrap/>
            <w:vAlign w:val="bottom"/>
            <w:hideMark/>
          </w:tcPr>
          <w:p w14:paraId="2D4BF9ED"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2,209 </w:t>
            </w:r>
          </w:p>
        </w:tc>
      </w:tr>
      <w:tr w:rsidR="00B8616D" w:rsidRPr="00B8616D" w14:paraId="4B70F93F" w14:textId="77777777" w:rsidTr="00B8616D">
        <w:trPr>
          <w:trHeight w:val="225"/>
        </w:trPr>
        <w:tc>
          <w:tcPr>
            <w:tcW w:w="2963" w:type="dxa"/>
            <w:tcBorders>
              <w:top w:val="nil"/>
              <w:left w:val="nil"/>
              <w:bottom w:val="nil"/>
              <w:right w:val="nil"/>
            </w:tcBorders>
            <w:shd w:val="clear" w:color="auto" w:fill="auto"/>
            <w:noWrap/>
            <w:vAlign w:val="bottom"/>
            <w:hideMark/>
          </w:tcPr>
          <w:p w14:paraId="182BB171" w14:textId="77777777" w:rsidR="00B8616D" w:rsidRPr="00B8616D" w:rsidRDefault="00B8616D" w:rsidP="00B8616D">
            <w:pPr>
              <w:spacing w:after="0"/>
              <w:ind w:firstLineChars="200" w:firstLine="320"/>
              <w:rPr>
                <w:rFonts w:ascii="Arial" w:hAnsi="Arial" w:cs="Arial"/>
                <w:b/>
                <w:bCs/>
                <w:sz w:val="16"/>
                <w:szCs w:val="16"/>
              </w:rPr>
            </w:pPr>
            <w:r w:rsidRPr="00B8616D">
              <w:rPr>
                <w:rFonts w:ascii="Arial" w:hAnsi="Arial" w:cs="Arial"/>
                <w:b/>
                <w:bCs/>
                <w:sz w:val="16"/>
                <w:szCs w:val="16"/>
              </w:rPr>
              <w:t>Total non-financial assets</w:t>
            </w:r>
          </w:p>
        </w:tc>
        <w:tc>
          <w:tcPr>
            <w:tcW w:w="892" w:type="dxa"/>
            <w:tcBorders>
              <w:top w:val="nil"/>
              <w:left w:val="nil"/>
              <w:bottom w:val="single" w:sz="4" w:space="0" w:color="auto"/>
              <w:right w:val="nil"/>
            </w:tcBorders>
            <w:shd w:val="clear" w:color="auto" w:fill="auto"/>
            <w:noWrap/>
            <w:vAlign w:val="bottom"/>
            <w:hideMark/>
          </w:tcPr>
          <w:p w14:paraId="5F42E81B"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39,462 </w:t>
            </w:r>
          </w:p>
        </w:tc>
        <w:tc>
          <w:tcPr>
            <w:tcW w:w="876" w:type="dxa"/>
            <w:tcBorders>
              <w:top w:val="nil"/>
              <w:left w:val="nil"/>
              <w:bottom w:val="single" w:sz="4" w:space="0" w:color="auto"/>
              <w:right w:val="nil"/>
            </w:tcBorders>
            <w:shd w:val="clear" w:color="000000" w:fill="D9D9D9"/>
            <w:noWrap/>
            <w:vAlign w:val="bottom"/>
            <w:hideMark/>
          </w:tcPr>
          <w:p w14:paraId="24CF4C85"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34,067 </w:t>
            </w:r>
          </w:p>
        </w:tc>
        <w:tc>
          <w:tcPr>
            <w:tcW w:w="883" w:type="dxa"/>
            <w:tcBorders>
              <w:top w:val="nil"/>
              <w:left w:val="nil"/>
              <w:bottom w:val="single" w:sz="4" w:space="0" w:color="auto"/>
              <w:right w:val="nil"/>
            </w:tcBorders>
            <w:shd w:val="clear" w:color="auto" w:fill="auto"/>
            <w:noWrap/>
            <w:vAlign w:val="bottom"/>
            <w:hideMark/>
          </w:tcPr>
          <w:p w14:paraId="3FB755B2"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28,907 </w:t>
            </w:r>
          </w:p>
        </w:tc>
        <w:tc>
          <w:tcPr>
            <w:tcW w:w="883" w:type="dxa"/>
            <w:tcBorders>
              <w:top w:val="nil"/>
              <w:left w:val="nil"/>
              <w:bottom w:val="single" w:sz="4" w:space="0" w:color="auto"/>
              <w:right w:val="nil"/>
            </w:tcBorders>
            <w:shd w:val="clear" w:color="auto" w:fill="auto"/>
            <w:noWrap/>
            <w:vAlign w:val="bottom"/>
            <w:hideMark/>
          </w:tcPr>
          <w:p w14:paraId="775F5D29"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24,090 </w:t>
            </w:r>
          </w:p>
        </w:tc>
        <w:tc>
          <w:tcPr>
            <w:tcW w:w="883" w:type="dxa"/>
            <w:tcBorders>
              <w:top w:val="nil"/>
              <w:left w:val="nil"/>
              <w:bottom w:val="single" w:sz="4" w:space="0" w:color="auto"/>
              <w:right w:val="nil"/>
            </w:tcBorders>
            <w:shd w:val="clear" w:color="auto" w:fill="auto"/>
            <w:noWrap/>
            <w:vAlign w:val="bottom"/>
            <w:hideMark/>
          </w:tcPr>
          <w:p w14:paraId="2085E362"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19,284 </w:t>
            </w:r>
          </w:p>
        </w:tc>
      </w:tr>
      <w:tr w:rsidR="00B8616D" w:rsidRPr="00B8616D" w14:paraId="14F73D0F" w14:textId="77777777" w:rsidTr="00B8616D">
        <w:trPr>
          <w:trHeight w:val="225"/>
        </w:trPr>
        <w:tc>
          <w:tcPr>
            <w:tcW w:w="2963" w:type="dxa"/>
            <w:tcBorders>
              <w:top w:val="nil"/>
              <w:left w:val="nil"/>
              <w:bottom w:val="nil"/>
              <w:right w:val="nil"/>
            </w:tcBorders>
            <w:shd w:val="clear" w:color="auto" w:fill="auto"/>
            <w:noWrap/>
            <w:vAlign w:val="bottom"/>
            <w:hideMark/>
          </w:tcPr>
          <w:p w14:paraId="4816CD23" w14:textId="77777777" w:rsidR="00B8616D" w:rsidRPr="00B8616D" w:rsidRDefault="00B8616D" w:rsidP="00B8616D">
            <w:pPr>
              <w:spacing w:after="0"/>
              <w:ind w:firstLineChars="100" w:firstLine="160"/>
              <w:rPr>
                <w:rFonts w:ascii="Arial" w:hAnsi="Arial" w:cs="Arial"/>
                <w:b/>
                <w:bCs/>
                <w:sz w:val="16"/>
                <w:szCs w:val="16"/>
              </w:rPr>
            </w:pPr>
            <w:r w:rsidRPr="00B8616D">
              <w:rPr>
                <w:rFonts w:ascii="Arial" w:hAnsi="Arial" w:cs="Arial"/>
                <w:b/>
                <w:bCs/>
                <w:sz w:val="16"/>
                <w:szCs w:val="16"/>
              </w:rPr>
              <w:t>Total assets</w:t>
            </w:r>
          </w:p>
        </w:tc>
        <w:tc>
          <w:tcPr>
            <w:tcW w:w="892" w:type="dxa"/>
            <w:tcBorders>
              <w:top w:val="nil"/>
              <w:left w:val="nil"/>
              <w:bottom w:val="single" w:sz="4" w:space="0" w:color="auto"/>
              <w:right w:val="nil"/>
            </w:tcBorders>
            <w:shd w:val="clear" w:color="auto" w:fill="auto"/>
            <w:noWrap/>
            <w:vAlign w:val="bottom"/>
            <w:hideMark/>
          </w:tcPr>
          <w:p w14:paraId="2DC89D18"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43,492 </w:t>
            </w:r>
          </w:p>
        </w:tc>
        <w:tc>
          <w:tcPr>
            <w:tcW w:w="876" w:type="dxa"/>
            <w:tcBorders>
              <w:top w:val="nil"/>
              <w:left w:val="nil"/>
              <w:bottom w:val="single" w:sz="4" w:space="0" w:color="auto"/>
              <w:right w:val="nil"/>
            </w:tcBorders>
            <w:shd w:val="clear" w:color="000000" w:fill="D9D9D9"/>
            <w:noWrap/>
            <w:vAlign w:val="bottom"/>
            <w:hideMark/>
          </w:tcPr>
          <w:p w14:paraId="043F7258"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38,097 </w:t>
            </w:r>
          </w:p>
        </w:tc>
        <w:tc>
          <w:tcPr>
            <w:tcW w:w="883" w:type="dxa"/>
            <w:tcBorders>
              <w:top w:val="nil"/>
              <w:left w:val="nil"/>
              <w:bottom w:val="single" w:sz="4" w:space="0" w:color="auto"/>
              <w:right w:val="nil"/>
            </w:tcBorders>
            <w:shd w:val="clear" w:color="auto" w:fill="auto"/>
            <w:noWrap/>
            <w:vAlign w:val="bottom"/>
            <w:hideMark/>
          </w:tcPr>
          <w:p w14:paraId="11125E88"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32,937 </w:t>
            </w:r>
          </w:p>
        </w:tc>
        <w:tc>
          <w:tcPr>
            <w:tcW w:w="883" w:type="dxa"/>
            <w:tcBorders>
              <w:top w:val="nil"/>
              <w:left w:val="nil"/>
              <w:bottom w:val="single" w:sz="4" w:space="0" w:color="auto"/>
              <w:right w:val="nil"/>
            </w:tcBorders>
            <w:shd w:val="clear" w:color="auto" w:fill="auto"/>
            <w:noWrap/>
            <w:vAlign w:val="bottom"/>
            <w:hideMark/>
          </w:tcPr>
          <w:p w14:paraId="08C1429A"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28,120 </w:t>
            </w:r>
          </w:p>
        </w:tc>
        <w:tc>
          <w:tcPr>
            <w:tcW w:w="883" w:type="dxa"/>
            <w:tcBorders>
              <w:top w:val="nil"/>
              <w:left w:val="nil"/>
              <w:bottom w:val="single" w:sz="4" w:space="0" w:color="auto"/>
              <w:right w:val="nil"/>
            </w:tcBorders>
            <w:shd w:val="clear" w:color="auto" w:fill="auto"/>
            <w:noWrap/>
            <w:vAlign w:val="bottom"/>
            <w:hideMark/>
          </w:tcPr>
          <w:p w14:paraId="7924D473"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23,314 </w:t>
            </w:r>
          </w:p>
        </w:tc>
      </w:tr>
      <w:tr w:rsidR="00B8616D" w:rsidRPr="00B8616D" w14:paraId="2D5538BC" w14:textId="77777777" w:rsidTr="00B8616D">
        <w:trPr>
          <w:trHeight w:val="300"/>
        </w:trPr>
        <w:tc>
          <w:tcPr>
            <w:tcW w:w="2963" w:type="dxa"/>
            <w:tcBorders>
              <w:top w:val="nil"/>
              <w:left w:val="nil"/>
              <w:bottom w:val="nil"/>
              <w:right w:val="nil"/>
            </w:tcBorders>
            <w:shd w:val="clear" w:color="auto" w:fill="auto"/>
            <w:noWrap/>
            <w:vAlign w:val="bottom"/>
            <w:hideMark/>
          </w:tcPr>
          <w:p w14:paraId="6BEE36E6" w14:textId="77777777" w:rsidR="00B8616D" w:rsidRPr="00B8616D" w:rsidRDefault="00B8616D" w:rsidP="00B8616D">
            <w:pPr>
              <w:spacing w:after="0"/>
              <w:rPr>
                <w:rFonts w:ascii="Arial" w:hAnsi="Arial" w:cs="Arial"/>
                <w:b/>
                <w:bCs/>
                <w:sz w:val="16"/>
                <w:szCs w:val="16"/>
              </w:rPr>
            </w:pPr>
            <w:r w:rsidRPr="00B8616D">
              <w:rPr>
                <w:rFonts w:ascii="Arial" w:hAnsi="Arial" w:cs="Arial"/>
                <w:b/>
                <w:bCs/>
                <w:sz w:val="16"/>
                <w:szCs w:val="16"/>
              </w:rPr>
              <w:t>LIABILITIES</w:t>
            </w:r>
          </w:p>
        </w:tc>
        <w:tc>
          <w:tcPr>
            <w:tcW w:w="892" w:type="dxa"/>
            <w:tcBorders>
              <w:top w:val="nil"/>
              <w:left w:val="nil"/>
              <w:bottom w:val="nil"/>
              <w:right w:val="nil"/>
            </w:tcBorders>
            <w:shd w:val="clear" w:color="auto" w:fill="auto"/>
            <w:noWrap/>
            <w:vAlign w:val="bottom"/>
            <w:hideMark/>
          </w:tcPr>
          <w:p w14:paraId="2CBCF637" w14:textId="77777777" w:rsidR="00B8616D" w:rsidRPr="00B8616D" w:rsidRDefault="00B8616D" w:rsidP="00B8616D">
            <w:pPr>
              <w:spacing w:after="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683E5BBE"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3B5277F8" w14:textId="77777777" w:rsidR="00B8616D" w:rsidRPr="00B8616D" w:rsidRDefault="00B8616D" w:rsidP="00B8616D">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65D126CE" w14:textId="77777777" w:rsidR="00B8616D" w:rsidRPr="00B8616D" w:rsidRDefault="00B8616D" w:rsidP="00B8616D">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23CA9224" w14:textId="77777777" w:rsidR="00B8616D" w:rsidRPr="00B8616D" w:rsidRDefault="00B8616D" w:rsidP="00B8616D">
            <w:pPr>
              <w:spacing w:after="0"/>
              <w:jc w:val="right"/>
              <w:rPr>
                <w:rFonts w:ascii="Times New Roman" w:hAnsi="Times New Roman"/>
                <w:color w:val="auto"/>
                <w:sz w:val="20"/>
              </w:rPr>
            </w:pPr>
          </w:p>
        </w:tc>
      </w:tr>
      <w:tr w:rsidR="00B8616D" w:rsidRPr="00B8616D" w14:paraId="26BB8609" w14:textId="77777777" w:rsidTr="00B8616D">
        <w:trPr>
          <w:trHeight w:val="225"/>
        </w:trPr>
        <w:tc>
          <w:tcPr>
            <w:tcW w:w="2963" w:type="dxa"/>
            <w:tcBorders>
              <w:top w:val="nil"/>
              <w:left w:val="nil"/>
              <w:bottom w:val="nil"/>
              <w:right w:val="nil"/>
            </w:tcBorders>
            <w:shd w:val="clear" w:color="auto" w:fill="auto"/>
            <w:noWrap/>
            <w:vAlign w:val="bottom"/>
            <w:hideMark/>
          </w:tcPr>
          <w:p w14:paraId="396E4CFA" w14:textId="77777777" w:rsidR="00B8616D" w:rsidRPr="00B8616D" w:rsidRDefault="00B8616D" w:rsidP="00B8616D">
            <w:pPr>
              <w:spacing w:after="0"/>
              <w:ind w:firstLineChars="100" w:firstLine="160"/>
              <w:rPr>
                <w:rFonts w:ascii="Arial" w:hAnsi="Arial" w:cs="Arial"/>
                <w:b/>
                <w:bCs/>
                <w:sz w:val="16"/>
                <w:szCs w:val="16"/>
              </w:rPr>
            </w:pPr>
            <w:r w:rsidRPr="00B8616D">
              <w:rPr>
                <w:rFonts w:ascii="Arial" w:hAnsi="Arial" w:cs="Arial"/>
                <w:b/>
                <w:bCs/>
                <w:sz w:val="16"/>
                <w:szCs w:val="16"/>
              </w:rPr>
              <w:t>Payables</w:t>
            </w:r>
          </w:p>
        </w:tc>
        <w:tc>
          <w:tcPr>
            <w:tcW w:w="892" w:type="dxa"/>
            <w:tcBorders>
              <w:top w:val="nil"/>
              <w:left w:val="nil"/>
              <w:bottom w:val="nil"/>
              <w:right w:val="nil"/>
            </w:tcBorders>
            <w:shd w:val="clear" w:color="auto" w:fill="auto"/>
            <w:noWrap/>
            <w:vAlign w:val="bottom"/>
            <w:hideMark/>
          </w:tcPr>
          <w:p w14:paraId="578BF400" w14:textId="77777777" w:rsidR="00B8616D" w:rsidRPr="00B8616D" w:rsidRDefault="00B8616D" w:rsidP="00B8616D">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2F1C9465"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7675ABD9" w14:textId="77777777" w:rsidR="00B8616D" w:rsidRPr="00B8616D" w:rsidRDefault="00B8616D" w:rsidP="00B8616D">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1B4E96C6" w14:textId="77777777" w:rsidR="00B8616D" w:rsidRPr="00B8616D" w:rsidRDefault="00B8616D" w:rsidP="00B8616D">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30FAF5FC" w14:textId="77777777" w:rsidR="00B8616D" w:rsidRPr="00B8616D" w:rsidRDefault="00B8616D" w:rsidP="00B8616D">
            <w:pPr>
              <w:spacing w:after="0"/>
              <w:jc w:val="right"/>
              <w:rPr>
                <w:rFonts w:ascii="Times New Roman" w:hAnsi="Times New Roman"/>
                <w:color w:val="auto"/>
                <w:sz w:val="20"/>
              </w:rPr>
            </w:pPr>
          </w:p>
        </w:tc>
      </w:tr>
      <w:tr w:rsidR="00B8616D" w:rsidRPr="00B8616D" w14:paraId="23525EC5" w14:textId="77777777" w:rsidTr="00B8616D">
        <w:trPr>
          <w:trHeight w:val="225"/>
        </w:trPr>
        <w:tc>
          <w:tcPr>
            <w:tcW w:w="2963" w:type="dxa"/>
            <w:tcBorders>
              <w:top w:val="nil"/>
              <w:left w:val="nil"/>
              <w:bottom w:val="nil"/>
              <w:right w:val="nil"/>
            </w:tcBorders>
            <w:shd w:val="clear" w:color="auto" w:fill="auto"/>
            <w:noWrap/>
            <w:vAlign w:val="bottom"/>
            <w:hideMark/>
          </w:tcPr>
          <w:p w14:paraId="0311D7AC" w14:textId="77777777" w:rsidR="00B8616D" w:rsidRPr="00B8616D" w:rsidRDefault="00B8616D" w:rsidP="00B8616D">
            <w:pPr>
              <w:spacing w:after="0"/>
              <w:ind w:firstLineChars="200" w:firstLine="320"/>
              <w:rPr>
                <w:rFonts w:ascii="Arial" w:hAnsi="Arial" w:cs="Arial"/>
                <w:sz w:val="16"/>
                <w:szCs w:val="16"/>
              </w:rPr>
            </w:pPr>
            <w:r w:rsidRPr="00B8616D">
              <w:rPr>
                <w:rFonts w:ascii="Arial" w:hAnsi="Arial" w:cs="Arial"/>
                <w:sz w:val="16"/>
                <w:szCs w:val="16"/>
              </w:rPr>
              <w:t>Suppliers</w:t>
            </w:r>
          </w:p>
        </w:tc>
        <w:tc>
          <w:tcPr>
            <w:tcW w:w="892" w:type="dxa"/>
            <w:tcBorders>
              <w:top w:val="nil"/>
              <w:left w:val="nil"/>
              <w:bottom w:val="nil"/>
              <w:right w:val="nil"/>
            </w:tcBorders>
            <w:shd w:val="clear" w:color="auto" w:fill="auto"/>
            <w:noWrap/>
            <w:vAlign w:val="bottom"/>
            <w:hideMark/>
          </w:tcPr>
          <w:p w14:paraId="5E8B9123"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2,161 </w:t>
            </w:r>
          </w:p>
        </w:tc>
        <w:tc>
          <w:tcPr>
            <w:tcW w:w="876" w:type="dxa"/>
            <w:tcBorders>
              <w:top w:val="nil"/>
              <w:left w:val="nil"/>
              <w:bottom w:val="nil"/>
              <w:right w:val="nil"/>
            </w:tcBorders>
            <w:shd w:val="clear" w:color="000000" w:fill="D9D9D9"/>
            <w:noWrap/>
            <w:vAlign w:val="bottom"/>
            <w:hideMark/>
          </w:tcPr>
          <w:p w14:paraId="2B4BD9A3"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2,161 </w:t>
            </w:r>
          </w:p>
        </w:tc>
        <w:tc>
          <w:tcPr>
            <w:tcW w:w="883" w:type="dxa"/>
            <w:tcBorders>
              <w:top w:val="nil"/>
              <w:left w:val="nil"/>
              <w:bottom w:val="nil"/>
              <w:right w:val="nil"/>
            </w:tcBorders>
            <w:shd w:val="clear" w:color="auto" w:fill="auto"/>
            <w:noWrap/>
            <w:vAlign w:val="bottom"/>
            <w:hideMark/>
          </w:tcPr>
          <w:p w14:paraId="17E91E9B"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2,161 </w:t>
            </w:r>
          </w:p>
        </w:tc>
        <w:tc>
          <w:tcPr>
            <w:tcW w:w="883" w:type="dxa"/>
            <w:tcBorders>
              <w:top w:val="nil"/>
              <w:left w:val="nil"/>
              <w:bottom w:val="nil"/>
              <w:right w:val="nil"/>
            </w:tcBorders>
            <w:shd w:val="clear" w:color="auto" w:fill="auto"/>
            <w:noWrap/>
            <w:vAlign w:val="bottom"/>
            <w:hideMark/>
          </w:tcPr>
          <w:p w14:paraId="6547D25C"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2,161 </w:t>
            </w:r>
          </w:p>
        </w:tc>
        <w:tc>
          <w:tcPr>
            <w:tcW w:w="883" w:type="dxa"/>
            <w:tcBorders>
              <w:top w:val="nil"/>
              <w:left w:val="nil"/>
              <w:bottom w:val="nil"/>
              <w:right w:val="nil"/>
            </w:tcBorders>
            <w:shd w:val="clear" w:color="auto" w:fill="auto"/>
            <w:noWrap/>
            <w:vAlign w:val="bottom"/>
            <w:hideMark/>
          </w:tcPr>
          <w:p w14:paraId="0F5DFA27"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2,161 </w:t>
            </w:r>
          </w:p>
        </w:tc>
      </w:tr>
      <w:tr w:rsidR="00B8616D" w:rsidRPr="00B8616D" w14:paraId="419882C0" w14:textId="77777777" w:rsidTr="00B8616D">
        <w:trPr>
          <w:trHeight w:val="225"/>
        </w:trPr>
        <w:tc>
          <w:tcPr>
            <w:tcW w:w="2963" w:type="dxa"/>
            <w:tcBorders>
              <w:top w:val="nil"/>
              <w:left w:val="nil"/>
              <w:bottom w:val="nil"/>
              <w:right w:val="nil"/>
            </w:tcBorders>
            <w:shd w:val="clear" w:color="auto" w:fill="auto"/>
            <w:noWrap/>
            <w:vAlign w:val="bottom"/>
            <w:hideMark/>
          </w:tcPr>
          <w:p w14:paraId="2A0A72AD" w14:textId="77777777" w:rsidR="00B8616D" w:rsidRPr="00B8616D" w:rsidRDefault="00B8616D" w:rsidP="00B8616D">
            <w:pPr>
              <w:spacing w:after="0"/>
              <w:ind w:firstLineChars="200" w:firstLine="320"/>
              <w:rPr>
                <w:rFonts w:ascii="Arial" w:hAnsi="Arial" w:cs="Arial"/>
                <w:sz w:val="16"/>
                <w:szCs w:val="16"/>
              </w:rPr>
            </w:pPr>
            <w:r w:rsidRPr="00B8616D">
              <w:rPr>
                <w:rFonts w:ascii="Arial" w:hAnsi="Arial" w:cs="Arial"/>
                <w:sz w:val="16"/>
                <w:szCs w:val="16"/>
              </w:rPr>
              <w:t>Other payables</w:t>
            </w:r>
          </w:p>
        </w:tc>
        <w:tc>
          <w:tcPr>
            <w:tcW w:w="892" w:type="dxa"/>
            <w:tcBorders>
              <w:top w:val="nil"/>
              <w:left w:val="nil"/>
              <w:bottom w:val="nil"/>
              <w:right w:val="nil"/>
            </w:tcBorders>
            <w:shd w:val="clear" w:color="auto" w:fill="auto"/>
            <w:noWrap/>
            <w:vAlign w:val="bottom"/>
            <w:hideMark/>
          </w:tcPr>
          <w:p w14:paraId="6DDE18C8"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2,885 </w:t>
            </w:r>
          </w:p>
        </w:tc>
        <w:tc>
          <w:tcPr>
            <w:tcW w:w="876" w:type="dxa"/>
            <w:tcBorders>
              <w:top w:val="nil"/>
              <w:left w:val="nil"/>
              <w:bottom w:val="nil"/>
              <w:right w:val="nil"/>
            </w:tcBorders>
            <w:shd w:val="clear" w:color="000000" w:fill="D9D9D9"/>
            <w:noWrap/>
            <w:vAlign w:val="bottom"/>
            <w:hideMark/>
          </w:tcPr>
          <w:p w14:paraId="7C69AADC"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2,885 </w:t>
            </w:r>
          </w:p>
        </w:tc>
        <w:tc>
          <w:tcPr>
            <w:tcW w:w="883" w:type="dxa"/>
            <w:tcBorders>
              <w:top w:val="nil"/>
              <w:left w:val="nil"/>
              <w:bottom w:val="nil"/>
              <w:right w:val="nil"/>
            </w:tcBorders>
            <w:shd w:val="clear" w:color="auto" w:fill="auto"/>
            <w:noWrap/>
            <w:vAlign w:val="bottom"/>
            <w:hideMark/>
          </w:tcPr>
          <w:p w14:paraId="7CCCC403"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2,885 </w:t>
            </w:r>
          </w:p>
        </w:tc>
        <w:tc>
          <w:tcPr>
            <w:tcW w:w="883" w:type="dxa"/>
            <w:tcBorders>
              <w:top w:val="nil"/>
              <w:left w:val="nil"/>
              <w:bottom w:val="nil"/>
              <w:right w:val="nil"/>
            </w:tcBorders>
            <w:shd w:val="clear" w:color="auto" w:fill="auto"/>
            <w:noWrap/>
            <w:vAlign w:val="bottom"/>
            <w:hideMark/>
          </w:tcPr>
          <w:p w14:paraId="56889E4D"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2,885 </w:t>
            </w:r>
          </w:p>
        </w:tc>
        <w:tc>
          <w:tcPr>
            <w:tcW w:w="883" w:type="dxa"/>
            <w:tcBorders>
              <w:top w:val="nil"/>
              <w:left w:val="nil"/>
              <w:bottom w:val="nil"/>
              <w:right w:val="nil"/>
            </w:tcBorders>
            <w:shd w:val="clear" w:color="auto" w:fill="auto"/>
            <w:noWrap/>
            <w:vAlign w:val="bottom"/>
            <w:hideMark/>
          </w:tcPr>
          <w:p w14:paraId="522DC983"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2,885 </w:t>
            </w:r>
          </w:p>
        </w:tc>
      </w:tr>
      <w:tr w:rsidR="00B8616D" w:rsidRPr="00B8616D" w14:paraId="36FD78EB" w14:textId="77777777" w:rsidTr="00B8616D">
        <w:trPr>
          <w:trHeight w:val="225"/>
        </w:trPr>
        <w:tc>
          <w:tcPr>
            <w:tcW w:w="2963" w:type="dxa"/>
            <w:tcBorders>
              <w:top w:val="nil"/>
              <w:left w:val="nil"/>
              <w:bottom w:val="nil"/>
              <w:right w:val="nil"/>
            </w:tcBorders>
            <w:shd w:val="clear" w:color="auto" w:fill="auto"/>
            <w:noWrap/>
            <w:vAlign w:val="bottom"/>
            <w:hideMark/>
          </w:tcPr>
          <w:p w14:paraId="12DCE9A0" w14:textId="77777777" w:rsidR="00B8616D" w:rsidRPr="00B8616D" w:rsidRDefault="00B8616D" w:rsidP="00B8616D">
            <w:pPr>
              <w:spacing w:after="0"/>
              <w:ind w:firstLineChars="200" w:firstLine="320"/>
              <w:rPr>
                <w:rFonts w:ascii="Arial" w:hAnsi="Arial" w:cs="Arial"/>
                <w:b/>
                <w:bCs/>
                <w:sz w:val="16"/>
                <w:szCs w:val="16"/>
              </w:rPr>
            </w:pPr>
            <w:r w:rsidRPr="00B8616D">
              <w:rPr>
                <w:rFonts w:ascii="Arial" w:hAnsi="Arial" w:cs="Arial"/>
                <w:b/>
                <w:bCs/>
                <w:sz w:val="16"/>
                <w:szCs w:val="16"/>
              </w:rPr>
              <w:t>Total payables</w:t>
            </w:r>
          </w:p>
        </w:tc>
        <w:tc>
          <w:tcPr>
            <w:tcW w:w="892" w:type="dxa"/>
            <w:tcBorders>
              <w:top w:val="nil"/>
              <w:left w:val="nil"/>
              <w:bottom w:val="single" w:sz="4" w:space="0" w:color="auto"/>
              <w:right w:val="nil"/>
            </w:tcBorders>
            <w:shd w:val="clear" w:color="auto" w:fill="auto"/>
            <w:noWrap/>
            <w:vAlign w:val="bottom"/>
            <w:hideMark/>
          </w:tcPr>
          <w:p w14:paraId="3FFB6BDA"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5,046 </w:t>
            </w:r>
          </w:p>
        </w:tc>
        <w:tc>
          <w:tcPr>
            <w:tcW w:w="876" w:type="dxa"/>
            <w:tcBorders>
              <w:top w:val="nil"/>
              <w:left w:val="nil"/>
              <w:bottom w:val="single" w:sz="4" w:space="0" w:color="auto"/>
              <w:right w:val="nil"/>
            </w:tcBorders>
            <w:shd w:val="clear" w:color="000000" w:fill="D9D9D9"/>
            <w:noWrap/>
            <w:vAlign w:val="bottom"/>
            <w:hideMark/>
          </w:tcPr>
          <w:p w14:paraId="2B656409"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5,046 </w:t>
            </w:r>
          </w:p>
        </w:tc>
        <w:tc>
          <w:tcPr>
            <w:tcW w:w="883" w:type="dxa"/>
            <w:tcBorders>
              <w:top w:val="nil"/>
              <w:left w:val="nil"/>
              <w:bottom w:val="single" w:sz="4" w:space="0" w:color="auto"/>
              <w:right w:val="nil"/>
            </w:tcBorders>
            <w:shd w:val="clear" w:color="auto" w:fill="auto"/>
            <w:noWrap/>
            <w:vAlign w:val="bottom"/>
            <w:hideMark/>
          </w:tcPr>
          <w:p w14:paraId="6BBB7EF0"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5,046 </w:t>
            </w:r>
          </w:p>
        </w:tc>
        <w:tc>
          <w:tcPr>
            <w:tcW w:w="883" w:type="dxa"/>
            <w:tcBorders>
              <w:top w:val="nil"/>
              <w:left w:val="nil"/>
              <w:bottom w:val="single" w:sz="4" w:space="0" w:color="auto"/>
              <w:right w:val="nil"/>
            </w:tcBorders>
            <w:shd w:val="clear" w:color="auto" w:fill="auto"/>
            <w:noWrap/>
            <w:vAlign w:val="bottom"/>
            <w:hideMark/>
          </w:tcPr>
          <w:p w14:paraId="1301BCF1"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5,046 </w:t>
            </w:r>
          </w:p>
        </w:tc>
        <w:tc>
          <w:tcPr>
            <w:tcW w:w="883" w:type="dxa"/>
            <w:tcBorders>
              <w:top w:val="nil"/>
              <w:left w:val="nil"/>
              <w:bottom w:val="single" w:sz="4" w:space="0" w:color="auto"/>
              <w:right w:val="nil"/>
            </w:tcBorders>
            <w:shd w:val="clear" w:color="auto" w:fill="auto"/>
            <w:noWrap/>
            <w:vAlign w:val="bottom"/>
            <w:hideMark/>
          </w:tcPr>
          <w:p w14:paraId="44BA37DA"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5,046 </w:t>
            </w:r>
          </w:p>
        </w:tc>
      </w:tr>
      <w:tr w:rsidR="00B8616D" w:rsidRPr="00B8616D" w14:paraId="353999A7" w14:textId="77777777" w:rsidTr="00B8616D">
        <w:trPr>
          <w:trHeight w:val="300"/>
        </w:trPr>
        <w:tc>
          <w:tcPr>
            <w:tcW w:w="2963" w:type="dxa"/>
            <w:tcBorders>
              <w:top w:val="nil"/>
              <w:left w:val="nil"/>
              <w:bottom w:val="nil"/>
              <w:right w:val="nil"/>
            </w:tcBorders>
            <w:shd w:val="clear" w:color="auto" w:fill="auto"/>
            <w:noWrap/>
            <w:vAlign w:val="bottom"/>
            <w:hideMark/>
          </w:tcPr>
          <w:p w14:paraId="3514973A" w14:textId="77777777" w:rsidR="00B8616D" w:rsidRPr="00B8616D" w:rsidRDefault="00B8616D" w:rsidP="00B8616D">
            <w:pPr>
              <w:spacing w:after="0"/>
              <w:ind w:firstLineChars="100" w:firstLine="160"/>
              <w:rPr>
                <w:rFonts w:ascii="Arial" w:hAnsi="Arial" w:cs="Arial"/>
                <w:b/>
                <w:bCs/>
                <w:sz w:val="16"/>
                <w:szCs w:val="16"/>
              </w:rPr>
            </w:pPr>
            <w:r w:rsidRPr="00B8616D">
              <w:rPr>
                <w:rFonts w:ascii="Arial" w:hAnsi="Arial" w:cs="Arial"/>
                <w:b/>
                <w:bCs/>
                <w:sz w:val="16"/>
                <w:szCs w:val="16"/>
              </w:rPr>
              <w:t>Interest bearing liabilities</w:t>
            </w:r>
          </w:p>
        </w:tc>
        <w:tc>
          <w:tcPr>
            <w:tcW w:w="892" w:type="dxa"/>
            <w:tcBorders>
              <w:top w:val="nil"/>
              <w:left w:val="nil"/>
              <w:bottom w:val="nil"/>
              <w:right w:val="nil"/>
            </w:tcBorders>
            <w:shd w:val="clear" w:color="auto" w:fill="auto"/>
            <w:noWrap/>
            <w:vAlign w:val="bottom"/>
            <w:hideMark/>
          </w:tcPr>
          <w:p w14:paraId="71FA6D53" w14:textId="77777777" w:rsidR="00B8616D" w:rsidRPr="00B8616D" w:rsidRDefault="00B8616D" w:rsidP="00B8616D">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2F410084"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6BBD8910" w14:textId="77777777" w:rsidR="00B8616D" w:rsidRPr="00B8616D" w:rsidRDefault="00B8616D" w:rsidP="00B8616D">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61402518" w14:textId="77777777" w:rsidR="00B8616D" w:rsidRPr="00B8616D" w:rsidRDefault="00B8616D" w:rsidP="00B8616D">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74DBF457" w14:textId="77777777" w:rsidR="00B8616D" w:rsidRPr="00B8616D" w:rsidRDefault="00B8616D" w:rsidP="00B8616D">
            <w:pPr>
              <w:spacing w:after="0"/>
              <w:jc w:val="right"/>
              <w:rPr>
                <w:rFonts w:ascii="Times New Roman" w:hAnsi="Times New Roman"/>
                <w:color w:val="auto"/>
                <w:sz w:val="20"/>
              </w:rPr>
            </w:pPr>
          </w:p>
        </w:tc>
      </w:tr>
      <w:tr w:rsidR="00B8616D" w:rsidRPr="00B8616D" w14:paraId="36C0CB1F" w14:textId="77777777" w:rsidTr="00B8616D">
        <w:trPr>
          <w:trHeight w:val="225"/>
        </w:trPr>
        <w:tc>
          <w:tcPr>
            <w:tcW w:w="2963" w:type="dxa"/>
            <w:tcBorders>
              <w:top w:val="nil"/>
              <w:left w:val="nil"/>
              <w:bottom w:val="nil"/>
              <w:right w:val="nil"/>
            </w:tcBorders>
            <w:shd w:val="clear" w:color="auto" w:fill="auto"/>
            <w:noWrap/>
            <w:vAlign w:val="bottom"/>
            <w:hideMark/>
          </w:tcPr>
          <w:p w14:paraId="7DC872CE" w14:textId="77777777" w:rsidR="00B8616D" w:rsidRPr="00B8616D" w:rsidRDefault="00B8616D" w:rsidP="00B8616D">
            <w:pPr>
              <w:spacing w:after="0"/>
              <w:ind w:firstLineChars="200" w:firstLine="320"/>
              <w:rPr>
                <w:rFonts w:ascii="Arial" w:hAnsi="Arial" w:cs="Arial"/>
                <w:sz w:val="16"/>
                <w:szCs w:val="16"/>
              </w:rPr>
            </w:pPr>
            <w:r w:rsidRPr="00B8616D">
              <w:rPr>
                <w:rFonts w:ascii="Arial" w:hAnsi="Arial" w:cs="Arial"/>
                <w:sz w:val="16"/>
                <w:szCs w:val="16"/>
              </w:rPr>
              <w:t>Leases</w:t>
            </w:r>
          </w:p>
        </w:tc>
        <w:tc>
          <w:tcPr>
            <w:tcW w:w="892" w:type="dxa"/>
            <w:tcBorders>
              <w:top w:val="nil"/>
              <w:left w:val="nil"/>
              <w:bottom w:val="nil"/>
              <w:right w:val="nil"/>
            </w:tcBorders>
            <w:shd w:val="clear" w:color="auto" w:fill="auto"/>
            <w:noWrap/>
            <w:vAlign w:val="bottom"/>
            <w:hideMark/>
          </w:tcPr>
          <w:p w14:paraId="0DE9528F" w14:textId="77777777" w:rsidR="00B8616D" w:rsidRPr="00B8616D" w:rsidRDefault="00B8616D" w:rsidP="00B8616D">
            <w:pPr>
              <w:spacing w:after="0"/>
              <w:jc w:val="right"/>
              <w:rPr>
                <w:rFonts w:ascii="Arial" w:hAnsi="Arial" w:cs="Arial"/>
                <w:color w:val="auto"/>
                <w:sz w:val="16"/>
                <w:szCs w:val="16"/>
              </w:rPr>
            </w:pPr>
            <w:r w:rsidRPr="00B8616D">
              <w:rPr>
                <w:rFonts w:ascii="Arial" w:hAnsi="Arial" w:cs="Arial"/>
                <w:color w:val="auto"/>
                <w:sz w:val="16"/>
                <w:szCs w:val="16"/>
              </w:rPr>
              <w:t>14,861</w:t>
            </w:r>
          </w:p>
        </w:tc>
        <w:tc>
          <w:tcPr>
            <w:tcW w:w="876" w:type="dxa"/>
            <w:tcBorders>
              <w:top w:val="nil"/>
              <w:left w:val="nil"/>
              <w:bottom w:val="nil"/>
              <w:right w:val="nil"/>
            </w:tcBorders>
            <w:shd w:val="clear" w:color="000000" w:fill="D9D9D9"/>
            <w:noWrap/>
            <w:vAlign w:val="bottom"/>
            <w:hideMark/>
          </w:tcPr>
          <w:p w14:paraId="4B10E608"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12,280 </w:t>
            </w:r>
          </w:p>
        </w:tc>
        <w:tc>
          <w:tcPr>
            <w:tcW w:w="883" w:type="dxa"/>
            <w:tcBorders>
              <w:top w:val="nil"/>
              <w:left w:val="nil"/>
              <w:bottom w:val="nil"/>
              <w:right w:val="nil"/>
            </w:tcBorders>
            <w:shd w:val="clear" w:color="auto" w:fill="auto"/>
            <w:noWrap/>
            <w:vAlign w:val="bottom"/>
            <w:hideMark/>
          </w:tcPr>
          <w:p w14:paraId="62558F94" w14:textId="77777777" w:rsidR="00B8616D" w:rsidRPr="00B8616D" w:rsidRDefault="00B8616D" w:rsidP="00B8616D">
            <w:pPr>
              <w:spacing w:after="0"/>
              <w:jc w:val="right"/>
              <w:rPr>
                <w:rFonts w:ascii="Arial" w:hAnsi="Arial" w:cs="Arial"/>
                <w:color w:val="auto"/>
                <w:sz w:val="16"/>
                <w:szCs w:val="16"/>
              </w:rPr>
            </w:pPr>
            <w:r w:rsidRPr="00B8616D">
              <w:rPr>
                <w:rFonts w:ascii="Arial" w:hAnsi="Arial" w:cs="Arial"/>
                <w:color w:val="auto"/>
                <w:sz w:val="16"/>
                <w:szCs w:val="16"/>
              </w:rPr>
              <w:t>9,580</w:t>
            </w:r>
          </w:p>
        </w:tc>
        <w:tc>
          <w:tcPr>
            <w:tcW w:w="883" w:type="dxa"/>
            <w:tcBorders>
              <w:top w:val="nil"/>
              <w:left w:val="nil"/>
              <w:bottom w:val="nil"/>
              <w:right w:val="nil"/>
            </w:tcBorders>
            <w:shd w:val="clear" w:color="auto" w:fill="auto"/>
            <w:noWrap/>
            <w:vAlign w:val="bottom"/>
            <w:hideMark/>
          </w:tcPr>
          <w:p w14:paraId="07721655" w14:textId="77777777" w:rsidR="00B8616D" w:rsidRPr="00B8616D" w:rsidRDefault="00B8616D" w:rsidP="00B8616D">
            <w:pPr>
              <w:spacing w:after="0"/>
              <w:jc w:val="right"/>
              <w:rPr>
                <w:rFonts w:ascii="Arial" w:hAnsi="Arial" w:cs="Arial"/>
                <w:color w:val="auto"/>
                <w:sz w:val="16"/>
                <w:szCs w:val="16"/>
              </w:rPr>
            </w:pPr>
            <w:r w:rsidRPr="00B8616D">
              <w:rPr>
                <w:rFonts w:ascii="Arial" w:hAnsi="Arial" w:cs="Arial"/>
                <w:color w:val="auto"/>
                <w:sz w:val="16"/>
                <w:szCs w:val="16"/>
              </w:rPr>
              <w:t>6,830</w:t>
            </w:r>
          </w:p>
        </w:tc>
        <w:tc>
          <w:tcPr>
            <w:tcW w:w="883" w:type="dxa"/>
            <w:tcBorders>
              <w:top w:val="nil"/>
              <w:left w:val="nil"/>
              <w:bottom w:val="nil"/>
              <w:right w:val="nil"/>
            </w:tcBorders>
            <w:shd w:val="clear" w:color="auto" w:fill="auto"/>
            <w:noWrap/>
            <w:vAlign w:val="bottom"/>
            <w:hideMark/>
          </w:tcPr>
          <w:p w14:paraId="3ECF6E21" w14:textId="77777777" w:rsidR="00B8616D" w:rsidRPr="00B8616D" w:rsidRDefault="00B8616D" w:rsidP="00B8616D">
            <w:pPr>
              <w:spacing w:after="0"/>
              <w:jc w:val="right"/>
              <w:rPr>
                <w:rFonts w:ascii="Arial" w:hAnsi="Arial" w:cs="Arial"/>
                <w:color w:val="auto"/>
                <w:sz w:val="16"/>
                <w:szCs w:val="16"/>
              </w:rPr>
            </w:pPr>
            <w:r w:rsidRPr="00B8616D">
              <w:rPr>
                <w:rFonts w:ascii="Arial" w:hAnsi="Arial" w:cs="Arial"/>
                <w:color w:val="auto"/>
                <w:sz w:val="16"/>
                <w:szCs w:val="16"/>
              </w:rPr>
              <w:t>4,030</w:t>
            </w:r>
          </w:p>
        </w:tc>
      </w:tr>
      <w:tr w:rsidR="00B8616D" w:rsidRPr="00B8616D" w14:paraId="0D284244" w14:textId="77777777" w:rsidTr="00B8616D">
        <w:trPr>
          <w:trHeight w:val="225"/>
        </w:trPr>
        <w:tc>
          <w:tcPr>
            <w:tcW w:w="2963" w:type="dxa"/>
            <w:tcBorders>
              <w:top w:val="nil"/>
              <w:left w:val="nil"/>
              <w:bottom w:val="nil"/>
              <w:right w:val="nil"/>
            </w:tcBorders>
            <w:shd w:val="clear" w:color="auto" w:fill="auto"/>
            <w:noWrap/>
            <w:vAlign w:val="bottom"/>
            <w:hideMark/>
          </w:tcPr>
          <w:p w14:paraId="1D3D23A7" w14:textId="77777777" w:rsidR="00B8616D" w:rsidRPr="00B8616D" w:rsidRDefault="00B8616D" w:rsidP="00B8616D">
            <w:pPr>
              <w:spacing w:after="0"/>
              <w:ind w:firstLineChars="200" w:firstLine="320"/>
              <w:rPr>
                <w:rFonts w:ascii="Arial" w:hAnsi="Arial" w:cs="Arial"/>
                <w:b/>
                <w:bCs/>
                <w:sz w:val="16"/>
                <w:szCs w:val="16"/>
              </w:rPr>
            </w:pPr>
            <w:r w:rsidRPr="00B8616D">
              <w:rPr>
                <w:rFonts w:ascii="Arial" w:hAnsi="Arial" w:cs="Arial"/>
                <w:b/>
                <w:bCs/>
                <w:sz w:val="16"/>
                <w:szCs w:val="16"/>
              </w:rPr>
              <w:t>Total interest bearing liabilities</w:t>
            </w:r>
          </w:p>
        </w:tc>
        <w:tc>
          <w:tcPr>
            <w:tcW w:w="892" w:type="dxa"/>
            <w:tcBorders>
              <w:top w:val="nil"/>
              <w:left w:val="nil"/>
              <w:bottom w:val="single" w:sz="4" w:space="0" w:color="auto"/>
              <w:right w:val="nil"/>
            </w:tcBorders>
            <w:shd w:val="clear" w:color="auto" w:fill="auto"/>
            <w:noWrap/>
            <w:vAlign w:val="bottom"/>
            <w:hideMark/>
          </w:tcPr>
          <w:p w14:paraId="4D8D8AC5"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14,861</w:t>
            </w:r>
          </w:p>
        </w:tc>
        <w:tc>
          <w:tcPr>
            <w:tcW w:w="876" w:type="dxa"/>
            <w:tcBorders>
              <w:top w:val="nil"/>
              <w:left w:val="nil"/>
              <w:bottom w:val="single" w:sz="4" w:space="0" w:color="auto"/>
              <w:right w:val="nil"/>
            </w:tcBorders>
            <w:shd w:val="clear" w:color="000000" w:fill="D9D9D9"/>
            <w:noWrap/>
            <w:vAlign w:val="bottom"/>
            <w:hideMark/>
          </w:tcPr>
          <w:p w14:paraId="4A117DE2"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12,280 </w:t>
            </w:r>
          </w:p>
        </w:tc>
        <w:tc>
          <w:tcPr>
            <w:tcW w:w="883" w:type="dxa"/>
            <w:tcBorders>
              <w:top w:val="nil"/>
              <w:left w:val="nil"/>
              <w:bottom w:val="single" w:sz="4" w:space="0" w:color="auto"/>
              <w:right w:val="nil"/>
            </w:tcBorders>
            <w:shd w:val="clear" w:color="auto" w:fill="auto"/>
            <w:noWrap/>
            <w:vAlign w:val="bottom"/>
            <w:hideMark/>
          </w:tcPr>
          <w:p w14:paraId="1C172A89"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9,580</w:t>
            </w:r>
          </w:p>
        </w:tc>
        <w:tc>
          <w:tcPr>
            <w:tcW w:w="883" w:type="dxa"/>
            <w:tcBorders>
              <w:top w:val="nil"/>
              <w:left w:val="nil"/>
              <w:bottom w:val="single" w:sz="4" w:space="0" w:color="auto"/>
              <w:right w:val="nil"/>
            </w:tcBorders>
            <w:shd w:val="clear" w:color="auto" w:fill="auto"/>
            <w:noWrap/>
            <w:vAlign w:val="bottom"/>
            <w:hideMark/>
          </w:tcPr>
          <w:p w14:paraId="3FC77EAB"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6,830</w:t>
            </w:r>
          </w:p>
        </w:tc>
        <w:tc>
          <w:tcPr>
            <w:tcW w:w="883" w:type="dxa"/>
            <w:tcBorders>
              <w:top w:val="nil"/>
              <w:left w:val="nil"/>
              <w:bottom w:val="single" w:sz="4" w:space="0" w:color="auto"/>
              <w:right w:val="nil"/>
            </w:tcBorders>
            <w:shd w:val="clear" w:color="auto" w:fill="auto"/>
            <w:noWrap/>
            <w:vAlign w:val="bottom"/>
            <w:hideMark/>
          </w:tcPr>
          <w:p w14:paraId="63534919"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4,030</w:t>
            </w:r>
          </w:p>
        </w:tc>
      </w:tr>
      <w:tr w:rsidR="00B8616D" w:rsidRPr="00B8616D" w14:paraId="4629119F" w14:textId="77777777" w:rsidTr="00B8616D">
        <w:trPr>
          <w:trHeight w:val="300"/>
        </w:trPr>
        <w:tc>
          <w:tcPr>
            <w:tcW w:w="2963" w:type="dxa"/>
            <w:tcBorders>
              <w:top w:val="nil"/>
              <w:left w:val="nil"/>
              <w:bottom w:val="nil"/>
              <w:right w:val="nil"/>
            </w:tcBorders>
            <w:shd w:val="clear" w:color="auto" w:fill="auto"/>
            <w:noWrap/>
            <w:vAlign w:val="bottom"/>
            <w:hideMark/>
          </w:tcPr>
          <w:p w14:paraId="5C82D9AF" w14:textId="77777777" w:rsidR="00B8616D" w:rsidRPr="00B8616D" w:rsidRDefault="00B8616D" w:rsidP="00B8616D">
            <w:pPr>
              <w:spacing w:after="0"/>
              <w:ind w:firstLineChars="100" w:firstLine="160"/>
              <w:rPr>
                <w:rFonts w:ascii="Arial" w:hAnsi="Arial" w:cs="Arial"/>
                <w:b/>
                <w:bCs/>
                <w:sz w:val="16"/>
                <w:szCs w:val="16"/>
              </w:rPr>
            </w:pPr>
            <w:r w:rsidRPr="00B8616D">
              <w:rPr>
                <w:rFonts w:ascii="Arial" w:hAnsi="Arial" w:cs="Arial"/>
                <w:b/>
                <w:bCs/>
                <w:sz w:val="16"/>
                <w:szCs w:val="16"/>
              </w:rPr>
              <w:t>Provisions</w:t>
            </w:r>
          </w:p>
        </w:tc>
        <w:tc>
          <w:tcPr>
            <w:tcW w:w="892" w:type="dxa"/>
            <w:tcBorders>
              <w:top w:val="nil"/>
              <w:left w:val="nil"/>
              <w:bottom w:val="nil"/>
              <w:right w:val="nil"/>
            </w:tcBorders>
            <w:shd w:val="clear" w:color="auto" w:fill="auto"/>
            <w:noWrap/>
            <w:vAlign w:val="bottom"/>
            <w:hideMark/>
          </w:tcPr>
          <w:p w14:paraId="22E5E425" w14:textId="77777777" w:rsidR="00B8616D" w:rsidRPr="00B8616D" w:rsidRDefault="00B8616D" w:rsidP="00B8616D">
            <w:pPr>
              <w:spacing w:after="0"/>
              <w:ind w:firstLineChars="100" w:firstLine="16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686E238D"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6456B655" w14:textId="77777777" w:rsidR="00B8616D" w:rsidRPr="00B8616D" w:rsidRDefault="00B8616D" w:rsidP="00B8616D">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6D9DBA1C" w14:textId="77777777" w:rsidR="00B8616D" w:rsidRPr="00B8616D" w:rsidRDefault="00B8616D" w:rsidP="00B8616D">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56F9BF34" w14:textId="77777777" w:rsidR="00B8616D" w:rsidRPr="00B8616D" w:rsidRDefault="00B8616D" w:rsidP="00B8616D">
            <w:pPr>
              <w:spacing w:after="0"/>
              <w:jc w:val="right"/>
              <w:rPr>
                <w:rFonts w:ascii="Times New Roman" w:hAnsi="Times New Roman"/>
                <w:color w:val="auto"/>
                <w:sz w:val="20"/>
              </w:rPr>
            </w:pPr>
          </w:p>
        </w:tc>
      </w:tr>
      <w:tr w:rsidR="00B8616D" w:rsidRPr="00B8616D" w14:paraId="4945AE98" w14:textId="77777777" w:rsidTr="00B8616D">
        <w:trPr>
          <w:trHeight w:val="225"/>
        </w:trPr>
        <w:tc>
          <w:tcPr>
            <w:tcW w:w="2963" w:type="dxa"/>
            <w:tcBorders>
              <w:top w:val="nil"/>
              <w:left w:val="nil"/>
              <w:bottom w:val="nil"/>
              <w:right w:val="nil"/>
            </w:tcBorders>
            <w:shd w:val="clear" w:color="auto" w:fill="auto"/>
            <w:noWrap/>
            <w:vAlign w:val="bottom"/>
            <w:hideMark/>
          </w:tcPr>
          <w:p w14:paraId="3095D189" w14:textId="77777777" w:rsidR="00B8616D" w:rsidRPr="00B8616D" w:rsidRDefault="00B8616D" w:rsidP="00B8616D">
            <w:pPr>
              <w:spacing w:after="0"/>
              <w:ind w:firstLineChars="200" w:firstLine="320"/>
              <w:rPr>
                <w:rFonts w:ascii="Arial" w:hAnsi="Arial" w:cs="Arial"/>
                <w:sz w:val="16"/>
                <w:szCs w:val="16"/>
              </w:rPr>
            </w:pPr>
            <w:r w:rsidRPr="00B8616D">
              <w:rPr>
                <w:rFonts w:ascii="Arial" w:hAnsi="Arial" w:cs="Arial"/>
                <w:sz w:val="16"/>
                <w:szCs w:val="16"/>
              </w:rPr>
              <w:t>Employees</w:t>
            </w:r>
          </w:p>
        </w:tc>
        <w:tc>
          <w:tcPr>
            <w:tcW w:w="892" w:type="dxa"/>
            <w:tcBorders>
              <w:top w:val="nil"/>
              <w:left w:val="nil"/>
              <w:bottom w:val="nil"/>
              <w:right w:val="nil"/>
            </w:tcBorders>
            <w:shd w:val="clear" w:color="auto" w:fill="auto"/>
            <w:noWrap/>
            <w:vAlign w:val="bottom"/>
            <w:hideMark/>
          </w:tcPr>
          <w:p w14:paraId="7E944743"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7,699 </w:t>
            </w:r>
          </w:p>
        </w:tc>
        <w:tc>
          <w:tcPr>
            <w:tcW w:w="876" w:type="dxa"/>
            <w:tcBorders>
              <w:top w:val="nil"/>
              <w:left w:val="nil"/>
              <w:bottom w:val="nil"/>
              <w:right w:val="nil"/>
            </w:tcBorders>
            <w:shd w:val="clear" w:color="000000" w:fill="D9D9D9"/>
            <w:noWrap/>
            <w:vAlign w:val="bottom"/>
            <w:hideMark/>
          </w:tcPr>
          <w:p w14:paraId="197ED505"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7,699 </w:t>
            </w:r>
          </w:p>
        </w:tc>
        <w:tc>
          <w:tcPr>
            <w:tcW w:w="883" w:type="dxa"/>
            <w:tcBorders>
              <w:top w:val="nil"/>
              <w:left w:val="nil"/>
              <w:bottom w:val="nil"/>
              <w:right w:val="nil"/>
            </w:tcBorders>
            <w:shd w:val="clear" w:color="auto" w:fill="auto"/>
            <w:noWrap/>
            <w:vAlign w:val="bottom"/>
            <w:hideMark/>
          </w:tcPr>
          <w:p w14:paraId="31BEE813"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7,699 </w:t>
            </w:r>
          </w:p>
        </w:tc>
        <w:tc>
          <w:tcPr>
            <w:tcW w:w="883" w:type="dxa"/>
            <w:tcBorders>
              <w:top w:val="nil"/>
              <w:left w:val="nil"/>
              <w:bottom w:val="nil"/>
              <w:right w:val="nil"/>
            </w:tcBorders>
            <w:shd w:val="clear" w:color="auto" w:fill="auto"/>
            <w:noWrap/>
            <w:vAlign w:val="bottom"/>
            <w:hideMark/>
          </w:tcPr>
          <w:p w14:paraId="03D9F0C8"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7,699 </w:t>
            </w:r>
          </w:p>
        </w:tc>
        <w:tc>
          <w:tcPr>
            <w:tcW w:w="883" w:type="dxa"/>
            <w:tcBorders>
              <w:top w:val="nil"/>
              <w:left w:val="nil"/>
              <w:bottom w:val="nil"/>
              <w:right w:val="nil"/>
            </w:tcBorders>
            <w:shd w:val="clear" w:color="auto" w:fill="auto"/>
            <w:noWrap/>
            <w:vAlign w:val="bottom"/>
            <w:hideMark/>
          </w:tcPr>
          <w:p w14:paraId="5AF6CDE5"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7,699 </w:t>
            </w:r>
          </w:p>
        </w:tc>
      </w:tr>
      <w:tr w:rsidR="00B8616D" w:rsidRPr="00B8616D" w14:paraId="7DE75837" w14:textId="77777777" w:rsidTr="00B8616D">
        <w:trPr>
          <w:trHeight w:val="225"/>
        </w:trPr>
        <w:tc>
          <w:tcPr>
            <w:tcW w:w="2963" w:type="dxa"/>
            <w:tcBorders>
              <w:top w:val="nil"/>
              <w:left w:val="nil"/>
              <w:bottom w:val="nil"/>
              <w:right w:val="nil"/>
            </w:tcBorders>
            <w:shd w:val="clear" w:color="auto" w:fill="auto"/>
            <w:noWrap/>
            <w:vAlign w:val="bottom"/>
            <w:hideMark/>
          </w:tcPr>
          <w:p w14:paraId="1147E659" w14:textId="77777777" w:rsidR="00B8616D" w:rsidRPr="00B8616D" w:rsidRDefault="00B8616D" w:rsidP="00B8616D">
            <w:pPr>
              <w:spacing w:after="0"/>
              <w:ind w:firstLineChars="200" w:firstLine="320"/>
              <w:rPr>
                <w:rFonts w:ascii="Arial" w:hAnsi="Arial" w:cs="Arial"/>
                <w:b/>
                <w:bCs/>
                <w:sz w:val="16"/>
                <w:szCs w:val="16"/>
              </w:rPr>
            </w:pPr>
            <w:r w:rsidRPr="00B8616D">
              <w:rPr>
                <w:rFonts w:ascii="Arial" w:hAnsi="Arial" w:cs="Arial"/>
                <w:b/>
                <w:bCs/>
                <w:sz w:val="16"/>
                <w:szCs w:val="16"/>
              </w:rPr>
              <w:t>Total provisions</w:t>
            </w:r>
          </w:p>
        </w:tc>
        <w:tc>
          <w:tcPr>
            <w:tcW w:w="892" w:type="dxa"/>
            <w:tcBorders>
              <w:top w:val="nil"/>
              <w:left w:val="nil"/>
              <w:bottom w:val="single" w:sz="4" w:space="0" w:color="auto"/>
              <w:right w:val="nil"/>
            </w:tcBorders>
            <w:shd w:val="clear" w:color="auto" w:fill="auto"/>
            <w:noWrap/>
            <w:vAlign w:val="bottom"/>
            <w:hideMark/>
          </w:tcPr>
          <w:p w14:paraId="0E5C91BE"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7,699 </w:t>
            </w:r>
          </w:p>
        </w:tc>
        <w:tc>
          <w:tcPr>
            <w:tcW w:w="876" w:type="dxa"/>
            <w:tcBorders>
              <w:top w:val="nil"/>
              <w:left w:val="nil"/>
              <w:bottom w:val="single" w:sz="4" w:space="0" w:color="auto"/>
              <w:right w:val="nil"/>
            </w:tcBorders>
            <w:shd w:val="clear" w:color="000000" w:fill="D9D9D9"/>
            <w:noWrap/>
            <w:vAlign w:val="bottom"/>
            <w:hideMark/>
          </w:tcPr>
          <w:p w14:paraId="104FDC5A"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7,699 </w:t>
            </w:r>
          </w:p>
        </w:tc>
        <w:tc>
          <w:tcPr>
            <w:tcW w:w="883" w:type="dxa"/>
            <w:tcBorders>
              <w:top w:val="nil"/>
              <w:left w:val="nil"/>
              <w:bottom w:val="single" w:sz="4" w:space="0" w:color="auto"/>
              <w:right w:val="nil"/>
            </w:tcBorders>
            <w:shd w:val="clear" w:color="auto" w:fill="auto"/>
            <w:noWrap/>
            <w:vAlign w:val="bottom"/>
            <w:hideMark/>
          </w:tcPr>
          <w:p w14:paraId="62C51041"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7,699 </w:t>
            </w:r>
          </w:p>
        </w:tc>
        <w:tc>
          <w:tcPr>
            <w:tcW w:w="883" w:type="dxa"/>
            <w:tcBorders>
              <w:top w:val="nil"/>
              <w:left w:val="nil"/>
              <w:bottom w:val="single" w:sz="4" w:space="0" w:color="auto"/>
              <w:right w:val="nil"/>
            </w:tcBorders>
            <w:shd w:val="clear" w:color="auto" w:fill="auto"/>
            <w:noWrap/>
            <w:vAlign w:val="bottom"/>
            <w:hideMark/>
          </w:tcPr>
          <w:p w14:paraId="3D0D8A38"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7,699 </w:t>
            </w:r>
          </w:p>
        </w:tc>
        <w:tc>
          <w:tcPr>
            <w:tcW w:w="883" w:type="dxa"/>
            <w:tcBorders>
              <w:top w:val="nil"/>
              <w:left w:val="nil"/>
              <w:bottom w:val="single" w:sz="4" w:space="0" w:color="auto"/>
              <w:right w:val="nil"/>
            </w:tcBorders>
            <w:shd w:val="clear" w:color="auto" w:fill="auto"/>
            <w:noWrap/>
            <w:vAlign w:val="bottom"/>
            <w:hideMark/>
          </w:tcPr>
          <w:p w14:paraId="4B7C62CE"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7,699 </w:t>
            </w:r>
          </w:p>
        </w:tc>
      </w:tr>
      <w:tr w:rsidR="00B8616D" w:rsidRPr="00B8616D" w14:paraId="4E7554E8" w14:textId="77777777" w:rsidTr="00B8616D">
        <w:trPr>
          <w:trHeight w:val="225"/>
        </w:trPr>
        <w:tc>
          <w:tcPr>
            <w:tcW w:w="2963" w:type="dxa"/>
            <w:tcBorders>
              <w:top w:val="nil"/>
              <w:left w:val="nil"/>
              <w:bottom w:val="nil"/>
              <w:right w:val="nil"/>
            </w:tcBorders>
            <w:shd w:val="clear" w:color="auto" w:fill="auto"/>
            <w:noWrap/>
            <w:vAlign w:val="bottom"/>
            <w:hideMark/>
          </w:tcPr>
          <w:p w14:paraId="2F303EF3" w14:textId="77777777" w:rsidR="00B8616D" w:rsidRPr="00B8616D" w:rsidRDefault="00B8616D" w:rsidP="00B8616D">
            <w:pPr>
              <w:spacing w:after="0"/>
              <w:ind w:firstLineChars="100" w:firstLine="160"/>
              <w:rPr>
                <w:rFonts w:ascii="Arial" w:hAnsi="Arial" w:cs="Arial"/>
                <w:b/>
                <w:bCs/>
                <w:sz w:val="16"/>
                <w:szCs w:val="16"/>
              </w:rPr>
            </w:pPr>
            <w:r w:rsidRPr="00B8616D">
              <w:rPr>
                <w:rFonts w:ascii="Arial" w:hAnsi="Arial" w:cs="Arial"/>
                <w:b/>
                <w:bCs/>
                <w:sz w:val="16"/>
                <w:szCs w:val="16"/>
              </w:rPr>
              <w:t>Total liabilities</w:t>
            </w:r>
          </w:p>
        </w:tc>
        <w:tc>
          <w:tcPr>
            <w:tcW w:w="892" w:type="dxa"/>
            <w:tcBorders>
              <w:top w:val="nil"/>
              <w:left w:val="nil"/>
              <w:bottom w:val="single" w:sz="4" w:space="0" w:color="auto"/>
              <w:right w:val="nil"/>
            </w:tcBorders>
            <w:shd w:val="clear" w:color="auto" w:fill="auto"/>
            <w:noWrap/>
            <w:vAlign w:val="bottom"/>
            <w:hideMark/>
          </w:tcPr>
          <w:p w14:paraId="68EBCB9D"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27,606 </w:t>
            </w:r>
          </w:p>
        </w:tc>
        <w:tc>
          <w:tcPr>
            <w:tcW w:w="876" w:type="dxa"/>
            <w:tcBorders>
              <w:top w:val="nil"/>
              <w:left w:val="nil"/>
              <w:bottom w:val="single" w:sz="4" w:space="0" w:color="auto"/>
              <w:right w:val="nil"/>
            </w:tcBorders>
            <w:shd w:val="clear" w:color="000000" w:fill="D9D9D9"/>
            <w:noWrap/>
            <w:vAlign w:val="bottom"/>
            <w:hideMark/>
          </w:tcPr>
          <w:p w14:paraId="38EF2FFC"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25,025 </w:t>
            </w:r>
          </w:p>
        </w:tc>
        <w:tc>
          <w:tcPr>
            <w:tcW w:w="883" w:type="dxa"/>
            <w:tcBorders>
              <w:top w:val="nil"/>
              <w:left w:val="nil"/>
              <w:bottom w:val="single" w:sz="4" w:space="0" w:color="auto"/>
              <w:right w:val="nil"/>
            </w:tcBorders>
            <w:shd w:val="clear" w:color="auto" w:fill="auto"/>
            <w:noWrap/>
            <w:vAlign w:val="bottom"/>
            <w:hideMark/>
          </w:tcPr>
          <w:p w14:paraId="4B10AA3E"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22,325 </w:t>
            </w:r>
          </w:p>
        </w:tc>
        <w:tc>
          <w:tcPr>
            <w:tcW w:w="883" w:type="dxa"/>
            <w:tcBorders>
              <w:top w:val="nil"/>
              <w:left w:val="nil"/>
              <w:bottom w:val="single" w:sz="4" w:space="0" w:color="auto"/>
              <w:right w:val="nil"/>
            </w:tcBorders>
            <w:shd w:val="clear" w:color="auto" w:fill="auto"/>
            <w:noWrap/>
            <w:vAlign w:val="bottom"/>
            <w:hideMark/>
          </w:tcPr>
          <w:p w14:paraId="595FE23D"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19,575 </w:t>
            </w:r>
          </w:p>
        </w:tc>
        <w:tc>
          <w:tcPr>
            <w:tcW w:w="883" w:type="dxa"/>
            <w:tcBorders>
              <w:top w:val="nil"/>
              <w:left w:val="nil"/>
              <w:bottom w:val="single" w:sz="4" w:space="0" w:color="auto"/>
              <w:right w:val="nil"/>
            </w:tcBorders>
            <w:shd w:val="clear" w:color="auto" w:fill="auto"/>
            <w:noWrap/>
            <w:vAlign w:val="bottom"/>
            <w:hideMark/>
          </w:tcPr>
          <w:p w14:paraId="4E773692"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16,775 </w:t>
            </w:r>
          </w:p>
        </w:tc>
      </w:tr>
      <w:tr w:rsidR="00B8616D" w:rsidRPr="00B8616D" w14:paraId="728B6A23" w14:textId="77777777" w:rsidTr="00B8616D">
        <w:trPr>
          <w:trHeight w:val="300"/>
        </w:trPr>
        <w:tc>
          <w:tcPr>
            <w:tcW w:w="2963" w:type="dxa"/>
            <w:tcBorders>
              <w:top w:val="nil"/>
              <w:left w:val="nil"/>
              <w:bottom w:val="nil"/>
              <w:right w:val="nil"/>
            </w:tcBorders>
            <w:shd w:val="clear" w:color="auto" w:fill="auto"/>
            <w:noWrap/>
            <w:vAlign w:val="bottom"/>
            <w:hideMark/>
          </w:tcPr>
          <w:p w14:paraId="06472845" w14:textId="77777777" w:rsidR="00B8616D" w:rsidRPr="00B8616D" w:rsidRDefault="00B8616D" w:rsidP="00B8616D">
            <w:pPr>
              <w:spacing w:after="0"/>
              <w:rPr>
                <w:rFonts w:ascii="Arial" w:hAnsi="Arial" w:cs="Arial"/>
                <w:b/>
                <w:bCs/>
                <w:sz w:val="16"/>
                <w:szCs w:val="16"/>
              </w:rPr>
            </w:pPr>
            <w:r w:rsidRPr="00B8616D">
              <w:rPr>
                <w:rFonts w:ascii="Arial" w:hAnsi="Arial" w:cs="Arial"/>
                <w:b/>
                <w:bCs/>
                <w:sz w:val="16"/>
                <w:szCs w:val="16"/>
              </w:rPr>
              <w:t>Net Assets</w:t>
            </w:r>
          </w:p>
        </w:tc>
        <w:tc>
          <w:tcPr>
            <w:tcW w:w="892" w:type="dxa"/>
            <w:tcBorders>
              <w:top w:val="nil"/>
              <w:left w:val="nil"/>
              <w:bottom w:val="single" w:sz="4" w:space="0" w:color="auto"/>
              <w:right w:val="nil"/>
            </w:tcBorders>
            <w:shd w:val="clear" w:color="auto" w:fill="auto"/>
            <w:noWrap/>
            <w:vAlign w:val="bottom"/>
            <w:hideMark/>
          </w:tcPr>
          <w:p w14:paraId="72E08653"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15,886 </w:t>
            </w:r>
          </w:p>
        </w:tc>
        <w:tc>
          <w:tcPr>
            <w:tcW w:w="876" w:type="dxa"/>
            <w:tcBorders>
              <w:top w:val="nil"/>
              <w:left w:val="nil"/>
              <w:bottom w:val="single" w:sz="4" w:space="0" w:color="auto"/>
              <w:right w:val="nil"/>
            </w:tcBorders>
            <w:shd w:val="clear" w:color="000000" w:fill="D9D9D9"/>
            <w:noWrap/>
            <w:vAlign w:val="bottom"/>
            <w:hideMark/>
          </w:tcPr>
          <w:p w14:paraId="2A8E2540"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13,072 </w:t>
            </w:r>
          </w:p>
        </w:tc>
        <w:tc>
          <w:tcPr>
            <w:tcW w:w="883" w:type="dxa"/>
            <w:tcBorders>
              <w:top w:val="nil"/>
              <w:left w:val="nil"/>
              <w:bottom w:val="single" w:sz="4" w:space="0" w:color="auto"/>
              <w:right w:val="nil"/>
            </w:tcBorders>
            <w:shd w:val="clear" w:color="auto" w:fill="auto"/>
            <w:noWrap/>
            <w:vAlign w:val="bottom"/>
            <w:hideMark/>
          </w:tcPr>
          <w:p w14:paraId="2A37CEE9"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10,612 </w:t>
            </w:r>
          </w:p>
        </w:tc>
        <w:tc>
          <w:tcPr>
            <w:tcW w:w="883" w:type="dxa"/>
            <w:tcBorders>
              <w:top w:val="nil"/>
              <w:left w:val="nil"/>
              <w:bottom w:val="single" w:sz="4" w:space="0" w:color="auto"/>
              <w:right w:val="nil"/>
            </w:tcBorders>
            <w:shd w:val="clear" w:color="auto" w:fill="auto"/>
            <w:noWrap/>
            <w:vAlign w:val="bottom"/>
            <w:hideMark/>
          </w:tcPr>
          <w:p w14:paraId="3A097F23"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8,545 </w:t>
            </w:r>
          </w:p>
        </w:tc>
        <w:tc>
          <w:tcPr>
            <w:tcW w:w="883" w:type="dxa"/>
            <w:tcBorders>
              <w:top w:val="nil"/>
              <w:left w:val="nil"/>
              <w:bottom w:val="single" w:sz="4" w:space="0" w:color="auto"/>
              <w:right w:val="nil"/>
            </w:tcBorders>
            <w:shd w:val="clear" w:color="auto" w:fill="auto"/>
            <w:noWrap/>
            <w:vAlign w:val="bottom"/>
            <w:hideMark/>
          </w:tcPr>
          <w:p w14:paraId="195F27ED"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6,539 </w:t>
            </w:r>
          </w:p>
        </w:tc>
      </w:tr>
      <w:tr w:rsidR="00B8616D" w:rsidRPr="00B8616D" w14:paraId="7CE01C9A" w14:textId="77777777" w:rsidTr="00B8616D">
        <w:trPr>
          <w:trHeight w:val="300"/>
        </w:trPr>
        <w:tc>
          <w:tcPr>
            <w:tcW w:w="2963" w:type="dxa"/>
            <w:tcBorders>
              <w:top w:val="nil"/>
              <w:left w:val="nil"/>
              <w:bottom w:val="nil"/>
              <w:right w:val="nil"/>
            </w:tcBorders>
            <w:shd w:val="clear" w:color="auto" w:fill="auto"/>
            <w:noWrap/>
            <w:vAlign w:val="bottom"/>
            <w:hideMark/>
          </w:tcPr>
          <w:p w14:paraId="6973C603" w14:textId="77777777" w:rsidR="00B8616D" w:rsidRPr="00B8616D" w:rsidRDefault="00B8616D" w:rsidP="00B8616D">
            <w:pPr>
              <w:spacing w:after="0"/>
              <w:rPr>
                <w:rFonts w:ascii="Arial" w:hAnsi="Arial" w:cs="Arial"/>
                <w:b/>
                <w:bCs/>
                <w:sz w:val="16"/>
                <w:szCs w:val="16"/>
              </w:rPr>
            </w:pPr>
            <w:r w:rsidRPr="00B8616D">
              <w:rPr>
                <w:rFonts w:ascii="Arial" w:hAnsi="Arial" w:cs="Arial"/>
                <w:b/>
                <w:bCs/>
                <w:sz w:val="16"/>
                <w:szCs w:val="16"/>
              </w:rPr>
              <w:t>EQUITY</w:t>
            </w:r>
          </w:p>
        </w:tc>
        <w:tc>
          <w:tcPr>
            <w:tcW w:w="892" w:type="dxa"/>
            <w:tcBorders>
              <w:top w:val="nil"/>
              <w:left w:val="nil"/>
              <w:bottom w:val="nil"/>
              <w:right w:val="nil"/>
            </w:tcBorders>
            <w:shd w:val="clear" w:color="auto" w:fill="auto"/>
            <w:noWrap/>
            <w:vAlign w:val="bottom"/>
            <w:hideMark/>
          </w:tcPr>
          <w:p w14:paraId="19804054" w14:textId="77777777" w:rsidR="00B8616D" w:rsidRPr="00B8616D" w:rsidRDefault="00B8616D" w:rsidP="00B8616D">
            <w:pPr>
              <w:spacing w:after="0"/>
              <w:rPr>
                <w:rFonts w:ascii="Arial" w:hAnsi="Arial" w:cs="Arial"/>
                <w:b/>
                <w:bCs/>
                <w:sz w:val="16"/>
                <w:szCs w:val="16"/>
              </w:rPr>
            </w:pPr>
          </w:p>
        </w:tc>
        <w:tc>
          <w:tcPr>
            <w:tcW w:w="876" w:type="dxa"/>
            <w:tcBorders>
              <w:top w:val="nil"/>
              <w:left w:val="nil"/>
              <w:bottom w:val="nil"/>
              <w:right w:val="nil"/>
            </w:tcBorders>
            <w:shd w:val="clear" w:color="000000" w:fill="D9D9D9"/>
            <w:noWrap/>
            <w:vAlign w:val="bottom"/>
            <w:hideMark/>
          </w:tcPr>
          <w:p w14:paraId="683084D2"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w:t>
            </w:r>
          </w:p>
        </w:tc>
        <w:tc>
          <w:tcPr>
            <w:tcW w:w="883" w:type="dxa"/>
            <w:tcBorders>
              <w:top w:val="nil"/>
              <w:left w:val="nil"/>
              <w:bottom w:val="nil"/>
              <w:right w:val="nil"/>
            </w:tcBorders>
            <w:shd w:val="clear" w:color="auto" w:fill="auto"/>
            <w:noWrap/>
            <w:vAlign w:val="bottom"/>
            <w:hideMark/>
          </w:tcPr>
          <w:p w14:paraId="28644FDF" w14:textId="77777777" w:rsidR="00B8616D" w:rsidRPr="00B8616D" w:rsidRDefault="00B8616D" w:rsidP="00B8616D">
            <w:pPr>
              <w:spacing w:after="0"/>
              <w:jc w:val="right"/>
              <w:rPr>
                <w:rFonts w:ascii="Arial" w:hAnsi="Arial" w:cs="Arial"/>
                <w:sz w:val="16"/>
                <w:szCs w:val="16"/>
              </w:rPr>
            </w:pPr>
          </w:p>
        </w:tc>
        <w:tc>
          <w:tcPr>
            <w:tcW w:w="883" w:type="dxa"/>
            <w:tcBorders>
              <w:top w:val="nil"/>
              <w:left w:val="nil"/>
              <w:bottom w:val="nil"/>
              <w:right w:val="nil"/>
            </w:tcBorders>
            <w:shd w:val="clear" w:color="auto" w:fill="auto"/>
            <w:noWrap/>
            <w:vAlign w:val="bottom"/>
            <w:hideMark/>
          </w:tcPr>
          <w:p w14:paraId="2B58E0D9" w14:textId="77777777" w:rsidR="00B8616D" w:rsidRPr="00B8616D" w:rsidRDefault="00B8616D" w:rsidP="00B8616D">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0BB6BF93" w14:textId="77777777" w:rsidR="00B8616D" w:rsidRPr="00B8616D" w:rsidRDefault="00B8616D" w:rsidP="00B8616D">
            <w:pPr>
              <w:spacing w:after="0"/>
              <w:jc w:val="right"/>
              <w:rPr>
                <w:rFonts w:ascii="Times New Roman" w:hAnsi="Times New Roman"/>
                <w:color w:val="auto"/>
                <w:sz w:val="20"/>
              </w:rPr>
            </w:pPr>
          </w:p>
        </w:tc>
      </w:tr>
      <w:tr w:rsidR="00B8616D" w:rsidRPr="00B8616D" w14:paraId="0766E295" w14:textId="77777777" w:rsidTr="00B8616D">
        <w:trPr>
          <w:trHeight w:val="225"/>
        </w:trPr>
        <w:tc>
          <w:tcPr>
            <w:tcW w:w="2963" w:type="dxa"/>
            <w:tcBorders>
              <w:top w:val="nil"/>
              <w:left w:val="nil"/>
              <w:bottom w:val="nil"/>
              <w:right w:val="nil"/>
            </w:tcBorders>
            <w:shd w:val="clear" w:color="auto" w:fill="auto"/>
            <w:noWrap/>
            <w:vAlign w:val="bottom"/>
            <w:hideMark/>
          </w:tcPr>
          <w:p w14:paraId="3CB6349C" w14:textId="77777777" w:rsidR="00B8616D" w:rsidRPr="00B8616D" w:rsidRDefault="00B8616D" w:rsidP="00B8616D">
            <w:pPr>
              <w:spacing w:after="0"/>
              <w:ind w:leftChars="75" w:left="143"/>
              <w:rPr>
                <w:rFonts w:ascii="Arial" w:hAnsi="Arial" w:cs="Arial"/>
                <w:sz w:val="16"/>
                <w:szCs w:val="16"/>
              </w:rPr>
            </w:pPr>
            <w:r w:rsidRPr="00B8616D">
              <w:rPr>
                <w:rFonts w:ascii="Arial" w:hAnsi="Arial" w:cs="Arial"/>
                <w:sz w:val="16"/>
                <w:szCs w:val="16"/>
              </w:rPr>
              <w:t>Contributed equity</w:t>
            </w:r>
          </w:p>
        </w:tc>
        <w:tc>
          <w:tcPr>
            <w:tcW w:w="892" w:type="dxa"/>
            <w:tcBorders>
              <w:top w:val="nil"/>
              <w:left w:val="nil"/>
              <w:bottom w:val="nil"/>
              <w:right w:val="nil"/>
            </w:tcBorders>
            <w:shd w:val="clear" w:color="auto" w:fill="auto"/>
            <w:noWrap/>
            <w:vAlign w:val="bottom"/>
            <w:hideMark/>
          </w:tcPr>
          <w:p w14:paraId="350D1778"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17,201 </w:t>
            </w:r>
          </w:p>
        </w:tc>
        <w:tc>
          <w:tcPr>
            <w:tcW w:w="876" w:type="dxa"/>
            <w:tcBorders>
              <w:top w:val="nil"/>
              <w:left w:val="nil"/>
              <w:bottom w:val="nil"/>
              <w:right w:val="nil"/>
            </w:tcBorders>
            <w:shd w:val="clear" w:color="000000" w:fill="D9D9D9"/>
            <w:noWrap/>
            <w:vAlign w:val="bottom"/>
            <w:hideMark/>
          </w:tcPr>
          <w:p w14:paraId="524A256B"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17,386 </w:t>
            </w:r>
          </w:p>
        </w:tc>
        <w:tc>
          <w:tcPr>
            <w:tcW w:w="883" w:type="dxa"/>
            <w:tcBorders>
              <w:top w:val="nil"/>
              <w:left w:val="nil"/>
              <w:bottom w:val="nil"/>
              <w:right w:val="nil"/>
            </w:tcBorders>
            <w:shd w:val="clear" w:color="auto" w:fill="auto"/>
            <w:noWrap/>
            <w:vAlign w:val="bottom"/>
            <w:hideMark/>
          </w:tcPr>
          <w:p w14:paraId="018A5703"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17,573 </w:t>
            </w:r>
          </w:p>
        </w:tc>
        <w:tc>
          <w:tcPr>
            <w:tcW w:w="883" w:type="dxa"/>
            <w:tcBorders>
              <w:top w:val="nil"/>
              <w:left w:val="nil"/>
              <w:bottom w:val="nil"/>
              <w:right w:val="nil"/>
            </w:tcBorders>
            <w:shd w:val="clear" w:color="auto" w:fill="auto"/>
            <w:noWrap/>
            <w:vAlign w:val="bottom"/>
            <w:hideMark/>
          </w:tcPr>
          <w:p w14:paraId="3338B91A"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17,761 </w:t>
            </w:r>
          </w:p>
        </w:tc>
        <w:tc>
          <w:tcPr>
            <w:tcW w:w="883" w:type="dxa"/>
            <w:tcBorders>
              <w:top w:val="nil"/>
              <w:left w:val="nil"/>
              <w:bottom w:val="nil"/>
              <w:right w:val="nil"/>
            </w:tcBorders>
            <w:shd w:val="clear" w:color="auto" w:fill="auto"/>
            <w:noWrap/>
            <w:vAlign w:val="bottom"/>
            <w:hideMark/>
          </w:tcPr>
          <w:p w14:paraId="2221D7F7"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17,951 </w:t>
            </w:r>
          </w:p>
        </w:tc>
      </w:tr>
      <w:tr w:rsidR="00B8616D" w:rsidRPr="00B8616D" w14:paraId="189EDE6B" w14:textId="77777777" w:rsidTr="00B8616D">
        <w:trPr>
          <w:trHeight w:val="225"/>
        </w:trPr>
        <w:tc>
          <w:tcPr>
            <w:tcW w:w="2963" w:type="dxa"/>
            <w:tcBorders>
              <w:top w:val="nil"/>
              <w:left w:val="nil"/>
              <w:bottom w:val="nil"/>
              <w:right w:val="nil"/>
            </w:tcBorders>
            <w:shd w:val="clear" w:color="auto" w:fill="auto"/>
            <w:noWrap/>
            <w:vAlign w:val="bottom"/>
            <w:hideMark/>
          </w:tcPr>
          <w:p w14:paraId="110F20AC" w14:textId="77777777" w:rsidR="00B8616D" w:rsidRPr="00B8616D" w:rsidRDefault="00B8616D" w:rsidP="00B8616D">
            <w:pPr>
              <w:spacing w:after="0"/>
              <w:ind w:leftChars="75" w:left="143"/>
              <w:rPr>
                <w:rFonts w:ascii="Arial" w:hAnsi="Arial" w:cs="Arial"/>
                <w:sz w:val="16"/>
                <w:szCs w:val="16"/>
              </w:rPr>
            </w:pPr>
            <w:r w:rsidRPr="00B8616D">
              <w:rPr>
                <w:rFonts w:ascii="Arial" w:hAnsi="Arial" w:cs="Arial"/>
                <w:sz w:val="16"/>
                <w:szCs w:val="16"/>
              </w:rPr>
              <w:t>Reserves</w:t>
            </w:r>
          </w:p>
        </w:tc>
        <w:tc>
          <w:tcPr>
            <w:tcW w:w="892" w:type="dxa"/>
            <w:tcBorders>
              <w:top w:val="nil"/>
              <w:left w:val="nil"/>
              <w:bottom w:val="nil"/>
              <w:right w:val="nil"/>
            </w:tcBorders>
            <w:shd w:val="clear" w:color="auto" w:fill="auto"/>
            <w:noWrap/>
            <w:vAlign w:val="bottom"/>
            <w:hideMark/>
          </w:tcPr>
          <w:p w14:paraId="0C651A9A"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1,367 </w:t>
            </w:r>
          </w:p>
        </w:tc>
        <w:tc>
          <w:tcPr>
            <w:tcW w:w="876" w:type="dxa"/>
            <w:tcBorders>
              <w:top w:val="nil"/>
              <w:left w:val="nil"/>
              <w:bottom w:val="nil"/>
              <w:right w:val="nil"/>
            </w:tcBorders>
            <w:shd w:val="clear" w:color="000000" w:fill="D9D9D9"/>
            <w:noWrap/>
            <w:vAlign w:val="bottom"/>
            <w:hideMark/>
          </w:tcPr>
          <w:p w14:paraId="1DBA32F1"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1,367 </w:t>
            </w:r>
          </w:p>
        </w:tc>
        <w:tc>
          <w:tcPr>
            <w:tcW w:w="883" w:type="dxa"/>
            <w:tcBorders>
              <w:top w:val="nil"/>
              <w:left w:val="nil"/>
              <w:bottom w:val="nil"/>
              <w:right w:val="nil"/>
            </w:tcBorders>
            <w:shd w:val="clear" w:color="auto" w:fill="auto"/>
            <w:noWrap/>
            <w:vAlign w:val="bottom"/>
            <w:hideMark/>
          </w:tcPr>
          <w:p w14:paraId="0B411119"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1,367 </w:t>
            </w:r>
          </w:p>
        </w:tc>
        <w:tc>
          <w:tcPr>
            <w:tcW w:w="883" w:type="dxa"/>
            <w:tcBorders>
              <w:top w:val="nil"/>
              <w:left w:val="nil"/>
              <w:bottom w:val="nil"/>
              <w:right w:val="nil"/>
            </w:tcBorders>
            <w:shd w:val="clear" w:color="auto" w:fill="auto"/>
            <w:noWrap/>
            <w:vAlign w:val="bottom"/>
            <w:hideMark/>
          </w:tcPr>
          <w:p w14:paraId="5A399721"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1,367 </w:t>
            </w:r>
          </w:p>
        </w:tc>
        <w:tc>
          <w:tcPr>
            <w:tcW w:w="883" w:type="dxa"/>
            <w:tcBorders>
              <w:top w:val="nil"/>
              <w:left w:val="nil"/>
              <w:bottom w:val="nil"/>
              <w:right w:val="nil"/>
            </w:tcBorders>
            <w:shd w:val="clear" w:color="auto" w:fill="auto"/>
            <w:noWrap/>
            <w:vAlign w:val="bottom"/>
            <w:hideMark/>
          </w:tcPr>
          <w:p w14:paraId="6E67A12B"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 xml:space="preserve">1,367 </w:t>
            </w:r>
          </w:p>
        </w:tc>
      </w:tr>
      <w:tr w:rsidR="00B8616D" w:rsidRPr="00B8616D" w14:paraId="6C1043C1" w14:textId="77777777" w:rsidTr="00B8616D">
        <w:trPr>
          <w:trHeight w:val="450"/>
        </w:trPr>
        <w:tc>
          <w:tcPr>
            <w:tcW w:w="2963" w:type="dxa"/>
            <w:tcBorders>
              <w:top w:val="nil"/>
              <w:left w:val="nil"/>
              <w:bottom w:val="nil"/>
              <w:right w:val="nil"/>
            </w:tcBorders>
            <w:shd w:val="clear" w:color="auto" w:fill="auto"/>
            <w:vAlign w:val="bottom"/>
            <w:hideMark/>
          </w:tcPr>
          <w:p w14:paraId="21C762A6" w14:textId="77777777" w:rsidR="00B8616D" w:rsidRPr="00B8616D" w:rsidRDefault="00B8616D" w:rsidP="00B8616D">
            <w:pPr>
              <w:spacing w:after="0"/>
              <w:ind w:leftChars="75" w:left="143"/>
              <w:rPr>
                <w:rFonts w:ascii="Arial" w:hAnsi="Arial" w:cs="Arial"/>
                <w:sz w:val="16"/>
                <w:szCs w:val="16"/>
              </w:rPr>
            </w:pPr>
            <w:r w:rsidRPr="00B8616D">
              <w:rPr>
                <w:rFonts w:ascii="Arial" w:hAnsi="Arial" w:cs="Arial"/>
                <w:sz w:val="16"/>
                <w:szCs w:val="16"/>
              </w:rPr>
              <w:t>Retained surpluses or (accumulated deficits)</w:t>
            </w:r>
          </w:p>
        </w:tc>
        <w:tc>
          <w:tcPr>
            <w:tcW w:w="892" w:type="dxa"/>
            <w:tcBorders>
              <w:top w:val="nil"/>
              <w:left w:val="nil"/>
              <w:bottom w:val="single" w:sz="4" w:space="0" w:color="auto"/>
              <w:right w:val="nil"/>
            </w:tcBorders>
            <w:shd w:val="clear" w:color="auto" w:fill="auto"/>
            <w:noWrap/>
            <w:vAlign w:val="bottom"/>
            <w:hideMark/>
          </w:tcPr>
          <w:p w14:paraId="7920417C"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(2,682)</w:t>
            </w:r>
          </w:p>
        </w:tc>
        <w:tc>
          <w:tcPr>
            <w:tcW w:w="876" w:type="dxa"/>
            <w:tcBorders>
              <w:top w:val="nil"/>
              <w:left w:val="nil"/>
              <w:bottom w:val="single" w:sz="4" w:space="0" w:color="auto"/>
              <w:right w:val="nil"/>
            </w:tcBorders>
            <w:shd w:val="clear" w:color="000000" w:fill="D9D9D9"/>
            <w:noWrap/>
            <w:vAlign w:val="bottom"/>
            <w:hideMark/>
          </w:tcPr>
          <w:p w14:paraId="657D2150"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(5,681)</w:t>
            </w:r>
          </w:p>
        </w:tc>
        <w:tc>
          <w:tcPr>
            <w:tcW w:w="883" w:type="dxa"/>
            <w:tcBorders>
              <w:top w:val="nil"/>
              <w:left w:val="nil"/>
              <w:bottom w:val="single" w:sz="4" w:space="0" w:color="auto"/>
              <w:right w:val="nil"/>
            </w:tcBorders>
            <w:shd w:val="clear" w:color="auto" w:fill="auto"/>
            <w:noWrap/>
            <w:vAlign w:val="bottom"/>
            <w:hideMark/>
          </w:tcPr>
          <w:p w14:paraId="0C73F03A"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(8,328)</w:t>
            </w:r>
          </w:p>
        </w:tc>
        <w:tc>
          <w:tcPr>
            <w:tcW w:w="883" w:type="dxa"/>
            <w:tcBorders>
              <w:top w:val="nil"/>
              <w:left w:val="nil"/>
              <w:bottom w:val="single" w:sz="4" w:space="0" w:color="auto"/>
              <w:right w:val="nil"/>
            </w:tcBorders>
            <w:shd w:val="clear" w:color="auto" w:fill="auto"/>
            <w:noWrap/>
            <w:vAlign w:val="bottom"/>
            <w:hideMark/>
          </w:tcPr>
          <w:p w14:paraId="56D3A5B4"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(10,583)</w:t>
            </w:r>
          </w:p>
        </w:tc>
        <w:tc>
          <w:tcPr>
            <w:tcW w:w="883" w:type="dxa"/>
            <w:tcBorders>
              <w:top w:val="nil"/>
              <w:left w:val="nil"/>
              <w:bottom w:val="single" w:sz="4" w:space="0" w:color="auto"/>
              <w:right w:val="nil"/>
            </w:tcBorders>
            <w:shd w:val="clear" w:color="auto" w:fill="auto"/>
            <w:noWrap/>
            <w:vAlign w:val="bottom"/>
            <w:hideMark/>
          </w:tcPr>
          <w:p w14:paraId="1088D2EB" w14:textId="77777777" w:rsidR="00B8616D" w:rsidRPr="00B8616D" w:rsidRDefault="00B8616D" w:rsidP="00B8616D">
            <w:pPr>
              <w:spacing w:after="0"/>
              <w:jc w:val="right"/>
              <w:rPr>
                <w:rFonts w:ascii="Arial" w:hAnsi="Arial" w:cs="Arial"/>
                <w:sz w:val="16"/>
                <w:szCs w:val="16"/>
              </w:rPr>
            </w:pPr>
            <w:r w:rsidRPr="00B8616D">
              <w:rPr>
                <w:rFonts w:ascii="Arial" w:hAnsi="Arial" w:cs="Arial"/>
                <w:sz w:val="16"/>
                <w:szCs w:val="16"/>
              </w:rPr>
              <w:t>(12,779)</w:t>
            </w:r>
          </w:p>
        </w:tc>
      </w:tr>
      <w:tr w:rsidR="00B8616D" w:rsidRPr="00B8616D" w14:paraId="06A928D0" w14:textId="77777777" w:rsidTr="00B8616D">
        <w:trPr>
          <w:trHeight w:val="225"/>
        </w:trPr>
        <w:tc>
          <w:tcPr>
            <w:tcW w:w="2963" w:type="dxa"/>
            <w:tcBorders>
              <w:top w:val="nil"/>
              <w:left w:val="nil"/>
              <w:bottom w:val="single" w:sz="4" w:space="0" w:color="auto"/>
              <w:right w:val="nil"/>
            </w:tcBorders>
            <w:shd w:val="clear" w:color="auto" w:fill="auto"/>
            <w:noWrap/>
            <w:vAlign w:val="bottom"/>
            <w:hideMark/>
          </w:tcPr>
          <w:p w14:paraId="470440C5" w14:textId="77777777" w:rsidR="00B8616D" w:rsidRPr="00B8616D" w:rsidRDefault="00B8616D" w:rsidP="00B8616D">
            <w:pPr>
              <w:spacing w:after="0"/>
              <w:ind w:firstLineChars="100" w:firstLine="160"/>
              <w:rPr>
                <w:rFonts w:ascii="Arial" w:hAnsi="Arial" w:cs="Arial"/>
                <w:b/>
                <w:bCs/>
                <w:sz w:val="16"/>
                <w:szCs w:val="16"/>
              </w:rPr>
            </w:pPr>
            <w:r w:rsidRPr="00B8616D">
              <w:rPr>
                <w:rFonts w:ascii="Arial" w:hAnsi="Arial" w:cs="Arial"/>
                <w:b/>
                <w:bCs/>
                <w:sz w:val="16"/>
                <w:szCs w:val="16"/>
              </w:rPr>
              <w:t>Total equity</w:t>
            </w:r>
          </w:p>
        </w:tc>
        <w:tc>
          <w:tcPr>
            <w:tcW w:w="892" w:type="dxa"/>
            <w:tcBorders>
              <w:top w:val="nil"/>
              <w:left w:val="nil"/>
              <w:bottom w:val="single" w:sz="4" w:space="0" w:color="auto"/>
              <w:right w:val="nil"/>
            </w:tcBorders>
            <w:shd w:val="clear" w:color="auto" w:fill="auto"/>
            <w:noWrap/>
            <w:vAlign w:val="bottom"/>
            <w:hideMark/>
          </w:tcPr>
          <w:p w14:paraId="09359093"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15,886 </w:t>
            </w:r>
          </w:p>
        </w:tc>
        <w:tc>
          <w:tcPr>
            <w:tcW w:w="876" w:type="dxa"/>
            <w:tcBorders>
              <w:top w:val="nil"/>
              <w:left w:val="nil"/>
              <w:bottom w:val="single" w:sz="4" w:space="0" w:color="auto"/>
              <w:right w:val="nil"/>
            </w:tcBorders>
            <w:shd w:val="clear" w:color="000000" w:fill="D9D9D9"/>
            <w:noWrap/>
            <w:vAlign w:val="bottom"/>
            <w:hideMark/>
          </w:tcPr>
          <w:p w14:paraId="66F8040F"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13,072 </w:t>
            </w:r>
          </w:p>
        </w:tc>
        <w:tc>
          <w:tcPr>
            <w:tcW w:w="883" w:type="dxa"/>
            <w:tcBorders>
              <w:top w:val="nil"/>
              <w:left w:val="nil"/>
              <w:bottom w:val="single" w:sz="4" w:space="0" w:color="auto"/>
              <w:right w:val="nil"/>
            </w:tcBorders>
            <w:shd w:val="clear" w:color="auto" w:fill="auto"/>
            <w:noWrap/>
            <w:vAlign w:val="bottom"/>
            <w:hideMark/>
          </w:tcPr>
          <w:p w14:paraId="53C0972E"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10,612 </w:t>
            </w:r>
          </w:p>
        </w:tc>
        <w:tc>
          <w:tcPr>
            <w:tcW w:w="883" w:type="dxa"/>
            <w:tcBorders>
              <w:top w:val="nil"/>
              <w:left w:val="nil"/>
              <w:bottom w:val="single" w:sz="4" w:space="0" w:color="auto"/>
              <w:right w:val="nil"/>
            </w:tcBorders>
            <w:shd w:val="clear" w:color="auto" w:fill="auto"/>
            <w:noWrap/>
            <w:vAlign w:val="bottom"/>
            <w:hideMark/>
          </w:tcPr>
          <w:p w14:paraId="1E74907C"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8,545 </w:t>
            </w:r>
          </w:p>
        </w:tc>
        <w:tc>
          <w:tcPr>
            <w:tcW w:w="883" w:type="dxa"/>
            <w:tcBorders>
              <w:top w:val="nil"/>
              <w:left w:val="nil"/>
              <w:bottom w:val="single" w:sz="4" w:space="0" w:color="auto"/>
              <w:right w:val="nil"/>
            </w:tcBorders>
            <w:shd w:val="clear" w:color="auto" w:fill="auto"/>
            <w:noWrap/>
            <w:vAlign w:val="bottom"/>
            <w:hideMark/>
          </w:tcPr>
          <w:p w14:paraId="78D7B78A" w14:textId="77777777" w:rsidR="00B8616D" w:rsidRPr="00B8616D" w:rsidRDefault="00B8616D" w:rsidP="00B8616D">
            <w:pPr>
              <w:spacing w:after="0"/>
              <w:jc w:val="right"/>
              <w:rPr>
                <w:rFonts w:ascii="Arial" w:hAnsi="Arial" w:cs="Arial"/>
                <w:b/>
                <w:bCs/>
                <w:sz w:val="16"/>
                <w:szCs w:val="16"/>
              </w:rPr>
            </w:pPr>
            <w:r w:rsidRPr="00B8616D">
              <w:rPr>
                <w:rFonts w:ascii="Arial" w:hAnsi="Arial" w:cs="Arial"/>
                <w:b/>
                <w:bCs/>
                <w:sz w:val="16"/>
                <w:szCs w:val="16"/>
              </w:rPr>
              <w:t xml:space="preserve">6,539 </w:t>
            </w:r>
          </w:p>
        </w:tc>
      </w:tr>
    </w:tbl>
    <w:p w14:paraId="0E58EF70" w14:textId="77777777" w:rsidR="00DC1067" w:rsidRDefault="00DC1067" w:rsidP="00DC1067">
      <w:pPr>
        <w:pStyle w:val="FootnoteText"/>
        <w:spacing w:before="120"/>
      </w:pPr>
      <w:r w:rsidRPr="00DC1067">
        <w:t>Prepared on Australian Accounting Standards basis.</w:t>
      </w:r>
    </w:p>
    <w:p w14:paraId="3338E560" w14:textId="6D15C6B8" w:rsidR="000A380F" w:rsidRDefault="000A380F" w:rsidP="00DC1067">
      <w:pPr>
        <w:pStyle w:val="FootnoteText"/>
        <w:spacing w:before="120"/>
      </w:pPr>
      <w:r>
        <w:br w:type="page"/>
      </w:r>
    </w:p>
    <w:p w14:paraId="59C186CC" w14:textId="1372B93C" w:rsidR="00B47702" w:rsidRDefault="00A52B29" w:rsidP="00B47702">
      <w:pPr>
        <w:keepNext/>
        <w:rPr>
          <w:rFonts w:ascii="Arial" w:hAnsi="Arial" w:cs="Arial"/>
          <w:b/>
          <w:sz w:val="20"/>
          <w:szCs w:val="18"/>
          <w:lang w:eastAsia="en-US"/>
        </w:rPr>
      </w:pPr>
      <w:r w:rsidRPr="00A52B29">
        <w:rPr>
          <w:rFonts w:ascii="Arial" w:hAnsi="Arial"/>
          <w:b/>
          <w:color w:val="auto"/>
          <w:sz w:val="20"/>
        </w:rPr>
        <w:lastRenderedPageBreak/>
        <w:t>Table 3.3: Departmental statement of changes in equity — summa</w:t>
      </w:r>
      <w:r w:rsidR="00BD2155">
        <w:rPr>
          <w:rFonts w:ascii="Arial" w:hAnsi="Arial"/>
          <w:b/>
          <w:color w:val="auto"/>
          <w:sz w:val="20"/>
        </w:rPr>
        <w:t>ry of movement (Budget year 2023–24</w:t>
      </w:r>
      <w:r w:rsidRPr="00A52B29">
        <w:rPr>
          <w:rFonts w:ascii="Arial" w:hAnsi="Arial"/>
          <w:b/>
          <w:color w:val="auto"/>
          <w:sz w:val="20"/>
        </w:rPr>
        <w:t>)</w:t>
      </w:r>
    </w:p>
    <w:tbl>
      <w:tblPr>
        <w:tblW w:w="7380" w:type="dxa"/>
        <w:tblLayout w:type="fixed"/>
        <w:tblLook w:val="04A0" w:firstRow="1" w:lastRow="0" w:firstColumn="1" w:lastColumn="0" w:noHBand="0" w:noVBand="1"/>
      </w:tblPr>
      <w:tblGrid>
        <w:gridCol w:w="2860"/>
        <w:gridCol w:w="1060"/>
        <w:gridCol w:w="1200"/>
        <w:gridCol w:w="1200"/>
        <w:gridCol w:w="1060"/>
      </w:tblGrid>
      <w:tr w:rsidR="0032536D" w:rsidRPr="0032536D" w14:paraId="2CC27E3D" w14:textId="77777777" w:rsidTr="0032536D">
        <w:trPr>
          <w:trHeight w:val="765"/>
        </w:trPr>
        <w:tc>
          <w:tcPr>
            <w:tcW w:w="2860" w:type="dxa"/>
            <w:tcBorders>
              <w:top w:val="single" w:sz="4" w:space="0" w:color="auto"/>
              <w:left w:val="nil"/>
              <w:bottom w:val="nil"/>
              <w:right w:val="nil"/>
            </w:tcBorders>
            <w:shd w:val="clear" w:color="auto" w:fill="auto"/>
            <w:hideMark/>
          </w:tcPr>
          <w:p w14:paraId="253452B9" w14:textId="77777777" w:rsidR="0032536D" w:rsidRPr="0032536D" w:rsidRDefault="0032536D" w:rsidP="0032536D">
            <w:pPr>
              <w:spacing w:after="0"/>
              <w:jc w:val="right"/>
              <w:rPr>
                <w:rFonts w:ascii="Arial" w:hAnsi="Arial" w:cs="Arial"/>
                <w:sz w:val="16"/>
                <w:szCs w:val="16"/>
              </w:rPr>
            </w:pPr>
            <w:r w:rsidRPr="0032536D">
              <w:rPr>
                <w:rFonts w:ascii="Arial" w:hAnsi="Arial" w:cs="Arial"/>
                <w:sz w:val="16"/>
                <w:szCs w:val="16"/>
              </w:rPr>
              <w:t> </w:t>
            </w:r>
          </w:p>
        </w:tc>
        <w:tc>
          <w:tcPr>
            <w:tcW w:w="1060" w:type="dxa"/>
            <w:tcBorders>
              <w:top w:val="single" w:sz="4" w:space="0" w:color="auto"/>
              <w:left w:val="nil"/>
              <w:bottom w:val="single" w:sz="4" w:space="0" w:color="auto"/>
              <w:right w:val="nil"/>
            </w:tcBorders>
            <w:shd w:val="clear" w:color="auto" w:fill="auto"/>
            <w:hideMark/>
          </w:tcPr>
          <w:p w14:paraId="635645AB" w14:textId="77777777" w:rsidR="0032536D" w:rsidRPr="0032536D" w:rsidRDefault="0032536D" w:rsidP="0032536D">
            <w:pPr>
              <w:spacing w:after="0"/>
              <w:jc w:val="right"/>
              <w:rPr>
                <w:rFonts w:ascii="Arial" w:hAnsi="Arial" w:cs="Arial"/>
                <w:b/>
                <w:bCs/>
                <w:sz w:val="16"/>
                <w:szCs w:val="16"/>
              </w:rPr>
            </w:pPr>
            <w:r w:rsidRPr="0032536D">
              <w:rPr>
                <w:rFonts w:ascii="Arial" w:hAnsi="Arial" w:cs="Arial"/>
                <w:b/>
                <w:bCs/>
                <w:sz w:val="16"/>
                <w:szCs w:val="16"/>
              </w:rPr>
              <w:t xml:space="preserve">Retained earnings </w:t>
            </w:r>
            <w:r w:rsidRPr="0032536D">
              <w:rPr>
                <w:rFonts w:ascii="Arial" w:hAnsi="Arial" w:cs="Arial"/>
                <w:b/>
                <w:bCs/>
                <w:sz w:val="16"/>
                <w:szCs w:val="16"/>
              </w:rPr>
              <w:br/>
            </w:r>
            <w:r w:rsidRPr="0032536D">
              <w:rPr>
                <w:rFonts w:ascii="Arial" w:hAnsi="Arial" w:cs="Arial"/>
                <w:b/>
                <w:bCs/>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7FBB8F61" w14:textId="77777777" w:rsidR="0032536D" w:rsidRPr="0032536D" w:rsidRDefault="0032536D" w:rsidP="0032536D">
            <w:pPr>
              <w:spacing w:after="0"/>
              <w:jc w:val="right"/>
              <w:rPr>
                <w:rFonts w:ascii="Arial" w:hAnsi="Arial" w:cs="Arial"/>
                <w:b/>
                <w:bCs/>
                <w:sz w:val="16"/>
                <w:szCs w:val="16"/>
              </w:rPr>
            </w:pPr>
            <w:r w:rsidRPr="0032536D">
              <w:rPr>
                <w:rFonts w:ascii="Arial" w:hAnsi="Arial" w:cs="Arial"/>
                <w:b/>
                <w:bCs/>
                <w:sz w:val="16"/>
                <w:szCs w:val="16"/>
              </w:rPr>
              <w:t xml:space="preserve">Asset revaluation reserve </w:t>
            </w:r>
            <w:r w:rsidRPr="0032536D">
              <w:rPr>
                <w:rFonts w:ascii="Arial" w:hAnsi="Arial" w:cs="Arial"/>
                <w:b/>
                <w:bCs/>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59786968" w14:textId="77777777" w:rsidR="0032536D" w:rsidRPr="0032536D" w:rsidRDefault="0032536D" w:rsidP="0032536D">
            <w:pPr>
              <w:spacing w:after="0"/>
              <w:jc w:val="right"/>
              <w:rPr>
                <w:rFonts w:ascii="Arial" w:hAnsi="Arial" w:cs="Arial"/>
                <w:b/>
                <w:bCs/>
                <w:sz w:val="16"/>
                <w:szCs w:val="16"/>
              </w:rPr>
            </w:pPr>
            <w:r w:rsidRPr="0032536D">
              <w:rPr>
                <w:rFonts w:ascii="Arial" w:hAnsi="Arial" w:cs="Arial"/>
                <w:b/>
                <w:bCs/>
                <w:sz w:val="16"/>
                <w:szCs w:val="16"/>
              </w:rPr>
              <w:t>Contributed equity/</w:t>
            </w:r>
            <w:r w:rsidRPr="0032536D">
              <w:rPr>
                <w:rFonts w:ascii="Arial" w:hAnsi="Arial" w:cs="Arial"/>
                <w:b/>
                <w:bCs/>
                <w:sz w:val="16"/>
                <w:szCs w:val="16"/>
              </w:rPr>
              <w:br/>
              <w:t xml:space="preserve">capital </w:t>
            </w:r>
            <w:r w:rsidRPr="0032536D">
              <w:rPr>
                <w:rFonts w:ascii="Arial" w:hAnsi="Arial" w:cs="Arial"/>
                <w:b/>
                <w:bCs/>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7B70ADA5" w14:textId="77777777" w:rsidR="0032536D" w:rsidRPr="0032536D" w:rsidRDefault="0032536D" w:rsidP="0032536D">
            <w:pPr>
              <w:spacing w:after="0"/>
              <w:jc w:val="right"/>
              <w:rPr>
                <w:rFonts w:ascii="Arial" w:hAnsi="Arial" w:cs="Arial"/>
                <w:b/>
                <w:bCs/>
                <w:sz w:val="16"/>
                <w:szCs w:val="16"/>
              </w:rPr>
            </w:pPr>
            <w:r w:rsidRPr="0032536D">
              <w:rPr>
                <w:rFonts w:ascii="Arial" w:hAnsi="Arial" w:cs="Arial"/>
                <w:b/>
                <w:bCs/>
                <w:sz w:val="16"/>
                <w:szCs w:val="16"/>
              </w:rPr>
              <w:t xml:space="preserve">Total </w:t>
            </w:r>
            <w:r w:rsidRPr="0032536D">
              <w:rPr>
                <w:rFonts w:ascii="Arial" w:hAnsi="Arial" w:cs="Arial"/>
                <w:b/>
                <w:bCs/>
                <w:sz w:val="16"/>
                <w:szCs w:val="16"/>
              </w:rPr>
              <w:br/>
              <w:t xml:space="preserve">equity </w:t>
            </w:r>
            <w:r w:rsidRPr="0032536D">
              <w:rPr>
                <w:rFonts w:ascii="Arial" w:hAnsi="Arial" w:cs="Arial"/>
                <w:b/>
                <w:bCs/>
                <w:sz w:val="16"/>
                <w:szCs w:val="16"/>
              </w:rPr>
              <w:br/>
            </w:r>
            <w:r w:rsidRPr="0032536D">
              <w:rPr>
                <w:rFonts w:ascii="Arial" w:hAnsi="Arial" w:cs="Arial"/>
                <w:b/>
                <w:bCs/>
                <w:sz w:val="16"/>
                <w:szCs w:val="16"/>
              </w:rPr>
              <w:br/>
              <w:t>$'000</w:t>
            </w:r>
          </w:p>
        </w:tc>
      </w:tr>
      <w:tr w:rsidR="0032536D" w:rsidRPr="0032536D" w14:paraId="5B4375A8" w14:textId="77777777" w:rsidTr="0032536D">
        <w:trPr>
          <w:trHeight w:val="225"/>
        </w:trPr>
        <w:tc>
          <w:tcPr>
            <w:tcW w:w="2860" w:type="dxa"/>
            <w:tcBorders>
              <w:top w:val="nil"/>
              <w:left w:val="nil"/>
              <w:bottom w:val="nil"/>
              <w:right w:val="nil"/>
            </w:tcBorders>
            <w:shd w:val="clear" w:color="auto" w:fill="auto"/>
            <w:noWrap/>
            <w:vAlign w:val="bottom"/>
            <w:hideMark/>
          </w:tcPr>
          <w:p w14:paraId="3C71C832" w14:textId="77777777" w:rsidR="0032536D" w:rsidRPr="0032536D" w:rsidRDefault="0032536D" w:rsidP="0032536D">
            <w:pPr>
              <w:spacing w:after="0"/>
              <w:rPr>
                <w:rFonts w:ascii="Arial" w:hAnsi="Arial" w:cs="Arial"/>
                <w:b/>
                <w:bCs/>
                <w:sz w:val="16"/>
                <w:szCs w:val="16"/>
              </w:rPr>
            </w:pPr>
            <w:r w:rsidRPr="0032536D">
              <w:rPr>
                <w:rFonts w:ascii="Arial" w:hAnsi="Arial" w:cs="Arial"/>
                <w:b/>
                <w:bCs/>
                <w:sz w:val="16"/>
                <w:szCs w:val="16"/>
              </w:rPr>
              <w:t>Opening balance as at 1 July 2023</w:t>
            </w:r>
          </w:p>
        </w:tc>
        <w:tc>
          <w:tcPr>
            <w:tcW w:w="1060" w:type="dxa"/>
            <w:tcBorders>
              <w:top w:val="nil"/>
              <w:left w:val="nil"/>
              <w:bottom w:val="nil"/>
              <w:right w:val="nil"/>
            </w:tcBorders>
            <w:shd w:val="clear" w:color="auto" w:fill="auto"/>
            <w:noWrap/>
            <w:vAlign w:val="bottom"/>
            <w:hideMark/>
          </w:tcPr>
          <w:p w14:paraId="7419FE6D" w14:textId="77777777" w:rsidR="0032536D" w:rsidRPr="0032536D" w:rsidRDefault="0032536D" w:rsidP="0032536D">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24429AC1" w14:textId="77777777" w:rsidR="0032536D" w:rsidRPr="0032536D" w:rsidRDefault="0032536D" w:rsidP="0032536D">
            <w:pPr>
              <w:spacing w:after="0"/>
              <w:jc w:val="right"/>
              <w:rPr>
                <w:rFonts w:ascii="Times New Roman" w:hAnsi="Times New Roman"/>
                <w:color w:val="auto"/>
                <w:sz w:val="20"/>
              </w:rPr>
            </w:pPr>
          </w:p>
        </w:tc>
        <w:tc>
          <w:tcPr>
            <w:tcW w:w="1200" w:type="dxa"/>
            <w:tcBorders>
              <w:top w:val="nil"/>
              <w:left w:val="nil"/>
              <w:bottom w:val="nil"/>
              <w:right w:val="nil"/>
            </w:tcBorders>
            <w:shd w:val="clear" w:color="auto" w:fill="auto"/>
            <w:noWrap/>
            <w:vAlign w:val="bottom"/>
            <w:hideMark/>
          </w:tcPr>
          <w:p w14:paraId="2A379B08" w14:textId="77777777" w:rsidR="0032536D" w:rsidRPr="0032536D" w:rsidRDefault="0032536D" w:rsidP="0032536D">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32434F3C" w14:textId="77777777" w:rsidR="0032536D" w:rsidRPr="0032536D" w:rsidRDefault="0032536D" w:rsidP="0032536D">
            <w:pPr>
              <w:spacing w:after="0"/>
              <w:jc w:val="right"/>
              <w:rPr>
                <w:rFonts w:ascii="Times New Roman" w:hAnsi="Times New Roman"/>
                <w:color w:val="auto"/>
                <w:sz w:val="20"/>
              </w:rPr>
            </w:pPr>
          </w:p>
        </w:tc>
      </w:tr>
      <w:tr w:rsidR="0032536D" w:rsidRPr="0032536D" w14:paraId="420CD711" w14:textId="77777777" w:rsidTr="0032536D">
        <w:trPr>
          <w:trHeight w:val="525"/>
        </w:trPr>
        <w:tc>
          <w:tcPr>
            <w:tcW w:w="2860" w:type="dxa"/>
            <w:tcBorders>
              <w:top w:val="nil"/>
              <w:left w:val="nil"/>
              <w:bottom w:val="nil"/>
              <w:right w:val="nil"/>
            </w:tcBorders>
            <w:shd w:val="clear" w:color="auto" w:fill="auto"/>
            <w:vAlign w:val="bottom"/>
            <w:hideMark/>
          </w:tcPr>
          <w:p w14:paraId="46058519" w14:textId="77777777" w:rsidR="0032536D" w:rsidRPr="0032536D" w:rsidRDefault="0032536D" w:rsidP="0032536D">
            <w:pPr>
              <w:spacing w:after="0"/>
              <w:ind w:leftChars="75" w:left="143"/>
              <w:rPr>
                <w:rFonts w:ascii="Arial" w:hAnsi="Arial" w:cs="Arial"/>
                <w:sz w:val="16"/>
                <w:szCs w:val="16"/>
              </w:rPr>
            </w:pPr>
            <w:r w:rsidRPr="0032536D">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5CCFEC78" w14:textId="77777777" w:rsidR="0032536D" w:rsidRPr="0032536D" w:rsidRDefault="0032536D" w:rsidP="0032536D">
            <w:pPr>
              <w:spacing w:after="0"/>
              <w:jc w:val="right"/>
              <w:rPr>
                <w:rFonts w:ascii="Arial" w:hAnsi="Arial" w:cs="Arial"/>
                <w:sz w:val="16"/>
                <w:szCs w:val="16"/>
              </w:rPr>
            </w:pPr>
            <w:r w:rsidRPr="0032536D">
              <w:rPr>
                <w:rFonts w:ascii="Arial" w:hAnsi="Arial" w:cs="Arial"/>
                <w:sz w:val="16"/>
                <w:szCs w:val="16"/>
              </w:rPr>
              <w:t>(2,682)</w:t>
            </w:r>
          </w:p>
        </w:tc>
        <w:tc>
          <w:tcPr>
            <w:tcW w:w="1200" w:type="dxa"/>
            <w:tcBorders>
              <w:top w:val="nil"/>
              <w:left w:val="nil"/>
              <w:bottom w:val="nil"/>
              <w:right w:val="nil"/>
            </w:tcBorders>
            <w:shd w:val="clear" w:color="auto" w:fill="auto"/>
            <w:noWrap/>
            <w:vAlign w:val="bottom"/>
            <w:hideMark/>
          </w:tcPr>
          <w:p w14:paraId="2FAF9003" w14:textId="77777777" w:rsidR="0032536D" w:rsidRPr="0032536D" w:rsidRDefault="0032536D" w:rsidP="0032536D">
            <w:pPr>
              <w:spacing w:after="0"/>
              <w:jc w:val="right"/>
              <w:rPr>
                <w:rFonts w:ascii="Arial" w:hAnsi="Arial" w:cs="Arial"/>
                <w:sz w:val="16"/>
                <w:szCs w:val="16"/>
              </w:rPr>
            </w:pPr>
            <w:r w:rsidRPr="0032536D">
              <w:rPr>
                <w:rFonts w:ascii="Arial" w:hAnsi="Arial" w:cs="Arial"/>
                <w:sz w:val="16"/>
                <w:szCs w:val="16"/>
              </w:rPr>
              <w:t>1,367</w:t>
            </w:r>
          </w:p>
        </w:tc>
        <w:tc>
          <w:tcPr>
            <w:tcW w:w="1200" w:type="dxa"/>
            <w:tcBorders>
              <w:top w:val="nil"/>
              <w:left w:val="nil"/>
              <w:bottom w:val="nil"/>
              <w:right w:val="nil"/>
            </w:tcBorders>
            <w:shd w:val="clear" w:color="auto" w:fill="auto"/>
            <w:noWrap/>
            <w:vAlign w:val="bottom"/>
            <w:hideMark/>
          </w:tcPr>
          <w:p w14:paraId="7D348373" w14:textId="77777777" w:rsidR="0032536D" w:rsidRPr="0032536D" w:rsidRDefault="0032536D" w:rsidP="0032536D">
            <w:pPr>
              <w:spacing w:after="0"/>
              <w:jc w:val="right"/>
              <w:rPr>
                <w:rFonts w:ascii="Arial" w:hAnsi="Arial" w:cs="Arial"/>
                <w:sz w:val="16"/>
                <w:szCs w:val="16"/>
              </w:rPr>
            </w:pPr>
            <w:r w:rsidRPr="0032536D">
              <w:rPr>
                <w:rFonts w:ascii="Arial" w:hAnsi="Arial" w:cs="Arial"/>
                <w:sz w:val="16"/>
                <w:szCs w:val="16"/>
              </w:rPr>
              <w:t>17,201</w:t>
            </w:r>
          </w:p>
        </w:tc>
        <w:tc>
          <w:tcPr>
            <w:tcW w:w="1060" w:type="dxa"/>
            <w:tcBorders>
              <w:top w:val="nil"/>
              <w:left w:val="nil"/>
              <w:bottom w:val="nil"/>
              <w:right w:val="nil"/>
            </w:tcBorders>
            <w:shd w:val="clear" w:color="auto" w:fill="auto"/>
            <w:noWrap/>
            <w:vAlign w:val="bottom"/>
            <w:hideMark/>
          </w:tcPr>
          <w:p w14:paraId="62A3D41A" w14:textId="77777777" w:rsidR="0032536D" w:rsidRPr="0032536D" w:rsidRDefault="0032536D" w:rsidP="0032536D">
            <w:pPr>
              <w:spacing w:after="0"/>
              <w:jc w:val="right"/>
              <w:rPr>
                <w:rFonts w:ascii="Arial" w:hAnsi="Arial" w:cs="Arial"/>
                <w:b/>
                <w:bCs/>
                <w:sz w:val="16"/>
                <w:szCs w:val="16"/>
              </w:rPr>
            </w:pPr>
            <w:r w:rsidRPr="0032536D">
              <w:rPr>
                <w:rFonts w:ascii="Arial" w:hAnsi="Arial" w:cs="Arial"/>
                <w:b/>
                <w:bCs/>
                <w:sz w:val="16"/>
                <w:szCs w:val="16"/>
              </w:rPr>
              <w:t>15,886</w:t>
            </w:r>
          </w:p>
        </w:tc>
      </w:tr>
      <w:tr w:rsidR="0032536D" w:rsidRPr="0032536D" w14:paraId="626C4650" w14:textId="77777777" w:rsidTr="0032536D">
        <w:trPr>
          <w:trHeight w:val="300"/>
        </w:trPr>
        <w:tc>
          <w:tcPr>
            <w:tcW w:w="2860" w:type="dxa"/>
            <w:tcBorders>
              <w:top w:val="nil"/>
              <w:left w:val="nil"/>
              <w:bottom w:val="nil"/>
              <w:right w:val="nil"/>
            </w:tcBorders>
            <w:shd w:val="clear" w:color="auto" w:fill="auto"/>
            <w:noWrap/>
            <w:vAlign w:val="bottom"/>
            <w:hideMark/>
          </w:tcPr>
          <w:p w14:paraId="01A3770E" w14:textId="77777777" w:rsidR="0032536D" w:rsidRPr="0032536D" w:rsidRDefault="0032536D" w:rsidP="0032536D">
            <w:pPr>
              <w:spacing w:after="0"/>
              <w:ind w:leftChars="75" w:left="143"/>
              <w:rPr>
                <w:rFonts w:ascii="Arial" w:hAnsi="Arial" w:cs="Arial"/>
                <w:color w:val="auto"/>
                <w:sz w:val="16"/>
                <w:szCs w:val="16"/>
              </w:rPr>
            </w:pPr>
            <w:r w:rsidRPr="0032536D">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771AF953" w14:textId="77777777" w:rsidR="0032536D" w:rsidRPr="0032536D" w:rsidRDefault="0032536D" w:rsidP="0032536D">
            <w:pPr>
              <w:spacing w:after="0"/>
              <w:jc w:val="right"/>
              <w:rPr>
                <w:rFonts w:ascii="Arial" w:hAnsi="Arial" w:cs="Arial"/>
                <w:color w:val="auto"/>
                <w:sz w:val="16"/>
                <w:szCs w:val="16"/>
              </w:rPr>
            </w:pPr>
            <w:r w:rsidRPr="0032536D">
              <w:rPr>
                <w:rFonts w:ascii="Arial" w:hAnsi="Arial" w:cs="Arial"/>
                <w:color w:val="auto"/>
                <w:sz w:val="16"/>
                <w:szCs w:val="16"/>
              </w:rPr>
              <w:t>(2,999)</w:t>
            </w:r>
          </w:p>
        </w:tc>
        <w:tc>
          <w:tcPr>
            <w:tcW w:w="1200" w:type="dxa"/>
            <w:tcBorders>
              <w:top w:val="nil"/>
              <w:left w:val="nil"/>
              <w:bottom w:val="nil"/>
              <w:right w:val="nil"/>
            </w:tcBorders>
            <w:shd w:val="clear" w:color="auto" w:fill="auto"/>
            <w:noWrap/>
            <w:vAlign w:val="bottom"/>
            <w:hideMark/>
          </w:tcPr>
          <w:p w14:paraId="60DBC98E" w14:textId="77777777" w:rsidR="0032536D" w:rsidRPr="0032536D" w:rsidRDefault="0032536D" w:rsidP="0032536D">
            <w:pPr>
              <w:spacing w:after="0"/>
              <w:jc w:val="right"/>
              <w:rPr>
                <w:rFonts w:ascii="Arial" w:hAnsi="Arial" w:cs="Arial"/>
                <w:color w:val="auto"/>
                <w:sz w:val="16"/>
                <w:szCs w:val="16"/>
              </w:rPr>
            </w:pPr>
            <w:r w:rsidRPr="0032536D">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6AD0413F" w14:textId="77777777" w:rsidR="0032536D" w:rsidRPr="0032536D" w:rsidRDefault="0032536D" w:rsidP="0032536D">
            <w:pPr>
              <w:spacing w:after="0"/>
              <w:jc w:val="right"/>
              <w:rPr>
                <w:rFonts w:ascii="Arial" w:hAnsi="Arial" w:cs="Arial"/>
                <w:color w:val="auto"/>
                <w:sz w:val="16"/>
                <w:szCs w:val="16"/>
              </w:rPr>
            </w:pPr>
            <w:r w:rsidRPr="0032536D">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526406F8" w14:textId="77777777" w:rsidR="0032536D" w:rsidRPr="0032536D" w:rsidRDefault="0032536D" w:rsidP="0032536D">
            <w:pPr>
              <w:spacing w:after="0"/>
              <w:jc w:val="right"/>
              <w:rPr>
                <w:rFonts w:ascii="Arial" w:hAnsi="Arial" w:cs="Arial"/>
                <w:b/>
                <w:bCs/>
                <w:sz w:val="16"/>
                <w:szCs w:val="16"/>
              </w:rPr>
            </w:pPr>
            <w:r w:rsidRPr="0032536D">
              <w:rPr>
                <w:rFonts w:ascii="Arial" w:hAnsi="Arial" w:cs="Arial"/>
                <w:b/>
                <w:bCs/>
                <w:sz w:val="16"/>
                <w:szCs w:val="16"/>
              </w:rPr>
              <w:t>(2,999)</w:t>
            </w:r>
          </w:p>
        </w:tc>
      </w:tr>
      <w:tr w:rsidR="0032536D" w:rsidRPr="0032536D" w14:paraId="5F7992CD" w14:textId="77777777" w:rsidTr="0032536D">
        <w:trPr>
          <w:trHeight w:val="300"/>
        </w:trPr>
        <w:tc>
          <w:tcPr>
            <w:tcW w:w="2860" w:type="dxa"/>
            <w:tcBorders>
              <w:top w:val="nil"/>
              <w:left w:val="nil"/>
              <w:bottom w:val="nil"/>
              <w:right w:val="nil"/>
            </w:tcBorders>
            <w:shd w:val="clear" w:color="000000" w:fill="FFFFFF"/>
            <w:noWrap/>
            <w:vAlign w:val="bottom"/>
            <w:hideMark/>
          </w:tcPr>
          <w:p w14:paraId="6ED24C51" w14:textId="77777777" w:rsidR="0032536D" w:rsidRPr="0032536D" w:rsidRDefault="0032536D" w:rsidP="0032536D">
            <w:pPr>
              <w:spacing w:after="0"/>
              <w:ind w:leftChars="75" w:left="143"/>
              <w:rPr>
                <w:rFonts w:ascii="Arial" w:hAnsi="Arial" w:cs="Arial"/>
                <w:color w:val="auto"/>
                <w:sz w:val="16"/>
                <w:szCs w:val="16"/>
              </w:rPr>
            </w:pPr>
            <w:r w:rsidRPr="0032536D">
              <w:rPr>
                <w:rFonts w:ascii="Arial" w:hAnsi="Arial" w:cs="Arial"/>
                <w:color w:val="auto"/>
                <w:sz w:val="16"/>
                <w:szCs w:val="16"/>
              </w:rPr>
              <w:t>Capital budget - Bill 1 (DCB)</w:t>
            </w:r>
          </w:p>
        </w:tc>
        <w:tc>
          <w:tcPr>
            <w:tcW w:w="1060" w:type="dxa"/>
            <w:tcBorders>
              <w:top w:val="nil"/>
              <w:left w:val="nil"/>
              <w:bottom w:val="nil"/>
              <w:right w:val="nil"/>
            </w:tcBorders>
            <w:shd w:val="clear" w:color="auto" w:fill="auto"/>
            <w:noWrap/>
            <w:vAlign w:val="bottom"/>
            <w:hideMark/>
          </w:tcPr>
          <w:p w14:paraId="14C6B6CA" w14:textId="77777777" w:rsidR="0032536D" w:rsidRPr="0032536D" w:rsidRDefault="0032536D" w:rsidP="0032536D">
            <w:pPr>
              <w:spacing w:after="0"/>
              <w:jc w:val="right"/>
              <w:rPr>
                <w:rFonts w:ascii="Arial" w:hAnsi="Arial" w:cs="Arial"/>
                <w:sz w:val="16"/>
                <w:szCs w:val="16"/>
              </w:rPr>
            </w:pPr>
            <w:r w:rsidRPr="0032536D">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265F247F" w14:textId="77777777" w:rsidR="0032536D" w:rsidRPr="0032536D" w:rsidRDefault="0032536D" w:rsidP="0032536D">
            <w:pPr>
              <w:spacing w:after="0"/>
              <w:jc w:val="right"/>
              <w:rPr>
                <w:rFonts w:ascii="Arial" w:hAnsi="Arial" w:cs="Arial"/>
                <w:sz w:val="16"/>
                <w:szCs w:val="16"/>
              </w:rPr>
            </w:pPr>
            <w:r w:rsidRPr="0032536D">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2B07F00F" w14:textId="77777777" w:rsidR="0032536D" w:rsidRPr="0032536D" w:rsidRDefault="0032536D" w:rsidP="0032536D">
            <w:pPr>
              <w:spacing w:after="0"/>
              <w:jc w:val="right"/>
              <w:rPr>
                <w:rFonts w:ascii="Arial" w:hAnsi="Arial" w:cs="Arial"/>
                <w:sz w:val="16"/>
                <w:szCs w:val="16"/>
              </w:rPr>
            </w:pPr>
            <w:r w:rsidRPr="0032536D">
              <w:rPr>
                <w:rFonts w:ascii="Arial" w:hAnsi="Arial" w:cs="Arial"/>
                <w:sz w:val="16"/>
                <w:szCs w:val="16"/>
              </w:rPr>
              <w:t>185</w:t>
            </w:r>
          </w:p>
        </w:tc>
        <w:tc>
          <w:tcPr>
            <w:tcW w:w="1060" w:type="dxa"/>
            <w:tcBorders>
              <w:top w:val="nil"/>
              <w:left w:val="nil"/>
              <w:bottom w:val="nil"/>
              <w:right w:val="nil"/>
            </w:tcBorders>
            <w:shd w:val="clear" w:color="auto" w:fill="auto"/>
            <w:noWrap/>
            <w:vAlign w:val="bottom"/>
            <w:hideMark/>
          </w:tcPr>
          <w:p w14:paraId="6A9133B5" w14:textId="77777777" w:rsidR="0032536D" w:rsidRPr="0032536D" w:rsidRDefault="0032536D" w:rsidP="0032536D">
            <w:pPr>
              <w:spacing w:after="0"/>
              <w:jc w:val="right"/>
              <w:rPr>
                <w:rFonts w:ascii="Arial" w:hAnsi="Arial" w:cs="Arial"/>
                <w:b/>
                <w:bCs/>
                <w:sz w:val="16"/>
                <w:szCs w:val="16"/>
              </w:rPr>
            </w:pPr>
            <w:r w:rsidRPr="0032536D">
              <w:rPr>
                <w:rFonts w:ascii="Arial" w:hAnsi="Arial" w:cs="Arial"/>
                <w:b/>
                <w:bCs/>
                <w:sz w:val="16"/>
                <w:szCs w:val="16"/>
              </w:rPr>
              <w:t>185</w:t>
            </w:r>
          </w:p>
        </w:tc>
      </w:tr>
      <w:tr w:rsidR="0032536D" w:rsidRPr="0032536D" w14:paraId="7AD67C9E" w14:textId="77777777" w:rsidTr="0032536D">
        <w:trPr>
          <w:trHeight w:val="525"/>
        </w:trPr>
        <w:tc>
          <w:tcPr>
            <w:tcW w:w="2860" w:type="dxa"/>
            <w:tcBorders>
              <w:top w:val="nil"/>
              <w:left w:val="nil"/>
              <w:bottom w:val="single" w:sz="4" w:space="0" w:color="auto"/>
              <w:right w:val="nil"/>
            </w:tcBorders>
            <w:shd w:val="clear" w:color="auto" w:fill="auto"/>
            <w:vAlign w:val="bottom"/>
            <w:hideMark/>
          </w:tcPr>
          <w:p w14:paraId="56019977" w14:textId="62F5D3D8" w:rsidR="0032536D" w:rsidRPr="0032536D" w:rsidRDefault="0032536D" w:rsidP="00C744B3">
            <w:pPr>
              <w:spacing w:after="0"/>
              <w:rPr>
                <w:rFonts w:ascii="Arial" w:hAnsi="Arial" w:cs="Arial"/>
                <w:b/>
                <w:bCs/>
                <w:sz w:val="16"/>
                <w:szCs w:val="16"/>
              </w:rPr>
            </w:pPr>
            <w:r w:rsidRPr="0032536D">
              <w:rPr>
                <w:rFonts w:ascii="Arial" w:hAnsi="Arial" w:cs="Arial"/>
                <w:b/>
                <w:bCs/>
                <w:sz w:val="16"/>
                <w:szCs w:val="16"/>
              </w:rPr>
              <w:t>Estimated closing balance as at</w:t>
            </w:r>
            <w:r w:rsidR="00C744B3">
              <w:rPr>
                <w:rFonts w:ascii="Arial" w:hAnsi="Arial" w:cs="Arial"/>
                <w:b/>
                <w:bCs/>
                <w:sz w:val="16"/>
                <w:szCs w:val="16"/>
              </w:rPr>
              <w:br/>
            </w:r>
            <w:r w:rsidRPr="0032536D">
              <w:rPr>
                <w:rFonts w:ascii="Arial" w:hAnsi="Arial" w:cs="Arial"/>
                <w:b/>
                <w:bCs/>
                <w:sz w:val="16"/>
                <w:szCs w:val="16"/>
              </w:rPr>
              <w:t>30 June 2024</w:t>
            </w:r>
          </w:p>
        </w:tc>
        <w:tc>
          <w:tcPr>
            <w:tcW w:w="1060" w:type="dxa"/>
            <w:tcBorders>
              <w:top w:val="nil"/>
              <w:left w:val="nil"/>
              <w:bottom w:val="single" w:sz="4" w:space="0" w:color="auto"/>
              <w:right w:val="nil"/>
            </w:tcBorders>
            <w:shd w:val="clear" w:color="auto" w:fill="auto"/>
            <w:noWrap/>
            <w:vAlign w:val="bottom"/>
            <w:hideMark/>
          </w:tcPr>
          <w:p w14:paraId="16693FA7" w14:textId="77777777" w:rsidR="0032536D" w:rsidRPr="0032536D" w:rsidRDefault="0032536D" w:rsidP="0032536D">
            <w:pPr>
              <w:spacing w:after="0"/>
              <w:jc w:val="right"/>
              <w:rPr>
                <w:rFonts w:ascii="Arial" w:hAnsi="Arial" w:cs="Arial"/>
                <w:b/>
                <w:bCs/>
                <w:sz w:val="16"/>
                <w:szCs w:val="16"/>
              </w:rPr>
            </w:pPr>
            <w:r w:rsidRPr="0032536D">
              <w:rPr>
                <w:rFonts w:ascii="Arial" w:hAnsi="Arial" w:cs="Arial"/>
                <w:b/>
                <w:bCs/>
                <w:sz w:val="16"/>
                <w:szCs w:val="16"/>
              </w:rPr>
              <w:t>(5,681)</w:t>
            </w:r>
          </w:p>
        </w:tc>
        <w:tc>
          <w:tcPr>
            <w:tcW w:w="1200" w:type="dxa"/>
            <w:tcBorders>
              <w:top w:val="nil"/>
              <w:left w:val="nil"/>
              <w:bottom w:val="single" w:sz="4" w:space="0" w:color="auto"/>
              <w:right w:val="nil"/>
            </w:tcBorders>
            <w:shd w:val="clear" w:color="auto" w:fill="auto"/>
            <w:noWrap/>
            <w:vAlign w:val="bottom"/>
            <w:hideMark/>
          </w:tcPr>
          <w:p w14:paraId="5EBB9FD7" w14:textId="77777777" w:rsidR="0032536D" w:rsidRPr="0032536D" w:rsidRDefault="0032536D" w:rsidP="0032536D">
            <w:pPr>
              <w:spacing w:after="0"/>
              <w:jc w:val="right"/>
              <w:rPr>
                <w:rFonts w:ascii="Arial" w:hAnsi="Arial" w:cs="Arial"/>
                <w:b/>
                <w:bCs/>
                <w:sz w:val="16"/>
                <w:szCs w:val="16"/>
              </w:rPr>
            </w:pPr>
            <w:r w:rsidRPr="0032536D">
              <w:rPr>
                <w:rFonts w:ascii="Arial" w:hAnsi="Arial" w:cs="Arial"/>
                <w:b/>
                <w:bCs/>
                <w:sz w:val="16"/>
                <w:szCs w:val="16"/>
              </w:rPr>
              <w:t>1,367</w:t>
            </w:r>
          </w:p>
        </w:tc>
        <w:tc>
          <w:tcPr>
            <w:tcW w:w="1200" w:type="dxa"/>
            <w:tcBorders>
              <w:top w:val="nil"/>
              <w:left w:val="nil"/>
              <w:bottom w:val="single" w:sz="4" w:space="0" w:color="auto"/>
              <w:right w:val="nil"/>
            </w:tcBorders>
            <w:shd w:val="clear" w:color="auto" w:fill="auto"/>
            <w:noWrap/>
            <w:vAlign w:val="bottom"/>
            <w:hideMark/>
          </w:tcPr>
          <w:p w14:paraId="5EEFE175" w14:textId="77777777" w:rsidR="0032536D" w:rsidRPr="0032536D" w:rsidRDefault="0032536D" w:rsidP="0032536D">
            <w:pPr>
              <w:spacing w:after="0"/>
              <w:jc w:val="right"/>
              <w:rPr>
                <w:rFonts w:ascii="Arial" w:hAnsi="Arial" w:cs="Arial"/>
                <w:b/>
                <w:bCs/>
                <w:sz w:val="16"/>
                <w:szCs w:val="16"/>
              </w:rPr>
            </w:pPr>
            <w:r w:rsidRPr="0032536D">
              <w:rPr>
                <w:rFonts w:ascii="Arial" w:hAnsi="Arial" w:cs="Arial"/>
                <w:b/>
                <w:bCs/>
                <w:sz w:val="16"/>
                <w:szCs w:val="16"/>
              </w:rPr>
              <w:t>17,386</w:t>
            </w:r>
          </w:p>
        </w:tc>
        <w:tc>
          <w:tcPr>
            <w:tcW w:w="1060" w:type="dxa"/>
            <w:tcBorders>
              <w:top w:val="nil"/>
              <w:left w:val="nil"/>
              <w:bottom w:val="single" w:sz="4" w:space="0" w:color="auto"/>
              <w:right w:val="nil"/>
            </w:tcBorders>
            <w:shd w:val="clear" w:color="auto" w:fill="auto"/>
            <w:noWrap/>
            <w:vAlign w:val="bottom"/>
            <w:hideMark/>
          </w:tcPr>
          <w:p w14:paraId="33A923FD" w14:textId="77777777" w:rsidR="0032536D" w:rsidRPr="0032536D" w:rsidRDefault="0032536D" w:rsidP="0032536D">
            <w:pPr>
              <w:spacing w:after="0"/>
              <w:jc w:val="right"/>
              <w:rPr>
                <w:rFonts w:ascii="Arial" w:hAnsi="Arial" w:cs="Arial"/>
                <w:b/>
                <w:bCs/>
                <w:sz w:val="16"/>
                <w:szCs w:val="16"/>
              </w:rPr>
            </w:pPr>
            <w:r w:rsidRPr="0032536D">
              <w:rPr>
                <w:rFonts w:ascii="Arial" w:hAnsi="Arial" w:cs="Arial"/>
                <w:b/>
                <w:bCs/>
                <w:sz w:val="16"/>
                <w:szCs w:val="16"/>
              </w:rPr>
              <w:t>13,072</w:t>
            </w:r>
          </w:p>
        </w:tc>
      </w:tr>
    </w:tbl>
    <w:p w14:paraId="7FAEC967" w14:textId="33FCCA0C" w:rsidR="0032536D" w:rsidRPr="0032536D" w:rsidRDefault="0032536D" w:rsidP="0032536D">
      <w:pPr>
        <w:pStyle w:val="FootnoteText"/>
        <w:spacing w:before="120" w:after="40"/>
        <w:rPr>
          <w:lang w:eastAsia="en-US"/>
        </w:rPr>
      </w:pPr>
      <w:r w:rsidRPr="0032536D">
        <w:rPr>
          <w:lang w:eastAsia="en-US"/>
        </w:rPr>
        <w:t>Prepared on Australian Accounting Standards basis.</w:t>
      </w:r>
    </w:p>
    <w:p w14:paraId="05CB144C" w14:textId="32364E75" w:rsidR="000A380F" w:rsidRDefault="0032536D" w:rsidP="0032536D">
      <w:pPr>
        <w:pStyle w:val="FootnoteText"/>
        <w:rPr>
          <w:lang w:eastAsia="en-US"/>
        </w:rPr>
      </w:pPr>
      <w:r w:rsidRPr="0032536D">
        <w:rPr>
          <w:lang w:eastAsia="en-US"/>
        </w:rPr>
        <w:t>DCB = Departmental Capital Budget</w:t>
      </w:r>
      <w:r w:rsidR="000A380F">
        <w:rPr>
          <w:lang w:eastAsia="en-US"/>
        </w:rPr>
        <w:br w:type="page"/>
      </w:r>
    </w:p>
    <w:p w14:paraId="53A542D4" w14:textId="3D306CCF" w:rsidR="009A1A0A" w:rsidRPr="00BD2155" w:rsidRDefault="00A52B29" w:rsidP="00BD2155">
      <w:pPr>
        <w:rPr>
          <w:rFonts w:ascii="Arial" w:hAnsi="Arial" w:cs="Arial"/>
          <w:b/>
          <w:sz w:val="20"/>
          <w:szCs w:val="18"/>
          <w:lang w:eastAsia="en-US"/>
        </w:rPr>
      </w:pPr>
      <w:r w:rsidRPr="00A52B29">
        <w:rPr>
          <w:rFonts w:ascii="Arial" w:hAnsi="Arial" w:cs="Arial"/>
          <w:b/>
          <w:sz w:val="20"/>
          <w:szCs w:val="18"/>
          <w:lang w:eastAsia="en-US"/>
        </w:rPr>
        <w:lastRenderedPageBreak/>
        <w:t>Table 3.4: Budgeted departmental statement of cash flows (for the period ended 30 June)</w:t>
      </w:r>
    </w:p>
    <w:tbl>
      <w:tblPr>
        <w:tblW w:w="7380" w:type="dxa"/>
        <w:tblLayout w:type="fixed"/>
        <w:tblLook w:val="04A0" w:firstRow="1" w:lastRow="0" w:firstColumn="1" w:lastColumn="0" w:noHBand="0" w:noVBand="1"/>
      </w:tblPr>
      <w:tblGrid>
        <w:gridCol w:w="3052"/>
        <w:gridCol w:w="883"/>
        <w:gridCol w:w="850"/>
        <w:gridCol w:w="865"/>
        <w:gridCol w:w="865"/>
        <w:gridCol w:w="865"/>
      </w:tblGrid>
      <w:tr w:rsidR="00CD3E1E" w:rsidRPr="00CD3E1E" w14:paraId="23BC27C1" w14:textId="77777777" w:rsidTr="00883D88">
        <w:trPr>
          <w:trHeight w:val="765"/>
        </w:trPr>
        <w:tc>
          <w:tcPr>
            <w:tcW w:w="3052" w:type="dxa"/>
            <w:tcBorders>
              <w:top w:val="single" w:sz="4" w:space="0" w:color="auto"/>
              <w:left w:val="nil"/>
              <w:bottom w:val="nil"/>
              <w:right w:val="nil"/>
            </w:tcBorders>
            <w:shd w:val="clear" w:color="auto" w:fill="auto"/>
            <w:hideMark/>
          </w:tcPr>
          <w:p w14:paraId="468000C8" w14:textId="77777777" w:rsidR="00CD3E1E" w:rsidRPr="00CD3E1E" w:rsidRDefault="00CD3E1E" w:rsidP="00CD3E1E">
            <w:pPr>
              <w:spacing w:after="0"/>
              <w:jc w:val="right"/>
              <w:rPr>
                <w:rFonts w:ascii="Arial" w:hAnsi="Arial" w:cs="Arial"/>
                <w:b/>
                <w:bCs/>
                <w:color w:val="auto"/>
                <w:sz w:val="16"/>
                <w:szCs w:val="16"/>
              </w:rPr>
            </w:pPr>
            <w:r w:rsidRPr="00CD3E1E">
              <w:rPr>
                <w:rFonts w:ascii="Arial" w:hAnsi="Arial" w:cs="Arial"/>
                <w:b/>
                <w:bCs/>
                <w:color w:val="auto"/>
                <w:sz w:val="16"/>
                <w:szCs w:val="16"/>
              </w:rPr>
              <w:t> </w:t>
            </w:r>
          </w:p>
        </w:tc>
        <w:tc>
          <w:tcPr>
            <w:tcW w:w="883" w:type="dxa"/>
            <w:tcBorders>
              <w:top w:val="single" w:sz="4" w:space="0" w:color="auto"/>
              <w:left w:val="nil"/>
              <w:bottom w:val="single" w:sz="4" w:space="0" w:color="auto"/>
              <w:right w:val="nil"/>
            </w:tcBorders>
            <w:shd w:val="clear" w:color="auto" w:fill="auto"/>
            <w:tcMar>
              <w:left w:w="0" w:type="dxa"/>
            </w:tcMar>
            <w:hideMark/>
          </w:tcPr>
          <w:p w14:paraId="37AAC0BD" w14:textId="77777777" w:rsidR="00CD3E1E" w:rsidRPr="00CD3E1E" w:rsidRDefault="00CD3E1E" w:rsidP="00CD3E1E">
            <w:pPr>
              <w:spacing w:after="0"/>
              <w:jc w:val="right"/>
              <w:rPr>
                <w:rFonts w:ascii="Arial" w:hAnsi="Arial" w:cs="Arial"/>
                <w:b/>
                <w:bCs/>
                <w:color w:val="auto"/>
                <w:sz w:val="16"/>
                <w:szCs w:val="16"/>
              </w:rPr>
            </w:pPr>
            <w:r w:rsidRPr="00CD3E1E">
              <w:rPr>
                <w:rFonts w:ascii="Arial" w:hAnsi="Arial" w:cs="Arial"/>
                <w:b/>
                <w:bCs/>
                <w:color w:val="auto"/>
                <w:sz w:val="16"/>
                <w:szCs w:val="16"/>
              </w:rPr>
              <w:t>2022–23 Estimated actual</w:t>
            </w:r>
            <w:r w:rsidRPr="00CD3E1E">
              <w:rPr>
                <w:rFonts w:ascii="Arial" w:hAnsi="Arial" w:cs="Arial"/>
                <w:b/>
                <w:bCs/>
                <w:color w:val="auto"/>
                <w:sz w:val="16"/>
                <w:szCs w:val="16"/>
              </w:rPr>
              <w:br/>
              <w:t>$'000</w:t>
            </w:r>
          </w:p>
        </w:tc>
        <w:tc>
          <w:tcPr>
            <w:tcW w:w="850" w:type="dxa"/>
            <w:tcBorders>
              <w:top w:val="single" w:sz="4" w:space="0" w:color="auto"/>
              <w:left w:val="nil"/>
              <w:bottom w:val="single" w:sz="4" w:space="0" w:color="auto"/>
              <w:right w:val="nil"/>
            </w:tcBorders>
            <w:shd w:val="clear" w:color="000000" w:fill="D9D9D9"/>
            <w:hideMark/>
          </w:tcPr>
          <w:p w14:paraId="2CB0E276" w14:textId="77777777" w:rsidR="00CD3E1E" w:rsidRPr="00CD3E1E" w:rsidRDefault="00CD3E1E" w:rsidP="00CD3E1E">
            <w:pPr>
              <w:spacing w:after="0"/>
              <w:jc w:val="right"/>
              <w:rPr>
                <w:rFonts w:ascii="Arial" w:hAnsi="Arial" w:cs="Arial"/>
                <w:b/>
                <w:bCs/>
                <w:color w:val="auto"/>
                <w:sz w:val="16"/>
                <w:szCs w:val="16"/>
              </w:rPr>
            </w:pPr>
            <w:r w:rsidRPr="00CD3E1E">
              <w:rPr>
                <w:rFonts w:ascii="Arial" w:hAnsi="Arial" w:cs="Arial"/>
                <w:b/>
                <w:bCs/>
                <w:color w:val="auto"/>
                <w:sz w:val="16"/>
                <w:szCs w:val="16"/>
              </w:rPr>
              <w:t xml:space="preserve">2023–24 Budget </w:t>
            </w:r>
            <w:r w:rsidRPr="00CD3E1E">
              <w:rPr>
                <w:rFonts w:ascii="Arial" w:hAnsi="Arial" w:cs="Arial"/>
                <w:b/>
                <w:bCs/>
                <w:color w:val="auto"/>
                <w:sz w:val="16"/>
                <w:szCs w:val="16"/>
              </w:rPr>
              <w:br/>
            </w:r>
            <w:r w:rsidRPr="00CD3E1E">
              <w:rPr>
                <w:rFonts w:ascii="Arial" w:hAnsi="Arial" w:cs="Arial"/>
                <w:b/>
                <w:bCs/>
                <w:color w:val="auto"/>
                <w:sz w:val="16"/>
                <w:szCs w:val="16"/>
              </w:rPr>
              <w:br/>
              <w:t>$'000</w:t>
            </w:r>
          </w:p>
        </w:tc>
        <w:tc>
          <w:tcPr>
            <w:tcW w:w="865" w:type="dxa"/>
            <w:tcBorders>
              <w:top w:val="single" w:sz="4" w:space="0" w:color="auto"/>
              <w:left w:val="nil"/>
              <w:bottom w:val="single" w:sz="4" w:space="0" w:color="auto"/>
              <w:right w:val="nil"/>
            </w:tcBorders>
            <w:shd w:val="clear" w:color="auto" w:fill="auto"/>
            <w:tcMar>
              <w:left w:w="0" w:type="dxa"/>
            </w:tcMar>
            <w:hideMark/>
          </w:tcPr>
          <w:p w14:paraId="18EC8D81" w14:textId="77777777" w:rsidR="00CD3E1E" w:rsidRPr="00CD3E1E" w:rsidRDefault="00CD3E1E" w:rsidP="00CD3E1E">
            <w:pPr>
              <w:spacing w:after="0"/>
              <w:jc w:val="right"/>
              <w:rPr>
                <w:rFonts w:ascii="Arial" w:hAnsi="Arial" w:cs="Arial"/>
                <w:b/>
                <w:bCs/>
                <w:color w:val="auto"/>
                <w:sz w:val="16"/>
                <w:szCs w:val="16"/>
              </w:rPr>
            </w:pPr>
            <w:r w:rsidRPr="00CD3E1E">
              <w:rPr>
                <w:rFonts w:ascii="Arial" w:hAnsi="Arial" w:cs="Arial"/>
                <w:b/>
                <w:bCs/>
                <w:color w:val="auto"/>
                <w:sz w:val="16"/>
                <w:szCs w:val="16"/>
              </w:rPr>
              <w:t>2024–25 Forward estimate</w:t>
            </w:r>
            <w:r w:rsidRPr="00CD3E1E">
              <w:rPr>
                <w:rFonts w:ascii="Arial" w:hAnsi="Arial" w:cs="Arial"/>
                <w:b/>
                <w:bCs/>
                <w:color w:val="auto"/>
                <w:sz w:val="16"/>
                <w:szCs w:val="16"/>
              </w:rPr>
              <w:br/>
              <w:t>$'000</w:t>
            </w:r>
          </w:p>
        </w:tc>
        <w:tc>
          <w:tcPr>
            <w:tcW w:w="865" w:type="dxa"/>
            <w:tcBorders>
              <w:top w:val="single" w:sz="4" w:space="0" w:color="auto"/>
              <w:left w:val="nil"/>
              <w:bottom w:val="single" w:sz="4" w:space="0" w:color="auto"/>
              <w:right w:val="nil"/>
            </w:tcBorders>
            <w:shd w:val="clear" w:color="auto" w:fill="auto"/>
            <w:tcMar>
              <w:left w:w="0" w:type="dxa"/>
            </w:tcMar>
            <w:hideMark/>
          </w:tcPr>
          <w:p w14:paraId="45FD5006" w14:textId="77777777" w:rsidR="00CD3E1E" w:rsidRPr="00CD3E1E" w:rsidRDefault="00CD3E1E" w:rsidP="00CD3E1E">
            <w:pPr>
              <w:spacing w:after="0"/>
              <w:jc w:val="right"/>
              <w:rPr>
                <w:rFonts w:ascii="Arial" w:hAnsi="Arial" w:cs="Arial"/>
                <w:b/>
                <w:bCs/>
                <w:color w:val="auto"/>
                <w:sz w:val="16"/>
                <w:szCs w:val="16"/>
              </w:rPr>
            </w:pPr>
            <w:r w:rsidRPr="00CD3E1E">
              <w:rPr>
                <w:rFonts w:ascii="Arial" w:hAnsi="Arial" w:cs="Arial"/>
                <w:b/>
                <w:bCs/>
                <w:color w:val="auto"/>
                <w:sz w:val="16"/>
                <w:szCs w:val="16"/>
              </w:rPr>
              <w:t>2025–26 Forward estimate</w:t>
            </w:r>
            <w:r w:rsidRPr="00CD3E1E">
              <w:rPr>
                <w:rFonts w:ascii="Arial" w:hAnsi="Arial" w:cs="Arial"/>
                <w:b/>
                <w:bCs/>
                <w:color w:val="auto"/>
                <w:sz w:val="16"/>
                <w:szCs w:val="16"/>
              </w:rPr>
              <w:br/>
              <w:t>$'000</w:t>
            </w:r>
          </w:p>
        </w:tc>
        <w:tc>
          <w:tcPr>
            <w:tcW w:w="865" w:type="dxa"/>
            <w:tcBorders>
              <w:top w:val="single" w:sz="4" w:space="0" w:color="auto"/>
              <w:left w:val="nil"/>
              <w:bottom w:val="single" w:sz="4" w:space="0" w:color="auto"/>
              <w:right w:val="nil"/>
            </w:tcBorders>
            <w:shd w:val="clear" w:color="auto" w:fill="auto"/>
            <w:tcMar>
              <w:left w:w="0" w:type="dxa"/>
            </w:tcMar>
            <w:hideMark/>
          </w:tcPr>
          <w:p w14:paraId="21F3DEEE" w14:textId="77777777" w:rsidR="00CD3E1E" w:rsidRPr="00CD3E1E" w:rsidRDefault="00CD3E1E" w:rsidP="00CD3E1E">
            <w:pPr>
              <w:spacing w:after="0"/>
              <w:jc w:val="right"/>
              <w:rPr>
                <w:rFonts w:ascii="Arial" w:hAnsi="Arial" w:cs="Arial"/>
                <w:b/>
                <w:bCs/>
                <w:color w:val="auto"/>
                <w:sz w:val="16"/>
                <w:szCs w:val="16"/>
              </w:rPr>
            </w:pPr>
            <w:r w:rsidRPr="00CD3E1E">
              <w:rPr>
                <w:rFonts w:ascii="Arial" w:hAnsi="Arial" w:cs="Arial"/>
                <w:b/>
                <w:bCs/>
                <w:color w:val="auto"/>
                <w:sz w:val="16"/>
                <w:szCs w:val="16"/>
              </w:rPr>
              <w:t>2026–27 Forward estimate</w:t>
            </w:r>
            <w:r w:rsidRPr="00CD3E1E">
              <w:rPr>
                <w:rFonts w:ascii="Arial" w:hAnsi="Arial" w:cs="Arial"/>
                <w:b/>
                <w:bCs/>
                <w:color w:val="auto"/>
                <w:sz w:val="16"/>
                <w:szCs w:val="16"/>
              </w:rPr>
              <w:br/>
              <w:t>$'000</w:t>
            </w:r>
          </w:p>
        </w:tc>
      </w:tr>
      <w:tr w:rsidR="00CD3E1E" w:rsidRPr="00CD3E1E" w14:paraId="5CD87156" w14:textId="77777777" w:rsidTr="00CD3E1E">
        <w:trPr>
          <w:trHeight w:val="225"/>
        </w:trPr>
        <w:tc>
          <w:tcPr>
            <w:tcW w:w="3052" w:type="dxa"/>
            <w:tcBorders>
              <w:top w:val="nil"/>
              <w:left w:val="nil"/>
              <w:bottom w:val="nil"/>
              <w:right w:val="nil"/>
            </w:tcBorders>
            <w:shd w:val="clear" w:color="auto" w:fill="auto"/>
            <w:noWrap/>
            <w:vAlign w:val="bottom"/>
            <w:hideMark/>
          </w:tcPr>
          <w:p w14:paraId="044DE20C" w14:textId="77777777" w:rsidR="00CD3E1E" w:rsidRPr="00CD3E1E" w:rsidRDefault="00CD3E1E" w:rsidP="00CD3E1E">
            <w:pPr>
              <w:spacing w:after="0"/>
              <w:rPr>
                <w:rFonts w:ascii="Arial" w:hAnsi="Arial" w:cs="Arial"/>
                <w:b/>
                <w:bCs/>
                <w:sz w:val="16"/>
                <w:szCs w:val="16"/>
              </w:rPr>
            </w:pPr>
            <w:r w:rsidRPr="00CD3E1E">
              <w:rPr>
                <w:rFonts w:ascii="Arial" w:hAnsi="Arial" w:cs="Arial"/>
                <w:b/>
                <w:bCs/>
                <w:sz w:val="16"/>
                <w:szCs w:val="16"/>
              </w:rPr>
              <w:t>OPERATING ACTIVITIES</w:t>
            </w:r>
          </w:p>
        </w:tc>
        <w:tc>
          <w:tcPr>
            <w:tcW w:w="883" w:type="dxa"/>
            <w:tcBorders>
              <w:top w:val="single" w:sz="4" w:space="0" w:color="auto"/>
              <w:left w:val="nil"/>
              <w:bottom w:val="nil"/>
              <w:right w:val="nil"/>
            </w:tcBorders>
            <w:shd w:val="clear" w:color="auto" w:fill="auto"/>
            <w:noWrap/>
            <w:vAlign w:val="bottom"/>
            <w:hideMark/>
          </w:tcPr>
          <w:p w14:paraId="3AE58C0D"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 </w:t>
            </w:r>
          </w:p>
        </w:tc>
        <w:tc>
          <w:tcPr>
            <w:tcW w:w="850" w:type="dxa"/>
            <w:tcBorders>
              <w:top w:val="single" w:sz="4" w:space="0" w:color="auto"/>
              <w:left w:val="nil"/>
              <w:bottom w:val="nil"/>
              <w:right w:val="nil"/>
            </w:tcBorders>
            <w:shd w:val="clear" w:color="000000" w:fill="D9D9D9"/>
            <w:noWrap/>
            <w:vAlign w:val="bottom"/>
            <w:hideMark/>
          </w:tcPr>
          <w:p w14:paraId="133A9037"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 </w:t>
            </w:r>
          </w:p>
        </w:tc>
        <w:tc>
          <w:tcPr>
            <w:tcW w:w="865" w:type="dxa"/>
            <w:tcBorders>
              <w:top w:val="single" w:sz="4" w:space="0" w:color="auto"/>
              <w:left w:val="nil"/>
              <w:bottom w:val="nil"/>
              <w:right w:val="nil"/>
            </w:tcBorders>
            <w:shd w:val="clear" w:color="auto" w:fill="auto"/>
            <w:noWrap/>
            <w:vAlign w:val="bottom"/>
            <w:hideMark/>
          </w:tcPr>
          <w:p w14:paraId="48BB3804"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 </w:t>
            </w:r>
          </w:p>
        </w:tc>
        <w:tc>
          <w:tcPr>
            <w:tcW w:w="865" w:type="dxa"/>
            <w:tcBorders>
              <w:top w:val="single" w:sz="4" w:space="0" w:color="auto"/>
              <w:left w:val="nil"/>
              <w:bottom w:val="nil"/>
              <w:right w:val="nil"/>
            </w:tcBorders>
            <w:shd w:val="clear" w:color="auto" w:fill="auto"/>
            <w:noWrap/>
            <w:vAlign w:val="bottom"/>
            <w:hideMark/>
          </w:tcPr>
          <w:p w14:paraId="5160C778"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 </w:t>
            </w:r>
          </w:p>
        </w:tc>
        <w:tc>
          <w:tcPr>
            <w:tcW w:w="865" w:type="dxa"/>
            <w:tcBorders>
              <w:top w:val="single" w:sz="4" w:space="0" w:color="auto"/>
              <w:left w:val="nil"/>
              <w:bottom w:val="nil"/>
              <w:right w:val="nil"/>
            </w:tcBorders>
            <w:shd w:val="clear" w:color="auto" w:fill="auto"/>
            <w:noWrap/>
            <w:vAlign w:val="bottom"/>
            <w:hideMark/>
          </w:tcPr>
          <w:p w14:paraId="08D13484"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 </w:t>
            </w:r>
          </w:p>
        </w:tc>
      </w:tr>
      <w:tr w:rsidR="00CD3E1E" w:rsidRPr="00CD3E1E" w14:paraId="25C5640E" w14:textId="77777777" w:rsidTr="00CD3E1E">
        <w:trPr>
          <w:trHeight w:val="225"/>
        </w:trPr>
        <w:tc>
          <w:tcPr>
            <w:tcW w:w="3052" w:type="dxa"/>
            <w:tcBorders>
              <w:top w:val="nil"/>
              <w:left w:val="nil"/>
              <w:bottom w:val="nil"/>
              <w:right w:val="nil"/>
            </w:tcBorders>
            <w:shd w:val="clear" w:color="auto" w:fill="auto"/>
            <w:noWrap/>
            <w:vAlign w:val="bottom"/>
            <w:hideMark/>
          </w:tcPr>
          <w:p w14:paraId="7680D1B9" w14:textId="77777777" w:rsidR="00CD3E1E" w:rsidRPr="00CD3E1E" w:rsidRDefault="00CD3E1E" w:rsidP="00CD3E1E">
            <w:pPr>
              <w:spacing w:after="0"/>
              <w:ind w:firstLineChars="100" w:firstLine="160"/>
              <w:rPr>
                <w:rFonts w:ascii="Arial" w:hAnsi="Arial" w:cs="Arial"/>
                <w:b/>
                <w:bCs/>
                <w:sz w:val="16"/>
                <w:szCs w:val="16"/>
              </w:rPr>
            </w:pPr>
            <w:r w:rsidRPr="00CD3E1E">
              <w:rPr>
                <w:rFonts w:ascii="Arial" w:hAnsi="Arial" w:cs="Arial"/>
                <w:b/>
                <w:bCs/>
                <w:sz w:val="16"/>
                <w:szCs w:val="16"/>
              </w:rPr>
              <w:t>Cash received</w:t>
            </w:r>
          </w:p>
        </w:tc>
        <w:tc>
          <w:tcPr>
            <w:tcW w:w="883" w:type="dxa"/>
            <w:tcBorders>
              <w:top w:val="nil"/>
              <w:left w:val="nil"/>
              <w:bottom w:val="nil"/>
              <w:right w:val="nil"/>
            </w:tcBorders>
            <w:shd w:val="clear" w:color="auto" w:fill="auto"/>
            <w:noWrap/>
            <w:vAlign w:val="bottom"/>
            <w:hideMark/>
          </w:tcPr>
          <w:p w14:paraId="46FA8C1C" w14:textId="77777777" w:rsidR="00CD3E1E" w:rsidRPr="00CD3E1E" w:rsidRDefault="00CD3E1E" w:rsidP="00CD3E1E">
            <w:pPr>
              <w:spacing w:after="0"/>
              <w:ind w:firstLineChars="100" w:firstLine="160"/>
              <w:rPr>
                <w:rFonts w:ascii="Arial" w:hAnsi="Arial" w:cs="Arial"/>
                <w:b/>
                <w:bCs/>
                <w:sz w:val="16"/>
                <w:szCs w:val="16"/>
              </w:rPr>
            </w:pPr>
          </w:p>
        </w:tc>
        <w:tc>
          <w:tcPr>
            <w:tcW w:w="850" w:type="dxa"/>
            <w:tcBorders>
              <w:top w:val="nil"/>
              <w:left w:val="nil"/>
              <w:bottom w:val="nil"/>
              <w:right w:val="nil"/>
            </w:tcBorders>
            <w:shd w:val="clear" w:color="000000" w:fill="D9D9D9"/>
            <w:noWrap/>
            <w:vAlign w:val="bottom"/>
            <w:hideMark/>
          </w:tcPr>
          <w:p w14:paraId="14DDE936"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 </w:t>
            </w:r>
          </w:p>
        </w:tc>
        <w:tc>
          <w:tcPr>
            <w:tcW w:w="865" w:type="dxa"/>
            <w:tcBorders>
              <w:top w:val="nil"/>
              <w:left w:val="nil"/>
              <w:bottom w:val="nil"/>
              <w:right w:val="nil"/>
            </w:tcBorders>
            <w:shd w:val="clear" w:color="auto" w:fill="auto"/>
            <w:noWrap/>
            <w:vAlign w:val="bottom"/>
            <w:hideMark/>
          </w:tcPr>
          <w:p w14:paraId="20488AB2" w14:textId="77777777" w:rsidR="00CD3E1E" w:rsidRPr="00CD3E1E" w:rsidRDefault="00CD3E1E" w:rsidP="00CD3E1E">
            <w:pPr>
              <w:spacing w:after="0"/>
              <w:jc w:val="right"/>
              <w:rPr>
                <w:rFonts w:ascii="Arial" w:hAnsi="Arial" w:cs="Arial"/>
                <w:sz w:val="16"/>
                <w:szCs w:val="16"/>
              </w:rPr>
            </w:pPr>
          </w:p>
        </w:tc>
        <w:tc>
          <w:tcPr>
            <w:tcW w:w="865" w:type="dxa"/>
            <w:tcBorders>
              <w:top w:val="nil"/>
              <w:left w:val="nil"/>
              <w:bottom w:val="nil"/>
              <w:right w:val="nil"/>
            </w:tcBorders>
            <w:shd w:val="clear" w:color="auto" w:fill="auto"/>
            <w:noWrap/>
            <w:vAlign w:val="bottom"/>
            <w:hideMark/>
          </w:tcPr>
          <w:p w14:paraId="19FD8C7C" w14:textId="77777777" w:rsidR="00CD3E1E" w:rsidRPr="00CD3E1E" w:rsidRDefault="00CD3E1E" w:rsidP="00CD3E1E">
            <w:pPr>
              <w:spacing w:after="0"/>
              <w:jc w:val="right"/>
              <w:rPr>
                <w:rFonts w:ascii="Times New Roman" w:hAnsi="Times New Roman"/>
                <w:color w:val="auto"/>
                <w:sz w:val="20"/>
              </w:rPr>
            </w:pPr>
          </w:p>
        </w:tc>
        <w:tc>
          <w:tcPr>
            <w:tcW w:w="865" w:type="dxa"/>
            <w:tcBorders>
              <w:top w:val="nil"/>
              <w:left w:val="nil"/>
              <w:bottom w:val="nil"/>
              <w:right w:val="nil"/>
            </w:tcBorders>
            <w:shd w:val="clear" w:color="auto" w:fill="auto"/>
            <w:noWrap/>
            <w:vAlign w:val="bottom"/>
            <w:hideMark/>
          </w:tcPr>
          <w:p w14:paraId="2F031EE8" w14:textId="77777777" w:rsidR="00CD3E1E" w:rsidRPr="00CD3E1E" w:rsidRDefault="00CD3E1E" w:rsidP="00CD3E1E">
            <w:pPr>
              <w:spacing w:after="0"/>
              <w:jc w:val="right"/>
              <w:rPr>
                <w:rFonts w:ascii="Times New Roman" w:hAnsi="Times New Roman"/>
                <w:color w:val="auto"/>
                <w:sz w:val="20"/>
              </w:rPr>
            </w:pPr>
          </w:p>
        </w:tc>
      </w:tr>
      <w:tr w:rsidR="00CD3E1E" w:rsidRPr="00CD3E1E" w14:paraId="6F3479DC" w14:textId="77777777" w:rsidTr="00CD3E1E">
        <w:trPr>
          <w:trHeight w:val="225"/>
        </w:trPr>
        <w:tc>
          <w:tcPr>
            <w:tcW w:w="3052" w:type="dxa"/>
            <w:tcBorders>
              <w:top w:val="nil"/>
              <w:left w:val="nil"/>
              <w:bottom w:val="nil"/>
              <w:right w:val="nil"/>
            </w:tcBorders>
            <w:shd w:val="clear" w:color="auto" w:fill="auto"/>
            <w:noWrap/>
            <w:vAlign w:val="bottom"/>
            <w:hideMark/>
          </w:tcPr>
          <w:p w14:paraId="209C224A" w14:textId="77777777" w:rsidR="00CD3E1E" w:rsidRPr="00CD3E1E" w:rsidRDefault="00CD3E1E" w:rsidP="00CD3E1E">
            <w:pPr>
              <w:spacing w:after="0"/>
              <w:ind w:firstLineChars="200" w:firstLine="320"/>
              <w:rPr>
                <w:rFonts w:ascii="Arial" w:hAnsi="Arial" w:cs="Arial"/>
                <w:sz w:val="16"/>
                <w:szCs w:val="16"/>
              </w:rPr>
            </w:pPr>
            <w:r w:rsidRPr="00CD3E1E">
              <w:rPr>
                <w:rFonts w:ascii="Arial" w:hAnsi="Arial" w:cs="Arial"/>
                <w:sz w:val="16"/>
                <w:szCs w:val="16"/>
              </w:rPr>
              <w:t>Goods and services</w:t>
            </w:r>
          </w:p>
        </w:tc>
        <w:tc>
          <w:tcPr>
            <w:tcW w:w="883" w:type="dxa"/>
            <w:tcBorders>
              <w:top w:val="nil"/>
              <w:left w:val="nil"/>
              <w:bottom w:val="nil"/>
              <w:right w:val="nil"/>
            </w:tcBorders>
            <w:shd w:val="clear" w:color="auto" w:fill="auto"/>
            <w:noWrap/>
            <w:vAlign w:val="bottom"/>
            <w:hideMark/>
          </w:tcPr>
          <w:p w14:paraId="20DC2303"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16,749</w:t>
            </w:r>
          </w:p>
        </w:tc>
        <w:tc>
          <w:tcPr>
            <w:tcW w:w="850" w:type="dxa"/>
            <w:tcBorders>
              <w:top w:val="nil"/>
              <w:left w:val="nil"/>
              <w:bottom w:val="nil"/>
              <w:right w:val="nil"/>
            </w:tcBorders>
            <w:shd w:val="clear" w:color="000000" w:fill="D9D9D9"/>
            <w:noWrap/>
            <w:vAlign w:val="bottom"/>
            <w:hideMark/>
          </w:tcPr>
          <w:p w14:paraId="3837F16C"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16,668</w:t>
            </w:r>
          </w:p>
        </w:tc>
        <w:tc>
          <w:tcPr>
            <w:tcW w:w="865" w:type="dxa"/>
            <w:tcBorders>
              <w:top w:val="nil"/>
              <w:left w:val="nil"/>
              <w:bottom w:val="nil"/>
              <w:right w:val="nil"/>
            </w:tcBorders>
            <w:shd w:val="clear" w:color="auto" w:fill="auto"/>
            <w:noWrap/>
            <w:vAlign w:val="bottom"/>
            <w:hideMark/>
          </w:tcPr>
          <w:p w14:paraId="55359313"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16,709</w:t>
            </w:r>
          </w:p>
        </w:tc>
        <w:tc>
          <w:tcPr>
            <w:tcW w:w="865" w:type="dxa"/>
            <w:tcBorders>
              <w:top w:val="nil"/>
              <w:left w:val="nil"/>
              <w:bottom w:val="nil"/>
              <w:right w:val="nil"/>
            </w:tcBorders>
            <w:shd w:val="clear" w:color="auto" w:fill="auto"/>
            <w:noWrap/>
            <w:vAlign w:val="bottom"/>
            <w:hideMark/>
          </w:tcPr>
          <w:p w14:paraId="03582DC0"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16,709</w:t>
            </w:r>
          </w:p>
        </w:tc>
        <w:tc>
          <w:tcPr>
            <w:tcW w:w="865" w:type="dxa"/>
            <w:tcBorders>
              <w:top w:val="nil"/>
              <w:left w:val="nil"/>
              <w:bottom w:val="nil"/>
              <w:right w:val="nil"/>
            </w:tcBorders>
            <w:shd w:val="clear" w:color="auto" w:fill="auto"/>
            <w:noWrap/>
            <w:vAlign w:val="bottom"/>
            <w:hideMark/>
          </w:tcPr>
          <w:p w14:paraId="68DFDD2A"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16,709</w:t>
            </w:r>
          </w:p>
        </w:tc>
      </w:tr>
      <w:tr w:rsidR="00CD3E1E" w:rsidRPr="00CD3E1E" w14:paraId="05BA3C4B" w14:textId="77777777" w:rsidTr="00CD3E1E">
        <w:trPr>
          <w:trHeight w:val="225"/>
        </w:trPr>
        <w:tc>
          <w:tcPr>
            <w:tcW w:w="3052" w:type="dxa"/>
            <w:tcBorders>
              <w:top w:val="nil"/>
              <w:left w:val="nil"/>
              <w:bottom w:val="nil"/>
              <w:right w:val="nil"/>
            </w:tcBorders>
            <w:shd w:val="clear" w:color="auto" w:fill="auto"/>
            <w:noWrap/>
            <w:vAlign w:val="bottom"/>
            <w:hideMark/>
          </w:tcPr>
          <w:p w14:paraId="4B33D273" w14:textId="77777777" w:rsidR="00CD3E1E" w:rsidRPr="00CD3E1E" w:rsidRDefault="00CD3E1E" w:rsidP="00CD3E1E">
            <w:pPr>
              <w:spacing w:after="0"/>
              <w:ind w:firstLineChars="200" w:firstLine="320"/>
              <w:rPr>
                <w:rFonts w:ascii="Arial" w:hAnsi="Arial" w:cs="Arial"/>
                <w:sz w:val="16"/>
                <w:szCs w:val="16"/>
              </w:rPr>
            </w:pPr>
            <w:r w:rsidRPr="00CD3E1E">
              <w:rPr>
                <w:rFonts w:ascii="Arial" w:hAnsi="Arial" w:cs="Arial"/>
                <w:sz w:val="16"/>
                <w:szCs w:val="16"/>
              </w:rPr>
              <w:t>Appropriations</w:t>
            </w:r>
          </w:p>
        </w:tc>
        <w:tc>
          <w:tcPr>
            <w:tcW w:w="883" w:type="dxa"/>
            <w:tcBorders>
              <w:top w:val="nil"/>
              <w:left w:val="nil"/>
              <w:bottom w:val="nil"/>
              <w:right w:val="nil"/>
            </w:tcBorders>
            <w:shd w:val="clear" w:color="auto" w:fill="auto"/>
            <w:noWrap/>
            <w:vAlign w:val="bottom"/>
            <w:hideMark/>
          </w:tcPr>
          <w:p w14:paraId="1E1D646A"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36,809</w:t>
            </w:r>
          </w:p>
        </w:tc>
        <w:tc>
          <w:tcPr>
            <w:tcW w:w="850" w:type="dxa"/>
            <w:tcBorders>
              <w:top w:val="nil"/>
              <w:left w:val="nil"/>
              <w:bottom w:val="nil"/>
              <w:right w:val="nil"/>
            </w:tcBorders>
            <w:shd w:val="clear" w:color="000000" w:fill="D9D9D9"/>
            <w:noWrap/>
            <w:vAlign w:val="bottom"/>
            <w:hideMark/>
          </w:tcPr>
          <w:p w14:paraId="68A1F9CB"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37,414</w:t>
            </w:r>
          </w:p>
        </w:tc>
        <w:tc>
          <w:tcPr>
            <w:tcW w:w="865" w:type="dxa"/>
            <w:tcBorders>
              <w:top w:val="nil"/>
              <w:left w:val="nil"/>
              <w:bottom w:val="nil"/>
              <w:right w:val="nil"/>
            </w:tcBorders>
            <w:shd w:val="clear" w:color="auto" w:fill="auto"/>
            <w:noWrap/>
            <w:vAlign w:val="bottom"/>
            <w:hideMark/>
          </w:tcPr>
          <w:p w14:paraId="28F8BEEF"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38,350</w:t>
            </w:r>
          </w:p>
        </w:tc>
        <w:tc>
          <w:tcPr>
            <w:tcW w:w="865" w:type="dxa"/>
            <w:tcBorders>
              <w:top w:val="nil"/>
              <w:left w:val="nil"/>
              <w:bottom w:val="nil"/>
              <w:right w:val="nil"/>
            </w:tcBorders>
            <w:shd w:val="clear" w:color="auto" w:fill="auto"/>
            <w:noWrap/>
            <w:vAlign w:val="bottom"/>
            <w:hideMark/>
          </w:tcPr>
          <w:p w14:paraId="69C196A9"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38,963</w:t>
            </w:r>
          </w:p>
        </w:tc>
        <w:tc>
          <w:tcPr>
            <w:tcW w:w="865" w:type="dxa"/>
            <w:tcBorders>
              <w:top w:val="nil"/>
              <w:left w:val="nil"/>
              <w:bottom w:val="nil"/>
              <w:right w:val="nil"/>
            </w:tcBorders>
            <w:shd w:val="clear" w:color="auto" w:fill="auto"/>
            <w:noWrap/>
            <w:vAlign w:val="bottom"/>
            <w:hideMark/>
          </w:tcPr>
          <w:p w14:paraId="42BDC84E"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39,695</w:t>
            </w:r>
          </w:p>
        </w:tc>
      </w:tr>
      <w:tr w:rsidR="00CD3E1E" w:rsidRPr="00CD3E1E" w14:paraId="28765EB8" w14:textId="77777777" w:rsidTr="00CD3E1E">
        <w:trPr>
          <w:trHeight w:val="225"/>
        </w:trPr>
        <w:tc>
          <w:tcPr>
            <w:tcW w:w="3052" w:type="dxa"/>
            <w:tcBorders>
              <w:top w:val="nil"/>
              <w:left w:val="nil"/>
              <w:bottom w:val="nil"/>
              <w:right w:val="nil"/>
            </w:tcBorders>
            <w:shd w:val="clear" w:color="auto" w:fill="auto"/>
            <w:noWrap/>
            <w:vAlign w:val="bottom"/>
            <w:hideMark/>
          </w:tcPr>
          <w:p w14:paraId="54A7C88F" w14:textId="77777777" w:rsidR="00CD3E1E" w:rsidRPr="00CD3E1E" w:rsidRDefault="00CD3E1E" w:rsidP="00CD3E1E">
            <w:pPr>
              <w:spacing w:after="0"/>
              <w:ind w:firstLineChars="200" w:firstLine="320"/>
              <w:rPr>
                <w:rFonts w:ascii="Arial" w:hAnsi="Arial" w:cs="Arial"/>
                <w:sz w:val="16"/>
                <w:szCs w:val="16"/>
              </w:rPr>
            </w:pPr>
            <w:r w:rsidRPr="00CD3E1E">
              <w:rPr>
                <w:rFonts w:ascii="Arial" w:hAnsi="Arial" w:cs="Arial"/>
                <w:sz w:val="16"/>
                <w:szCs w:val="16"/>
              </w:rPr>
              <w:t>Net GST received</w:t>
            </w:r>
          </w:p>
        </w:tc>
        <w:tc>
          <w:tcPr>
            <w:tcW w:w="883" w:type="dxa"/>
            <w:tcBorders>
              <w:top w:val="nil"/>
              <w:left w:val="nil"/>
              <w:bottom w:val="nil"/>
              <w:right w:val="nil"/>
            </w:tcBorders>
            <w:shd w:val="clear" w:color="auto" w:fill="auto"/>
            <w:noWrap/>
            <w:vAlign w:val="bottom"/>
            <w:hideMark/>
          </w:tcPr>
          <w:p w14:paraId="43C60272"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w:t>
            </w:r>
          </w:p>
        </w:tc>
        <w:tc>
          <w:tcPr>
            <w:tcW w:w="850" w:type="dxa"/>
            <w:tcBorders>
              <w:top w:val="nil"/>
              <w:left w:val="nil"/>
              <w:bottom w:val="nil"/>
              <w:right w:val="nil"/>
            </w:tcBorders>
            <w:shd w:val="clear" w:color="000000" w:fill="D9D9D9"/>
            <w:noWrap/>
            <w:vAlign w:val="bottom"/>
            <w:hideMark/>
          </w:tcPr>
          <w:p w14:paraId="1E58A9DB"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w:t>
            </w:r>
          </w:p>
        </w:tc>
        <w:tc>
          <w:tcPr>
            <w:tcW w:w="865" w:type="dxa"/>
            <w:tcBorders>
              <w:top w:val="nil"/>
              <w:left w:val="nil"/>
              <w:bottom w:val="nil"/>
              <w:right w:val="nil"/>
            </w:tcBorders>
            <w:shd w:val="clear" w:color="auto" w:fill="auto"/>
            <w:noWrap/>
            <w:vAlign w:val="bottom"/>
            <w:hideMark/>
          </w:tcPr>
          <w:p w14:paraId="4A78F340"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w:t>
            </w:r>
          </w:p>
        </w:tc>
        <w:tc>
          <w:tcPr>
            <w:tcW w:w="865" w:type="dxa"/>
            <w:tcBorders>
              <w:top w:val="nil"/>
              <w:left w:val="nil"/>
              <w:bottom w:val="nil"/>
              <w:right w:val="nil"/>
            </w:tcBorders>
            <w:shd w:val="clear" w:color="auto" w:fill="auto"/>
            <w:noWrap/>
            <w:vAlign w:val="bottom"/>
            <w:hideMark/>
          </w:tcPr>
          <w:p w14:paraId="1D18BD09"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w:t>
            </w:r>
          </w:p>
        </w:tc>
        <w:tc>
          <w:tcPr>
            <w:tcW w:w="865" w:type="dxa"/>
            <w:tcBorders>
              <w:top w:val="nil"/>
              <w:left w:val="nil"/>
              <w:bottom w:val="nil"/>
              <w:right w:val="nil"/>
            </w:tcBorders>
            <w:shd w:val="clear" w:color="auto" w:fill="auto"/>
            <w:noWrap/>
            <w:vAlign w:val="bottom"/>
            <w:hideMark/>
          </w:tcPr>
          <w:p w14:paraId="5918D37E"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w:t>
            </w:r>
          </w:p>
        </w:tc>
      </w:tr>
      <w:tr w:rsidR="00CD3E1E" w:rsidRPr="00CD3E1E" w14:paraId="6865975B" w14:textId="77777777" w:rsidTr="00CD3E1E">
        <w:trPr>
          <w:trHeight w:val="225"/>
        </w:trPr>
        <w:tc>
          <w:tcPr>
            <w:tcW w:w="3052" w:type="dxa"/>
            <w:tcBorders>
              <w:top w:val="nil"/>
              <w:left w:val="nil"/>
              <w:bottom w:val="nil"/>
              <w:right w:val="nil"/>
            </w:tcBorders>
            <w:shd w:val="clear" w:color="auto" w:fill="auto"/>
            <w:noWrap/>
            <w:vAlign w:val="bottom"/>
            <w:hideMark/>
          </w:tcPr>
          <w:p w14:paraId="601C796E" w14:textId="77777777" w:rsidR="00CD3E1E" w:rsidRPr="00CD3E1E" w:rsidRDefault="00CD3E1E" w:rsidP="00CD3E1E">
            <w:pPr>
              <w:spacing w:after="0"/>
              <w:ind w:firstLineChars="200" w:firstLine="320"/>
              <w:rPr>
                <w:rFonts w:ascii="Arial" w:hAnsi="Arial" w:cs="Arial"/>
                <w:b/>
                <w:bCs/>
                <w:sz w:val="16"/>
                <w:szCs w:val="16"/>
              </w:rPr>
            </w:pPr>
            <w:r w:rsidRPr="00CD3E1E">
              <w:rPr>
                <w:rFonts w:ascii="Arial" w:hAnsi="Arial" w:cs="Arial"/>
                <w:b/>
                <w:bCs/>
                <w:sz w:val="16"/>
                <w:szCs w:val="16"/>
              </w:rPr>
              <w:t>Total cash received</w:t>
            </w:r>
          </w:p>
        </w:tc>
        <w:tc>
          <w:tcPr>
            <w:tcW w:w="883" w:type="dxa"/>
            <w:tcBorders>
              <w:top w:val="nil"/>
              <w:left w:val="nil"/>
              <w:bottom w:val="single" w:sz="4" w:space="0" w:color="auto"/>
              <w:right w:val="nil"/>
            </w:tcBorders>
            <w:shd w:val="clear" w:color="auto" w:fill="auto"/>
            <w:noWrap/>
            <w:vAlign w:val="bottom"/>
            <w:hideMark/>
          </w:tcPr>
          <w:p w14:paraId="3F6B60D4"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53,558</w:t>
            </w:r>
          </w:p>
        </w:tc>
        <w:tc>
          <w:tcPr>
            <w:tcW w:w="850" w:type="dxa"/>
            <w:tcBorders>
              <w:top w:val="nil"/>
              <w:left w:val="nil"/>
              <w:bottom w:val="single" w:sz="4" w:space="0" w:color="auto"/>
              <w:right w:val="nil"/>
            </w:tcBorders>
            <w:shd w:val="clear" w:color="000000" w:fill="D9D9D9"/>
            <w:noWrap/>
            <w:vAlign w:val="bottom"/>
            <w:hideMark/>
          </w:tcPr>
          <w:p w14:paraId="156E8620"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54,082</w:t>
            </w:r>
          </w:p>
        </w:tc>
        <w:tc>
          <w:tcPr>
            <w:tcW w:w="865" w:type="dxa"/>
            <w:tcBorders>
              <w:top w:val="nil"/>
              <w:left w:val="nil"/>
              <w:bottom w:val="single" w:sz="4" w:space="0" w:color="auto"/>
              <w:right w:val="nil"/>
            </w:tcBorders>
            <w:shd w:val="clear" w:color="auto" w:fill="auto"/>
            <w:noWrap/>
            <w:vAlign w:val="bottom"/>
            <w:hideMark/>
          </w:tcPr>
          <w:p w14:paraId="4C1C3CAF"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55,059</w:t>
            </w:r>
          </w:p>
        </w:tc>
        <w:tc>
          <w:tcPr>
            <w:tcW w:w="865" w:type="dxa"/>
            <w:tcBorders>
              <w:top w:val="nil"/>
              <w:left w:val="nil"/>
              <w:bottom w:val="single" w:sz="4" w:space="0" w:color="auto"/>
              <w:right w:val="nil"/>
            </w:tcBorders>
            <w:shd w:val="clear" w:color="auto" w:fill="auto"/>
            <w:noWrap/>
            <w:vAlign w:val="bottom"/>
            <w:hideMark/>
          </w:tcPr>
          <w:p w14:paraId="7250F537"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55,672</w:t>
            </w:r>
          </w:p>
        </w:tc>
        <w:tc>
          <w:tcPr>
            <w:tcW w:w="865" w:type="dxa"/>
            <w:tcBorders>
              <w:top w:val="nil"/>
              <w:left w:val="nil"/>
              <w:bottom w:val="single" w:sz="4" w:space="0" w:color="auto"/>
              <w:right w:val="nil"/>
            </w:tcBorders>
            <w:shd w:val="clear" w:color="auto" w:fill="auto"/>
            <w:noWrap/>
            <w:vAlign w:val="bottom"/>
            <w:hideMark/>
          </w:tcPr>
          <w:p w14:paraId="26DC318C"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56,404</w:t>
            </w:r>
          </w:p>
        </w:tc>
      </w:tr>
      <w:tr w:rsidR="00CD3E1E" w:rsidRPr="00CD3E1E" w14:paraId="553976C6" w14:textId="77777777" w:rsidTr="00CD3E1E">
        <w:trPr>
          <w:trHeight w:val="300"/>
        </w:trPr>
        <w:tc>
          <w:tcPr>
            <w:tcW w:w="3052" w:type="dxa"/>
            <w:tcBorders>
              <w:top w:val="nil"/>
              <w:left w:val="nil"/>
              <w:bottom w:val="nil"/>
              <w:right w:val="nil"/>
            </w:tcBorders>
            <w:shd w:val="clear" w:color="auto" w:fill="auto"/>
            <w:noWrap/>
            <w:vAlign w:val="bottom"/>
            <w:hideMark/>
          </w:tcPr>
          <w:p w14:paraId="1C6C738C" w14:textId="77777777" w:rsidR="00CD3E1E" w:rsidRPr="00CD3E1E" w:rsidRDefault="00CD3E1E" w:rsidP="00CD3E1E">
            <w:pPr>
              <w:spacing w:after="0"/>
              <w:ind w:firstLineChars="100" w:firstLine="160"/>
              <w:rPr>
                <w:rFonts w:ascii="Arial" w:hAnsi="Arial" w:cs="Arial"/>
                <w:b/>
                <w:bCs/>
                <w:sz w:val="16"/>
                <w:szCs w:val="16"/>
              </w:rPr>
            </w:pPr>
            <w:r w:rsidRPr="00CD3E1E">
              <w:rPr>
                <w:rFonts w:ascii="Arial" w:hAnsi="Arial" w:cs="Arial"/>
                <w:b/>
                <w:bCs/>
                <w:sz w:val="16"/>
                <w:szCs w:val="16"/>
              </w:rPr>
              <w:t>Cash used</w:t>
            </w:r>
          </w:p>
        </w:tc>
        <w:tc>
          <w:tcPr>
            <w:tcW w:w="883" w:type="dxa"/>
            <w:tcBorders>
              <w:top w:val="nil"/>
              <w:left w:val="nil"/>
              <w:bottom w:val="nil"/>
              <w:right w:val="nil"/>
            </w:tcBorders>
            <w:shd w:val="clear" w:color="auto" w:fill="auto"/>
            <w:noWrap/>
            <w:vAlign w:val="bottom"/>
            <w:hideMark/>
          </w:tcPr>
          <w:p w14:paraId="07999482" w14:textId="77777777" w:rsidR="00CD3E1E" w:rsidRPr="00CD3E1E" w:rsidRDefault="00CD3E1E" w:rsidP="00CD3E1E">
            <w:pPr>
              <w:spacing w:after="0"/>
              <w:ind w:firstLineChars="100" w:firstLine="160"/>
              <w:rPr>
                <w:rFonts w:ascii="Arial" w:hAnsi="Arial" w:cs="Arial"/>
                <w:b/>
                <w:bCs/>
                <w:sz w:val="16"/>
                <w:szCs w:val="16"/>
              </w:rPr>
            </w:pPr>
          </w:p>
        </w:tc>
        <w:tc>
          <w:tcPr>
            <w:tcW w:w="850" w:type="dxa"/>
            <w:tcBorders>
              <w:top w:val="nil"/>
              <w:left w:val="nil"/>
              <w:bottom w:val="nil"/>
              <w:right w:val="nil"/>
            </w:tcBorders>
            <w:shd w:val="clear" w:color="000000" w:fill="D9D9D9"/>
            <w:noWrap/>
            <w:vAlign w:val="bottom"/>
            <w:hideMark/>
          </w:tcPr>
          <w:p w14:paraId="29E3001E"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 </w:t>
            </w:r>
          </w:p>
        </w:tc>
        <w:tc>
          <w:tcPr>
            <w:tcW w:w="865" w:type="dxa"/>
            <w:tcBorders>
              <w:top w:val="nil"/>
              <w:left w:val="nil"/>
              <w:bottom w:val="nil"/>
              <w:right w:val="nil"/>
            </w:tcBorders>
            <w:shd w:val="clear" w:color="auto" w:fill="auto"/>
            <w:noWrap/>
            <w:vAlign w:val="bottom"/>
            <w:hideMark/>
          </w:tcPr>
          <w:p w14:paraId="04883DEB" w14:textId="77777777" w:rsidR="00CD3E1E" w:rsidRPr="00CD3E1E" w:rsidRDefault="00CD3E1E" w:rsidP="00CD3E1E">
            <w:pPr>
              <w:spacing w:after="0"/>
              <w:jc w:val="right"/>
              <w:rPr>
                <w:rFonts w:ascii="Arial" w:hAnsi="Arial" w:cs="Arial"/>
                <w:sz w:val="16"/>
                <w:szCs w:val="16"/>
              </w:rPr>
            </w:pPr>
          </w:p>
        </w:tc>
        <w:tc>
          <w:tcPr>
            <w:tcW w:w="865" w:type="dxa"/>
            <w:tcBorders>
              <w:top w:val="nil"/>
              <w:left w:val="nil"/>
              <w:bottom w:val="nil"/>
              <w:right w:val="nil"/>
            </w:tcBorders>
            <w:shd w:val="clear" w:color="auto" w:fill="auto"/>
            <w:noWrap/>
            <w:vAlign w:val="bottom"/>
            <w:hideMark/>
          </w:tcPr>
          <w:p w14:paraId="79BC0AA1" w14:textId="77777777" w:rsidR="00CD3E1E" w:rsidRPr="00CD3E1E" w:rsidRDefault="00CD3E1E" w:rsidP="00CD3E1E">
            <w:pPr>
              <w:spacing w:after="0"/>
              <w:jc w:val="right"/>
              <w:rPr>
                <w:rFonts w:ascii="Times New Roman" w:hAnsi="Times New Roman"/>
                <w:color w:val="auto"/>
                <w:sz w:val="20"/>
              </w:rPr>
            </w:pPr>
          </w:p>
        </w:tc>
        <w:tc>
          <w:tcPr>
            <w:tcW w:w="865" w:type="dxa"/>
            <w:tcBorders>
              <w:top w:val="nil"/>
              <w:left w:val="nil"/>
              <w:bottom w:val="nil"/>
              <w:right w:val="nil"/>
            </w:tcBorders>
            <w:shd w:val="clear" w:color="auto" w:fill="auto"/>
            <w:noWrap/>
            <w:vAlign w:val="bottom"/>
            <w:hideMark/>
          </w:tcPr>
          <w:p w14:paraId="3DF0AD69" w14:textId="77777777" w:rsidR="00CD3E1E" w:rsidRPr="00CD3E1E" w:rsidRDefault="00CD3E1E" w:rsidP="00CD3E1E">
            <w:pPr>
              <w:spacing w:after="0"/>
              <w:jc w:val="right"/>
              <w:rPr>
                <w:rFonts w:ascii="Times New Roman" w:hAnsi="Times New Roman"/>
                <w:color w:val="auto"/>
                <w:sz w:val="20"/>
              </w:rPr>
            </w:pPr>
          </w:p>
        </w:tc>
      </w:tr>
      <w:tr w:rsidR="00CD3E1E" w:rsidRPr="00CD3E1E" w14:paraId="578D95D7" w14:textId="77777777" w:rsidTr="00CD3E1E">
        <w:trPr>
          <w:trHeight w:val="225"/>
        </w:trPr>
        <w:tc>
          <w:tcPr>
            <w:tcW w:w="3052" w:type="dxa"/>
            <w:tcBorders>
              <w:top w:val="nil"/>
              <w:left w:val="nil"/>
              <w:bottom w:val="nil"/>
              <w:right w:val="nil"/>
            </w:tcBorders>
            <w:shd w:val="clear" w:color="auto" w:fill="auto"/>
            <w:noWrap/>
            <w:vAlign w:val="bottom"/>
            <w:hideMark/>
          </w:tcPr>
          <w:p w14:paraId="188E7DC6" w14:textId="77777777" w:rsidR="00CD3E1E" w:rsidRPr="00CD3E1E" w:rsidRDefault="00CD3E1E" w:rsidP="00CD3E1E">
            <w:pPr>
              <w:spacing w:after="0"/>
              <w:ind w:firstLineChars="200" w:firstLine="320"/>
              <w:rPr>
                <w:rFonts w:ascii="Arial" w:hAnsi="Arial" w:cs="Arial"/>
                <w:sz w:val="16"/>
                <w:szCs w:val="16"/>
              </w:rPr>
            </w:pPr>
            <w:r w:rsidRPr="00CD3E1E">
              <w:rPr>
                <w:rFonts w:ascii="Arial" w:hAnsi="Arial" w:cs="Arial"/>
                <w:sz w:val="16"/>
                <w:szCs w:val="16"/>
              </w:rPr>
              <w:t>Employees</w:t>
            </w:r>
          </w:p>
        </w:tc>
        <w:tc>
          <w:tcPr>
            <w:tcW w:w="883" w:type="dxa"/>
            <w:tcBorders>
              <w:top w:val="nil"/>
              <w:left w:val="nil"/>
              <w:bottom w:val="nil"/>
              <w:right w:val="nil"/>
            </w:tcBorders>
            <w:shd w:val="clear" w:color="auto" w:fill="auto"/>
            <w:noWrap/>
            <w:vAlign w:val="bottom"/>
            <w:hideMark/>
          </w:tcPr>
          <w:p w14:paraId="2D7BC15D"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26,656</w:t>
            </w:r>
          </w:p>
        </w:tc>
        <w:tc>
          <w:tcPr>
            <w:tcW w:w="850" w:type="dxa"/>
            <w:tcBorders>
              <w:top w:val="nil"/>
              <w:left w:val="nil"/>
              <w:bottom w:val="nil"/>
              <w:right w:val="nil"/>
            </w:tcBorders>
            <w:shd w:val="clear" w:color="000000" w:fill="D9D9D9"/>
            <w:noWrap/>
            <w:vAlign w:val="bottom"/>
            <w:hideMark/>
          </w:tcPr>
          <w:p w14:paraId="7FB5DB9B"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27,456</w:t>
            </w:r>
          </w:p>
        </w:tc>
        <w:tc>
          <w:tcPr>
            <w:tcW w:w="865" w:type="dxa"/>
            <w:tcBorders>
              <w:top w:val="nil"/>
              <w:left w:val="nil"/>
              <w:bottom w:val="nil"/>
              <w:right w:val="nil"/>
            </w:tcBorders>
            <w:shd w:val="clear" w:color="auto" w:fill="auto"/>
            <w:noWrap/>
            <w:vAlign w:val="bottom"/>
            <w:hideMark/>
          </w:tcPr>
          <w:p w14:paraId="7EB6CCCE"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28,280</w:t>
            </w:r>
          </w:p>
        </w:tc>
        <w:tc>
          <w:tcPr>
            <w:tcW w:w="865" w:type="dxa"/>
            <w:tcBorders>
              <w:top w:val="nil"/>
              <w:left w:val="nil"/>
              <w:bottom w:val="nil"/>
              <w:right w:val="nil"/>
            </w:tcBorders>
            <w:shd w:val="clear" w:color="auto" w:fill="auto"/>
            <w:noWrap/>
            <w:vAlign w:val="bottom"/>
            <w:hideMark/>
          </w:tcPr>
          <w:p w14:paraId="45DBF2A5"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29,128</w:t>
            </w:r>
          </w:p>
        </w:tc>
        <w:tc>
          <w:tcPr>
            <w:tcW w:w="865" w:type="dxa"/>
            <w:tcBorders>
              <w:top w:val="nil"/>
              <w:left w:val="nil"/>
              <w:bottom w:val="nil"/>
              <w:right w:val="nil"/>
            </w:tcBorders>
            <w:shd w:val="clear" w:color="auto" w:fill="auto"/>
            <w:noWrap/>
            <w:vAlign w:val="bottom"/>
            <w:hideMark/>
          </w:tcPr>
          <w:p w14:paraId="21F88EDE"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30,002</w:t>
            </w:r>
          </w:p>
        </w:tc>
      </w:tr>
      <w:tr w:rsidR="00CD3E1E" w:rsidRPr="00CD3E1E" w14:paraId="1AB7491D" w14:textId="77777777" w:rsidTr="00CD3E1E">
        <w:trPr>
          <w:trHeight w:val="225"/>
        </w:trPr>
        <w:tc>
          <w:tcPr>
            <w:tcW w:w="3052" w:type="dxa"/>
            <w:tcBorders>
              <w:top w:val="nil"/>
              <w:left w:val="nil"/>
              <w:bottom w:val="nil"/>
              <w:right w:val="nil"/>
            </w:tcBorders>
            <w:shd w:val="clear" w:color="auto" w:fill="auto"/>
            <w:noWrap/>
            <w:vAlign w:val="bottom"/>
            <w:hideMark/>
          </w:tcPr>
          <w:p w14:paraId="6DBA45F9" w14:textId="77777777" w:rsidR="00CD3E1E" w:rsidRPr="00CD3E1E" w:rsidRDefault="00CD3E1E" w:rsidP="00CD3E1E">
            <w:pPr>
              <w:spacing w:after="0"/>
              <w:ind w:firstLineChars="200" w:firstLine="320"/>
              <w:rPr>
                <w:rFonts w:ascii="Arial" w:hAnsi="Arial" w:cs="Arial"/>
                <w:sz w:val="16"/>
                <w:szCs w:val="16"/>
              </w:rPr>
            </w:pPr>
            <w:r w:rsidRPr="00CD3E1E">
              <w:rPr>
                <w:rFonts w:ascii="Arial" w:hAnsi="Arial" w:cs="Arial"/>
                <w:sz w:val="16"/>
                <w:szCs w:val="16"/>
              </w:rPr>
              <w:t>Suppliers</w:t>
            </w:r>
          </w:p>
        </w:tc>
        <w:tc>
          <w:tcPr>
            <w:tcW w:w="883" w:type="dxa"/>
            <w:tcBorders>
              <w:top w:val="nil"/>
              <w:left w:val="nil"/>
              <w:bottom w:val="nil"/>
              <w:right w:val="nil"/>
            </w:tcBorders>
            <w:shd w:val="clear" w:color="auto" w:fill="auto"/>
            <w:noWrap/>
            <w:vAlign w:val="bottom"/>
            <w:hideMark/>
          </w:tcPr>
          <w:p w14:paraId="1E1B5EBD"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23,762</w:t>
            </w:r>
          </w:p>
        </w:tc>
        <w:tc>
          <w:tcPr>
            <w:tcW w:w="850" w:type="dxa"/>
            <w:tcBorders>
              <w:top w:val="nil"/>
              <w:left w:val="nil"/>
              <w:bottom w:val="nil"/>
              <w:right w:val="nil"/>
            </w:tcBorders>
            <w:shd w:val="clear" w:color="000000" w:fill="D9D9D9"/>
            <w:noWrap/>
            <w:vAlign w:val="bottom"/>
            <w:hideMark/>
          </w:tcPr>
          <w:p w14:paraId="1B0E471D"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23,896</w:t>
            </w:r>
          </w:p>
        </w:tc>
        <w:tc>
          <w:tcPr>
            <w:tcW w:w="865" w:type="dxa"/>
            <w:tcBorders>
              <w:top w:val="nil"/>
              <w:left w:val="nil"/>
              <w:bottom w:val="nil"/>
              <w:right w:val="nil"/>
            </w:tcBorders>
            <w:shd w:val="clear" w:color="auto" w:fill="auto"/>
            <w:noWrap/>
            <w:vAlign w:val="bottom"/>
            <w:hideMark/>
          </w:tcPr>
          <w:p w14:paraId="0DCADDD5"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23,958</w:t>
            </w:r>
          </w:p>
        </w:tc>
        <w:tc>
          <w:tcPr>
            <w:tcW w:w="865" w:type="dxa"/>
            <w:tcBorders>
              <w:top w:val="nil"/>
              <w:left w:val="nil"/>
              <w:bottom w:val="nil"/>
              <w:right w:val="nil"/>
            </w:tcBorders>
            <w:shd w:val="clear" w:color="auto" w:fill="auto"/>
            <w:noWrap/>
            <w:vAlign w:val="bottom"/>
            <w:hideMark/>
          </w:tcPr>
          <w:p w14:paraId="3AACF3FE"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23,702</w:t>
            </w:r>
          </w:p>
        </w:tc>
        <w:tc>
          <w:tcPr>
            <w:tcW w:w="865" w:type="dxa"/>
            <w:tcBorders>
              <w:top w:val="nil"/>
              <w:left w:val="nil"/>
              <w:bottom w:val="nil"/>
              <w:right w:val="nil"/>
            </w:tcBorders>
            <w:shd w:val="clear" w:color="auto" w:fill="auto"/>
            <w:noWrap/>
            <w:vAlign w:val="bottom"/>
            <w:hideMark/>
          </w:tcPr>
          <w:p w14:paraId="18193948"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23,541</w:t>
            </w:r>
          </w:p>
        </w:tc>
      </w:tr>
      <w:tr w:rsidR="00CD3E1E" w:rsidRPr="00CD3E1E" w14:paraId="4CF5F7A0" w14:textId="77777777" w:rsidTr="00CD3E1E">
        <w:trPr>
          <w:trHeight w:val="225"/>
        </w:trPr>
        <w:tc>
          <w:tcPr>
            <w:tcW w:w="3052" w:type="dxa"/>
            <w:tcBorders>
              <w:top w:val="nil"/>
              <w:left w:val="nil"/>
              <w:bottom w:val="nil"/>
              <w:right w:val="nil"/>
            </w:tcBorders>
            <w:shd w:val="clear" w:color="auto" w:fill="auto"/>
            <w:noWrap/>
            <w:vAlign w:val="bottom"/>
            <w:hideMark/>
          </w:tcPr>
          <w:p w14:paraId="047C9BBB" w14:textId="77777777" w:rsidR="00CD3E1E" w:rsidRPr="00CD3E1E" w:rsidRDefault="00CD3E1E" w:rsidP="00CD3E1E">
            <w:pPr>
              <w:spacing w:after="0"/>
              <w:ind w:firstLineChars="200" w:firstLine="320"/>
              <w:rPr>
                <w:rFonts w:ascii="Arial" w:hAnsi="Arial" w:cs="Arial"/>
                <w:sz w:val="16"/>
                <w:szCs w:val="16"/>
              </w:rPr>
            </w:pPr>
            <w:r w:rsidRPr="00CD3E1E">
              <w:rPr>
                <w:rFonts w:ascii="Arial" w:hAnsi="Arial" w:cs="Arial"/>
                <w:sz w:val="16"/>
                <w:szCs w:val="16"/>
              </w:rPr>
              <w:t>Cash to the OPA</w:t>
            </w:r>
          </w:p>
        </w:tc>
        <w:tc>
          <w:tcPr>
            <w:tcW w:w="883" w:type="dxa"/>
            <w:tcBorders>
              <w:top w:val="nil"/>
              <w:left w:val="nil"/>
              <w:bottom w:val="nil"/>
              <w:right w:val="nil"/>
            </w:tcBorders>
            <w:shd w:val="clear" w:color="auto" w:fill="auto"/>
            <w:noWrap/>
            <w:vAlign w:val="bottom"/>
            <w:hideMark/>
          </w:tcPr>
          <w:p w14:paraId="3B6EFF45"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w:t>
            </w:r>
          </w:p>
        </w:tc>
        <w:tc>
          <w:tcPr>
            <w:tcW w:w="850" w:type="dxa"/>
            <w:tcBorders>
              <w:top w:val="nil"/>
              <w:left w:val="nil"/>
              <w:bottom w:val="nil"/>
              <w:right w:val="nil"/>
            </w:tcBorders>
            <w:shd w:val="clear" w:color="000000" w:fill="D9D9D9"/>
            <w:noWrap/>
            <w:vAlign w:val="bottom"/>
            <w:hideMark/>
          </w:tcPr>
          <w:p w14:paraId="2C43C598"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w:t>
            </w:r>
          </w:p>
        </w:tc>
        <w:tc>
          <w:tcPr>
            <w:tcW w:w="865" w:type="dxa"/>
            <w:tcBorders>
              <w:top w:val="nil"/>
              <w:left w:val="nil"/>
              <w:bottom w:val="nil"/>
              <w:right w:val="nil"/>
            </w:tcBorders>
            <w:shd w:val="clear" w:color="auto" w:fill="auto"/>
            <w:noWrap/>
            <w:vAlign w:val="bottom"/>
            <w:hideMark/>
          </w:tcPr>
          <w:p w14:paraId="3F0035A8"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w:t>
            </w:r>
          </w:p>
        </w:tc>
        <w:tc>
          <w:tcPr>
            <w:tcW w:w="865" w:type="dxa"/>
            <w:tcBorders>
              <w:top w:val="nil"/>
              <w:left w:val="nil"/>
              <w:bottom w:val="nil"/>
              <w:right w:val="nil"/>
            </w:tcBorders>
            <w:shd w:val="clear" w:color="auto" w:fill="auto"/>
            <w:noWrap/>
            <w:vAlign w:val="bottom"/>
            <w:hideMark/>
          </w:tcPr>
          <w:p w14:paraId="061734EB"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w:t>
            </w:r>
          </w:p>
        </w:tc>
        <w:tc>
          <w:tcPr>
            <w:tcW w:w="865" w:type="dxa"/>
            <w:tcBorders>
              <w:top w:val="nil"/>
              <w:left w:val="nil"/>
              <w:bottom w:val="nil"/>
              <w:right w:val="nil"/>
            </w:tcBorders>
            <w:shd w:val="clear" w:color="auto" w:fill="auto"/>
            <w:noWrap/>
            <w:vAlign w:val="bottom"/>
            <w:hideMark/>
          </w:tcPr>
          <w:p w14:paraId="4355C867"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w:t>
            </w:r>
          </w:p>
        </w:tc>
      </w:tr>
      <w:tr w:rsidR="00CD3E1E" w:rsidRPr="00CD3E1E" w14:paraId="2EC4C049" w14:textId="77777777" w:rsidTr="00CD3E1E">
        <w:trPr>
          <w:trHeight w:val="225"/>
        </w:trPr>
        <w:tc>
          <w:tcPr>
            <w:tcW w:w="3052" w:type="dxa"/>
            <w:tcBorders>
              <w:top w:val="nil"/>
              <w:left w:val="nil"/>
              <w:bottom w:val="nil"/>
              <w:right w:val="nil"/>
            </w:tcBorders>
            <w:shd w:val="clear" w:color="auto" w:fill="auto"/>
            <w:noWrap/>
            <w:vAlign w:val="bottom"/>
            <w:hideMark/>
          </w:tcPr>
          <w:p w14:paraId="132997A9" w14:textId="77777777" w:rsidR="00CD3E1E" w:rsidRPr="00CD3E1E" w:rsidRDefault="00CD3E1E" w:rsidP="00CD3E1E">
            <w:pPr>
              <w:spacing w:after="0"/>
              <w:ind w:firstLineChars="200" w:firstLine="320"/>
              <w:rPr>
                <w:rFonts w:ascii="Arial" w:hAnsi="Arial" w:cs="Arial"/>
                <w:sz w:val="16"/>
                <w:szCs w:val="16"/>
              </w:rPr>
            </w:pPr>
            <w:r w:rsidRPr="00CD3E1E">
              <w:rPr>
                <w:rFonts w:ascii="Arial" w:hAnsi="Arial" w:cs="Arial"/>
                <w:sz w:val="16"/>
                <w:szCs w:val="16"/>
              </w:rPr>
              <w:t>Interest payments on lease liability</w:t>
            </w:r>
          </w:p>
        </w:tc>
        <w:tc>
          <w:tcPr>
            <w:tcW w:w="883" w:type="dxa"/>
            <w:tcBorders>
              <w:top w:val="nil"/>
              <w:left w:val="nil"/>
              <w:bottom w:val="nil"/>
              <w:right w:val="nil"/>
            </w:tcBorders>
            <w:shd w:val="clear" w:color="auto" w:fill="auto"/>
            <w:noWrap/>
            <w:vAlign w:val="bottom"/>
            <w:hideMark/>
          </w:tcPr>
          <w:p w14:paraId="3DABDC67"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175</w:t>
            </w:r>
          </w:p>
        </w:tc>
        <w:tc>
          <w:tcPr>
            <w:tcW w:w="850" w:type="dxa"/>
            <w:tcBorders>
              <w:top w:val="nil"/>
              <w:left w:val="nil"/>
              <w:bottom w:val="nil"/>
              <w:right w:val="nil"/>
            </w:tcBorders>
            <w:shd w:val="clear" w:color="000000" w:fill="D9D9D9"/>
            <w:noWrap/>
            <w:vAlign w:val="bottom"/>
            <w:hideMark/>
          </w:tcPr>
          <w:p w14:paraId="05332321"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149</w:t>
            </w:r>
          </w:p>
        </w:tc>
        <w:tc>
          <w:tcPr>
            <w:tcW w:w="865" w:type="dxa"/>
            <w:tcBorders>
              <w:top w:val="nil"/>
              <w:left w:val="nil"/>
              <w:bottom w:val="nil"/>
              <w:right w:val="nil"/>
            </w:tcBorders>
            <w:shd w:val="clear" w:color="auto" w:fill="auto"/>
            <w:noWrap/>
            <w:vAlign w:val="bottom"/>
            <w:hideMark/>
          </w:tcPr>
          <w:p w14:paraId="15D755F3"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121</w:t>
            </w:r>
          </w:p>
        </w:tc>
        <w:tc>
          <w:tcPr>
            <w:tcW w:w="865" w:type="dxa"/>
            <w:tcBorders>
              <w:top w:val="nil"/>
              <w:left w:val="nil"/>
              <w:bottom w:val="nil"/>
              <w:right w:val="nil"/>
            </w:tcBorders>
            <w:shd w:val="clear" w:color="auto" w:fill="auto"/>
            <w:noWrap/>
            <w:vAlign w:val="bottom"/>
            <w:hideMark/>
          </w:tcPr>
          <w:p w14:paraId="0108FE28"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92</w:t>
            </w:r>
          </w:p>
        </w:tc>
        <w:tc>
          <w:tcPr>
            <w:tcW w:w="865" w:type="dxa"/>
            <w:tcBorders>
              <w:top w:val="nil"/>
              <w:left w:val="nil"/>
              <w:bottom w:val="nil"/>
              <w:right w:val="nil"/>
            </w:tcBorders>
            <w:shd w:val="clear" w:color="auto" w:fill="auto"/>
            <w:noWrap/>
            <w:vAlign w:val="bottom"/>
            <w:hideMark/>
          </w:tcPr>
          <w:p w14:paraId="510B04D2"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61</w:t>
            </w:r>
          </w:p>
        </w:tc>
      </w:tr>
      <w:tr w:rsidR="00CD3E1E" w:rsidRPr="00CD3E1E" w14:paraId="7358C4BD" w14:textId="77777777" w:rsidTr="00CD3E1E">
        <w:trPr>
          <w:trHeight w:val="225"/>
        </w:trPr>
        <w:tc>
          <w:tcPr>
            <w:tcW w:w="3052" w:type="dxa"/>
            <w:tcBorders>
              <w:top w:val="nil"/>
              <w:left w:val="nil"/>
              <w:bottom w:val="nil"/>
              <w:right w:val="nil"/>
            </w:tcBorders>
            <w:shd w:val="clear" w:color="auto" w:fill="auto"/>
            <w:noWrap/>
            <w:vAlign w:val="bottom"/>
            <w:hideMark/>
          </w:tcPr>
          <w:p w14:paraId="4D118736" w14:textId="77777777" w:rsidR="00CD3E1E" w:rsidRPr="00CD3E1E" w:rsidRDefault="00CD3E1E" w:rsidP="00CD3E1E">
            <w:pPr>
              <w:spacing w:after="0"/>
              <w:ind w:firstLineChars="200" w:firstLine="320"/>
              <w:rPr>
                <w:rFonts w:ascii="Arial" w:hAnsi="Arial" w:cs="Arial"/>
                <w:b/>
                <w:bCs/>
                <w:sz w:val="16"/>
                <w:szCs w:val="16"/>
              </w:rPr>
            </w:pPr>
            <w:r w:rsidRPr="00CD3E1E">
              <w:rPr>
                <w:rFonts w:ascii="Arial" w:hAnsi="Arial" w:cs="Arial"/>
                <w:b/>
                <w:bCs/>
                <w:sz w:val="16"/>
                <w:szCs w:val="16"/>
              </w:rPr>
              <w:t>Total cash used</w:t>
            </w:r>
          </w:p>
        </w:tc>
        <w:tc>
          <w:tcPr>
            <w:tcW w:w="883" w:type="dxa"/>
            <w:tcBorders>
              <w:top w:val="nil"/>
              <w:left w:val="nil"/>
              <w:bottom w:val="single" w:sz="4" w:space="0" w:color="auto"/>
              <w:right w:val="nil"/>
            </w:tcBorders>
            <w:shd w:val="clear" w:color="auto" w:fill="auto"/>
            <w:noWrap/>
            <w:vAlign w:val="bottom"/>
            <w:hideMark/>
          </w:tcPr>
          <w:p w14:paraId="347D0287"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50,593</w:t>
            </w:r>
          </w:p>
        </w:tc>
        <w:tc>
          <w:tcPr>
            <w:tcW w:w="850" w:type="dxa"/>
            <w:tcBorders>
              <w:top w:val="nil"/>
              <w:left w:val="nil"/>
              <w:bottom w:val="single" w:sz="4" w:space="0" w:color="auto"/>
              <w:right w:val="nil"/>
            </w:tcBorders>
            <w:shd w:val="clear" w:color="000000" w:fill="D9D9D9"/>
            <w:noWrap/>
            <w:vAlign w:val="bottom"/>
            <w:hideMark/>
          </w:tcPr>
          <w:p w14:paraId="3AD6BBB3"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51,501</w:t>
            </w:r>
          </w:p>
        </w:tc>
        <w:tc>
          <w:tcPr>
            <w:tcW w:w="865" w:type="dxa"/>
            <w:tcBorders>
              <w:top w:val="nil"/>
              <w:left w:val="nil"/>
              <w:bottom w:val="single" w:sz="4" w:space="0" w:color="auto"/>
              <w:right w:val="nil"/>
            </w:tcBorders>
            <w:shd w:val="clear" w:color="auto" w:fill="auto"/>
            <w:noWrap/>
            <w:vAlign w:val="bottom"/>
            <w:hideMark/>
          </w:tcPr>
          <w:p w14:paraId="5AEBA6E1"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52,359</w:t>
            </w:r>
          </w:p>
        </w:tc>
        <w:tc>
          <w:tcPr>
            <w:tcW w:w="865" w:type="dxa"/>
            <w:tcBorders>
              <w:top w:val="nil"/>
              <w:left w:val="nil"/>
              <w:bottom w:val="single" w:sz="4" w:space="0" w:color="auto"/>
              <w:right w:val="nil"/>
            </w:tcBorders>
            <w:shd w:val="clear" w:color="auto" w:fill="auto"/>
            <w:noWrap/>
            <w:vAlign w:val="bottom"/>
            <w:hideMark/>
          </w:tcPr>
          <w:p w14:paraId="1D6DF250"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52,922</w:t>
            </w:r>
          </w:p>
        </w:tc>
        <w:tc>
          <w:tcPr>
            <w:tcW w:w="865" w:type="dxa"/>
            <w:tcBorders>
              <w:top w:val="nil"/>
              <w:left w:val="nil"/>
              <w:bottom w:val="single" w:sz="4" w:space="0" w:color="auto"/>
              <w:right w:val="nil"/>
            </w:tcBorders>
            <w:shd w:val="clear" w:color="auto" w:fill="auto"/>
            <w:noWrap/>
            <w:vAlign w:val="bottom"/>
            <w:hideMark/>
          </w:tcPr>
          <w:p w14:paraId="1DF5A21C"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53,604</w:t>
            </w:r>
          </w:p>
        </w:tc>
      </w:tr>
      <w:tr w:rsidR="00CD3E1E" w:rsidRPr="00CD3E1E" w14:paraId="23F0F4D5" w14:textId="77777777" w:rsidTr="00CD3E1E">
        <w:trPr>
          <w:trHeight w:val="525"/>
        </w:trPr>
        <w:tc>
          <w:tcPr>
            <w:tcW w:w="3052" w:type="dxa"/>
            <w:tcBorders>
              <w:top w:val="nil"/>
              <w:left w:val="nil"/>
              <w:bottom w:val="nil"/>
              <w:right w:val="nil"/>
            </w:tcBorders>
            <w:shd w:val="clear" w:color="auto" w:fill="auto"/>
            <w:vAlign w:val="bottom"/>
            <w:hideMark/>
          </w:tcPr>
          <w:p w14:paraId="2F808C2F" w14:textId="77777777" w:rsidR="00CD3E1E" w:rsidRPr="00CD3E1E" w:rsidRDefault="00CD3E1E" w:rsidP="00CD3E1E">
            <w:pPr>
              <w:spacing w:after="0"/>
              <w:ind w:leftChars="75" w:left="143"/>
              <w:rPr>
                <w:rFonts w:ascii="Arial" w:hAnsi="Arial" w:cs="Arial"/>
                <w:b/>
                <w:bCs/>
                <w:sz w:val="16"/>
                <w:szCs w:val="16"/>
              </w:rPr>
            </w:pPr>
            <w:r w:rsidRPr="00CD3E1E">
              <w:rPr>
                <w:rFonts w:ascii="Arial" w:hAnsi="Arial" w:cs="Arial"/>
                <w:b/>
                <w:bCs/>
                <w:sz w:val="16"/>
                <w:szCs w:val="16"/>
              </w:rPr>
              <w:t>Net cash from (or used by) operating activities</w:t>
            </w:r>
          </w:p>
        </w:tc>
        <w:tc>
          <w:tcPr>
            <w:tcW w:w="883" w:type="dxa"/>
            <w:tcBorders>
              <w:top w:val="nil"/>
              <w:left w:val="nil"/>
              <w:bottom w:val="single" w:sz="4" w:space="0" w:color="auto"/>
              <w:right w:val="nil"/>
            </w:tcBorders>
            <w:shd w:val="clear" w:color="auto" w:fill="auto"/>
            <w:noWrap/>
            <w:vAlign w:val="bottom"/>
            <w:hideMark/>
          </w:tcPr>
          <w:p w14:paraId="718EB4EC"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2,965</w:t>
            </w:r>
          </w:p>
        </w:tc>
        <w:tc>
          <w:tcPr>
            <w:tcW w:w="850" w:type="dxa"/>
            <w:tcBorders>
              <w:top w:val="nil"/>
              <w:left w:val="nil"/>
              <w:bottom w:val="single" w:sz="4" w:space="0" w:color="auto"/>
              <w:right w:val="nil"/>
            </w:tcBorders>
            <w:shd w:val="clear" w:color="000000" w:fill="D9D9D9"/>
            <w:noWrap/>
            <w:vAlign w:val="bottom"/>
            <w:hideMark/>
          </w:tcPr>
          <w:p w14:paraId="0ABFB760"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2,581</w:t>
            </w:r>
          </w:p>
        </w:tc>
        <w:tc>
          <w:tcPr>
            <w:tcW w:w="865" w:type="dxa"/>
            <w:tcBorders>
              <w:top w:val="nil"/>
              <w:left w:val="nil"/>
              <w:bottom w:val="single" w:sz="4" w:space="0" w:color="auto"/>
              <w:right w:val="nil"/>
            </w:tcBorders>
            <w:shd w:val="clear" w:color="auto" w:fill="auto"/>
            <w:noWrap/>
            <w:vAlign w:val="bottom"/>
            <w:hideMark/>
          </w:tcPr>
          <w:p w14:paraId="77EA983E"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2,700</w:t>
            </w:r>
          </w:p>
        </w:tc>
        <w:tc>
          <w:tcPr>
            <w:tcW w:w="865" w:type="dxa"/>
            <w:tcBorders>
              <w:top w:val="nil"/>
              <w:left w:val="nil"/>
              <w:bottom w:val="single" w:sz="4" w:space="0" w:color="auto"/>
              <w:right w:val="nil"/>
            </w:tcBorders>
            <w:shd w:val="clear" w:color="auto" w:fill="auto"/>
            <w:noWrap/>
            <w:vAlign w:val="bottom"/>
            <w:hideMark/>
          </w:tcPr>
          <w:p w14:paraId="7DDF6F77"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2,750</w:t>
            </w:r>
          </w:p>
        </w:tc>
        <w:tc>
          <w:tcPr>
            <w:tcW w:w="865" w:type="dxa"/>
            <w:tcBorders>
              <w:top w:val="nil"/>
              <w:left w:val="nil"/>
              <w:bottom w:val="single" w:sz="4" w:space="0" w:color="auto"/>
              <w:right w:val="nil"/>
            </w:tcBorders>
            <w:shd w:val="clear" w:color="auto" w:fill="auto"/>
            <w:noWrap/>
            <w:vAlign w:val="bottom"/>
            <w:hideMark/>
          </w:tcPr>
          <w:p w14:paraId="7FC42CA0"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2,800</w:t>
            </w:r>
          </w:p>
        </w:tc>
      </w:tr>
      <w:tr w:rsidR="00CD3E1E" w:rsidRPr="00CD3E1E" w14:paraId="4E620E82" w14:textId="77777777" w:rsidTr="00CD3E1E">
        <w:trPr>
          <w:trHeight w:val="300"/>
        </w:trPr>
        <w:tc>
          <w:tcPr>
            <w:tcW w:w="3052" w:type="dxa"/>
            <w:tcBorders>
              <w:top w:val="nil"/>
              <w:left w:val="nil"/>
              <w:bottom w:val="nil"/>
              <w:right w:val="nil"/>
            </w:tcBorders>
            <w:shd w:val="clear" w:color="auto" w:fill="auto"/>
            <w:noWrap/>
            <w:vAlign w:val="bottom"/>
            <w:hideMark/>
          </w:tcPr>
          <w:p w14:paraId="6DED48D9" w14:textId="77777777" w:rsidR="00CD3E1E" w:rsidRPr="00CD3E1E" w:rsidRDefault="00CD3E1E" w:rsidP="00CD3E1E">
            <w:pPr>
              <w:spacing w:after="0"/>
              <w:rPr>
                <w:rFonts w:ascii="Arial" w:hAnsi="Arial" w:cs="Arial"/>
                <w:b/>
                <w:bCs/>
                <w:sz w:val="16"/>
                <w:szCs w:val="16"/>
              </w:rPr>
            </w:pPr>
            <w:r w:rsidRPr="00CD3E1E">
              <w:rPr>
                <w:rFonts w:ascii="Arial" w:hAnsi="Arial" w:cs="Arial"/>
                <w:b/>
                <w:bCs/>
                <w:sz w:val="16"/>
                <w:szCs w:val="16"/>
              </w:rPr>
              <w:t>INVESTING ACTIVITIES</w:t>
            </w:r>
          </w:p>
        </w:tc>
        <w:tc>
          <w:tcPr>
            <w:tcW w:w="883" w:type="dxa"/>
            <w:tcBorders>
              <w:top w:val="nil"/>
              <w:left w:val="nil"/>
              <w:bottom w:val="nil"/>
              <w:right w:val="nil"/>
            </w:tcBorders>
            <w:shd w:val="clear" w:color="auto" w:fill="auto"/>
            <w:noWrap/>
            <w:vAlign w:val="bottom"/>
            <w:hideMark/>
          </w:tcPr>
          <w:p w14:paraId="431092E2" w14:textId="77777777" w:rsidR="00CD3E1E" w:rsidRPr="00CD3E1E" w:rsidRDefault="00CD3E1E" w:rsidP="00CD3E1E">
            <w:pPr>
              <w:spacing w:after="0"/>
              <w:rPr>
                <w:rFonts w:ascii="Arial" w:hAnsi="Arial" w:cs="Arial"/>
                <w:b/>
                <w:bCs/>
                <w:sz w:val="16"/>
                <w:szCs w:val="16"/>
              </w:rPr>
            </w:pPr>
          </w:p>
        </w:tc>
        <w:tc>
          <w:tcPr>
            <w:tcW w:w="850" w:type="dxa"/>
            <w:tcBorders>
              <w:top w:val="nil"/>
              <w:left w:val="nil"/>
              <w:bottom w:val="nil"/>
              <w:right w:val="nil"/>
            </w:tcBorders>
            <w:shd w:val="clear" w:color="000000" w:fill="D9D9D9"/>
            <w:noWrap/>
            <w:vAlign w:val="bottom"/>
            <w:hideMark/>
          </w:tcPr>
          <w:p w14:paraId="6DDFD139"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 </w:t>
            </w:r>
          </w:p>
        </w:tc>
        <w:tc>
          <w:tcPr>
            <w:tcW w:w="865" w:type="dxa"/>
            <w:tcBorders>
              <w:top w:val="nil"/>
              <w:left w:val="nil"/>
              <w:bottom w:val="nil"/>
              <w:right w:val="nil"/>
            </w:tcBorders>
            <w:shd w:val="clear" w:color="auto" w:fill="auto"/>
            <w:noWrap/>
            <w:vAlign w:val="bottom"/>
            <w:hideMark/>
          </w:tcPr>
          <w:p w14:paraId="3E6A71D7" w14:textId="77777777" w:rsidR="00CD3E1E" w:rsidRPr="00CD3E1E" w:rsidRDefault="00CD3E1E" w:rsidP="00CD3E1E">
            <w:pPr>
              <w:spacing w:after="0"/>
              <w:jc w:val="right"/>
              <w:rPr>
                <w:rFonts w:ascii="Arial" w:hAnsi="Arial" w:cs="Arial"/>
                <w:sz w:val="16"/>
                <w:szCs w:val="16"/>
              </w:rPr>
            </w:pPr>
          </w:p>
        </w:tc>
        <w:tc>
          <w:tcPr>
            <w:tcW w:w="865" w:type="dxa"/>
            <w:tcBorders>
              <w:top w:val="nil"/>
              <w:left w:val="nil"/>
              <w:bottom w:val="nil"/>
              <w:right w:val="nil"/>
            </w:tcBorders>
            <w:shd w:val="clear" w:color="auto" w:fill="auto"/>
            <w:noWrap/>
            <w:vAlign w:val="bottom"/>
            <w:hideMark/>
          </w:tcPr>
          <w:p w14:paraId="149E21F2" w14:textId="77777777" w:rsidR="00CD3E1E" w:rsidRPr="00CD3E1E" w:rsidRDefault="00CD3E1E" w:rsidP="00CD3E1E">
            <w:pPr>
              <w:spacing w:after="0"/>
              <w:jc w:val="right"/>
              <w:rPr>
                <w:rFonts w:ascii="Times New Roman" w:hAnsi="Times New Roman"/>
                <w:color w:val="auto"/>
                <w:sz w:val="20"/>
              </w:rPr>
            </w:pPr>
          </w:p>
        </w:tc>
        <w:tc>
          <w:tcPr>
            <w:tcW w:w="865" w:type="dxa"/>
            <w:tcBorders>
              <w:top w:val="nil"/>
              <w:left w:val="nil"/>
              <w:bottom w:val="nil"/>
              <w:right w:val="nil"/>
            </w:tcBorders>
            <w:shd w:val="clear" w:color="auto" w:fill="auto"/>
            <w:noWrap/>
            <w:vAlign w:val="bottom"/>
            <w:hideMark/>
          </w:tcPr>
          <w:p w14:paraId="1188F66B" w14:textId="77777777" w:rsidR="00CD3E1E" w:rsidRPr="00CD3E1E" w:rsidRDefault="00CD3E1E" w:rsidP="00CD3E1E">
            <w:pPr>
              <w:spacing w:after="0"/>
              <w:jc w:val="right"/>
              <w:rPr>
                <w:rFonts w:ascii="Times New Roman" w:hAnsi="Times New Roman"/>
                <w:color w:val="auto"/>
                <w:sz w:val="20"/>
              </w:rPr>
            </w:pPr>
          </w:p>
        </w:tc>
      </w:tr>
      <w:tr w:rsidR="00CD3E1E" w:rsidRPr="00CD3E1E" w14:paraId="27F113DC" w14:textId="77777777" w:rsidTr="00CD3E1E">
        <w:trPr>
          <w:trHeight w:val="225"/>
        </w:trPr>
        <w:tc>
          <w:tcPr>
            <w:tcW w:w="3052" w:type="dxa"/>
            <w:tcBorders>
              <w:top w:val="nil"/>
              <w:left w:val="nil"/>
              <w:bottom w:val="nil"/>
              <w:right w:val="nil"/>
            </w:tcBorders>
            <w:shd w:val="clear" w:color="auto" w:fill="auto"/>
            <w:noWrap/>
            <w:vAlign w:val="bottom"/>
            <w:hideMark/>
          </w:tcPr>
          <w:p w14:paraId="22D36E71" w14:textId="77777777" w:rsidR="00CD3E1E" w:rsidRPr="00CD3E1E" w:rsidRDefault="00CD3E1E" w:rsidP="00CD3E1E">
            <w:pPr>
              <w:spacing w:after="0"/>
              <w:ind w:firstLineChars="100" w:firstLine="160"/>
              <w:rPr>
                <w:rFonts w:ascii="Arial" w:hAnsi="Arial" w:cs="Arial"/>
                <w:b/>
                <w:bCs/>
                <w:sz w:val="16"/>
                <w:szCs w:val="16"/>
              </w:rPr>
            </w:pPr>
            <w:r w:rsidRPr="00CD3E1E">
              <w:rPr>
                <w:rFonts w:ascii="Arial" w:hAnsi="Arial" w:cs="Arial"/>
                <w:b/>
                <w:bCs/>
                <w:sz w:val="16"/>
                <w:szCs w:val="16"/>
              </w:rPr>
              <w:t>Cash used</w:t>
            </w:r>
          </w:p>
        </w:tc>
        <w:tc>
          <w:tcPr>
            <w:tcW w:w="883" w:type="dxa"/>
            <w:tcBorders>
              <w:top w:val="nil"/>
              <w:left w:val="nil"/>
              <w:bottom w:val="nil"/>
              <w:right w:val="nil"/>
            </w:tcBorders>
            <w:shd w:val="clear" w:color="auto" w:fill="auto"/>
            <w:noWrap/>
            <w:vAlign w:val="bottom"/>
            <w:hideMark/>
          </w:tcPr>
          <w:p w14:paraId="24409708" w14:textId="77777777" w:rsidR="00CD3E1E" w:rsidRPr="00CD3E1E" w:rsidRDefault="00CD3E1E" w:rsidP="00CD3E1E">
            <w:pPr>
              <w:spacing w:after="0"/>
              <w:ind w:firstLineChars="100" w:firstLine="160"/>
              <w:rPr>
                <w:rFonts w:ascii="Arial" w:hAnsi="Arial" w:cs="Arial"/>
                <w:b/>
                <w:bCs/>
                <w:sz w:val="16"/>
                <w:szCs w:val="16"/>
              </w:rPr>
            </w:pPr>
          </w:p>
        </w:tc>
        <w:tc>
          <w:tcPr>
            <w:tcW w:w="850" w:type="dxa"/>
            <w:tcBorders>
              <w:top w:val="nil"/>
              <w:left w:val="nil"/>
              <w:bottom w:val="nil"/>
              <w:right w:val="nil"/>
            </w:tcBorders>
            <w:shd w:val="clear" w:color="000000" w:fill="D9D9D9"/>
            <w:noWrap/>
            <w:vAlign w:val="bottom"/>
            <w:hideMark/>
          </w:tcPr>
          <w:p w14:paraId="5CEEC74D"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 </w:t>
            </w:r>
          </w:p>
        </w:tc>
        <w:tc>
          <w:tcPr>
            <w:tcW w:w="865" w:type="dxa"/>
            <w:tcBorders>
              <w:top w:val="nil"/>
              <w:left w:val="nil"/>
              <w:bottom w:val="nil"/>
              <w:right w:val="nil"/>
            </w:tcBorders>
            <w:shd w:val="clear" w:color="auto" w:fill="auto"/>
            <w:noWrap/>
            <w:vAlign w:val="bottom"/>
            <w:hideMark/>
          </w:tcPr>
          <w:p w14:paraId="4F60B40E" w14:textId="77777777" w:rsidR="00CD3E1E" w:rsidRPr="00CD3E1E" w:rsidRDefault="00CD3E1E" w:rsidP="00CD3E1E">
            <w:pPr>
              <w:spacing w:after="0"/>
              <w:jc w:val="right"/>
              <w:rPr>
                <w:rFonts w:ascii="Arial" w:hAnsi="Arial" w:cs="Arial"/>
                <w:sz w:val="16"/>
                <w:szCs w:val="16"/>
              </w:rPr>
            </w:pPr>
          </w:p>
        </w:tc>
        <w:tc>
          <w:tcPr>
            <w:tcW w:w="865" w:type="dxa"/>
            <w:tcBorders>
              <w:top w:val="nil"/>
              <w:left w:val="nil"/>
              <w:bottom w:val="nil"/>
              <w:right w:val="nil"/>
            </w:tcBorders>
            <w:shd w:val="clear" w:color="auto" w:fill="auto"/>
            <w:noWrap/>
            <w:vAlign w:val="bottom"/>
            <w:hideMark/>
          </w:tcPr>
          <w:p w14:paraId="4BE86A2E" w14:textId="77777777" w:rsidR="00CD3E1E" w:rsidRPr="00CD3E1E" w:rsidRDefault="00CD3E1E" w:rsidP="00CD3E1E">
            <w:pPr>
              <w:spacing w:after="0"/>
              <w:jc w:val="right"/>
              <w:rPr>
                <w:rFonts w:ascii="Times New Roman" w:hAnsi="Times New Roman"/>
                <w:color w:val="auto"/>
                <w:sz w:val="20"/>
              </w:rPr>
            </w:pPr>
          </w:p>
        </w:tc>
        <w:tc>
          <w:tcPr>
            <w:tcW w:w="865" w:type="dxa"/>
            <w:tcBorders>
              <w:top w:val="nil"/>
              <w:left w:val="nil"/>
              <w:bottom w:val="nil"/>
              <w:right w:val="nil"/>
            </w:tcBorders>
            <w:shd w:val="clear" w:color="auto" w:fill="auto"/>
            <w:noWrap/>
            <w:vAlign w:val="bottom"/>
            <w:hideMark/>
          </w:tcPr>
          <w:p w14:paraId="2E3E5289" w14:textId="77777777" w:rsidR="00CD3E1E" w:rsidRPr="00CD3E1E" w:rsidRDefault="00CD3E1E" w:rsidP="00CD3E1E">
            <w:pPr>
              <w:spacing w:after="0"/>
              <w:jc w:val="right"/>
              <w:rPr>
                <w:rFonts w:ascii="Times New Roman" w:hAnsi="Times New Roman"/>
                <w:color w:val="auto"/>
                <w:sz w:val="20"/>
              </w:rPr>
            </w:pPr>
          </w:p>
        </w:tc>
      </w:tr>
      <w:tr w:rsidR="00CD3E1E" w:rsidRPr="00CD3E1E" w14:paraId="64C7A473" w14:textId="77777777" w:rsidTr="00CD3E1E">
        <w:trPr>
          <w:trHeight w:val="450"/>
        </w:trPr>
        <w:tc>
          <w:tcPr>
            <w:tcW w:w="3052" w:type="dxa"/>
            <w:tcBorders>
              <w:top w:val="nil"/>
              <w:left w:val="nil"/>
              <w:bottom w:val="nil"/>
              <w:right w:val="nil"/>
            </w:tcBorders>
            <w:shd w:val="clear" w:color="auto" w:fill="auto"/>
            <w:vAlign w:val="bottom"/>
            <w:hideMark/>
          </w:tcPr>
          <w:p w14:paraId="66939A57" w14:textId="77777777" w:rsidR="00CD3E1E" w:rsidRPr="00CD3E1E" w:rsidRDefault="00CD3E1E" w:rsidP="00CD3E1E">
            <w:pPr>
              <w:spacing w:after="0"/>
              <w:ind w:leftChars="175" w:left="333"/>
              <w:rPr>
                <w:rFonts w:ascii="Arial" w:hAnsi="Arial" w:cs="Arial"/>
                <w:sz w:val="16"/>
                <w:szCs w:val="16"/>
              </w:rPr>
            </w:pPr>
            <w:r w:rsidRPr="00CD3E1E">
              <w:rPr>
                <w:rFonts w:ascii="Arial" w:hAnsi="Arial" w:cs="Arial"/>
                <w:sz w:val="16"/>
                <w:szCs w:val="16"/>
              </w:rPr>
              <w:t>Purchase of property, plant and equipment</w:t>
            </w:r>
          </w:p>
        </w:tc>
        <w:tc>
          <w:tcPr>
            <w:tcW w:w="883" w:type="dxa"/>
            <w:tcBorders>
              <w:top w:val="nil"/>
              <w:left w:val="nil"/>
              <w:bottom w:val="nil"/>
              <w:right w:val="nil"/>
            </w:tcBorders>
            <w:shd w:val="clear" w:color="auto" w:fill="auto"/>
            <w:noWrap/>
            <w:vAlign w:val="bottom"/>
            <w:hideMark/>
          </w:tcPr>
          <w:p w14:paraId="4794D705"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679</w:t>
            </w:r>
          </w:p>
        </w:tc>
        <w:tc>
          <w:tcPr>
            <w:tcW w:w="850" w:type="dxa"/>
            <w:tcBorders>
              <w:top w:val="nil"/>
              <w:left w:val="nil"/>
              <w:bottom w:val="nil"/>
              <w:right w:val="nil"/>
            </w:tcBorders>
            <w:shd w:val="clear" w:color="000000" w:fill="D9D9D9"/>
            <w:noWrap/>
            <w:vAlign w:val="bottom"/>
            <w:hideMark/>
          </w:tcPr>
          <w:p w14:paraId="3409A55F"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185</w:t>
            </w:r>
          </w:p>
        </w:tc>
        <w:tc>
          <w:tcPr>
            <w:tcW w:w="865" w:type="dxa"/>
            <w:tcBorders>
              <w:top w:val="nil"/>
              <w:left w:val="nil"/>
              <w:bottom w:val="nil"/>
              <w:right w:val="nil"/>
            </w:tcBorders>
            <w:shd w:val="clear" w:color="auto" w:fill="auto"/>
            <w:noWrap/>
            <w:vAlign w:val="bottom"/>
            <w:hideMark/>
          </w:tcPr>
          <w:p w14:paraId="7119FD15"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187</w:t>
            </w:r>
          </w:p>
        </w:tc>
        <w:tc>
          <w:tcPr>
            <w:tcW w:w="865" w:type="dxa"/>
            <w:tcBorders>
              <w:top w:val="nil"/>
              <w:left w:val="nil"/>
              <w:bottom w:val="nil"/>
              <w:right w:val="nil"/>
            </w:tcBorders>
            <w:shd w:val="clear" w:color="auto" w:fill="auto"/>
            <w:noWrap/>
            <w:vAlign w:val="bottom"/>
            <w:hideMark/>
          </w:tcPr>
          <w:p w14:paraId="0D0F0B17"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188</w:t>
            </w:r>
          </w:p>
        </w:tc>
        <w:tc>
          <w:tcPr>
            <w:tcW w:w="865" w:type="dxa"/>
            <w:tcBorders>
              <w:top w:val="nil"/>
              <w:left w:val="nil"/>
              <w:bottom w:val="nil"/>
              <w:right w:val="nil"/>
            </w:tcBorders>
            <w:shd w:val="clear" w:color="auto" w:fill="auto"/>
            <w:noWrap/>
            <w:vAlign w:val="bottom"/>
            <w:hideMark/>
          </w:tcPr>
          <w:p w14:paraId="15291998"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190</w:t>
            </w:r>
          </w:p>
        </w:tc>
      </w:tr>
      <w:tr w:rsidR="00CD3E1E" w:rsidRPr="00CD3E1E" w14:paraId="469D00DB" w14:textId="77777777" w:rsidTr="00CD3E1E">
        <w:trPr>
          <w:trHeight w:val="225"/>
        </w:trPr>
        <w:tc>
          <w:tcPr>
            <w:tcW w:w="3052" w:type="dxa"/>
            <w:tcBorders>
              <w:top w:val="nil"/>
              <w:left w:val="nil"/>
              <w:bottom w:val="nil"/>
              <w:right w:val="nil"/>
            </w:tcBorders>
            <w:shd w:val="clear" w:color="auto" w:fill="auto"/>
            <w:noWrap/>
            <w:vAlign w:val="bottom"/>
            <w:hideMark/>
          </w:tcPr>
          <w:p w14:paraId="59FCAD83" w14:textId="77777777" w:rsidR="00CD3E1E" w:rsidRPr="00CD3E1E" w:rsidRDefault="00CD3E1E" w:rsidP="00CD3E1E">
            <w:pPr>
              <w:spacing w:after="0"/>
              <w:ind w:firstLineChars="200" w:firstLine="320"/>
              <w:rPr>
                <w:rFonts w:ascii="Arial" w:hAnsi="Arial" w:cs="Arial"/>
                <w:b/>
                <w:bCs/>
                <w:sz w:val="16"/>
                <w:szCs w:val="16"/>
              </w:rPr>
            </w:pPr>
            <w:r w:rsidRPr="00CD3E1E">
              <w:rPr>
                <w:rFonts w:ascii="Arial" w:hAnsi="Arial" w:cs="Arial"/>
                <w:b/>
                <w:bCs/>
                <w:sz w:val="16"/>
                <w:szCs w:val="16"/>
              </w:rPr>
              <w:t>Total cash used</w:t>
            </w:r>
          </w:p>
        </w:tc>
        <w:tc>
          <w:tcPr>
            <w:tcW w:w="883" w:type="dxa"/>
            <w:tcBorders>
              <w:top w:val="nil"/>
              <w:left w:val="nil"/>
              <w:bottom w:val="single" w:sz="4" w:space="0" w:color="auto"/>
              <w:right w:val="nil"/>
            </w:tcBorders>
            <w:shd w:val="clear" w:color="auto" w:fill="auto"/>
            <w:noWrap/>
            <w:vAlign w:val="bottom"/>
            <w:hideMark/>
          </w:tcPr>
          <w:p w14:paraId="4D995D58"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679</w:t>
            </w:r>
          </w:p>
        </w:tc>
        <w:tc>
          <w:tcPr>
            <w:tcW w:w="850" w:type="dxa"/>
            <w:tcBorders>
              <w:top w:val="nil"/>
              <w:left w:val="nil"/>
              <w:bottom w:val="single" w:sz="4" w:space="0" w:color="auto"/>
              <w:right w:val="nil"/>
            </w:tcBorders>
            <w:shd w:val="clear" w:color="000000" w:fill="D9D9D9"/>
            <w:noWrap/>
            <w:vAlign w:val="bottom"/>
            <w:hideMark/>
          </w:tcPr>
          <w:p w14:paraId="0F9EE23F"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185</w:t>
            </w:r>
          </w:p>
        </w:tc>
        <w:tc>
          <w:tcPr>
            <w:tcW w:w="865" w:type="dxa"/>
            <w:tcBorders>
              <w:top w:val="nil"/>
              <w:left w:val="nil"/>
              <w:bottom w:val="single" w:sz="4" w:space="0" w:color="auto"/>
              <w:right w:val="nil"/>
            </w:tcBorders>
            <w:shd w:val="clear" w:color="auto" w:fill="auto"/>
            <w:noWrap/>
            <w:vAlign w:val="bottom"/>
            <w:hideMark/>
          </w:tcPr>
          <w:p w14:paraId="5D5A463A"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187</w:t>
            </w:r>
          </w:p>
        </w:tc>
        <w:tc>
          <w:tcPr>
            <w:tcW w:w="865" w:type="dxa"/>
            <w:tcBorders>
              <w:top w:val="nil"/>
              <w:left w:val="nil"/>
              <w:bottom w:val="single" w:sz="4" w:space="0" w:color="auto"/>
              <w:right w:val="nil"/>
            </w:tcBorders>
            <w:shd w:val="clear" w:color="auto" w:fill="auto"/>
            <w:noWrap/>
            <w:vAlign w:val="bottom"/>
            <w:hideMark/>
          </w:tcPr>
          <w:p w14:paraId="6B4519E0"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188</w:t>
            </w:r>
          </w:p>
        </w:tc>
        <w:tc>
          <w:tcPr>
            <w:tcW w:w="865" w:type="dxa"/>
            <w:tcBorders>
              <w:top w:val="nil"/>
              <w:left w:val="nil"/>
              <w:bottom w:val="single" w:sz="4" w:space="0" w:color="auto"/>
              <w:right w:val="nil"/>
            </w:tcBorders>
            <w:shd w:val="clear" w:color="auto" w:fill="auto"/>
            <w:noWrap/>
            <w:vAlign w:val="bottom"/>
            <w:hideMark/>
          </w:tcPr>
          <w:p w14:paraId="54FE9B69"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190</w:t>
            </w:r>
          </w:p>
        </w:tc>
      </w:tr>
      <w:tr w:rsidR="00CD3E1E" w:rsidRPr="00CD3E1E" w14:paraId="7C400178" w14:textId="77777777" w:rsidTr="00CD3E1E">
        <w:trPr>
          <w:trHeight w:val="525"/>
        </w:trPr>
        <w:tc>
          <w:tcPr>
            <w:tcW w:w="3052" w:type="dxa"/>
            <w:tcBorders>
              <w:top w:val="nil"/>
              <w:left w:val="nil"/>
              <w:bottom w:val="nil"/>
              <w:right w:val="nil"/>
            </w:tcBorders>
            <w:shd w:val="clear" w:color="auto" w:fill="auto"/>
            <w:vAlign w:val="bottom"/>
            <w:hideMark/>
          </w:tcPr>
          <w:p w14:paraId="1036B91D" w14:textId="77777777" w:rsidR="00CD3E1E" w:rsidRPr="00CD3E1E" w:rsidRDefault="00CD3E1E" w:rsidP="00CD3E1E">
            <w:pPr>
              <w:spacing w:after="0"/>
              <w:ind w:leftChars="75" w:left="143"/>
              <w:rPr>
                <w:rFonts w:ascii="Arial" w:hAnsi="Arial" w:cs="Arial"/>
                <w:b/>
                <w:bCs/>
                <w:sz w:val="16"/>
                <w:szCs w:val="16"/>
              </w:rPr>
            </w:pPr>
            <w:r w:rsidRPr="00CD3E1E">
              <w:rPr>
                <w:rFonts w:ascii="Arial" w:hAnsi="Arial" w:cs="Arial"/>
                <w:b/>
                <w:bCs/>
                <w:sz w:val="16"/>
                <w:szCs w:val="16"/>
              </w:rPr>
              <w:t>Net cash from (or used by)  investing activities</w:t>
            </w:r>
          </w:p>
        </w:tc>
        <w:tc>
          <w:tcPr>
            <w:tcW w:w="883" w:type="dxa"/>
            <w:tcBorders>
              <w:top w:val="nil"/>
              <w:left w:val="nil"/>
              <w:bottom w:val="single" w:sz="4" w:space="0" w:color="auto"/>
              <w:right w:val="nil"/>
            </w:tcBorders>
            <w:shd w:val="clear" w:color="auto" w:fill="auto"/>
            <w:noWrap/>
            <w:vAlign w:val="bottom"/>
            <w:hideMark/>
          </w:tcPr>
          <w:p w14:paraId="1E684210"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(679)</w:t>
            </w:r>
          </w:p>
        </w:tc>
        <w:tc>
          <w:tcPr>
            <w:tcW w:w="850" w:type="dxa"/>
            <w:tcBorders>
              <w:top w:val="nil"/>
              <w:left w:val="nil"/>
              <w:bottom w:val="single" w:sz="4" w:space="0" w:color="auto"/>
              <w:right w:val="nil"/>
            </w:tcBorders>
            <w:shd w:val="clear" w:color="000000" w:fill="D9D9D9"/>
            <w:noWrap/>
            <w:vAlign w:val="bottom"/>
            <w:hideMark/>
          </w:tcPr>
          <w:p w14:paraId="20BB1FF4"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(185)</w:t>
            </w:r>
          </w:p>
        </w:tc>
        <w:tc>
          <w:tcPr>
            <w:tcW w:w="865" w:type="dxa"/>
            <w:tcBorders>
              <w:top w:val="nil"/>
              <w:left w:val="nil"/>
              <w:bottom w:val="single" w:sz="4" w:space="0" w:color="auto"/>
              <w:right w:val="nil"/>
            </w:tcBorders>
            <w:shd w:val="clear" w:color="auto" w:fill="auto"/>
            <w:noWrap/>
            <w:vAlign w:val="bottom"/>
            <w:hideMark/>
          </w:tcPr>
          <w:p w14:paraId="45C599B3"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(187)</w:t>
            </w:r>
          </w:p>
        </w:tc>
        <w:tc>
          <w:tcPr>
            <w:tcW w:w="865" w:type="dxa"/>
            <w:tcBorders>
              <w:top w:val="nil"/>
              <w:left w:val="nil"/>
              <w:bottom w:val="single" w:sz="4" w:space="0" w:color="auto"/>
              <w:right w:val="nil"/>
            </w:tcBorders>
            <w:shd w:val="clear" w:color="auto" w:fill="auto"/>
            <w:noWrap/>
            <w:vAlign w:val="bottom"/>
            <w:hideMark/>
          </w:tcPr>
          <w:p w14:paraId="48A63B7F"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(188)</w:t>
            </w:r>
          </w:p>
        </w:tc>
        <w:tc>
          <w:tcPr>
            <w:tcW w:w="865" w:type="dxa"/>
            <w:tcBorders>
              <w:top w:val="nil"/>
              <w:left w:val="nil"/>
              <w:bottom w:val="single" w:sz="4" w:space="0" w:color="auto"/>
              <w:right w:val="nil"/>
            </w:tcBorders>
            <w:shd w:val="clear" w:color="auto" w:fill="auto"/>
            <w:noWrap/>
            <w:vAlign w:val="bottom"/>
            <w:hideMark/>
          </w:tcPr>
          <w:p w14:paraId="2C455E51"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(190)</w:t>
            </w:r>
          </w:p>
        </w:tc>
      </w:tr>
      <w:tr w:rsidR="00CD3E1E" w:rsidRPr="00CD3E1E" w14:paraId="67DDAC92" w14:textId="77777777" w:rsidTr="00CD3E1E">
        <w:trPr>
          <w:trHeight w:val="300"/>
        </w:trPr>
        <w:tc>
          <w:tcPr>
            <w:tcW w:w="3052" w:type="dxa"/>
            <w:tcBorders>
              <w:top w:val="nil"/>
              <w:left w:val="nil"/>
              <w:bottom w:val="nil"/>
              <w:right w:val="nil"/>
            </w:tcBorders>
            <w:shd w:val="clear" w:color="auto" w:fill="auto"/>
            <w:noWrap/>
            <w:vAlign w:val="bottom"/>
            <w:hideMark/>
          </w:tcPr>
          <w:p w14:paraId="3E8553B4" w14:textId="77777777" w:rsidR="00CD3E1E" w:rsidRPr="00CD3E1E" w:rsidRDefault="00CD3E1E" w:rsidP="00CD3E1E">
            <w:pPr>
              <w:spacing w:after="0"/>
              <w:rPr>
                <w:rFonts w:ascii="Arial" w:hAnsi="Arial" w:cs="Arial"/>
                <w:b/>
                <w:bCs/>
                <w:sz w:val="16"/>
                <w:szCs w:val="16"/>
              </w:rPr>
            </w:pPr>
            <w:r w:rsidRPr="00CD3E1E">
              <w:rPr>
                <w:rFonts w:ascii="Arial" w:hAnsi="Arial" w:cs="Arial"/>
                <w:b/>
                <w:bCs/>
                <w:sz w:val="16"/>
                <w:szCs w:val="16"/>
              </w:rPr>
              <w:t>FINANCING ACTIVITIES</w:t>
            </w:r>
          </w:p>
        </w:tc>
        <w:tc>
          <w:tcPr>
            <w:tcW w:w="883" w:type="dxa"/>
            <w:tcBorders>
              <w:top w:val="nil"/>
              <w:left w:val="nil"/>
              <w:bottom w:val="nil"/>
              <w:right w:val="nil"/>
            </w:tcBorders>
            <w:shd w:val="clear" w:color="auto" w:fill="auto"/>
            <w:noWrap/>
            <w:vAlign w:val="bottom"/>
            <w:hideMark/>
          </w:tcPr>
          <w:p w14:paraId="1BE8E4A7" w14:textId="77777777" w:rsidR="00CD3E1E" w:rsidRPr="00CD3E1E" w:rsidRDefault="00CD3E1E" w:rsidP="00CD3E1E">
            <w:pPr>
              <w:spacing w:after="0"/>
              <w:rPr>
                <w:rFonts w:ascii="Arial" w:hAnsi="Arial" w:cs="Arial"/>
                <w:b/>
                <w:bCs/>
                <w:sz w:val="16"/>
                <w:szCs w:val="16"/>
              </w:rPr>
            </w:pPr>
          </w:p>
        </w:tc>
        <w:tc>
          <w:tcPr>
            <w:tcW w:w="850" w:type="dxa"/>
            <w:tcBorders>
              <w:top w:val="nil"/>
              <w:left w:val="nil"/>
              <w:bottom w:val="nil"/>
              <w:right w:val="nil"/>
            </w:tcBorders>
            <w:shd w:val="clear" w:color="000000" w:fill="D9D9D9"/>
            <w:noWrap/>
            <w:vAlign w:val="bottom"/>
            <w:hideMark/>
          </w:tcPr>
          <w:p w14:paraId="5098A05A"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 </w:t>
            </w:r>
          </w:p>
        </w:tc>
        <w:tc>
          <w:tcPr>
            <w:tcW w:w="865" w:type="dxa"/>
            <w:tcBorders>
              <w:top w:val="nil"/>
              <w:left w:val="nil"/>
              <w:bottom w:val="nil"/>
              <w:right w:val="nil"/>
            </w:tcBorders>
            <w:shd w:val="clear" w:color="auto" w:fill="auto"/>
            <w:noWrap/>
            <w:vAlign w:val="bottom"/>
            <w:hideMark/>
          </w:tcPr>
          <w:p w14:paraId="0A4C73B1" w14:textId="77777777" w:rsidR="00CD3E1E" w:rsidRPr="00CD3E1E" w:rsidRDefault="00CD3E1E" w:rsidP="00CD3E1E">
            <w:pPr>
              <w:spacing w:after="0"/>
              <w:jc w:val="right"/>
              <w:rPr>
                <w:rFonts w:ascii="Arial" w:hAnsi="Arial" w:cs="Arial"/>
                <w:sz w:val="16"/>
                <w:szCs w:val="16"/>
              </w:rPr>
            </w:pPr>
          </w:p>
        </w:tc>
        <w:tc>
          <w:tcPr>
            <w:tcW w:w="865" w:type="dxa"/>
            <w:tcBorders>
              <w:top w:val="nil"/>
              <w:left w:val="nil"/>
              <w:bottom w:val="nil"/>
              <w:right w:val="nil"/>
            </w:tcBorders>
            <w:shd w:val="clear" w:color="auto" w:fill="auto"/>
            <w:noWrap/>
            <w:vAlign w:val="bottom"/>
            <w:hideMark/>
          </w:tcPr>
          <w:p w14:paraId="31FEFC5B" w14:textId="77777777" w:rsidR="00CD3E1E" w:rsidRPr="00CD3E1E" w:rsidRDefault="00CD3E1E" w:rsidP="00CD3E1E">
            <w:pPr>
              <w:spacing w:after="0"/>
              <w:jc w:val="right"/>
              <w:rPr>
                <w:rFonts w:ascii="Times New Roman" w:hAnsi="Times New Roman"/>
                <w:color w:val="auto"/>
                <w:sz w:val="20"/>
              </w:rPr>
            </w:pPr>
          </w:p>
        </w:tc>
        <w:tc>
          <w:tcPr>
            <w:tcW w:w="865" w:type="dxa"/>
            <w:tcBorders>
              <w:top w:val="nil"/>
              <w:left w:val="nil"/>
              <w:bottom w:val="nil"/>
              <w:right w:val="nil"/>
            </w:tcBorders>
            <w:shd w:val="clear" w:color="auto" w:fill="auto"/>
            <w:noWrap/>
            <w:vAlign w:val="bottom"/>
            <w:hideMark/>
          </w:tcPr>
          <w:p w14:paraId="1E240B99" w14:textId="77777777" w:rsidR="00CD3E1E" w:rsidRPr="00CD3E1E" w:rsidRDefault="00CD3E1E" w:rsidP="00CD3E1E">
            <w:pPr>
              <w:spacing w:after="0"/>
              <w:jc w:val="right"/>
              <w:rPr>
                <w:rFonts w:ascii="Times New Roman" w:hAnsi="Times New Roman"/>
                <w:color w:val="auto"/>
                <w:sz w:val="20"/>
              </w:rPr>
            </w:pPr>
          </w:p>
        </w:tc>
      </w:tr>
      <w:tr w:rsidR="00CD3E1E" w:rsidRPr="00CD3E1E" w14:paraId="293CBDCC" w14:textId="77777777" w:rsidTr="00CD3E1E">
        <w:trPr>
          <w:trHeight w:val="225"/>
        </w:trPr>
        <w:tc>
          <w:tcPr>
            <w:tcW w:w="3052" w:type="dxa"/>
            <w:tcBorders>
              <w:top w:val="nil"/>
              <w:left w:val="nil"/>
              <w:bottom w:val="nil"/>
              <w:right w:val="nil"/>
            </w:tcBorders>
            <w:shd w:val="clear" w:color="auto" w:fill="auto"/>
            <w:noWrap/>
            <w:vAlign w:val="bottom"/>
            <w:hideMark/>
          </w:tcPr>
          <w:p w14:paraId="3E323B86" w14:textId="77777777" w:rsidR="00CD3E1E" w:rsidRPr="00CD3E1E" w:rsidRDefault="00CD3E1E" w:rsidP="00CD3E1E">
            <w:pPr>
              <w:spacing w:after="0"/>
              <w:ind w:firstLineChars="100" w:firstLine="160"/>
              <w:rPr>
                <w:rFonts w:ascii="Arial" w:hAnsi="Arial" w:cs="Arial"/>
                <w:b/>
                <w:bCs/>
                <w:sz w:val="16"/>
                <w:szCs w:val="16"/>
              </w:rPr>
            </w:pPr>
            <w:r w:rsidRPr="00CD3E1E">
              <w:rPr>
                <w:rFonts w:ascii="Arial" w:hAnsi="Arial" w:cs="Arial"/>
                <w:b/>
                <w:bCs/>
                <w:sz w:val="16"/>
                <w:szCs w:val="16"/>
              </w:rPr>
              <w:t>Cash received</w:t>
            </w:r>
          </w:p>
        </w:tc>
        <w:tc>
          <w:tcPr>
            <w:tcW w:w="883" w:type="dxa"/>
            <w:tcBorders>
              <w:top w:val="nil"/>
              <w:left w:val="nil"/>
              <w:bottom w:val="nil"/>
              <w:right w:val="nil"/>
            </w:tcBorders>
            <w:shd w:val="clear" w:color="auto" w:fill="auto"/>
            <w:noWrap/>
            <w:vAlign w:val="bottom"/>
            <w:hideMark/>
          </w:tcPr>
          <w:p w14:paraId="28225F65" w14:textId="77777777" w:rsidR="00CD3E1E" w:rsidRPr="00CD3E1E" w:rsidRDefault="00CD3E1E" w:rsidP="00CD3E1E">
            <w:pPr>
              <w:spacing w:after="0"/>
              <w:ind w:firstLineChars="100" w:firstLine="160"/>
              <w:rPr>
                <w:rFonts w:ascii="Arial" w:hAnsi="Arial" w:cs="Arial"/>
                <w:b/>
                <w:bCs/>
                <w:sz w:val="16"/>
                <w:szCs w:val="16"/>
              </w:rPr>
            </w:pPr>
          </w:p>
        </w:tc>
        <w:tc>
          <w:tcPr>
            <w:tcW w:w="850" w:type="dxa"/>
            <w:tcBorders>
              <w:top w:val="nil"/>
              <w:left w:val="nil"/>
              <w:bottom w:val="nil"/>
              <w:right w:val="nil"/>
            </w:tcBorders>
            <w:shd w:val="clear" w:color="000000" w:fill="D9D9D9"/>
            <w:noWrap/>
            <w:vAlign w:val="bottom"/>
            <w:hideMark/>
          </w:tcPr>
          <w:p w14:paraId="49B265C1"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 </w:t>
            </w:r>
          </w:p>
        </w:tc>
        <w:tc>
          <w:tcPr>
            <w:tcW w:w="865" w:type="dxa"/>
            <w:tcBorders>
              <w:top w:val="nil"/>
              <w:left w:val="nil"/>
              <w:bottom w:val="nil"/>
              <w:right w:val="nil"/>
            </w:tcBorders>
            <w:shd w:val="clear" w:color="auto" w:fill="auto"/>
            <w:noWrap/>
            <w:vAlign w:val="bottom"/>
            <w:hideMark/>
          </w:tcPr>
          <w:p w14:paraId="5BF68291" w14:textId="77777777" w:rsidR="00CD3E1E" w:rsidRPr="00CD3E1E" w:rsidRDefault="00CD3E1E" w:rsidP="00CD3E1E">
            <w:pPr>
              <w:spacing w:after="0"/>
              <w:jc w:val="right"/>
              <w:rPr>
                <w:rFonts w:ascii="Arial" w:hAnsi="Arial" w:cs="Arial"/>
                <w:sz w:val="16"/>
                <w:szCs w:val="16"/>
              </w:rPr>
            </w:pPr>
          </w:p>
        </w:tc>
        <w:tc>
          <w:tcPr>
            <w:tcW w:w="865" w:type="dxa"/>
            <w:tcBorders>
              <w:top w:val="nil"/>
              <w:left w:val="nil"/>
              <w:bottom w:val="nil"/>
              <w:right w:val="nil"/>
            </w:tcBorders>
            <w:shd w:val="clear" w:color="auto" w:fill="auto"/>
            <w:noWrap/>
            <w:vAlign w:val="bottom"/>
            <w:hideMark/>
          </w:tcPr>
          <w:p w14:paraId="1AFBCC45" w14:textId="77777777" w:rsidR="00CD3E1E" w:rsidRPr="00CD3E1E" w:rsidRDefault="00CD3E1E" w:rsidP="00CD3E1E">
            <w:pPr>
              <w:spacing w:after="0"/>
              <w:jc w:val="right"/>
              <w:rPr>
                <w:rFonts w:ascii="Times New Roman" w:hAnsi="Times New Roman"/>
                <w:color w:val="auto"/>
                <w:sz w:val="20"/>
              </w:rPr>
            </w:pPr>
          </w:p>
        </w:tc>
        <w:tc>
          <w:tcPr>
            <w:tcW w:w="865" w:type="dxa"/>
            <w:tcBorders>
              <w:top w:val="nil"/>
              <w:left w:val="nil"/>
              <w:bottom w:val="nil"/>
              <w:right w:val="nil"/>
            </w:tcBorders>
            <w:shd w:val="clear" w:color="auto" w:fill="auto"/>
            <w:noWrap/>
            <w:vAlign w:val="bottom"/>
            <w:hideMark/>
          </w:tcPr>
          <w:p w14:paraId="48D83381" w14:textId="77777777" w:rsidR="00CD3E1E" w:rsidRPr="00CD3E1E" w:rsidRDefault="00CD3E1E" w:rsidP="00CD3E1E">
            <w:pPr>
              <w:spacing w:after="0"/>
              <w:jc w:val="right"/>
              <w:rPr>
                <w:rFonts w:ascii="Times New Roman" w:hAnsi="Times New Roman"/>
                <w:color w:val="auto"/>
                <w:sz w:val="20"/>
              </w:rPr>
            </w:pPr>
          </w:p>
        </w:tc>
      </w:tr>
      <w:tr w:rsidR="00CD3E1E" w:rsidRPr="00CD3E1E" w14:paraId="50A0549B" w14:textId="77777777" w:rsidTr="00CD3E1E">
        <w:trPr>
          <w:trHeight w:val="225"/>
        </w:trPr>
        <w:tc>
          <w:tcPr>
            <w:tcW w:w="3052" w:type="dxa"/>
            <w:tcBorders>
              <w:top w:val="nil"/>
              <w:left w:val="nil"/>
              <w:bottom w:val="nil"/>
              <w:right w:val="nil"/>
            </w:tcBorders>
            <w:shd w:val="clear" w:color="000000" w:fill="FFFFFF"/>
            <w:noWrap/>
            <w:vAlign w:val="bottom"/>
            <w:hideMark/>
          </w:tcPr>
          <w:p w14:paraId="1A49FE19" w14:textId="77777777" w:rsidR="00CD3E1E" w:rsidRPr="00CD3E1E" w:rsidRDefault="00CD3E1E" w:rsidP="00CD3E1E">
            <w:pPr>
              <w:spacing w:after="0"/>
              <w:ind w:firstLineChars="200" w:firstLine="320"/>
              <w:rPr>
                <w:rFonts w:ascii="Arial" w:hAnsi="Arial" w:cs="Arial"/>
                <w:color w:val="auto"/>
                <w:sz w:val="16"/>
                <w:szCs w:val="16"/>
              </w:rPr>
            </w:pPr>
            <w:r w:rsidRPr="00CD3E1E">
              <w:rPr>
                <w:rFonts w:ascii="Arial" w:hAnsi="Arial" w:cs="Arial"/>
                <w:color w:val="auto"/>
                <w:sz w:val="16"/>
                <w:szCs w:val="16"/>
              </w:rPr>
              <w:t>Equity injections - Bill 2</w:t>
            </w:r>
          </w:p>
        </w:tc>
        <w:tc>
          <w:tcPr>
            <w:tcW w:w="883" w:type="dxa"/>
            <w:tcBorders>
              <w:top w:val="nil"/>
              <w:left w:val="nil"/>
              <w:bottom w:val="nil"/>
              <w:right w:val="nil"/>
            </w:tcBorders>
            <w:shd w:val="clear" w:color="auto" w:fill="auto"/>
            <w:noWrap/>
            <w:vAlign w:val="bottom"/>
            <w:hideMark/>
          </w:tcPr>
          <w:p w14:paraId="23A5C765" w14:textId="73BE9D1E" w:rsidR="00CD3E1E" w:rsidRPr="00CD3E1E" w:rsidRDefault="00221C8D" w:rsidP="00CD3E1E">
            <w:pPr>
              <w:spacing w:after="0"/>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000000" w:fill="D9D9D9"/>
            <w:noWrap/>
            <w:vAlign w:val="bottom"/>
            <w:hideMark/>
          </w:tcPr>
          <w:p w14:paraId="29DF3E04" w14:textId="26BB9FB0" w:rsidR="00CD3E1E" w:rsidRPr="00CD3E1E" w:rsidRDefault="00221C8D" w:rsidP="00CD3E1E">
            <w:pPr>
              <w:spacing w:after="0"/>
              <w:jc w:val="right"/>
              <w:rPr>
                <w:rFonts w:ascii="Arial" w:hAnsi="Arial" w:cs="Arial"/>
                <w:sz w:val="16"/>
                <w:szCs w:val="16"/>
              </w:rPr>
            </w:pPr>
            <w:r>
              <w:rPr>
                <w:rFonts w:ascii="Arial" w:hAnsi="Arial" w:cs="Arial"/>
                <w:sz w:val="16"/>
                <w:szCs w:val="16"/>
              </w:rPr>
              <w:t>-</w:t>
            </w:r>
          </w:p>
        </w:tc>
        <w:tc>
          <w:tcPr>
            <w:tcW w:w="865" w:type="dxa"/>
            <w:tcBorders>
              <w:top w:val="nil"/>
              <w:left w:val="nil"/>
              <w:bottom w:val="nil"/>
              <w:right w:val="nil"/>
            </w:tcBorders>
            <w:shd w:val="clear" w:color="auto" w:fill="auto"/>
            <w:noWrap/>
            <w:vAlign w:val="bottom"/>
            <w:hideMark/>
          </w:tcPr>
          <w:p w14:paraId="745AEE80" w14:textId="1DB94480" w:rsidR="00CD3E1E" w:rsidRPr="00CD3E1E" w:rsidRDefault="00221C8D" w:rsidP="00CD3E1E">
            <w:pPr>
              <w:spacing w:after="0"/>
              <w:jc w:val="right"/>
              <w:rPr>
                <w:rFonts w:ascii="Arial" w:hAnsi="Arial" w:cs="Arial"/>
                <w:sz w:val="16"/>
                <w:szCs w:val="16"/>
              </w:rPr>
            </w:pPr>
            <w:r>
              <w:rPr>
                <w:rFonts w:ascii="Arial" w:hAnsi="Arial" w:cs="Arial"/>
                <w:sz w:val="16"/>
                <w:szCs w:val="16"/>
              </w:rPr>
              <w:t>-</w:t>
            </w:r>
          </w:p>
        </w:tc>
        <w:tc>
          <w:tcPr>
            <w:tcW w:w="865" w:type="dxa"/>
            <w:tcBorders>
              <w:top w:val="nil"/>
              <w:left w:val="nil"/>
              <w:bottom w:val="nil"/>
              <w:right w:val="nil"/>
            </w:tcBorders>
            <w:shd w:val="clear" w:color="auto" w:fill="auto"/>
            <w:noWrap/>
            <w:vAlign w:val="bottom"/>
            <w:hideMark/>
          </w:tcPr>
          <w:p w14:paraId="5F7C968A" w14:textId="7B9A356A" w:rsidR="00CD3E1E" w:rsidRPr="00CD3E1E" w:rsidRDefault="00221C8D" w:rsidP="00CD3E1E">
            <w:pPr>
              <w:spacing w:after="0"/>
              <w:jc w:val="right"/>
              <w:rPr>
                <w:rFonts w:ascii="Arial" w:hAnsi="Arial" w:cs="Arial"/>
                <w:sz w:val="16"/>
                <w:szCs w:val="16"/>
              </w:rPr>
            </w:pPr>
            <w:r>
              <w:rPr>
                <w:rFonts w:ascii="Arial" w:hAnsi="Arial" w:cs="Arial"/>
                <w:sz w:val="16"/>
                <w:szCs w:val="16"/>
              </w:rPr>
              <w:t>-</w:t>
            </w:r>
          </w:p>
        </w:tc>
        <w:tc>
          <w:tcPr>
            <w:tcW w:w="865" w:type="dxa"/>
            <w:tcBorders>
              <w:top w:val="nil"/>
              <w:left w:val="nil"/>
              <w:bottom w:val="nil"/>
              <w:right w:val="nil"/>
            </w:tcBorders>
            <w:shd w:val="clear" w:color="auto" w:fill="auto"/>
            <w:noWrap/>
            <w:vAlign w:val="bottom"/>
            <w:hideMark/>
          </w:tcPr>
          <w:p w14:paraId="49A817A8" w14:textId="30B726B0" w:rsidR="00CD3E1E" w:rsidRPr="00CD3E1E" w:rsidRDefault="00221C8D" w:rsidP="00CD3E1E">
            <w:pPr>
              <w:spacing w:after="0"/>
              <w:jc w:val="right"/>
              <w:rPr>
                <w:rFonts w:ascii="Arial" w:hAnsi="Arial" w:cs="Arial"/>
                <w:sz w:val="16"/>
                <w:szCs w:val="16"/>
              </w:rPr>
            </w:pPr>
            <w:r>
              <w:rPr>
                <w:rFonts w:ascii="Arial" w:hAnsi="Arial" w:cs="Arial"/>
                <w:sz w:val="16"/>
                <w:szCs w:val="16"/>
              </w:rPr>
              <w:t>-</w:t>
            </w:r>
          </w:p>
        </w:tc>
      </w:tr>
      <w:tr w:rsidR="00CD3E1E" w:rsidRPr="00CD3E1E" w14:paraId="35F8562E" w14:textId="77777777" w:rsidTr="00CD3E1E">
        <w:trPr>
          <w:trHeight w:val="225"/>
        </w:trPr>
        <w:tc>
          <w:tcPr>
            <w:tcW w:w="3052" w:type="dxa"/>
            <w:tcBorders>
              <w:top w:val="nil"/>
              <w:left w:val="nil"/>
              <w:bottom w:val="nil"/>
              <w:right w:val="nil"/>
            </w:tcBorders>
            <w:shd w:val="clear" w:color="000000" w:fill="FFFFFF"/>
            <w:noWrap/>
            <w:vAlign w:val="bottom"/>
            <w:hideMark/>
          </w:tcPr>
          <w:p w14:paraId="31DAB093" w14:textId="77777777" w:rsidR="00CD3E1E" w:rsidRPr="00CD3E1E" w:rsidRDefault="00CD3E1E" w:rsidP="00CD3E1E">
            <w:pPr>
              <w:spacing w:after="0"/>
              <w:ind w:firstLineChars="200" w:firstLine="320"/>
              <w:rPr>
                <w:rFonts w:ascii="Arial" w:hAnsi="Arial" w:cs="Arial"/>
                <w:color w:val="auto"/>
                <w:sz w:val="16"/>
                <w:szCs w:val="16"/>
              </w:rPr>
            </w:pPr>
            <w:r w:rsidRPr="00CD3E1E">
              <w:rPr>
                <w:rFonts w:ascii="Arial" w:hAnsi="Arial" w:cs="Arial"/>
                <w:color w:val="auto"/>
                <w:sz w:val="16"/>
                <w:szCs w:val="16"/>
              </w:rPr>
              <w:t>Capital budget - Bill 1 (DCB)</w:t>
            </w:r>
          </w:p>
        </w:tc>
        <w:tc>
          <w:tcPr>
            <w:tcW w:w="883" w:type="dxa"/>
            <w:tcBorders>
              <w:top w:val="nil"/>
              <w:left w:val="nil"/>
              <w:bottom w:val="nil"/>
              <w:right w:val="nil"/>
            </w:tcBorders>
            <w:shd w:val="clear" w:color="auto" w:fill="auto"/>
            <w:noWrap/>
            <w:vAlign w:val="bottom"/>
            <w:hideMark/>
          </w:tcPr>
          <w:p w14:paraId="2DB4D151"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179</w:t>
            </w:r>
          </w:p>
        </w:tc>
        <w:tc>
          <w:tcPr>
            <w:tcW w:w="850" w:type="dxa"/>
            <w:tcBorders>
              <w:top w:val="nil"/>
              <w:left w:val="nil"/>
              <w:bottom w:val="nil"/>
              <w:right w:val="nil"/>
            </w:tcBorders>
            <w:shd w:val="clear" w:color="000000" w:fill="D9D9D9"/>
            <w:noWrap/>
            <w:vAlign w:val="bottom"/>
            <w:hideMark/>
          </w:tcPr>
          <w:p w14:paraId="0CCEE912"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185</w:t>
            </w:r>
          </w:p>
        </w:tc>
        <w:tc>
          <w:tcPr>
            <w:tcW w:w="865" w:type="dxa"/>
            <w:tcBorders>
              <w:top w:val="nil"/>
              <w:left w:val="nil"/>
              <w:bottom w:val="nil"/>
              <w:right w:val="nil"/>
            </w:tcBorders>
            <w:shd w:val="clear" w:color="auto" w:fill="auto"/>
            <w:noWrap/>
            <w:vAlign w:val="bottom"/>
            <w:hideMark/>
          </w:tcPr>
          <w:p w14:paraId="78D00671"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187</w:t>
            </w:r>
          </w:p>
        </w:tc>
        <w:tc>
          <w:tcPr>
            <w:tcW w:w="865" w:type="dxa"/>
            <w:tcBorders>
              <w:top w:val="nil"/>
              <w:left w:val="nil"/>
              <w:bottom w:val="nil"/>
              <w:right w:val="nil"/>
            </w:tcBorders>
            <w:shd w:val="clear" w:color="auto" w:fill="auto"/>
            <w:noWrap/>
            <w:vAlign w:val="bottom"/>
            <w:hideMark/>
          </w:tcPr>
          <w:p w14:paraId="5F941203"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188</w:t>
            </w:r>
          </w:p>
        </w:tc>
        <w:tc>
          <w:tcPr>
            <w:tcW w:w="865" w:type="dxa"/>
            <w:tcBorders>
              <w:top w:val="nil"/>
              <w:left w:val="nil"/>
              <w:bottom w:val="nil"/>
              <w:right w:val="nil"/>
            </w:tcBorders>
            <w:shd w:val="clear" w:color="auto" w:fill="auto"/>
            <w:noWrap/>
            <w:vAlign w:val="bottom"/>
            <w:hideMark/>
          </w:tcPr>
          <w:p w14:paraId="4E83EBC2"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190</w:t>
            </w:r>
          </w:p>
        </w:tc>
      </w:tr>
      <w:tr w:rsidR="00CD3E1E" w:rsidRPr="00CD3E1E" w14:paraId="0BED62FB" w14:textId="77777777" w:rsidTr="00CD3E1E">
        <w:trPr>
          <w:trHeight w:val="225"/>
        </w:trPr>
        <w:tc>
          <w:tcPr>
            <w:tcW w:w="3052" w:type="dxa"/>
            <w:tcBorders>
              <w:top w:val="nil"/>
              <w:left w:val="nil"/>
              <w:bottom w:val="nil"/>
              <w:right w:val="nil"/>
            </w:tcBorders>
            <w:shd w:val="clear" w:color="auto" w:fill="auto"/>
            <w:noWrap/>
            <w:vAlign w:val="bottom"/>
            <w:hideMark/>
          </w:tcPr>
          <w:p w14:paraId="130F0159" w14:textId="77777777" w:rsidR="00CD3E1E" w:rsidRPr="00CD3E1E" w:rsidRDefault="00CD3E1E" w:rsidP="00CD3E1E">
            <w:pPr>
              <w:spacing w:after="0"/>
              <w:ind w:firstLineChars="200" w:firstLine="320"/>
              <w:rPr>
                <w:rFonts w:ascii="Arial" w:hAnsi="Arial" w:cs="Arial"/>
                <w:b/>
                <w:bCs/>
                <w:sz w:val="16"/>
                <w:szCs w:val="16"/>
              </w:rPr>
            </w:pPr>
            <w:r w:rsidRPr="00CD3E1E">
              <w:rPr>
                <w:rFonts w:ascii="Arial" w:hAnsi="Arial" w:cs="Arial"/>
                <w:b/>
                <w:bCs/>
                <w:sz w:val="16"/>
                <w:szCs w:val="16"/>
              </w:rPr>
              <w:t>Total cash received</w:t>
            </w:r>
          </w:p>
        </w:tc>
        <w:tc>
          <w:tcPr>
            <w:tcW w:w="883" w:type="dxa"/>
            <w:tcBorders>
              <w:top w:val="nil"/>
              <w:left w:val="nil"/>
              <w:bottom w:val="single" w:sz="4" w:space="0" w:color="auto"/>
              <w:right w:val="nil"/>
            </w:tcBorders>
            <w:shd w:val="clear" w:color="auto" w:fill="auto"/>
            <w:noWrap/>
            <w:vAlign w:val="bottom"/>
            <w:hideMark/>
          </w:tcPr>
          <w:p w14:paraId="41B3769E"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179</w:t>
            </w:r>
          </w:p>
        </w:tc>
        <w:tc>
          <w:tcPr>
            <w:tcW w:w="850" w:type="dxa"/>
            <w:tcBorders>
              <w:top w:val="nil"/>
              <w:left w:val="nil"/>
              <w:bottom w:val="single" w:sz="4" w:space="0" w:color="auto"/>
              <w:right w:val="nil"/>
            </w:tcBorders>
            <w:shd w:val="clear" w:color="000000" w:fill="D9D9D9"/>
            <w:noWrap/>
            <w:vAlign w:val="bottom"/>
            <w:hideMark/>
          </w:tcPr>
          <w:p w14:paraId="1CDA6996"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185</w:t>
            </w:r>
          </w:p>
        </w:tc>
        <w:tc>
          <w:tcPr>
            <w:tcW w:w="865" w:type="dxa"/>
            <w:tcBorders>
              <w:top w:val="nil"/>
              <w:left w:val="nil"/>
              <w:bottom w:val="single" w:sz="4" w:space="0" w:color="auto"/>
              <w:right w:val="nil"/>
            </w:tcBorders>
            <w:shd w:val="clear" w:color="auto" w:fill="auto"/>
            <w:noWrap/>
            <w:vAlign w:val="bottom"/>
            <w:hideMark/>
          </w:tcPr>
          <w:p w14:paraId="02115F56"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187</w:t>
            </w:r>
          </w:p>
        </w:tc>
        <w:tc>
          <w:tcPr>
            <w:tcW w:w="865" w:type="dxa"/>
            <w:tcBorders>
              <w:top w:val="nil"/>
              <w:left w:val="nil"/>
              <w:bottom w:val="single" w:sz="4" w:space="0" w:color="auto"/>
              <w:right w:val="nil"/>
            </w:tcBorders>
            <w:shd w:val="clear" w:color="auto" w:fill="auto"/>
            <w:noWrap/>
            <w:vAlign w:val="bottom"/>
            <w:hideMark/>
          </w:tcPr>
          <w:p w14:paraId="6F83106D"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188</w:t>
            </w:r>
          </w:p>
        </w:tc>
        <w:tc>
          <w:tcPr>
            <w:tcW w:w="865" w:type="dxa"/>
            <w:tcBorders>
              <w:top w:val="nil"/>
              <w:left w:val="nil"/>
              <w:bottom w:val="single" w:sz="4" w:space="0" w:color="auto"/>
              <w:right w:val="nil"/>
            </w:tcBorders>
            <w:shd w:val="clear" w:color="auto" w:fill="auto"/>
            <w:noWrap/>
            <w:vAlign w:val="bottom"/>
            <w:hideMark/>
          </w:tcPr>
          <w:p w14:paraId="121A098F"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190</w:t>
            </w:r>
          </w:p>
        </w:tc>
      </w:tr>
      <w:tr w:rsidR="00CD3E1E" w:rsidRPr="00CD3E1E" w14:paraId="33FD6EA6" w14:textId="77777777" w:rsidTr="00CD3E1E">
        <w:trPr>
          <w:trHeight w:val="300"/>
        </w:trPr>
        <w:tc>
          <w:tcPr>
            <w:tcW w:w="3052" w:type="dxa"/>
            <w:tcBorders>
              <w:top w:val="nil"/>
              <w:left w:val="nil"/>
              <w:bottom w:val="nil"/>
              <w:right w:val="nil"/>
            </w:tcBorders>
            <w:shd w:val="clear" w:color="auto" w:fill="auto"/>
            <w:noWrap/>
            <w:vAlign w:val="bottom"/>
            <w:hideMark/>
          </w:tcPr>
          <w:p w14:paraId="2CFAFB38" w14:textId="77777777" w:rsidR="00CD3E1E" w:rsidRPr="00CD3E1E" w:rsidRDefault="00CD3E1E" w:rsidP="00CD3E1E">
            <w:pPr>
              <w:spacing w:after="0"/>
              <w:ind w:firstLineChars="100" w:firstLine="160"/>
              <w:rPr>
                <w:rFonts w:ascii="Arial" w:hAnsi="Arial" w:cs="Arial"/>
                <w:b/>
                <w:bCs/>
                <w:sz w:val="16"/>
                <w:szCs w:val="16"/>
              </w:rPr>
            </w:pPr>
            <w:r w:rsidRPr="00CD3E1E">
              <w:rPr>
                <w:rFonts w:ascii="Arial" w:hAnsi="Arial" w:cs="Arial"/>
                <w:b/>
                <w:bCs/>
                <w:sz w:val="16"/>
                <w:szCs w:val="16"/>
              </w:rPr>
              <w:t>Cash used</w:t>
            </w:r>
          </w:p>
        </w:tc>
        <w:tc>
          <w:tcPr>
            <w:tcW w:w="883" w:type="dxa"/>
            <w:tcBorders>
              <w:top w:val="nil"/>
              <w:left w:val="nil"/>
              <w:bottom w:val="nil"/>
              <w:right w:val="nil"/>
            </w:tcBorders>
            <w:shd w:val="clear" w:color="auto" w:fill="auto"/>
            <w:noWrap/>
            <w:vAlign w:val="bottom"/>
            <w:hideMark/>
          </w:tcPr>
          <w:p w14:paraId="33846A7D" w14:textId="77777777" w:rsidR="00CD3E1E" w:rsidRPr="00CD3E1E" w:rsidRDefault="00CD3E1E" w:rsidP="00CD3E1E">
            <w:pPr>
              <w:spacing w:after="0"/>
              <w:ind w:firstLineChars="100" w:firstLine="160"/>
              <w:rPr>
                <w:rFonts w:ascii="Arial" w:hAnsi="Arial" w:cs="Arial"/>
                <w:b/>
                <w:bCs/>
                <w:sz w:val="16"/>
                <w:szCs w:val="16"/>
              </w:rPr>
            </w:pPr>
          </w:p>
        </w:tc>
        <w:tc>
          <w:tcPr>
            <w:tcW w:w="850" w:type="dxa"/>
            <w:tcBorders>
              <w:top w:val="nil"/>
              <w:left w:val="nil"/>
              <w:bottom w:val="nil"/>
              <w:right w:val="nil"/>
            </w:tcBorders>
            <w:shd w:val="clear" w:color="000000" w:fill="D9D9D9"/>
            <w:noWrap/>
            <w:vAlign w:val="bottom"/>
            <w:hideMark/>
          </w:tcPr>
          <w:p w14:paraId="79F5FA66"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 </w:t>
            </w:r>
          </w:p>
        </w:tc>
        <w:tc>
          <w:tcPr>
            <w:tcW w:w="865" w:type="dxa"/>
            <w:tcBorders>
              <w:top w:val="nil"/>
              <w:left w:val="nil"/>
              <w:bottom w:val="nil"/>
              <w:right w:val="nil"/>
            </w:tcBorders>
            <w:shd w:val="clear" w:color="auto" w:fill="auto"/>
            <w:noWrap/>
            <w:vAlign w:val="bottom"/>
            <w:hideMark/>
          </w:tcPr>
          <w:p w14:paraId="6C9415B6" w14:textId="77777777" w:rsidR="00CD3E1E" w:rsidRPr="00CD3E1E" w:rsidRDefault="00CD3E1E" w:rsidP="00CD3E1E">
            <w:pPr>
              <w:spacing w:after="0"/>
              <w:jc w:val="right"/>
              <w:rPr>
                <w:rFonts w:ascii="Arial" w:hAnsi="Arial" w:cs="Arial"/>
                <w:sz w:val="16"/>
                <w:szCs w:val="16"/>
              </w:rPr>
            </w:pPr>
          </w:p>
        </w:tc>
        <w:tc>
          <w:tcPr>
            <w:tcW w:w="865" w:type="dxa"/>
            <w:tcBorders>
              <w:top w:val="nil"/>
              <w:left w:val="nil"/>
              <w:bottom w:val="nil"/>
              <w:right w:val="nil"/>
            </w:tcBorders>
            <w:shd w:val="clear" w:color="auto" w:fill="auto"/>
            <w:noWrap/>
            <w:vAlign w:val="bottom"/>
            <w:hideMark/>
          </w:tcPr>
          <w:p w14:paraId="0811CE4C" w14:textId="77777777" w:rsidR="00CD3E1E" w:rsidRPr="00CD3E1E" w:rsidRDefault="00CD3E1E" w:rsidP="00CD3E1E">
            <w:pPr>
              <w:spacing w:after="0"/>
              <w:jc w:val="right"/>
              <w:rPr>
                <w:rFonts w:ascii="Times New Roman" w:hAnsi="Times New Roman"/>
                <w:color w:val="auto"/>
                <w:sz w:val="20"/>
              </w:rPr>
            </w:pPr>
          </w:p>
        </w:tc>
        <w:tc>
          <w:tcPr>
            <w:tcW w:w="865" w:type="dxa"/>
            <w:tcBorders>
              <w:top w:val="nil"/>
              <w:left w:val="nil"/>
              <w:bottom w:val="nil"/>
              <w:right w:val="nil"/>
            </w:tcBorders>
            <w:shd w:val="clear" w:color="auto" w:fill="auto"/>
            <w:noWrap/>
            <w:vAlign w:val="bottom"/>
            <w:hideMark/>
          </w:tcPr>
          <w:p w14:paraId="2E23F1BB" w14:textId="77777777" w:rsidR="00CD3E1E" w:rsidRPr="00CD3E1E" w:rsidRDefault="00CD3E1E" w:rsidP="00CD3E1E">
            <w:pPr>
              <w:spacing w:after="0"/>
              <w:jc w:val="right"/>
              <w:rPr>
                <w:rFonts w:ascii="Times New Roman" w:hAnsi="Times New Roman"/>
                <w:color w:val="auto"/>
                <w:sz w:val="20"/>
              </w:rPr>
            </w:pPr>
          </w:p>
        </w:tc>
      </w:tr>
      <w:tr w:rsidR="00CD3E1E" w:rsidRPr="00CD3E1E" w14:paraId="3FD316BA" w14:textId="77777777" w:rsidTr="00CD3E1E">
        <w:trPr>
          <w:trHeight w:val="225"/>
        </w:trPr>
        <w:tc>
          <w:tcPr>
            <w:tcW w:w="3052" w:type="dxa"/>
            <w:tcBorders>
              <w:top w:val="nil"/>
              <w:left w:val="nil"/>
              <w:bottom w:val="nil"/>
              <w:right w:val="nil"/>
            </w:tcBorders>
            <w:shd w:val="clear" w:color="000000" w:fill="FFFFFF"/>
            <w:noWrap/>
            <w:vAlign w:val="bottom"/>
            <w:hideMark/>
          </w:tcPr>
          <w:p w14:paraId="1C8A965F" w14:textId="77777777" w:rsidR="00CD3E1E" w:rsidRPr="00CD3E1E" w:rsidRDefault="00CD3E1E" w:rsidP="00CD3E1E">
            <w:pPr>
              <w:spacing w:after="0"/>
              <w:ind w:firstLineChars="200" w:firstLine="320"/>
              <w:rPr>
                <w:rFonts w:ascii="Arial" w:hAnsi="Arial" w:cs="Arial"/>
                <w:color w:val="auto"/>
                <w:sz w:val="16"/>
                <w:szCs w:val="16"/>
              </w:rPr>
            </w:pPr>
            <w:r w:rsidRPr="00CD3E1E">
              <w:rPr>
                <w:rFonts w:ascii="Arial" w:hAnsi="Arial" w:cs="Arial"/>
                <w:color w:val="auto"/>
                <w:sz w:val="16"/>
                <w:szCs w:val="16"/>
              </w:rPr>
              <w:t>Lease principal repayments</w:t>
            </w:r>
          </w:p>
        </w:tc>
        <w:tc>
          <w:tcPr>
            <w:tcW w:w="883" w:type="dxa"/>
            <w:tcBorders>
              <w:top w:val="nil"/>
              <w:left w:val="nil"/>
              <w:bottom w:val="nil"/>
              <w:right w:val="nil"/>
            </w:tcBorders>
            <w:shd w:val="clear" w:color="auto" w:fill="auto"/>
            <w:noWrap/>
            <w:vAlign w:val="bottom"/>
            <w:hideMark/>
          </w:tcPr>
          <w:p w14:paraId="0BB7799B" w14:textId="77777777" w:rsidR="00CD3E1E" w:rsidRPr="00CD3E1E" w:rsidRDefault="00CD3E1E" w:rsidP="00CD3E1E">
            <w:pPr>
              <w:spacing w:after="0"/>
              <w:jc w:val="right"/>
              <w:rPr>
                <w:rFonts w:ascii="Arial" w:hAnsi="Arial" w:cs="Arial"/>
                <w:color w:val="auto"/>
                <w:sz w:val="16"/>
                <w:szCs w:val="16"/>
              </w:rPr>
            </w:pPr>
            <w:r w:rsidRPr="00CD3E1E">
              <w:rPr>
                <w:rFonts w:ascii="Arial" w:hAnsi="Arial" w:cs="Arial"/>
                <w:color w:val="auto"/>
                <w:sz w:val="16"/>
                <w:szCs w:val="16"/>
              </w:rPr>
              <w:t>2,465</w:t>
            </w:r>
          </w:p>
        </w:tc>
        <w:tc>
          <w:tcPr>
            <w:tcW w:w="850" w:type="dxa"/>
            <w:tcBorders>
              <w:top w:val="nil"/>
              <w:left w:val="nil"/>
              <w:bottom w:val="nil"/>
              <w:right w:val="nil"/>
            </w:tcBorders>
            <w:shd w:val="clear" w:color="000000" w:fill="D9D9D9"/>
            <w:noWrap/>
            <w:vAlign w:val="bottom"/>
            <w:hideMark/>
          </w:tcPr>
          <w:p w14:paraId="18C0E08A"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2,581</w:t>
            </w:r>
          </w:p>
        </w:tc>
        <w:tc>
          <w:tcPr>
            <w:tcW w:w="865" w:type="dxa"/>
            <w:tcBorders>
              <w:top w:val="nil"/>
              <w:left w:val="nil"/>
              <w:bottom w:val="nil"/>
              <w:right w:val="nil"/>
            </w:tcBorders>
            <w:shd w:val="clear" w:color="auto" w:fill="auto"/>
            <w:noWrap/>
            <w:vAlign w:val="bottom"/>
            <w:hideMark/>
          </w:tcPr>
          <w:p w14:paraId="3A72CE92" w14:textId="77777777" w:rsidR="00CD3E1E" w:rsidRPr="00CD3E1E" w:rsidRDefault="00CD3E1E" w:rsidP="00CD3E1E">
            <w:pPr>
              <w:spacing w:after="0"/>
              <w:jc w:val="right"/>
              <w:rPr>
                <w:rFonts w:ascii="Arial" w:hAnsi="Arial" w:cs="Arial"/>
                <w:color w:val="auto"/>
                <w:sz w:val="16"/>
                <w:szCs w:val="16"/>
              </w:rPr>
            </w:pPr>
            <w:r w:rsidRPr="00CD3E1E">
              <w:rPr>
                <w:rFonts w:ascii="Arial" w:hAnsi="Arial" w:cs="Arial"/>
                <w:color w:val="auto"/>
                <w:sz w:val="16"/>
                <w:szCs w:val="16"/>
              </w:rPr>
              <w:t>2,700</w:t>
            </w:r>
          </w:p>
        </w:tc>
        <w:tc>
          <w:tcPr>
            <w:tcW w:w="865" w:type="dxa"/>
            <w:tcBorders>
              <w:top w:val="nil"/>
              <w:left w:val="nil"/>
              <w:bottom w:val="nil"/>
              <w:right w:val="nil"/>
            </w:tcBorders>
            <w:shd w:val="clear" w:color="auto" w:fill="auto"/>
            <w:noWrap/>
            <w:vAlign w:val="bottom"/>
            <w:hideMark/>
          </w:tcPr>
          <w:p w14:paraId="616B98F8" w14:textId="77777777" w:rsidR="00CD3E1E" w:rsidRPr="00CD3E1E" w:rsidRDefault="00CD3E1E" w:rsidP="00CD3E1E">
            <w:pPr>
              <w:spacing w:after="0"/>
              <w:jc w:val="right"/>
              <w:rPr>
                <w:rFonts w:ascii="Arial" w:hAnsi="Arial" w:cs="Arial"/>
                <w:color w:val="auto"/>
                <w:sz w:val="16"/>
                <w:szCs w:val="16"/>
              </w:rPr>
            </w:pPr>
            <w:r w:rsidRPr="00CD3E1E">
              <w:rPr>
                <w:rFonts w:ascii="Arial" w:hAnsi="Arial" w:cs="Arial"/>
                <w:color w:val="auto"/>
                <w:sz w:val="16"/>
                <w:szCs w:val="16"/>
              </w:rPr>
              <w:t>2,750</w:t>
            </w:r>
          </w:p>
        </w:tc>
        <w:tc>
          <w:tcPr>
            <w:tcW w:w="865" w:type="dxa"/>
            <w:tcBorders>
              <w:top w:val="nil"/>
              <w:left w:val="nil"/>
              <w:bottom w:val="nil"/>
              <w:right w:val="nil"/>
            </w:tcBorders>
            <w:shd w:val="clear" w:color="auto" w:fill="auto"/>
            <w:noWrap/>
            <w:vAlign w:val="bottom"/>
            <w:hideMark/>
          </w:tcPr>
          <w:p w14:paraId="77D84B71" w14:textId="77777777" w:rsidR="00CD3E1E" w:rsidRPr="00CD3E1E" w:rsidRDefault="00CD3E1E" w:rsidP="00CD3E1E">
            <w:pPr>
              <w:spacing w:after="0"/>
              <w:jc w:val="right"/>
              <w:rPr>
                <w:rFonts w:ascii="Arial" w:hAnsi="Arial" w:cs="Arial"/>
                <w:color w:val="auto"/>
                <w:sz w:val="16"/>
                <w:szCs w:val="16"/>
              </w:rPr>
            </w:pPr>
            <w:r w:rsidRPr="00CD3E1E">
              <w:rPr>
                <w:rFonts w:ascii="Arial" w:hAnsi="Arial" w:cs="Arial"/>
                <w:color w:val="auto"/>
                <w:sz w:val="16"/>
                <w:szCs w:val="16"/>
              </w:rPr>
              <w:t>2,800</w:t>
            </w:r>
          </w:p>
        </w:tc>
      </w:tr>
      <w:tr w:rsidR="00CD3E1E" w:rsidRPr="00CD3E1E" w14:paraId="34E3AE0A" w14:textId="77777777" w:rsidTr="00CD3E1E">
        <w:trPr>
          <w:trHeight w:val="225"/>
        </w:trPr>
        <w:tc>
          <w:tcPr>
            <w:tcW w:w="3052" w:type="dxa"/>
            <w:tcBorders>
              <w:top w:val="nil"/>
              <w:left w:val="nil"/>
              <w:bottom w:val="nil"/>
              <w:right w:val="nil"/>
            </w:tcBorders>
            <w:shd w:val="clear" w:color="auto" w:fill="auto"/>
            <w:noWrap/>
            <w:vAlign w:val="bottom"/>
            <w:hideMark/>
          </w:tcPr>
          <w:p w14:paraId="201BADF8" w14:textId="77777777" w:rsidR="00CD3E1E" w:rsidRPr="00CD3E1E" w:rsidRDefault="00CD3E1E" w:rsidP="00CD3E1E">
            <w:pPr>
              <w:spacing w:after="0"/>
              <w:ind w:firstLineChars="200" w:firstLine="320"/>
              <w:rPr>
                <w:rFonts w:ascii="Arial" w:hAnsi="Arial" w:cs="Arial"/>
                <w:b/>
                <w:bCs/>
                <w:sz w:val="16"/>
                <w:szCs w:val="16"/>
              </w:rPr>
            </w:pPr>
            <w:r w:rsidRPr="00CD3E1E">
              <w:rPr>
                <w:rFonts w:ascii="Arial" w:hAnsi="Arial" w:cs="Arial"/>
                <w:b/>
                <w:bCs/>
                <w:sz w:val="16"/>
                <w:szCs w:val="16"/>
              </w:rPr>
              <w:t>Total cash used</w:t>
            </w:r>
          </w:p>
        </w:tc>
        <w:tc>
          <w:tcPr>
            <w:tcW w:w="883" w:type="dxa"/>
            <w:tcBorders>
              <w:top w:val="nil"/>
              <w:left w:val="nil"/>
              <w:bottom w:val="single" w:sz="4" w:space="0" w:color="auto"/>
              <w:right w:val="nil"/>
            </w:tcBorders>
            <w:shd w:val="clear" w:color="auto" w:fill="auto"/>
            <w:noWrap/>
            <w:vAlign w:val="bottom"/>
            <w:hideMark/>
          </w:tcPr>
          <w:p w14:paraId="60EDD91C"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2,465</w:t>
            </w:r>
          </w:p>
        </w:tc>
        <w:tc>
          <w:tcPr>
            <w:tcW w:w="850" w:type="dxa"/>
            <w:tcBorders>
              <w:top w:val="nil"/>
              <w:left w:val="nil"/>
              <w:bottom w:val="single" w:sz="4" w:space="0" w:color="auto"/>
              <w:right w:val="nil"/>
            </w:tcBorders>
            <w:shd w:val="clear" w:color="000000" w:fill="D9D9D9"/>
            <w:noWrap/>
            <w:vAlign w:val="bottom"/>
            <w:hideMark/>
          </w:tcPr>
          <w:p w14:paraId="1FAEF518"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2,581</w:t>
            </w:r>
          </w:p>
        </w:tc>
        <w:tc>
          <w:tcPr>
            <w:tcW w:w="865" w:type="dxa"/>
            <w:tcBorders>
              <w:top w:val="nil"/>
              <w:left w:val="nil"/>
              <w:bottom w:val="single" w:sz="4" w:space="0" w:color="auto"/>
              <w:right w:val="nil"/>
            </w:tcBorders>
            <w:shd w:val="clear" w:color="auto" w:fill="auto"/>
            <w:noWrap/>
            <w:vAlign w:val="bottom"/>
            <w:hideMark/>
          </w:tcPr>
          <w:p w14:paraId="15FD5F1B"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2,700</w:t>
            </w:r>
          </w:p>
        </w:tc>
        <w:tc>
          <w:tcPr>
            <w:tcW w:w="865" w:type="dxa"/>
            <w:tcBorders>
              <w:top w:val="nil"/>
              <w:left w:val="nil"/>
              <w:bottom w:val="single" w:sz="4" w:space="0" w:color="auto"/>
              <w:right w:val="nil"/>
            </w:tcBorders>
            <w:shd w:val="clear" w:color="auto" w:fill="auto"/>
            <w:noWrap/>
            <w:vAlign w:val="bottom"/>
            <w:hideMark/>
          </w:tcPr>
          <w:p w14:paraId="343649EE"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2,750</w:t>
            </w:r>
          </w:p>
        </w:tc>
        <w:tc>
          <w:tcPr>
            <w:tcW w:w="865" w:type="dxa"/>
            <w:tcBorders>
              <w:top w:val="nil"/>
              <w:left w:val="nil"/>
              <w:bottom w:val="single" w:sz="4" w:space="0" w:color="auto"/>
              <w:right w:val="nil"/>
            </w:tcBorders>
            <w:shd w:val="clear" w:color="auto" w:fill="auto"/>
            <w:noWrap/>
            <w:vAlign w:val="bottom"/>
            <w:hideMark/>
          </w:tcPr>
          <w:p w14:paraId="21BEEF01"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2,800</w:t>
            </w:r>
          </w:p>
        </w:tc>
      </w:tr>
      <w:tr w:rsidR="00CD3E1E" w:rsidRPr="00CD3E1E" w14:paraId="6CB4F834" w14:textId="77777777" w:rsidTr="00CD3E1E">
        <w:trPr>
          <w:trHeight w:val="450"/>
        </w:trPr>
        <w:tc>
          <w:tcPr>
            <w:tcW w:w="3052" w:type="dxa"/>
            <w:tcBorders>
              <w:top w:val="nil"/>
              <w:left w:val="nil"/>
              <w:bottom w:val="nil"/>
              <w:right w:val="nil"/>
            </w:tcBorders>
            <w:shd w:val="clear" w:color="auto" w:fill="auto"/>
            <w:vAlign w:val="bottom"/>
            <w:hideMark/>
          </w:tcPr>
          <w:p w14:paraId="1D9883B6" w14:textId="77777777" w:rsidR="00CD3E1E" w:rsidRPr="00CD3E1E" w:rsidRDefault="00CD3E1E" w:rsidP="00CD3E1E">
            <w:pPr>
              <w:spacing w:after="0"/>
              <w:ind w:leftChars="75" w:left="143"/>
              <w:rPr>
                <w:rFonts w:ascii="Arial" w:hAnsi="Arial" w:cs="Arial"/>
                <w:b/>
                <w:bCs/>
                <w:sz w:val="16"/>
                <w:szCs w:val="16"/>
              </w:rPr>
            </w:pPr>
            <w:r w:rsidRPr="00CD3E1E">
              <w:rPr>
                <w:rFonts w:ascii="Arial" w:hAnsi="Arial" w:cs="Arial"/>
                <w:b/>
                <w:bCs/>
                <w:sz w:val="16"/>
                <w:szCs w:val="16"/>
              </w:rPr>
              <w:t>Net cash from (or used by) financing activities</w:t>
            </w:r>
          </w:p>
        </w:tc>
        <w:tc>
          <w:tcPr>
            <w:tcW w:w="883" w:type="dxa"/>
            <w:tcBorders>
              <w:top w:val="nil"/>
              <w:left w:val="nil"/>
              <w:bottom w:val="single" w:sz="4" w:space="0" w:color="auto"/>
              <w:right w:val="nil"/>
            </w:tcBorders>
            <w:shd w:val="clear" w:color="auto" w:fill="auto"/>
            <w:noWrap/>
            <w:vAlign w:val="bottom"/>
            <w:hideMark/>
          </w:tcPr>
          <w:p w14:paraId="7F019AEE"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(2,286)</w:t>
            </w:r>
          </w:p>
        </w:tc>
        <w:tc>
          <w:tcPr>
            <w:tcW w:w="850" w:type="dxa"/>
            <w:tcBorders>
              <w:top w:val="nil"/>
              <w:left w:val="nil"/>
              <w:bottom w:val="single" w:sz="4" w:space="0" w:color="auto"/>
              <w:right w:val="nil"/>
            </w:tcBorders>
            <w:shd w:val="clear" w:color="000000" w:fill="D9D9D9"/>
            <w:noWrap/>
            <w:vAlign w:val="bottom"/>
            <w:hideMark/>
          </w:tcPr>
          <w:p w14:paraId="7BA1970A"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(2,396)</w:t>
            </w:r>
          </w:p>
        </w:tc>
        <w:tc>
          <w:tcPr>
            <w:tcW w:w="865" w:type="dxa"/>
            <w:tcBorders>
              <w:top w:val="nil"/>
              <w:left w:val="nil"/>
              <w:bottom w:val="single" w:sz="4" w:space="0" w:color="auto"/>
              <w:right w:val="nil"/>
            </w:tcBorders>
            <w:shd w:val="clear" w:color="auto" w:fill="auto"/>
            <w:noWrap/>
            <w:vAlign w:val="bottom"/>
            <w:hideMark/>
          </w:tcPr>
          <w:p w14:paraId="012C6122"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(2,513)</w:t>
            </w:r>
          </w:p>
        </w:tc>
        <w:tc>
          <w:tcPr>
            <w:tcW w:w="865" w:type="dxa"/>
            <w:tcBorders>
              <w:top w:val="nil"/>
              <w:left w:val="nil"/>
              <w:bottom w:val="single" w:sz="4" w:space="0" w:color="auto"/>
              <w:right w:val="nil"/>
            </w:tcBorders>
            <w:shd w:val="clear" w:color="auto" w:fill="auto"/>
            <w:noWrap/>
            <w:vAlign w:val="bottom"/>
            <w:hideMark/>
          </w:tcPr>
          <w:p w14:paraId="1E970AA1"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(2,562)</w:t>
            </w:r>
          </w:p>
        </w:tc>
        <w:tc>
          <w:tcPr>
            <w:tcW w:w="865" w:type="dxa"/>
            <w:tcBorders>
              <w:top w:val="nil"/>
              <w:left w:val="nil"/>
              <w:bottom w:val="single" w:sz="4" w:space="0" w:color="auto"/>
              <w:right w:val="nil"/>
            </w:tcBorders>
            <w:shd w:val="clear" w:color="auto" w:fill="auto"/>
            <w:noWrap/>
            <w:vAlign w:val="bottom"/>
            <w:hideMark/>
          </w:tcPr>
          <w:p w14:paraId="237F7B96"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(2,610)</w:t>
            </w:r>
          </w:p>
        </w:tc>
      </w:tr>
      <w:tr w:rsidR="00CD3E1E" w:rsidRPr="00CD3E1E" w14:paraId="1EE88B49" w14:textId="77777777" w:rsidTr="00CD3E1E">
        <w:trPr>
          <w:trHeight w:val="525"/>
        </w:trPr>
        <w:tc>
          <w:tcPr>
            <w:tcW w:w="3052" w:type="dxa"/>
            <w:tcBorders>
              <w:top w:val="nil"/>
              <w:left w:val="nil"/>
              <w:bottom w:val="nil"/>
              <w:right w:val="nil"/>
            </w:tcBorders>
            <w:shd w:val="clear" w:color="auto" w:fill="auto"/>
            <w:vAlign w:val="bottom"/>
            <w:hideMark/>
          </w:tcPr>
          <w:p w14:paraId="75A2C8C1" w14:textId="77777777" w:rsidR="00CD3E1E" w:rsidRPr="00CD3E1E" w:rsidRDefault="00CD3E1E" w:rsidP="00CD3E1E">
            <w:pPr>
              <w:spacing w:after="0"/>
              <w:rPr>
                <w:rFonts w:ascii="Arial" w:hAnsi="Arial" w:cs="Arial"/>
                <w:b/>
                <w:bCs/>
                <w:sz w:val="16"/>
                <w:szCs w:val="16"/>
              </w:rPr>
            </w:pPr>
            <w:r w:rsidRPr="00CD3E1E">
              <w:rPr>
                <w:rFonts w:ascii="Arial" w:hAnsi="Arial" w:cs="Arial"/>
                <w:b/>
                <w:bCs/>
                <w:sz w:val="16"/>
                <w:szCs w:val="16"/>
              </w:rPr>
              <w:t>Net increase (or decrease) in cash held</w:t>
            </w:r>
          </w:p>
        </w:tc>
        <w:tc>
          <w:tcPr>
            <w:tcW w:w="883" w:type="dxa"/>
            <w:tcBorders>
              <w:top w:val="nil"/>
              <w:left w:val="nil"/>
              <w:bottom w:val="single" w:sz="4" w:space="0" w:color="auto"/>
              <w:right w:val="nil"/>
            </w:tcBorders>
            <w:shd w:val="clear" w:color="auto" w:fill="auto"/>
            <w:noWrap/>
            <w:vAlign w:val="bottom"/>
            <w:hideMark/>
          </w:tcPr>
          <w:p w14:paraId="00FC7EE4"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w:t>
            </w:r>
          </w:p>
        </w:tc>
        <w:tc>
          <w:tcPr>
            <w:tcW w:w="850" w:type="dxa"/>
            <w:tcBorders>
              <w:top w:val="nil"/>
              <w:left w:val="nil"/>
              <w:bottom w:val="single" w:sz="4" w:space="0" w:color="auto"/>
              <w:right w:val="nil"/>
            </w:tcBorders>
            <w:shd w:val="clear" w:color="000000" w:fill="D9D9D9"/>
            <w:noWrap/>
            <w:vAlign w:val="bottom"/>
            <w:hideMark/>
          </w:tcPr>
          <w:p w14:paraId="719C9E28"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w:t>
            </w:r>
          </w:p>
        </w:tc>
        <w:tc>
          <w:tcPr>
            <w:tcW w:w="865" w:type="dxa"/>
            <w:tcBorders>
              <w:top w:val="nil"/>
              <w:left w:val="nil"/>
              <w:bottom w:val="single" w:sz="4" w:space="0" w:color="auto"/>
              <w:right w:val="nil"/>
            </w:tcBorders>
            <w:shd w:val="clear" w:color="auto" w:fill="auto"/>
            <w:noWrap/>
            <w:vAlign w:val="bottom"/>
            <w:hideMark/>
          </w:tcPr>
          <w:p w14:paraId="206C609E"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w:t>
            </w:r>
          </w:p>
        </w:tc>
        <w:tc>
          <w:tcPr>
            <w:tcW w:w="865" w:type="dxa"/>
            <w:tcBorders>
              <w:top w:val="nil"/>
              <w:left w:val="nil"/>
              <w:bottom w:val="single" w:sz="4" w:space="0" w:color="auto"/>
              <w:right w:val="nil"/>
            </w:tcBorders>
            <w:shd w:val="clear" w:color="auto" w:fill="auto"/>
            <w:noWrap/>
            <w:vAlign w:val="bottom"/>
            <w:hideMark/>
          </w:tcPr>
          <w:p w14:paraId="78C3449E"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w:t>
            </w:r>
          </w:p>
        </w:tc>
        <w:tc>
          <w:tcPr>
            <w:tcW w:w="865" w:type="dxa"/>
            <w:tcBorders>
              <w:top w:val="nil"/>
              <w:left w:val="nil"/>
              <w:bottom w:val="single" w:sz="4" w:space="0" w:color="auto"/>
              <w:right w:val="nil"/>
            </w:tcBorders>
            <w:shd w:val="clear" w:color="auto" w:fill="auto"/>
            <w:noWrap/>
            <w:vAlign w:val="bottom"/>
            <w:hideMark/>
          </w:tcPr>
          <w:p w14:paraId="762C5C94"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w:t>
            </w:r>
          </w:p>
        </w:tc>
      </w:tr>
      <w:tr w:rsidR="00CD3E1E" w:rsidRPr="00CD3E1E" w14:paraId="619CB1FA" w14:textId="77777777" w:rsidTr="00CD3E1E">
        <w:trPr>
          <w:trHeight w:val="450"/>
        </w:trPr>
        <w:tc>
          <w:tcPr>
            <w:tcW w:w="3052" w:type="dxa"/>
            <w:tcBorders>
              <w:top w:val="nil"/>
              <w:left w:val="nil"/>
              <w:bottom w:val="nil"/>
              <w:right w:val="nil"/>
            </w:tcBorders>
            <w:shd w:val="clear" w:color="auto" w:fill="auto"/>
            <w:vAlign w:val="bottom"/>
            <w:hideMark/>
          </w:tcPr>
          <w:p w14:paraId="5A342A30" w14:textId="77777777" w:rsidR="00CD3E1E" w:rsidRPr="00CD3E1E" w:rsidRDefault="00CD3E1E" w:rsidP="00CD3E1E">
            <w:pPr>
              <w:spacing w:after="0"/>
              <w:ind w:leftChars="75" w:left="143"/>
              <w:rPr>
                <w:rFonts w:ascii="Arial" w:hAnsi="Arial" w:cs="Arial"/>
                <w:sz w:val="16"/>
                <w:szCs w:val="16"/>
              </w:rPr>
            </w:pPr>
            <w:r w:rsidRPr="00CD3E1E">
              <w:rPr>
                <w:rFonts w:ascii="Arial" w:hAnsi="Arial" w:cs="Arial"/>
                <w:sz w:val="16"/>
                <w:szCs w:val="16"/>
              </w:rPr>
              <w:t>Cash and cash equivalents at the beginning of the reporting period</w:t>
            </w:r>
          </w:p>
        </w:tc>
        <w:tc>
          <w:tcPr>
            <w:tcW w:w="883" w:type="dxa"/>
            <w:tcBorders>
              <w:top w:val="nil"/>
              <w:left w:val="nil"/>
              <w:bottom w:val="nil"/>
              <w:right w:val="nil"/>
            </w:tcBorders>
            <w:shd w:val="clear" w:color="auto" w:fill="auto"/>
            <w:noWrap/>
            <w:vAlign w:val="bottom"/>
            <w:hideMark/>
          </w:tcPr>
          <w:p w14:paraId="1E4355E5"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664</w:t>
            </w:r>
          </w:p>
        </w:tc>
        <w:tc>
          <w:tcPr>
            <w:tcW w:w="850" w:type="dxa"/>
            <w:tcBorders>
              <w:top w:val="nil"/>
              <w:left w:val="nil"/>
              <w:bottom w:val="nil"/>
              <w:right w:val="nil"/>
            </w:tcBorders>
            <w:shd w:val="clear" w:color="000000" w:fill="D9D9D9"/>
            <w:noWrap/>
            <w:vAlign w:val="bottom"/>
            <w:hideMark/>
          </w:tcPr>
          <w:p w14:paraId="1842FF98"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664</w:t>
            </w:r>
          </w:p>
        </w:tc>
        <w:tc>
          <w:tcPr>
            <w:tcW w:w="865" w:type="dxa"/>
            <w:tcBorders>
              <w:top w:val="nil"/>
              <w:left w:val="nil"/>
              <w:bottom w:val="nil"/>
              <w:right w:val="nil"/>
            </w:tcBorders>
            <w:shd w:val="clear" w:color="auto" w:fill="auto"/>
            <w:noWrap/>
            <w:vAlign w:val="bottom"/>
            <w:hideMark/>
          </w:tcPr>
          <w:p w14:paraId="5D54360B"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664</w:t>
            </w:r>
          </w:p>
        </w:tc>
        <w:tc>
          <w:tcPr>
            <w:tcW w:w="865" w:type="dxa"/>
            <w:tcBorders>
              <w:top w:val="nil"/>
              <w:left w:val="nil"/>
              <w:bottom w:val="nil"/>
              <w:right w:val="nil"/>
            </w:tcBorders>
            <w:shd w:val="clear" w:color="auto" w:fill="auto"/>
            <w:noWrap/>
            <w:vAlign w:val="bottom"/>
            <w:hideMark/>
          </w:tcPr>
          <w:p w14:paraId="02AA3D4F"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664</w:t>
            </w:r>
          </w:p>
        </w:tc>
        <w:tc>
          <w:tcPr>
            <w:tcW w:w="865" w:type="dxa"/>
            <w:tcBorders>
              <w:top w:val="nil"/>
              <w:left w:val="nil"/>
              <w:bottom w:val="nil"/>
              <w:right w:val="nil"/>
            </w:tcBorders>
            <w:shd w:val="clear" w:color="auto" w:fill="auto"/>
            <w:noWrap/>
            <w:vAlign w:val="bottom"/>
            <w:hideMark/>
          </w:tcPr>
          <w:p w14:paraId="57FEB619" w14:textId="77777777" w:rsidR="00CD3E1E" w:rsidRPr="00CD3E1E" w:rsidRDefault="00CD3E1E" w:rsidP="00CD3E1E">
            <w:pPr>
              <w:spacing w:after="0"/>
              <w:jc w:val="right"/>
              <w:rPr>
                <w:rFonts w:ascii="Arial" w:hAnsi="Arial" w:cs="Arial"/>
                <w:sz w:val="16"/>
                <w:szCs w:val="16"/>
              </w:rPr>
            </w:pPr>
            <w:r w:rsidRPr="00CD3E1E">
              <w:rPr>
                <w:rFonts w:ascii="Arial" w:hAnsi="Arial" w:cs="Arial"/>
                <w:sz w:val="16"/>
                <w:szCs w:val="16"/>
              </w:rPr>
              <w:t>664</w:t>
            </w:r>
          </w:p>
        </w:tc>
      </w:tr>
      <w:tr w:rsidR="00CD3E1E" w:rsidRPr="00CD3E1E" w14:paraId="3A15DD42" w14:textId="77777777" w:rsidTr="00CD3E1E">
        <w:trPr>
          <w:trHeight w:val="525"/>
        </w:trPr>
        <w:tc>
          <w:tcPr>
            <w:tcW w:w="3052" w:type="dxa"/>
            <w:tcBorders>
              <w:top w:val="nil"/>
              <w:left w:val="nil"/>
              <w:bottom w:val="single" w:sz="4" w:space="0" w:color="auto"/>
              <w:right w:val="nil"/>
            </w:tcBorders>
            <w:shd w:val="clear" w:color="auto" w:fill="auto"/>
            <w:vAlign w:val="bottom"/>
            <w:hideMark/>
          </w:tcPr>
          <w:p w14:paraId="5364ACF2" w14:textId="77777777" w:rsidR="00CD3E1E" w:rsidRPr="00CD3E1E" w:rsidRDefault="00CD3E1E" w:rsidP="00CD3E1E">
            <w:pPr>
              <w:spacing w:after="0"/>
              <w:rPr>
                <w:rFonts w:ascii="Arial" w:hAnsi="Arial" w:cs="Arial"/>
                <w:b/>
                <w:bCs/>
                <w:sz w:val="16"/>
                <w:szCs w:val="16"/>
              </w:rPr>
            </w:pPr>
            <w:r w:rsidRPr="00CD3E1E">
              <w:rPr>
                <w:rFonts w:ascii="Arial" w:hAnsi="Arial" w:cs="Arial"/>
                <w:b/>
                <w:bCs/>
                <w:sz w:val="16"/>
                <w:szCs w:val="16"/>
              </w:rPr>
              <w:t>Cash and cash equivalents at the end of the reporting period</w:t>
            </w:r>
          </w:p>
        </w:tc>
        <w:tc>
          <w:tcPr>
            <w:tcW w:w="883" w:type="dxa"/>
            <w:tcBorders>
              <w:top w:val="nil"/>
              <w:left w:val="nil"/>
              <w:bottom w:val="single" w:sz="4" w:space="0" w:color="auto"/>
              <w:right w:val="nil"/>
            </w:tcBorders>
            <w:shd w:val="clear" w:color="auto" w:fill="auto"/>
            <w:noWrap/>
            <w:vAlign w:val="bottom"/>
            <w:hideMark/>
          </w:tcPr>
          <w:p w14:paraId="584B93AF"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664</w:t>
            </w:r>
          </w:p>
        </w:tc>
        <w:tc>
          <w:tcPr>
            <w:tcW w:w="850" w:type="dxa"/>
            <w:tcBorders>
              <w:top w:val="nil"/>
              <w:left w:val="nil"/>
              <w:bottom w:val="single" w:sz="4" w:space="0" w:color="auto"/>
              <w:right w:val="nil"/>
            </w:tcBorders>
            <w:shd w:val="clear" w:color="000000" w:fill="D9D9D9"/>
            <w:noWrap/>
            <w:vAlign w:val="bottom"/>
            <w:hideMark/>
          </w:tcPr>
          <w:p w14:paraId="666D7D42"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664</w:t>
            </w:r>
          </w:p>
        </w:tc>
        <w:tc>
          <w:tcPr>
            <w:tcW w:w="865" w:type="dxa"/>
            <w:tcBorders>
              <w:top w:val="nil"/>
              <w:left w:val="nil"/>
              <w:bottom w:val="single" w:sz="4" w:space="0" w:color="auto"/>
              <w:right w:val="nil"/>
            </w:tcBorders>
            <w:shd w:val="clear" w:color="auto" w:fill="auto"/>
            <w:noWrap/>
            <w:vAlign w:val="bottom"/>
            <w:hideMark/>
          </w:tcPr>
          <w:p w14:paraId="116B4145"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664</w:t>
            </w:r>
          </w:p>
        </w:tc>
        <w:tc>
          <w:tcPr>
            <w:tcW w:w="865" w:type="dxa"/>
            <w:tcBorders>
              <w:top w:val="nil"/>
              <w:left w:val="nil"/>
              <w:bottom w:val="single" w:sz="4" w:space="0" w:color="auto"/>
              <w:right w:val="nil"/>
            </w:tcBorders>
            <w:shd w:val="clear" w:color="auto" w:fill="auto"/>
            <w:noWrap/>
            <w:vAlign w:val="bottom"/>
            <w:hideMark/>
          </w:tcPr>
          <w:p w14:paraId="5AB3A3F2"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664</w:t>
            </w:r>
          </w:p>
        </w:tc>
        <w:tc>
          <w:tcPr>
            <w:tcW w:w="865" w:type="dxa"/>
            <w:tcBorders>
              <w:top w:val="nil"/>
              <w:left w:val="nil"/>
              <w:bottom w:val="single" w:sz="4" w:space="0" w:color="auto"/>
              <w:right w:val="nil"/>
            </w:tcBorders>
            <w:shd w:val="clear" w:color="auto" w:fill="auto"/>
            <w:noWrap/>
            <w:vAlign w:val="bottom"/>
            <w:hideMark/>
          </w:tcPr>
          <w:p w14:paraId="38A55760" w14:textId="77777777" w:rsidR="00CD3E1E" w:rsidRPr="00CD3E1E" w:rsidRDefault="00CD3E1E" w:rsidP="00CD3E1E">
            <w:pPr>
              <w:spacing w:after="0"/>
              <w:jc w:val="right"/>
              <w:rPr>
                <w:rFonts w:ascii="Arial" w:hAnsi="Arial" w:cs="Arial"/>
                <w:b/>
                <w:bCs/>
                <w:sz w:val="16"/>
                <w:szCs w:val="16"/>
              </w:rPr>
            </w:pPr>
            <w:r w:rsidRPr="00CD3E1E">
              <w:rPr>
                <w:rFonts w:ascii="Arial" w:hAnsi="Arial" w:cs="Arial"/>
                <w:b/>
                <w:bCs/>
                <w:sz w:val="16"/>
                <w:szCs w:val="16"/>
              </w:rPr>
              <w:t>664</w:t>
            </w:r>
          </w:p>
        </w:tc>
      </w:tr>
    </w:tbl>
    <w:p w14:paraId="6CAEF74A" w14:textId="340DD971" w:rsidR="00CD3E1E" w:rsidRPr="00CD3E1E" w:rsidRDefault="00CD3E1E" w:rsidP="00CD3E1E">
      <w:pPr>
        <w:pStyle w:val="FootnoteText"/>
        <w:spacing w:before="120" w:after="40"/>
        <w:rPr>
          <w:lang w:eastAsia="en-US"/>
        </w:rPr>
      </w:pPr>
      <w:r w:rsidRPr="00CD3E1E">
        <w:rPr>
          <w:lang w:eastAsia="en-US"/>
        </w:rPr>
        <w:t>Prepared on Australian Accounting Standards basis.</w:t>
      </w:r>
    </w:p>
    <w:p w14:paraId="0F51D0BD" w14:textId="65DFF947" w:rsidR="00CD3E1E" w:rsidRPr="00CD3E1E" w:rsidRDefault="00CD3E1E" w:rsidP="00CD3E1E">
      <w:pPr>
        <w:pStyle w:val="FootnoteText"/>
        <w:rPr>
          <w:lang w:eastAsia="en-US"/>
        </w:rPr>
      </w:pPr>
      <w:r w:rsidRPr="00CD3E1E">
        <w:rPr>
          <w:lang w:eastAsia="en-US"/>
        </w:rPr>
        <w:t>OPA = Official Public Accoun</w:t>
      </w:r>
      <w:r>
        <w:rPr>
          <w:lang w:eastAsia="en-US"/>
        </w:rPr>
        <w:t>t</w:t>
      </w:r>
    </w:p>
    <w:p w14:paraId="7DF01EA9" w14:textId="7F9CBFAA" w:rsidR="00CD3E1E" w:rsidRDefault="00CD3E1E" w:rsidP="00CD3E1E">
      <w:pPr>
        <w:pStyle w:val="FootnoteText"/>
        <w:rPr>
          <w:lang w:eastAsia="en-US"/>
        </w:rPr>
      </w:pPr>
      <w:r w:rsidRPr="00CD3E1E">
        <w:rPr>
          <w:lang w:eastAsia="en-US"/>
        </w:rPr>
        <w:t>DCB = Departmental Capital Budge</w:t>
      </w:r>
      <w:r w:rsidR="002F323F">
        <w:rPr>
          <w:lang w:eastAsia="en-US"/>
        </w:rPr>
        <w:t>t</w:t>
      </w:r>
    </w:p>
    <w:p w14:paraId="5409E140" w14:textId="6111AB93" w:rsidR="000A380F" w:rsidRDefault="000A380F" w:rsidP="00CD3E1E">
      <w:pPr>
        <w:pStyle w:val="FootnoteText"/>
        <w:rPr>
          <w:rFonts w:cs="Arial"/>
          <w:b/>
          <w:sz w:val="20"/>
          <w:szCs w:val="18"/>
          <w:lang w:eastAsia="en-US"/>
        </w:rPr>
      </w:pPr>
      <w:r>
        <w:rPr>
          <w:rFonts w:cs="Arial"/>
          <w:b/>
          <w:sz w:val="20"/>
          <w:szCs w:val="18"/>
          <w:lang w:eastAsia="en-US"/>
        </w:rPr>
        <w:br w:type="page"/>
      </w:r>
    </w:p>
    <w:p w14:paraId="376E0DF5" w14:textId="157C13A2" w:rsidR="00A52B29" w:rsidRPr="00A52B29" w:rsidRDefault="00A52B29" w:rsidP="00A52B29">
      <w:pPr>
        <w:rPr>
          <w:rFonts w:ascii="Arial" w:hAnsi="Arial" w:cs="Arial"/>
          <w:b/>
          <w:sz w:val="20"/>
          <w:szCs w:val="18"/>
          <w:lang w:eastAsia="en-US"/>
        </w:rPr>
      </w:pPr>
      <w:r w:rsidRPr="00A52B29">
        <w:rPr>
          <w:rFonts w:ascii="Arial" w:hAnsi="Arial" w:cs="Arial"/>
          <w:b/>
          <w:sz w:val="20"/>
          <w:szCs w:val="18"/>
          <w:lang w:eastAsia="en-US"/>
        </w:rPr>
        <w:lastRenderedPageBreak/>
        <w:t>Table 3.5: Departmental capital budget statement (for the period</w:t>
      </w:r>
      <w:r w:rsidR="00430914">
        <w:rPr>
          <w:rFonts w:ascii="Arial" w:hAnsi="Arial" w:cs="Arial"/>
          <w:b/>
          <w:sz w:val="20"/>
          <w:szCs w:val="18"/>
          <w:lang w:eastAsia="en-US"/>
        </w:rPr>
        <w:br/>
      </w:r>
      <w:r w:rsidRPr="00A52B29">
        <w:rPr>
          <w:rFonts w:ascii="Arial" w:hAnsi="Arial" w:cs="Arial"/>
          <w:b/>
          <w:sz w:val="20"/>
          <w:szCs w:val="18"/>
          <w:lang w:eastAsia="en-US"/>
        </w:rPr>
        <w:t>ended</w:t>
      </w:r>
      <w:r w:rsidR="00430914">
        <w:rPr>
          <w:rFonts w:ascii="Arial" w:hAnsi="Arial" w:cs="Arial"/>
          <w:b/>
          <w:sz w:val="20"/>
          <w:szCs w:val="18"/>
          <w:lang w:eastAsia="en-US"/>
        </w:rPr>
        <w:t xml:space="preserve"> </w:t>
      </w:r>
      <w:r w:rsidRPr="00A52B29">
        <w:rPr>
          <w:rFonts w:ascii="Arial" w:hAnsi="Arial" w:cs="Arial"/>
          <w:b/>
          <w:sz w:val="20"/>
          <w:szCs w:val="18"/>
          <w:lang w:eastAsia="en-US"/>
        </w:rPr>
        <w:t>30 June)</w:t>
      </w:r>
    </w:p>
    <w:tbl>
      <w:tblPr>
        <w:tblW w:w="7380" w:type="dxa"/>
        <w:tblLayout w:type="fixed"/>
        <w:tblLook w:val="04A0" w:firstRow="1" w:lastRow="0" w:firstColumn="1" w:lastColumn="0" w:noHBand="0" w:noVBand="1"/>
      </w:tblPr>
      <w:tblGrid>
        <w:gridCol w:w="2880"/>
        <w:gridCol w:w="900"/>
        <w:gridCol w:w="900"/>
        <w:gridCol w:w="900"/>
        <w:gridCol w:w="900"/>
        <w:gridCol w:w="900"/>
      </w:tblGrid>
      <w:tr w:rsidR="00513966" w:rsidRPr="00513966" w14:paraId="7AAC1366" w14:textId="77777777" w:rsidTr="002F323F">
        <w:trPr>
          <w:trHeight w:val="765"/>
        </w:trPr>
        <w:tc>
          <w:tcPr>
            <w:tcW w:w="2880" w:type="dxa"/>
            <w:tcBorders>
              <w:top w:val="single" w:sz="4" w:space="0" w:color="auto"/>
              <w:left w:val="nil"/>
              <w:bottom w:val="nil"/>
              <w:right w:val="nil"/>
            </w:tcBorders>
            <w:shd w:val="clear" w:color="auto" w:fill="auto"/>
            <w:tcMar>
              <w:left w:w="0" w:type="dxa"/>
            </w:tcMar>
            <w:hideMark/>
          </w:tcPr>
          <w:p w14:paraId="00FCC84A" w14:textId="77777777" w:rsidR="00513966" w:rsidRPr="00513966" w:rsidRDefault="00513966" w:rsidP="00513966">
            <w:pPr>
              <w:spacing w:before="40" w:after="0"/>
              <w:jc w:val="right"/>
              <w:rPr>
                <w:rFonts w:ascii="Arial" w:hAnsi="Arial" w:cs="Arial"/>
                <w:b/>
                <w:bCs/>
                <w:color w:val="auto"/>
                <w:sz w:val="16"/>
                <w:szCs w:val="16"/>
              </w:rPr>
            </w:pPr>
            <w:r w:rsidRPr="00513966">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7C9C7820" w14:textId="77777777" w:rsidR="00513966" w:rsidRPr="00513966" w:rsidRDefault="00513966" w:rsidP="00513966">
            <w:pPr>
              <w:spacing w:before="40" w:after="0"/>
              <w:jc w:val="right"/>
              <w:rPr>
                <w:rFonts w:ascii="Arial" w:hAnsi="Arial" w:cs="Arial"/>
                <w:b/>
                <w:bCs/>
                <w:color w:val="auto"/>
                <w:sz w:val="16"/>
                <w:szCs w:val="16"/>
              </w:rPr>
            </w:pPr>
            <w:r w:rsidRPr="00513966">
              <w:rPr>
                <w:rFonts w:ascii="Arial" w:hAnsi="Arial" w:cs="Arial"/>
                <w:b/>
                <w:bCs/>
                <w:color w:val="auto"/>
                <w:sz w:val="16"/>
                <w:szCs w:val="16"/>
              </w:rPr>
              <w:t>2022–23 Estimated actual</w:t>
            </w:r>
            <w:r w:rsidRPr="00513966">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tcMar>
              <w:left w:w="0" w:type="dxa"/>
            </w:tcMar>
            <w:hideMark/>
          </w:tcPr>
          <w:p w14:paraId="19B95B24" w14:textId="77777777" w:rsidR="00513966" w:rsidRPr="00513966" w:rsidRDefault="00513966" w:rsidP="00513966">
            <w:pPr>
              <w:spacing w:before="40" w:after="0"/>
              <w:jc w:val="right"/>
              <w:rPr>
                <w:rFonts w:ascii="Arial" w:hAnsi="Arial" w:cs="Arial"/>
                <w:b/>
                <w:bCs/>
                <w:color w:val="auto"/>
                <w:sz w:val="16"/>
                <w:szCs w:val="16"/>
              </w:rPr>
            </w:pPr>
            <w:r w:rsidRPr="00513966">
              <w:rPr>
                <w:rFonts w:ascii="Arial" w:hAnsi="Arial" w:cs="Arial"/>
                <w:b/>
                <w:bCs/>
                <w:color w:val="auto"/>
                <w:sz w:val="16"/>
                <w:szCs w:val="16"/>
              </w:rPr>
              <w:t xml:space="preserve">2023–24 Budget </w:t>
            </w:r>
            <w:r w:rsidRPr="00513966">
              <w:rPr>
                <w:rFonts w:ascii="Arial" w:hAnsi="Arial" w:cs="Arial"/>
                <w:b/>
                <w:bCs/>
                <w:color w:val="auto"/>
                <w:sz w:val="16"/>
                <w:szCs w:val="16"/>
              </w:rPr>
              <w:br/>
            </w:r>
            <w:r w:rsidRPr="00513966">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76EA284D" w14:textId="77777777" w:rsidR="00513966" w:rsidRPr="00513966" w:rsidRDefault="00513966" w:rsidP="00513966">
            <w:pPr>
              <w:spacing w:before="40" w:after="0"/>
              <w:jc w:val="right"/>
              <w:rPr>
                <w:rFonts w:ascii="Arial" w:hAnsi="Arial" w:cs="Arial"/>
                <w:b/>
                <w:bCs/>
                <w:color w:val="auto"/>
                <w:sz w:val="16"/>
                <w:szCs w:val="16"/>
              </w:rPr>
            </w:pPr>
            <w:r w:rsidRPr="00513966">
              <w:rPr>
                <w:rFonts w:ascii="Arial" w:hAnsi="Arial" w:cs="Arial"/>
                <w:b/>
                <w:bCs/>
                <w:color w:val="auto"/>
                <w:sz w:val="16"/>
                <w:szCs w:val="16"/>
              </w:rPr>
              <w:t>2024–25 Forward estimate</w:t>
            </w:r>
            <w:r w:rsidRPr="00513966">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101902F8" w14:textId="77777777" w:rsidR="00513966" w:rsidRPr="00513966" w:rsidRDefault="00513966" w:rsidP="00513966">
            <w:pPr>
              <w:spacing w:before="40" w:after="0"/>
              <w:jc w:val="right"/>
              <w:rPr>
                <w:rFonts w:ascii="Arial" w:hAnsi="Arial" w:cs="Arial"/>
                <w:b/>
                <w:bCs/>
                <w:color w:val="auto"/>
                <w:sz w:val="16"/>
                <w:szCs w:val="16"/>
              </w:rPr>
            </w:pPr>
            <w:r w:rsidRPr="00513966">
              <w:rPr>
                <w:rFonts w:ascii="Arial" w:hAnsi="Arial" w:cs="Arial"/>
                <w:b/>
                <w:bCs/>
                <w:color w:val="auto"/>
                <w:sz w:val="16"/>
                <w:szCs w:val="16"/>
              </w:rPr>
              <w:t>2025–26 Forward estimate</w:t>
            </w:r>
            <w:r w:rsidRPr="00513966">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2A939446" w14:textId="77777777" w:rsidR="00513966" w:rsidRPr="00513966" w:rsidRDefault="00513966" w:rsidP="00513966">
            <w:pPr>
              <w:spacing w:before="40" w:after="0"/>
              <w:jc w:val="right"/>
              <w:rPr>
                <w:rFonts w:ascii="Arial" w:hAnsi="Arial" w:cs="Arial"/>
                <w:b/>
                <w:bCs/>
                <w:color w:val="auto"/>
                <w:sz w:val="16"/>
                <w:szCs w:val="16"/>
              </w:rPr>
            </w:pPr>
            <w:r w:rsidRPr="00513966">
              <w:rPr>
                <w:rFonts w:ascii="Arial" w:hAnsi="Arial" w:cs="Arial"/>
                <w:b/>
                <w:bCs/>
                <w:color w:val="auto"/>
                <w:sz w:val="16"/>
                <w:szCs w:val="16"/>
              </w:rPr>
              <w:t>2026–27 Forward estimate</w:t>
            </w:r>
            <w:r w:rsidRPr="00513966">
              <w:rPr>
                <w:rFonts w:ascii="Arial" w:hAnsi="Arial" w:cs="Arial"/>
                <w:b/>
                <w:bCs/>
                <w:color w:val="auto"/>
                <w:sz w:val="16"/>
                <w:szCs w:val="16"/>
              </w:rPr>
              <w:br/>
              <w:t>$'000</w:t>
            </w:r>
          </w:p>
        </w:tc>
      </w:tr>
      <w:tr w:rsidR="00513966" w:rsidRPr="00513966" w14:paraId="34F10B0C" w14:textId="77777777" w:rsidTr="00513966">
        <w:trPr>
          <w:trHeight w:val="225"/>
        </w:trPr>
        <w:tc>
          <w:tcPr>
            <w:tcW w:w="2880" w:type="dxa"/>
            <w:tcBorders>
              <w:top w:val="nil"/>
              <w:left w:val="nil"/>
              <w:bottom w:val="nil"/>
              <w:right w:val="nil"/>
            </w:tcBorders>
            <w:shd w:val="clear" w:color="000000" w:fill="FFFFFF"/>
            <w:noWrap/>
            <w:vAlign w:val="bottom"/>
            <w:hideMark/>
          </w:tcPr>
          <w:p w14:paraId="36712552" w14:textId="77777777" w:rsidR="00513966" w:rsidRPr="00513966" w:rsidRDefault="00513966" w:rsidP="00513966">
            <w:pPr>
              <w:spacing w:after="0"/>
              <w:rPr>
                <w:rFonts w:ascii="Arial" w:hAnsi="Arial" w:cs="Arial"/>
                <w:b/>
                <w:bCs/>
                <w:color w:val="auto"/>
                <w:sz w:val="16"/>
                <w:szCs w:val="16"/>
              </w:rPr>
            </w:pPr>
            <w:r w:rsidRPr="00513966">
              <w:rPr>
                <w:rFonts w:ascii="Arial" w:hAnsi="Arial" w:cs="Arial"/>
                <w:b/>
                <w:bCs/>
                <w:color w:val="auto"/>
                <w:sz w:val="16"/>
                <w:szCs w:val="16"/>
              </w:rPr>
              <w:t>CAPITAL APPROPRIATIONS</w:t>
            </w:r>
          </w:p>
        </w:tc>
        <w:tc>
          <w:tcPr>
            <w:tcW w:w="900" w:type="dxa"/>
            <w:tcBorders>
              <w:top w:val="single" w:sz="4" w:space="0" w:color="auto"/>
              <w:left w:val="nil"/>
              <w:bottom w:val="nil"/>
              <w:right w:val="nil"/>
            </w:tcBorders>
            <w:shd w:val="clear" w:color="000000" w:fill="FFFFFF"/>
            <w:noWrap/>
            <w:vAlign w:val="bottom"/>
            <w:hideMark/>
          </w:tcPr>
          <w:p w14:paraId="2DB1789B" w14:textId="77777777" w:rsidR="00513966" w:rsidRPr="00513966" w:rsidRDefault="00513966" w:rsidP="00513966">
            <w:pPr>
              <w:spacing w:after="0"/>
              <w:jc w:val="right"/>
              <w:rPr>
                <w:rFonts w:ascii="Arial" w:hAnsi="Arial" w:cs="Arial"/>
                <w:color w:val="auto"/>
                <w:sz w:val="16"/>
                <w:szCs w:val="16"/>
              </w:rPr>
            </w:pPr>
            <w:r w:rsidRPr="00513966">
              <w:rPr>
                <w:rFonts w:ascii="Arial" w:hAnsi="Arial" w:cs="Arial"/>
                <w:color w:val="auto"/>
                <w:sz w:val="16"/>
                <w:szCs w:val="16"/>
              </w:rPr>
              <w:t> </w:t>
            </w:r>
          </w:p>
        </w:tc>
        <w:tc>
          <w:tcPr>
            <w:tcW w:w="900" w:type="dxa"/>
            <w:tcBorders>
              <w:top w:val="single" w:sz="4" w:space="0" w:color="auto"/>
              <w:left w:val="nil"/>
              <w:bottom w:val="nil"/>
              <w:right w:val="nil"/>
            </w:tcBorders>
            <w:shd w:val="clear" w:color="000000" w:fill="D9D9D9"/>
            <w:noWrap/>
            <w:vAlign w:val="bottom"/>
            <w:hideMark/>
          </w:tcPr>
          <w:p w14:paraId="0C6CA688" w14:textId="77777777" w:rsidR="00513966" w:rsidRPr="00513966" w:rsidRDefault="00513966" w:rsidP="00513966">
            <w:pPr>
              <w:spacing w:after="0"/>
              <w:jc w:val="right"/>
              <w:rPr>
                <w:rFonts w:ascii="Arial" w:hAnsi="Arial" w:cs="Arial"/>
                <w:b/>
                <w:bCs/>
                <w:sz w:val="16"/>
                <w:szCs w:val="16"/>
              </w:rPr>
            </w:pPr>
            <w:r w:rsidRPr="00513966">
              <w:rPr>
                <w:rFonts w:ascii="Arial" w:hAnsi="Arial" w:cs="Arial"/>
                <w:b/>
                <w:bCs/>
                <w:sz w:val="16"/>
                <w:szCs w:val="16"/>
              </w:rPr>
              <w:t> </w:t>
            </w:r>
          </w:p>
        </w:tc>
        <w:tc>
          <w:tcPr>
            <w:tcW w:w="900" w:type="dxa"/>
            <w:tcBorders>
              <w:top w:val="single" w:sz="4" w:space="0" w:color="auto"/>
              <w:left w:val="nil"/>
              <w:bottom w:val="nil"/>
              <w:right w:val="nil"/>
            </w:tcBorders>
            <w:shd w:val="clear" w:color="auto" w:fill="auto"/>
            <w:noWrap/>
            <w:vAlign w:val="bottom"/>
            <w:hideMark/>
          </w:tcPr>
          <w:p w14:paraId="3F3D692D" w14:textId="77777777" w:rsidR="00513966" w:rsidRPr="00513966" w:rsidRDefault="00513966" w:rsidP="00513966">
            <w:pPr>
              <w:spacing w:after="0"/>
              <w:jc w:val="right"/>
              <w:rPr>
                <w:rFonts w:ascii="Arial" w:hAnsi="Arial" w:cs="Arial"/>
                <w:b/>
                <w:bCs/>
                <w:sz w:val="16"/>
                <w:szCs w:val="16"/>
              </w:rPr>
            </w:pPr>
            <w:r w:rsidRPr="00513966">
              <w:rPr>
                <w:rFonts w:ascii="Arial" w:hAnsi="Arial" w:cs="Arial"/>
                <w:b/>
                <w:bCs/>
                <w:sz w:val="16"/>
                <w:szCs w:val="16"/>
              </w:rPr>
              <w:t> </w:t>
            </w:r>
          </w:p>
        </w:tc>
        <w:tc>
          <w:tcPr>
            <w:tcW w:w="900" w:type="dxa"/>
            <w:tcBorders>
              <w:top w:val="single" w:sz="4" w:space="0" w:color="auto"/>
              <w:left w:val="nil"/>
              <w:bottom w:val="nil"/>
              <w:right w:val="nil"/>
            </w:tcBorders>
            <w:shd w:val="clear" w:color="000000" w:fill="FFFFFF"/>
            <w:noWrap/>
            <w:vAlign w:val="bottom"/>
            <w:hideMark/>
          </w:tcPr>
          <w:p w14:paraId="31F8BEE9" w14:textId="77777777" w:rsidR="00513966" w:rsidRPr="00513966" w:rsidRDefault="00513966" w:rsidP="00513966">
            <w:pPr>
              <w:spacing w:after="0"/>
              <w:jc w:val="right"/>
              <w:rPr>
                <w:rFonts w:ascii="Arial" w:hAnsi="Arial" w:cs="Arial"/>
                <w:color w:val="auto"/>
                <w:sz w:val="16"/>
                <w:szCs w:val="16"/>
              </w:rPr>
            </w:pPr>
            <w:r w:rsidRPr="00513966">
              <w:rPr>
                <w:rFonts w:ascii="Arial" w:hAnsi="Arial" w:cs="Arial"/>
                <w:color w:val="auto"/>
                <w:sz w:val="16"/>
                <w:szCs w:val="16"/>
              </w:rPr>
              <w:t> </w:t>
            </w:r>
          </w:p>
        </w:tc>
        <w:tc>
          <w:tcPr>
            <w:tcW w:w="900" w:type="dxa"/>
            <w:tcBorders>
              <w:top w:val="single" w:sz="4" w:space="0" w:color="auto"/>
              <w:left w:val="nil"/>
              <w:bottom w:val="nil"/>
              <w:right w:val="nil"/>
            </w:tcBorders>
            <w:shd w:val="clear" w:color="000000" w:fill="FFFFFF"/>
            <w:noWrap/>
            <w:vAlign w:val="bottom"/>
            <w:hideMark/>
          </w:tcPr>
          <w:p w14:paraId="2EC0C923" w14:textId="77777777" w:rsidR="00513966" w:rsidRPr="00513966" w:rsidRDefault="00513966" w:rsidP="00513966">
            <w:pPr>
              <w:spacing w:after="0"/>
              <w:jc w:val="right"/>
              <w:rPr>
                <w:rFonts w:ascii="Arial" w:hAnsi="Arial" w:cs="Arial"/>
                <w:color w:val="auto"/>
                <w:sz w:val="16"/>
                <w:szCs w:val="16"/>
              </w:rPr>
            </w:pPr>
            <w:r w:rsidRPr="00513966">
              <w:rPr>
                <w:rFonts w:ascii="Arial" w:hAnsi="Arial" w:cs="Arial"/>
                <w:color w:val="auto"/>
                <w:sz w:val="16"/>
                <w:szCs w:val="16"/>
              </w:rPr>
              <w:t> </w:t>
            </w:r>
          </w:p>
        </w:tc>
      </w:tr>
      <w:tr w:rsidR="00513966" w:rsidRPr="00513966" w14:paraId="32B6940D" w14:textId="77777777" w:rsidTr="00513966">
        <w:trPr>
          <w:trHeight w:val="225"/>
        </w:trPr>
        <w:tc>
          <w:tcPr>
            <w:tcW w:w="2880" w:type="dxa"/>
            <w:tcBorders>
              <w:top w:val="nil"/>
              <w:left w:val="nil"/>
              <w:bottom w:val="nil"/>
              <w:right w:val="nil"/>
            </w:tcBorders>
            <w:shd w:val="clear" w:color="000000" w:fill="FFFFFF"/>
            <w:noWrap/>
            <w:vAlign w:val="bottom"/>
            <w:hideMark/>
          </w:tcPr>
          <w:p w14:paraId="1E41A234" w14:textId="77777777" w:rsidR="00513966" w:rsidRPr="00513966" w:rsidRDefault="00513966" w:rsidP="00513966">
            <w:pPr>
              <w:spacing w:after="0"/>
              <w:ind w:leftChars="75" w:left="143"/>
              <w:rPr>
                <w:rFonts w:ascii="Arial" w:hAnsi="Arial" w:cs="Arial"/>
                <w:color w:val="auto"/>
                <w:sz w:val="16"/>
                <w:szCs w:val="16"/>
              </w:rPr>
            </w:pPr>
            <w:r w:rsidRPr="00513966">
              <w:rPr>
                <w:rFonts w:ascii="Arial" w:hAnsi="Arial" w:cs="Arial"/>
                <w:color w:val="auto"/>
                <w:sz w:val="16"/>
                <w:szCs w:val="16"/>
              </w:rPr>
              <w:t>Capital budget - Bill 1 (DCB)</w:t>
            </w:r>
          </w:p>
        </w:tc>
        <w:tc>
          <w:tcPr>
            <w:tcW w:w="900" w:type="dxa"/>
            <w:tcBorders>
              <w:top w:val="nil"/>
              <w:left w:val="nil"/>
              <w:bottom w:val="nil"/>
              <w:right w:val="nil"/>
            </w:tcBorders>
            <w:shd w:val="clear" w:color="auto" w:fill="auto"/>
            <w:noWrap/>
            <w:vAlign w:val="bottom"/>
            <w:hideMark/>
          </w:tcPr>
          <w:p w14:paraId="56F86C5F"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179</w:t>
            </w:r>
          </w:p>
        </w:tc>
        <w:tc>
          <w:tcPr>
            <w:tcW w:w="900" w:type="dxa"/>
            <w:tcBorders>
              <w:top w:val="nil"/>
              <w:left w:val="nil"/>
              <w:bottom w:val="nil"/>
              <w:right w:val="nil"/>
            </w:tcBorders>
            <w:shd w:val="clear" w:color="000000" w:fill="D9D9D9"/>
            <w:noWrap/>
            <w:vAlign w:val="bottom"/>
            <w:hideMark/>
          </w:tcPr>
          <w:p w14:paraId="13625D4B"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185</w:t>
            </w:r>
          </w:p>
        </w:tc>
        <w:tc>
          <w:tcPr>
            <w:tcW w:w="900" w:type="dxa"/>
            <w:tcBorders>
              <w:top w:val="nil"/>
              <w:left w:val="nil"/>
              <w:bottom w:val="nil"/>
              <w:right w:val="nil"/>
            </w:tcBorders>
            <w:shd w:val="clear" w:color="auto" w:fill="auto"/>
            <w:noWrap/>
            <w:vAlign w:val="bottom"/>
            <w:hideMark/>
          </w:tcPr>
          <w:p w14:paraId="3FA1C57C"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187</w:t>
            </w:r>
          </w:p>
        </w:tc>
        <w:tc>
          <w:tcPr>
            <w:tcW w:w="900" w:type="dxa"/>
            <w:tcBorders>
              <w:top w:val="nil"/>
              <w:left w:val="nil"/>
              <w:bottom w:val="nil"/>
              <w:right w:val="nil"/>
            </w:tcBorders>
            <w:shd w:val="clear" w:color="auto" w:fill="auto"/>
            <w:noWrap/>
            <w:vAlign w:val="bottom"/>
            <w:hideMark/>
          </w:tcPr>
          <w:p w14:paraId="3C220B93"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188</w:t>
            </w:r>
          </w:p>
        </w:tc>
        <w:tc>
          <w:tcPr>
            <w:tcW w:w="900" w:type="dxa"/>
            <w:tcBorders>
              <w:top w:val="nil"/>
              <w:left w:val="nil"/>
              <w:bottom w:val="nil"/>
              <w:right w:val="nil"/>
            </w:tcBorders>
            <w:shd w:val="clear" w:color="auto" w:fill="auto"/>
            <w:noWrap/>
            <w:vAlign w:val="bottom"/>
            <w:hideMark/>
          </w:tcPr>
          <w:p w14:paraId="0122E4F7"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190</w:t>
            </w:r>
          </w:p>
        </w:tc>
      </w:tr>
      <w:tr w:rsidR="00513966" w:rsidRPr="00513966" w14:paraId="71E9C6D1" w14:textId="77777777" w:rsidTr="00513966">
        <w:trPr>
          <w:trHeight w:val="225"/>
        </w:trPr>
        <w:tc>
          <w:tcPr>
            <w:tcW w:w="2880" w:type="dxa"/>
            <w:tcBorders>
              <w:top w:val="nil"/>
              <w:left w:val="nil"/>
              <w:bottom w:val="nil"/>
              <w:right w:val="nil"/>
            </w:tcBorders>
            <w:shd w:val="clear" w:color="000000" w:fill="FFFFFF"/>
            <w:noWrap/>
            <w:vAlign w:val="bottom"/>
            <w:hideMark/>
          </w:tcPr>
          <w:p w14:paraId="215A72AB" w14:textId="77777777" w:rsidR="00513966" w:rsidRPr="00513966" w:rsidRDefault="00513966" w:rsidP="00513966">
            <w:pPr>
              <w:spacing w:after="0"/>
              <w:ind w:leftChars="75" w:left="143"/>
              <w:rPr>
                <w:rFonts w:ascii="Arial" w:hAnsi="Arial" w:cs="Arial"/>
                <w:color w:val="auto"/>
                <w:sz w:val="16"/>
                <w:szCs w:val="16"/>
              </w:rPr>
            </w:pPr>
            <w:r w:rsidRPr="00513966">
              <w:rPr>
                <w:rFonts w:ascii="Arial" w:hAnsi="Arial" w:cs="Arial"/>
                <w:color w:val="auto"/>
                <w:sz w:val="16"/>
                <w:szCs w:val="16"/>
              </w:rPr>
              <w:t>Equity injections - Bill 2</w:t>
            </w:r>
          </w:p>
        </w:tc>
        <w:tc>
          <w:tcPr>
            <w:tcW w:w="900" w:type="dxa"/>
            <w:tcBorders>
              <w:top w:val="nil"/>
              <w:left w:val="nil"/>
              <w:bottom w:val="nil"/>
              <w:right w:val="nil"/>
            </w:tcBorders>
            <w:shd w:val="clear" w:color="auto" w:fill="auto"/>
            <w:noWrap/>
            <w:vAlign w:val="bottom"/>
            <w:hideMark/>
          </w:tcPr>
          <w:p w14:paraId="25EDD517" w14:textId="0F2AE54E" w:rsidR="00513966" w:rsidRPr="00513966" w:rsidRDefault="00221C8D" w:rsidP="00513966">
            <w:pPr>
              <w:spacing w:after="0"/>
              <w:jc w:val="right"/>
              <w:rPr>
                <w:rFonts w:ascii="Arial" w:hAnsi="Arial" w:cs="Arial"/>
                <w:sz w:val="16"/>
                <w:szCs w:val="16"/>
              </w:rPr>
            </w:pPr>
            <w:r>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30148FB6" w14:textId="067291D7" w:rsidR="00513966" w:rsidRPr="00513966" w:rsidRDefault="00221C8D" w:rsidP="00513966">
            <w:pPr>
              <w:spacing w:after="0"/>
              <w:jc w:val="right"/>
              <w:rPr>
                <w:rFonts w:ascii="Arial" w:hAnsi="Arial" w:cs="Arial"/>
                <w:sz w:val="16"/>
                <w:szCs w:val="16"/>
              </w:rPr>
            </w:pPr>
            <w:r>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FDA0BBA" w14:textId="41960E8B" w:rsidR="00513966" w:rsidRPr="00513966" w:rsidRDefault="00221C8D" w:rsidP="00513966">
            <w:pPr>
              <w:spacing w:after="0"/>
              <w:jc w:val="right"/>
              <w:rPr>
                <w:rFonts w:ascii="Arial" w:hAnsi="Arial" w:cs="Arial"/>
                <w:sz w:val="16"/>
                <w:szCs w:val="16"/>
              </w:rPr>
            </w:pPr>
            <w:r>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0B00AF29" w14:textId="35849E8C" w:rsidR="00513966" w:rsidRPr="00513966" w:rsidRDefault="00221C8D" w:rsidP="00513966">
            <w:pPr>
              <w:spacing w:after="0"/>
              <w:jc w:val="right"/>
              <w:rPr>
                <w:rFonts w:ascii="Arial" w:hAnsi="Arial" w:cs="Arial"/>
                <w:sz w:val="16"/>
                <w:szCs w:val="16"/>
              </w:rPr>
            </w:pPr>
            <w:r>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344C65CA" w14:textId="7BFE6E2F" w:rsidR="00513966" w:rsidRPr="00513966" w:rsidRDefault="00221C8D" w:rsidP="00513966">
            <w:pPr>
              <w:spacing w:after="0"/>
              <w:jc w:val="right"/>
              <w:rPr>
                <w:rFonts w:ascii="Arial" w:hAnsi="Arial" w:cs="Arial"/>
                <w:sz w:val="16"/>
                <w:szCs w:val="16"/>
              </w:rPr>
            </w:pPr>
            <w:r>
              <w:rPr>
                <w:rFonts w:ascii="Arial" w:hAnsi="Arial" w:cs="Arial"/>
                <w:sz w:val="16"/>
                <w:szCs w:val="16"/>
              </w:rPr>
              <w:t>-</w:t>
            </w:r>
          </w:p>
        </w:tc>
      </w:tr>
      <w:tr w:rsidR="00513966" w:rsidRPr="00513966" w14:paraId="7749F797" w14:textId="77777777" w:rsidTr="00513966">
        <w:trPr>
          <w:trHeight w:val="225"/>
        </w:trPr>
        <w:tc>
          <w:tcPr>
            <w:tcW w:w="2880" w:type="dxa"/>
            <w:tcBorders>
              <w:top w:val="nil"/>
              <w:left w:val="nil"/>
              <w:bottom w:val="nil"/>
              <w:right w:val="nil"/>
            </w:tcBorders>
            <w:shd w:val="clear" w:color="000000" w:fill="FFFFFF"/>
            <w:noWrap/>
            <w:vAlign w:val="bottom"/>
            <w:hideMark/>
          </w:tcPr>
          <w:p w14:paraId="307D2C9C" w14:textId="77777777" w:rsidR="00513966" w:rsidRPr="00513966" w:rsidRDefault="00513966" w:rsidP="00513966">
            <w:pPr>
              <w:spacing w:after="0"/>
              <w:ind w:leftChars="75" w:left="143"/>
              <w:rPr>
                <w:rFonts w:ascii="Arial" w:hAnsi="Arial" w:cs="Arial"/>
                <w:b/>
                <w:bCs/>
                <w:color w:val="auto"/>
                <w:sz w:val="16"/>
                <w:szCs w:val="16"/>
              </w:rPr>
            </w:pPr>
            <w:r w:rsidRPr="00513966">
              <w:rPr>
                <w:rFonts w:ascii="Arial" w:hAnsi="Arial" w:cs="Arial"/>
                <w:b/>
                <w:bCs/>
                <w:color w:val="auto"/>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4D253576" w14:textId="77777777" w:rsidR="00513966" w:rsidRPr="00513966" w:rsidRDefault="00513966" w:rsidP="00513966">
            <w:pPr>
              <w:spacing w:after="0"/>
              <w:jc w:val="right"/>
              <w:rPr>
                <w:rFonts w:ascii="Arial" w:hAnsi="Arial" w:cs="Arial"/>
                <w:b/>
                <w:bCs/>
                <w:sz w:val="16"/>
                <w:szCs w:val="16"/>
              </w:rPr>
            </w:pPr>
            <w:r w:rsidRPr="00513966">
              <w:rPr>
                <w:rFonts w:ascii="Arial" w:hAnsi="Arial" w:cs="Arial"/>
                <w:b/>
                <w:bCs/>
                <w:sz w:val="16"/>
                <w:szCs w:val="16"/>
              </w:rPr>
              <w:t>179</w:t>
            </w:r>
          </w:p>
        </w:tc>
        <w:tc>
          <w:tcPr>
            <w:tcW w:w="900" w:type="dxa"/>
            <w:tcBorders>
              <w:top w:val="nil"/>
              <w:left w:val="nil"/>
              <w:bottom w:val="single" w:sz="4" w:space="0" w:color="auto"/>
              <w:right w:val="nil"/>
            </w:tcBorders>
            <w:shd w:val="clear" w:color="000000" w:fill="D9D9D9"/>
            <w:noWrap/>
            <w:vAlign w:val="bottom"/>
            <w:hideMark/>
          </w:tcPr>
          <w:p w14:paraId="2780D313" w14:textId="77777777" w:rsidR="00513966" w:rsidRPr="00513966" w:rsidRDefault="00513966" w:rsidP="00513966">
            <w:pPr>
              <w:spacing w:after="0"/>
              <w:jc w:val="right"/>
              <w:rPr>
                <w:rFonts w:ascii="Arial" w:hAnsi="Arial" w:cs="Arial"/>
                <w:b/>
                <w:bCs/>
                <w:sz w:val="16"/>
                <w:szCs w:val="16"/>
              </w:rPr>
            </w:pPr>
            <w:r w:rsidRPr="00513966">
              <w:rPr>
                <w:rFonts w:ascii="Arial" w:hAnsi="Arial" w:cs="Arial"/>
                <w:b/>
                <w:bCs/>
                <w:sz w:val="16"/>
                <w:szCs w:val="16"/>
              </w:rPr>
              <w:t>185</w:t>
            </w:r>
          </w:p>
        </w:tc>
        <w:tc>
          <w:tcPr>
            <w:tcW w:w="900" w:type="dxa"/>
            <w:tcBorders>
              <w:top w:val="nil"/>
              <w:left w:val="nil"/>
              <w:bottom w:val="single" w:sz="4" w:space="0" w:color="auto"/>
              <w:right w:val="nil"/>
            </w:tcBorders>
            <w:shd w:val="clear" w:color="auto" w:fill="auto"/>
            <w:noWrap/>
            <w:vAlign w:val="bottom"/>
            <w:hideMark/>
          </w:tcPr>
          <w:p w14:paraId="142E4643" w14:textId="77777777" w:rsidR="00513966" w:rsidRPr="00513966" w:rsidRDefault="00513966" w:rsidP="00513966">
            <w:pPr>
              <w:spacing w:after="0"/>
              <w:jc w:val="right"/>
              <w:rPr>
                <w:rFonts w:ascii="Arial" w:hAnsi="Arial" w:cs="Arial"/>
                <w:b/>
                <w:bCs/>
                <w:sz w:val="16"/>
                <w:szCs w:val="16"/>
              </w:rPr>
            </w:pPr>
            <w:r w:rsidRPr="00513966">
              <w:rPr>
                <w:rFonts w:ascii="Arial" w:hAnsi="Arial" w:cs="Arial"/>
                <w:b/>
                <w:bCs/>
                <w:sz w:val="16"/>
                <w:szCs w:val="16"/>
              </w:rPr>
              <w:t>187</w:t>
            </w:r>
          </w:p>
        </w:tc>
        <w:tc>
          <w:tcPr>
            <w:tcW w:w="900" w:type="dxa"/>
            <w:tcBorders>
              <w:top w:val="nil"/>
              <w:left w:val="nil"/>
              <w:bottom w:val="single" w:sz="4" w:space="0" w:color="auto"/>
              <w:right w:val="nil"/>
            </w:tcBorders>
            <w:shd w:val="clear" w:color="auto" w:fill="auto"/>
            <w:noWrap/>
            <w:vAlign w:val="bottom"/>
            <w:hideMark/>
          </w:tcPr>
          <w:p w14:paraId="4E4A4152" w14:textId="77777777" w:rsidR="00513966" w:rsidRPr="00513966" w:rsidRDefault="00513966" w:rsidP="00513966">
            <w:pPr>
              <w:spacing w:after="0"/>
              <w:jc w:val="right"/>
              <w:rPr>
                <w:rFonts w:ascii="Arial" w:hAnsi="Arial" w:cs="Arial"/>
                <w:b/>
                <w:bCs/>
                <w:sz w:val="16"/>
                <w:szCs w:val="16"/>
              </w:rPr>
            </w:pPr>
            <w:r w:rsidRPr="00513966">
              <w:rPr>
                <w:rFonts w:ascii="Arial" w:hAnsi="Arial" w:cs="Arial"/>
                <w:b/>
                <w:bCs/>
                <w:sz w:val="16"/>
                <w:szCs w:val="16"/>
              </w:rPr>
              <w:t>188</w:t>
            </w:r>
          </w:p>
        </w:tc>
        <w:tc>
          <w:tcPr>
            <w:tcW w:w="900" w:type="dxa"/>
            <w:tcBorders>
              <w:top w:val="nil"/>
              <w:left w:val="nil"/>
              <w:bottom w:val="single" w:sz="4" w:space="0" w:color="auto"/>
              <w:right w:val="nil"/>
            </w:tcBorders>
            <w:shd w:val="clear" w:color="auto" w:fill="auto"/>
            <w:noWrap/>
            <w:vAlign w:val="bottom"/>
            <w:hideMark/>
          </w:tcPr>
          <w:p w14:paraId="11B8BD7C" w14:textId="77777777" w:rsidR="00513966" w:rsidRPr="00513966" w:rsidRDefault="00513966" w:rsidP="00513966">
            <w:pPr>
              <w:spacing w:after="0"/>
              <w:jc w:val="right"/>
              <w:rPr>
                <w:rFonts w:ascii="Arial" w:hAnsi="Arial" w:cs="Arial"/>
                <w:b/>
                <w:bCs/>
                <w:sz w:val="16"/>
                <w:szCs w:val="16"/>
              </w:rPr>
            </w:pPr>
            <w:r w:rsidRPr="00513966">
              <w:rPr>
                <w:rFonts w:ascii="Arial" w:hAnsi="Arial" w:cs="Arial"/>
                <w:b/>
                <w:bCs/>
                <w:sz w:val="16"/>
                <w:szCs w:val="16"/>
              </w:rPr>
              <w:t>190</w:t>
            </w:r>
          </w:p>
        </w:tc>
      </w:tr>
      <w:tr w:rsidR="00513966" w:rsidRPr="00513966" w14:paraId="3C862872" w14:textId="77777777" w:rsidTr="00513966">
        <w:trPr>
          <w:trHeight w:val="525"/>
        </w:trPr>
        <w:tc>
          <w:tcPr>
            <w:tcW w:w="2880" w:type="dxa"/>
            <w:tcBorders>
              <w:top w:val="nil"/>
              <w:left w:val="nil"/>
              <w:bottom w:val="nil"/>
              <w:right w:val="nil"/>
            </w:tcBorders>
            <w:shd w:val="clear" w:color="000000" w:fill="FFFFFF"/>
            <w:vAlign w:val="bottom"/>
            <w:hideMark/>
          </w:tcPr>
          <w:p w14:paraId="6BAC48E0" w14:textId="77777777" w:rsidR="00513966" w:rsidRPr="00513966" w:rsidRDefault="00513966" w:rsidP="00513966">
            <w:pPr>
              <w:spacing w:after="0"/>
              <w:rPr>
                <w:rFonts w:ascii="Arial" w:hAnsi="Arial" w:cs="Arial"/>
                <w:b/>
                <w:bCs/>
                <w:color w:val="auto"/>
                <w:sz w:val="16"/>
                <w:szCs w:val="16"/>
              </w:rPr>
            </w:pPr>
            <w:r w:rsidRPr="00513966">
              <w:rPr>
                <w:rFonts w:ascii="Arial" w:hAnsi="Arial" w:cs="Arial"/>
                <w:b/>
                <w:bCs/>
                <w:color w:val="auto"/>
                <w:sz w:val="16"/>
                <w:szCs w:val="16"/>
              </w:rPr>
              <w:t>Total new capital appropriations represented by:</w:t>
            </w:r>
          </w:p>
        </w:tc>
        <w:tc>
          <w:tcPr>
            <w:tcW w:w="900" w:type="dxa"/>
            <w:tcBorders>
              <w:top w:val="nil"/>
              <w:left w:val="nil"/>
              <w:bottom w:val="nil"/>
              <w:right w:val="nil"/>
            </w:tcBorders>
            <w:shd w:val="clear" w:color="000000" w:fill="FFFFFF"/>
            <w:noWrap/>
            <w:vAlign w:val="bottom"/>
            <w:hideMark/>
          </w:tcPr>
          <w:p w14:paraId="4B749E4E"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 </w:t>
            </w:r>
          </w:p>
        </w:tc>
        <w:tc>
          <w:tcPr>
            <w:tcW w:w="900" w:type="dxa"/>
            <w:tcBorders>
              <w:top w:val="nil"/>
              <w:left w:val="nil"/>
              <w:bottom w:val="nil"/>
              <w:right w:val="nil"/>
            </w:tcBorders>
            <w:shd w:val="clear" w:color="000000" w:fill="D9D9D9"/>
            <w:noWrap/>
            <w:vAlign w:val="bottom"/>
            <w:hideMark/>
          </w:tcPr>
          <w:p w14:paraId="53E9E396" w14:textId="77777777" w:rsidR="00513966" w:rsidRPr="00513966" w:rsidRDefault="00513966" w:rsidP="00513966">
            <w:pPr>
              <w:spacing w:after="0"/>
              <w:jc w:val="right"/>
              <w:rPr>
                <w:rFonts w:ascii="Arial" w:hAnsi="Arial" w:cs="Arial"/>
                <w:b/>
                <w:bCs/>
                <w:sz w:val="16"/>
                <w:szCs w:val="16"/>
              </w:rPr>
            </w:pPr>
            <w:r w:rsidRPr="00513966">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4ECCD5BF" w14:textId="77777777" w:rsidR="00513966" w:rsidRPr="00513966" w:rsidRDefault="00513966" w:rsidP="00513966">
            <w:pPr>
              <w:spacing w:after="0"/>
              <w:jc w:val="right"/>
              <w:rPr>
                <w:rFonts w:ascii="Arial" w:hAnsi="Arial" w:cs="Arial"/>
                <w:b/>
                <w:bCs/>
                <w:sz w:val="16"/>
                <w:szCs w:val="16"/>
              </w:rPr>
            </w:pPr>
          </w:p>
        </w:tc>
        <w:tc>
          <w:tcPr>
            <w:tcW w:w="900" w:type="dxa"/>
            <w:tcBorders>
              <w:top w:val="nil"/>
              <w:left w:val="nil"/>
              <w:bottom w:val="nil"/>
              <w:right w:val="nil"/>
            </w:tcBorders>
            <w:shd w:val="clear" w:color="000000" w:fill="FFFFFF"/>
            <w:noWrap/>
            <w:vAlign w:val="bottom"/>
            <w:hideMark/>
          </w:tcPr>
          <w:p w14:paraId="2330DB94"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 </w:t>
            </w:r>
          </w:p>
        </w:tc>
        <w:tc>
          <w:tcPr>
            <w:tcW w:w="900" w:type="dxa"/>
            <w:tcBorders>
              <w:top w:val="nil"/>
              <w:left w:val="nil"/>
              <w:bottom w:val="nil"/>
              <w:right w:val="nil"/>
            </w:tcBorders>
            <w:shd w:val="clear" w:color="000000" w:fill="FFFFFF"/>
            <w:noWrap/>
            <w:vAlign w:val="bottom"/>
            <w:hideMark/>
          </w:tcPr>
          <w:p w14:paraId="2464726B"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 </w:t>
            </w:r>
          </w:p>
        </w:tc>
      </w:tr>
      <w:tr w:rsidR="00513966" w:rsidRPr="00513966" w14:paraId="2B0EB597" w14:textId="77777777" w:rsidTr="00513966">
        <w:trPr>
          <w:trHeight w:val="225"/>
        </w:trPr>
        <w:tc>
          <w:tcPr>
            <w:tcW w:w="2880" w:type="dxa"/>
            <w:tcBorders>
              <w:top w:val="nil"/>
              <w:left w:val="nil"/>
              <w:bottom w:val="nil"/>
              <w:right w:val="nil"/>
            </w:tcBorders>
            <w:shd w:val="clear" w:color="000000" w:fill="FFFFFF"/>
            <w:noWrap/>
            <w:vAlign w:val="bottom"/>
            <w:hideMark/>
          </w:tcPr>
          <w:p w14:paraId="01CA7263" w14:textId="77777777" w:rsidR="00513966" w:rsidRPr="00513966" w:rsidRDefault="00513966" w:rsidP="00513966">
            <w:pPr>
              <w:spacing w:after="0"/>
              <w:ind w:leftChars="75" w:left="143"/>
              <w:rPr>
                <w:rFonts w:ascii="Arial" w:hAnsi="Arial" w:cs="Arial"/>
                <w:color w:val="auto"/>
                <w:sz w:val="16"/>
                <w:szCs w:val="16"/>
              </w:rPr>
            </w:pPr>
            <w:r w:rsidRPr="00513966">
              <w:rPr>
                <w:rFonts w:ascii="Arial" w:hAnsi="Arial" w:cs="Arial"/>
                <w:color w:val="auto"/>
                <w:sz w:val="16"/>
                <w:szCs w:val="16"/>
              </w:rPr>
              <w:t>Purchase of non-financial assets</w:t>
            </w:r>
          </w:p>
        </w:tc>
        <w:tc>
          <w:tcPr>
            <w:tcW w:w="900" w:type="dxa"/>
            <w:tcBorders>
              <w:top w:val="nil"/>
              <w:left w:val="nil"/>
              <w:bottom w:val="nil"/>
              <w:right w:val="nil"/>
            </w:tcBorders>
            <w:shd w:val="clear" w:color="auto" w:fill="auto"/>
            <w:noWrap/>
            <w:vAlign w:val="bottom"/>
            <w:hideMark/>
          </w:tcPr>
          <w:p w14:paraId="4E92F2B1"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179</w:t>
            </w:r>
          </w:p>
        </w:tc>
        <w:tc>
          <w:tcPr>
            <w:tcW w:w="900" w:type="dxa"/>
            <w:tcBorders>
              <w:top w:val="nil"/>
              <w:left w:val="nil"/>
              <w:bottom w:val="nil"/>
              <w:right w:val="nil"/>
            </w:tcBorders>
            <w:shd w:val="clear" w:color="000000" w:fill="D9D9D9"/>
            <w:noWrap/>
            <w:vAlign w:val="bottom"/>
            <w:hideMark/>
          </w:tcPr>
          <w:p w14:paraId="76754904"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185</w:t>
            </w:r>
          </w:p>
        </w:tc>
        <w:tc>
          <w:tcPr>
            <w:tcW w:w="900" w:type="dxa"/>
            <w:tcBorders>
              <w:top w:val="nil"/>
              <w:left w:val="nil"/>
              <w:bottom w:val="nil"/>
              <w:right w:val="nil"/>
            </w:tcBorders>
            <w:shd w:val="clear" w:color="auto" w:fill="auto"/>
            <w:noWrap/>
            <w:vAlign w:val="bottom"/>
            <w:hideMark/>
          </w:tcPr>
          <w:p w14:paraId="0C7F11B2"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187</w:t>
            </w:r>
          </w:p>
        </w:tc>
        <w:tc>
          <w:tcPr>
            <w:tcW w:w="900" w:type="dxa"/>
            <w:tcBorders>
              <w:top w:val="nil"/>
              <w:left w:val="nil"/>
              <w:bottom w:val="nil"/>
              <w:right w:val="nil"/>
            </w:tcBorders>
            <w:shd w:val="clear" w:color="auto" w:fill="auto"/>
            <w:noWrap/>
            <w:vAlign w:val="bottom"/>
            <w:hideMark/>
          </w:tcPr>
          <w:p w14:paraId="01D69B3B"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188</w:t>
            </w:r>
          </w:p>
        </w:tc>
        <w:tc>
          <w:tcPr>
            <w:tcW w:w="900" w:type="dxa"/>
            <w:tcBorders>
              <w:top w:val="nil"/>
              <w:left w:val="nil"/>
              <w:bottom w:val="nil"/>
              <w:right w:val="nil"/>
            </w:tcBorders>
            <w:shd w:val="clear" w:color="auto" w:fill="auto"/>
            <w:noWrap/>
            <w:vAlign w:val="bottom"/>
            <w:hideMark/>
          </w:tcPr>
          <w:p w14:paraId="210DD770"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190</w:t>
            </w:r>
          </w:p>
        </w:tc>
      </w:tr>
      <w:tr w:rsidR="00513966" w:rsidRPr="00513966" w14:paraId="67153710" w14:textId="77777777" w:rsidTr="00513966">
        <w:trPr>
          <w:trHeight w:val="225"/>
        </w:trPr>
        <w:tc>
          <w:tcPr>
            <w:tcW w:w="2880" w:type="dxa"/>
            <w:tcBorders>
              <w:top w:val="nil"/>
              <w:left w:val="nil"/>
              <w:bottom w:val="nil"/>
              <w:right w:val="nil"/>
            </w:tcBorders>
            <w:shd w:val="clear" w:color="000000" w:fill="FFFFFF"/>
            <w:noWrap/>
            <w:vAlign w:val="bottom"/>
            <w:hideMark/>
          </w:tcPr>
          <w:p w14:paraId="6E591A6D" w14:textId="77777777" w:rsidR="00513966" w:rsidRPr="00513966" w:rsidRDefault="00513966" w:rsidP="00513966">
            <w:pPr>
              <w:spacing w:after="0"/>
              <w:ind w:leftChars="75" w:left="143"/>
              <w:rPr>
                <w:rFonts w:ascii="Arial" w:hAnsi="Arial" w:cs="Arial"/>
                <w:b/>
                <w:bCs/>
                <w:color w:val="auto"/>
                <w:sz w:val="16"/>
                <w:szCs w:val="16"/>
              </w:rPr>
            </w:pPr>
            <w:r w:rsidRPr="00513966">
              <w:rPr>
                <w:rFonts w:ascii="Arial" w:hAnsi="Arial" w:cs="Arial"/>
                <w:b/>
                <w:bCs/>
                <w:color w:val="auto"/>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6B57A6C1" w14:textId="77777777" w:rsidR="00513966" w:rsidRPr="00513966" w:rsidRDefault="00513966" w:rsidP="00513966">
            <w:pPr>
              <w:spacing w:after="0"/>
              <w:jc w:val="right"/>
              <w:rPr>
                <w:rFonts w:ascii="Arial" w:hAnsi="Arial" w:cs="Arial"/>
                <w:b/>
                <w:bCs/>
                <w:sz w:val="16"/>
                <w:szCs w:val="16"/>
              </w:rPr>
            </w:pPr>
            <w:r w:rsidRPr="00513966">
              <w:rPr>
                <w:rFonts w:ascii="Arial" w:hAnsi="Arial" w:cs="Arial"/>
                <w:b/>
                <w:bCs/>
                <w:sz w:val="16"/>
                <w:szCs w:val="16"/>
              </w:rPr>
              <w:t>179</w:t>
            </w:r>
          </w:p>
        </w:tc>
        <w:tc>
          <w:tcPr>
            <w:tcW w:w="900" w:type="dxa"/>
            <w:tcBorders>
              <w:top w:val="nil"/>
              <w:left w:val="nil"/>
              <w:bottom w:val="single" w:sz="4" w:space="0" w:color="auto"/>
              <w:right w:val="nil"/>
            </w:tcBorders>
            <w:shd w:val="clear" w:color="000000" w:fill="D9D9D9"/>
            <w:noWrap/>
            <w:vAlign w:val="bottom"/>
            <w:hideMark/>
          </w:tcPr>
          <w:p w14:paraId="1CA52E54" w14:textId="77777777" w:rsidR="00513966" w:rsidRPr="00513966" w:rsidRDefault="00513966" w:rsidP="00513966">
            <w:pPr>
              <w:spacing w:after="0"/>
              <w:jc w:val="right"/>
              <w:rPr>
                <w:rFonts w:ascii="Arial" w:hAnsi="Arial" w:cs="Arial"/>
                <w:b/>
                <w:bCs/>
                <w:sz w:val="16"/>
                <w:szCs w:val="16"/>
              </w:rPr>
            </w:pPr>
            <w:r w:rsidRPr="00513966">
              <w:rPr>
                <w:rFonts w:ascii="Arial" w:hAnsi="Arial" w:cs="Arial"/>
                <w:b/>
                <w:bCs/>
                <w:sz w:val="16"/>
                <w:szCs w:val="16"/>
              </w:rPr>
              <w:t>185</w:t>
            </w:r>
          </w:p>
        </w:tc>
        <w:tc>
          <w:tcPr>
            <w:tcW w:w="900" w:type="dxa"/>
            <w:tcBorders>
              <w:top w:val="nil"/>
              <w:left w:val="nil"/>
              <w:bottom w:val="single" w:sz="4" w:space="0" w:color="auto"/>
              <w:right w:val="nil"/>
            </w:tcBorders>
            <w:shd w:val="clear" w:color="auto" w:fill="auto"/>
            <w:noWrap/>
            <w:vAlign w:val="bottom"/>
            <w:hideMark/>
          </w:tcPr>
          <w:p w14:paraId="07EF1BDE" w14:textId="77777777" w:rsidR="00513966" w:rsidRPr="00513966" w:rsidRDefault="00513966" w:rsidP="00513966">
            <w:pPr>
              <w:spacing w:after="0"/>
              <w:jc w:val="right"/>
              <w:rPr>
                <w:rFonts w:ascii="Arial" w:hAnsi="Arial" w:cs="Arial"/>
                <w:b/>
                <w:bCs/>
                <w:sz w:val="16"/>
                <w:szCs w:val="16"/>
              </w:rPr>
            </w:pPr>
            <w:r w:rsidRPr="00513966">
              <w:rPr>
                <w:rFonts w:ascii="Arial" w:hAnsi="Arial" w:cs="Arial"/>
                <w:b/>
                <w:bCs/>
                <w:sz w:val="16"/>
                <w:szCs w:val="16"/>
              </w:rPr>
              <w:t>187</w:t>
            </w:r>
          </w:p>
        </w:tc>
        <w:tc>
          <w:tcPr>
            <w:tcW w:w="900" w:type="dxa"/>
            <w:tcBorders>
              <w:top w:val="nil"/>
              <w:left w:val="nil"/>
              <w:bottom w:val="single" w:sz="4" w:space="0" w:color="auto"/>
              <w:right w:val="nil"/>
            </w:tcBorders>
            <w:shd w:val="clear" w:color="auto" w:fill="auto"/>
            <w:noWrap/>
            <w:vAlign w:val="bottom"/>
            <w:hideMark/>
          </w:tcPr>
          <w:p w14:paraId="7B0CD4D5" w14:textId="77777777" w:rsidR="00513966" w:rsidRPr="00513966" w:rsidRDefault="00513966" w:rsidP="00513966">
            <w:pPr>
              <w:spacing w:after="0"/>
              <w:jc w:val="right"/>
              <w:rPr>
                <w:rFonts w:ascii="Arial" w:hAnsi="Arial" w:cs="Arial"/>
                <w:b/>
                <w:bCs/>
                <w:sz w:val="16"/>
                <w:szCs w:val="16"/>
              </w:rPr>
            </w:pPr>
            <w:r w:rsidRPr="00513966">
              <w:rPr>
                <w:rFonts w:ascii="Arial" w:hAnsi="Arial" w:cs="Arial"/>
                <w:b/>
                <w:bCs/>
                <w:sz w:val="16"/>
                <w:szCs w:val="16"/>
              </w:rPr>
              <w:t>188</w:t>
            </w:r>
          </w:p>
        </w:tc>
        <w:tc>
          <w:tcPr>
            <w:tcW w:w="900" w:type="dxa"/>
            <w:tcBorders>
              <w:top w:val="nil"/>
              <w:left w:val="nil"/>
              <w:bottom w:val="single" w:sz="4" w:space="0" w:color="auto"/>
              <w:right w:val="nil"/>
            </w:tcBorders>
            <w:shd w:val="clear" w:color="auto" w:fill="auto"/>
            <w:noWrap/>
            <w:vAlign w:val="bottom"/>
            <w:hideMark/>
          </w:tcPr>
          <w:p w14:paraId="364DF0A2" w14:textId="77777777" w:rsidR="00513966" w:rsidRPr="00513966" w:rsidRDefault="00513966" w:rsidP="00513966">
            <w:pPr>
              <w:spacing w:after="0"/>
              <w:jc w:val="right"/>
              <w:rPr>
                <w:rFonts w:ascii="Arial" w:hAnsi="Arial" w:cs="Arial"/>
                <w:b/>
                <w:bCs/>
                <w:sz w:val="16"/>
                <w:szCs w:val="16"/>
              </w:rPr>
            </w:pPr>
            <w:r w:rsidRPr="00513966">
              <w:rPr>
                <w:rFonts w:ascii="Arial" w:hAnsi="Arial" w:cs="Arial"/>
                <w:b/>
                <w:bCs/>
                <w:sz w:val="16"/>
                <w:szCs w:val="16"/>
              </w:rPr>
              <w:t>190</w:t>
            </w:r>
          </w:p>
        </w:tc>
      </w:tr>
      <w:tr w:rsidR="00513966" w:rsidRPr="00513966" w14:paraId="4D256739" w14:textId="77777777" w:rsidTr="00513966">
        <w:trPr>
          <w:trHeight w:val="525"/>
        </w:trPr>
        <w:tc>
          <w:tcPr>
            <w:tcW w:w="2880" w:type="dxa"/>
            <w:tcBorders>
              <w:top w:val="nil"/>
              <w:left w:val="nil"/>
              <w:bottom w:val="nil"/>
              <w:right w:val="nil"/>
            </w:tcBorders>
            <w:shd w:val="clear" w:color="000000" w:fill="FFFFFF"/>
            <w:vAlign w:val="bottom"/>
            <w:hideMark/>
          </w:tcPr>
          <w:p w14:paraId="33EE5434" w14:textId="77777777" w:rsidR="00513966" w:rsidRPr="00513966" w:rsidRDefault="00513966" w:rsidP="00513966">
            <w:pPr>
              <w:spacing w:after="0"/>
              <w:rPr>
                <w:rFonts w:ascii="Arial" w:hAnsi="Arial" w:cs="Arial"/>
                <w:b/>
                <w:bCs/>
                <w:color w:val="auto"/>
                <w:sz w:val="16"/>
                <w:szCs w:val="16"/>
              </w:rPr>
            </w:pPr>
            <w:r w:rsidRPr="00513966">
              <w:rPr>
                <w:rFonts w:ascii="Arial" w:hAnsi="Arial" w:cs="Arial"/>
                <w:b/>
                <w:bCs/>
                <w:color w:val="auto"/>
                <w:sz w:val="16"/>
                <w:szCs w:val="16"/>
              </w:rPr>
              <w:t>PURCHASE OF NON-FINANCIAL ASSETS</w:t>
            </w:r>
          </w:p>
        </w:tc>
        <w:tc>
          <w:tcPr>
            <w:tcW w:w="900" w:type="dxa"/>
            <w:tcBorders>
              <w:top w:val="nil"/>
              <w:left w:val="nil"/>
              <w:bottom w:val="nil"/>
              <w:right w:val="nil"/>
            </w:tcBorders>
            <w:shd w:val="clear" w:color="000000" w:fill="FFFFFF"/>
            <w:noWrap/>
            <w:vAlign w:val="bottom"/>
            <w:hideMark/>
          </w:tcPr>
          <w:p w14:paraId="59211E3D"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 </w:t>
            </w:r>
          </w:p>
        </w:tc>
        <w:tc>
          <w:tcPr>
            <w:tcW w:w="900" w:type="dxa"/>
            <w:tcBorders>
              <w:top w:val="nil"/>
              <w:left w:val="nil"/>
              <w:bottom w:val="nil"/>
              <w:right w:val="nil"/>
            </w:tcBorders>
            <w:shd w:val="clear" w:color="000000" w:fill="D9D9D9"/>
            <w:noWrap/>
            <w:vAlign w:val="bottom"/>
            <w:hideMark/>
          </w:tcPr>
          <w:p w14:paraId="6691F1B6" w14:textId="77777777" w:rsidR="00513966" w:rsidRPr="00513966" w:rsidRDefault="00513966" w:rsidP="00513966">
            <w:pPr>
              <w:spacing w:after="0"/>
              <w:jc w:val="right"/>
              <w:rPr>
                <w:rFonts w:ascii="Arial" w:hAnsi="Arial" w:cs="Arial"/>
                <w:b/>
                <w:bCs/>
                <w:sz w:val="16"/>
                <w:szCs w:val="16"/>
              </w:rPr>
            </w:pPr>
            <w:r w:rsidRPr="00513966">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07F2AE02" w14:textId="77777777" w:rsidR="00513966" w:rsidRPr="00513966" w:rsidRDefault="00513966" w:rsidP="00513966">
            <w:pPr>
              <w:spacing w:after="0"/>
              <w:jc w:val="right"/>
              <w:rPr>
                <w:rFonts w:ascii="Arial" w:hAnsi="Arial" w:cs="Arial"/>
                <w:b/>
                <w:bCs/>
                <w:sz w:val="16"/>
                <w:szCs w:val="16"/>
              </w:rPr>
            </w:pPr>
          </w:p>
        </w:tc>
        <w:tc>
          <w:tcPr>
            <w:tcW w:w="900" w:type="dxa"/>
            <w:tcBorders>
              <w:top w:val="nil"/>
              <w:left w:val="nil"/>
              <w:bottom w:val="nil"/>
              <w:right w:val="nil"/>
            </w:tcBorders>
            <w:shd w:val="clear" w:color="000000" w:fill="FFFFFF"/>
            <w:noWrap/>
            <w:vAlign w:val="bottom"/>
            <w:hideMark/>
          </w:tcPr>
          <w:p w14:paraId="040A42DF"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 </w:t>
            </w:r>
          </w:p>
        </w:tc>
        <w:tc>
          <w:tcPr>
            <w:tcW w:w="900" w:type="dxa"/>
            <w:tcBorders>
              <w:top w:val="nil"/>
              <w:left w:val="nil"/>
              <w:bottom w:val="nil"/>
              <w:right w:val="nil"/>
            </w:tcBorders>
            <w:shd w:val="clear" w:color="000000" w:fill="FFFFFF"/>
            <w:noWrap/>
            <w:vAlign w:val="bottom"/>
            <w:hideMark/>
          </w:tcPr>
          <w:p w14:paraId="18B404B6"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 </w:t>
            </w:r>
          </w:p>
        </w:tc>
      </w:tr>
      <w:tr w:rsidR="00513966" w:rsidRPr="00513966" w14:paraId="4F2C7C31" w14:textId="77777777" w:rsidTr="00513966">
        <w:trPr>
          <w:trHeight w:val="450"/>
        </w:trPr>
        <w:tc>
          <w:tcPr>
            <w:tcW w:w="2880" w:type="dxa"/>
            <w:tcBorders>
              <w:top w:val="nil"/>
              <w:left w:val="nil"/>
              <w:bottom w:val="nil"/>
              <w:right w:val="nil"/>
            </w:tcBorders>
            <w:shd w:val="clear" w:color="auto" w:fill="auto"/>
            <w:vAlign w:val="bottom"/>
            <w:hideMark/>
          </w:tcPr>
          <w:p w14:paraId="2EF5DCE2" w14:textId="77777777" w:rsidR="00513966" w:rsidRPr="00513966" w:rsidRDefault="00513966" w:rsidP="00513966">
            <w:pPr>
              <w:spacing w:after="0"/>
              <w:ind w:leftChars="75" w:left="143"/>
              <w:rPr>
                <w:rFonts w:ascii="Arial" w:hAnsi="Arial" w:cs="Arial"/>
                <w:color w:val="auto"/>
                <w:sz w:val="16"/>
                <w:szCs w:val="16"/>
              </w:rPr>
            </w:pPr>
            <w:r w:rsidRPr="00513966">
              <w:rPr>
                <w:rFonts w:ascii="Arial" w:hAnsi="Arial" w:cs="Arial"/>
                <w:color w:val="auto"/>
                <w:sz w:val="16"/>
                <w:szCs w:val="16"/>
              </w:rPr>
              <w:t>Funded by capital appropriations</w:t>
            </w:r>
            <w:r w:rsidRPr="00513966">
              <w:rPr>
                <w:rFonts w:ascii="Arial" w:hAnsi="Arial" w:cs="Arial"/>
                <w:color w:val="auto"/>
                <w:sz w:val="16"/>
                <w:szCs w:val="16"/>
              </w:rPr>
              <w:br/>
              <w:t xml:space="preserve"> - equity injection </w:t>
            </w:r>
            <w:r w:rsidRPr="00513966">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14:paraId="2927A883" w14:textId="56086E62" w:rsidR="00513966" w:rsidRPr="00513966" w:rsidRDefault="00221C8D" w:rsidP="00513966">
            <w:pPr>
              <w:spacing w:after="0"/>
              <w:jc w:val="right"/>
              <w:rPr>
                <w:rFonts w:ascii="Arial" w:hAnsi="Arial" w:cs="Arial"/>
                <w:sz w:val="16"/>
                <w:szCs w:val="16"/>
              </w:rPr>
            </w:pPr>
            <w:r>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71787E55" w14:textId="281F56FC" w:rsidR="00513966" w:rsidRPr="00513966" w:rsidRDefault="00221C8D" w:rsidP="00513966">
            <w:pPr>
              <w:spacing w:after="0"/>
              <w:jc w:val="right"/>
              <w:rPr>
                <w:rFonts w:ascii="Arial" w:hAnsi="Arial" w:cs="Arial"/>
                <w:sz w:val="16"/>
                <w:szCs w:val="16"/>
              </w:rPr>
            </w:pPr>
            <w:r>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36936D6E" w14:textId="348B1257" w:rsidR="00513966" w:rsidRPr="00513966" w:rsidRDefault="00221C8D" w:rsidP="00513966">
            <w:pPr>
              <w:spacing w:after="0"/>
              <w:jc w:val="right"/>
              <w:rPr>
                <w:rFonts w:ascii="Arial" w:hAnsi="Arial" w:cs="Arial"/>
                <w:sz w:val="16"/>
                <w:szCs w:val="16"/>
              </w:rPr>
            </w:pPr>
            <w:r>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50D9D3D3" w14:textId="071DE58A" w:rsidR="00513966" w:rsidRPr="00513966" w:rsidRDefault="00221C8D" w:rsidP="00513966">
            <w:pPr>
              <w:spacing w:after="0"/>
              <w:jc w:val="right"/>
              <w:rPr>
                <w:rFonts w:ascii="Arial" w:hAnsi="Arial" w:cs="Arial"/>
                <w:sz w:val="16"/>
                <w:szCs w:val="16"/>
              </w:rPr>
            </w:pPr>
            <w:r>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4FA02EB4" w14:textId="1A3C3FFF" w:rsidR="00513966" w:rsidRPr="00513966" w:rsidRDefault="00221C8D" w:rsidP="00513966">
            <w:pPr>
              <w:spacing w:after="0"/>
              <w:jc w:val="right"/>
              <w:rPr>
                <w:rFonts w:ascii="Arial" w:hAnsi="Arial" w:cs="Arial"/>
                <w:sz w:val="16"/>
                <w:szCs w:val="16"/>
              </w:rPr>
            </w:pPr>
            <w:r>
              <w:rPr>
                <w:rFonts w:ascii="Arial" w:hAnsi="Arial" w:cs="Arial"/>
                <w:sz w:val="16"/>
                <w:szCs w:val="16"/>
              </w:rPr>
              <w:t>-</w:t>
            </w:r>
          </w:p>
        </w:tc>
      </w:tr>
      <w:tr w:rsidR="00513966" w:rsidRPr="00513966" w14:paraId="2CBC02F1" w14:textId="77777777" w:rsidTr="00513966">
        <w:trPr>
          <w:trHeight w:val="450"/>
        </w:trPr>
        <w:tc>
          <w:tcPr>
            <w:tcW w:w="2880" w:type="dxa"/>
            <w:tcBorders>
              <w:top w:val="nil"/>
              <w:left w:val="nil"/>
              <w:bottom w:val="nil"/>
              <w:right w:val="nil"/>
            </w:tcBorders>
            <w:shd w:val="clear" w:color="000000" w:fill="FFFFFF"/>
            <w:vAlign w:val="bottom"/>
            <w:hideMark/>
          </w:tcPr>
          <w:p w14:paraId="78A5449B" w14:textId="77777777" w:rsidR="00513966" w:rsidRPr="00513966" w:rsidRDefault="00513966" w:rsidP="00513966">
            <w:pPr>
              <w:spacing w:after="0"/>
              <w:ind w:leftChars="75" w:left="143"/>
              <w:rPr>
                <w:rFonts w:ascii="Arial" w:hAnsi="Arial" w:cs="Arial"/>
                <w:color w:val="auto"/>
                <w:sz w:val="16"/>
                <w:szCs w:val="16"/>
              </w:rPr>
            </w:pPr>
            <w:r w:rsidRPr="00513966">
              <w:rPr>
                <w:rFonts w:ascii="Arial" w:hAnsi="Arial" w:cs="Arial"/>
                <w:color w:val="auto"/>
                <w:sz w:val="16"/>
                <w:szCs w:val="16"/>
              </w:rPr>
              <w:t>Funded by capital appropriation</w:t>
            </w:r>
            <w:r w:rsidRPr="00513966">
              <w:rPr>
                <w:rFonts w:ascii="Arial" w:hAnsi="Arial" w:cs="Arial"/>
                <w:color w:val="auto"/>
                <w:sz w:val="16"/>
                <w:szCs w:val="16"/>
              </w:rPr>
              <w:br/>
              <w:t xml:space="preserve"> - DCB </w:t>
            </w:r>
            <w:r w:rsidRPr="00513966">
              <w:rPr>
                <w:rFonts w:ascii="Arial" w:hAnsi="Arial" w:cs="Arial"/>
                <w:color w:val="auto"/>
                <w:sz w:val="16"/>
                <w:szCs w:val="16"/>
                <w:vertAlign w:val="superscript"/>
              </w:rPr>
              <w:t>(b)</w:t>
            </w:r>
          </w:p>
        </w:tc>
        <w:tc>
          <w:tcPr>
            <w:tcW w:w="900" w:type="dxa"/>
            <w:tcBorders>
              <w:top w:val="nil"/>
              <w:left w:val="nil"/>
              <w:bottom w:val="nil"/>
              <w:right w:val="nil"/>
            </w:tcBorders>
            <w:shd w:val="clear" w:color="auto" w:fill="auto"/>
            <w:noWrap/>
            <w:vAlign w:val="bottom"/>
            <w:hideMark/>
          </w:tcPr>
          <w:p w14:paraId="7745E238"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179</w:t>
            </w:r>
          </w:p>
        </w:tc>
        <w:tc>
          <w:tcPr>
            <w:tcW w:w="900" w:type="dxa"/>
            <w:tcBorders>
              <w:top w:val="nil"/>
              <w:left w:val="nil"/>
              <w:bottom w:val="nil"/>
              <w:right w:val="nil"/>
            </w:tcBorders>
            <w:shd w:val="clear" w:color="000000" w:fill="D9D9D9"/>
            <w:noWrap/>
            <w:vAlign w:val="bottom"/>
            <w:hideMark/>
          </w:tcPr>
          <w:p w14:paraId="4F047E8C"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185</w:t>
            </w:r>
          </w:p>
        </w:tc>
        <w:tc>
          <w:tcPr>
            <w:tcW w:w="900" w:type="dxa"/>
            <w:tcBorders>
              <w:top w:val="nil"/>
              <w:left w:val="nil"/>
              <w:bottom w:val="nil"/>
              <w:right w:val="nil"/>
            </w:tcBorders>
            <w:shd w:val="clear" w:color="auto" w:fill="auto"/>
            <w:noWrap/>
            <w:vAlign w:val="bottom"/>
            <w:hideMark/>
          </w:tcPr>
          <w:p w14:paraId="7A77929A"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187</w:t>
            </w:r>
          </w:p>
        </w:tc>
        <w:tc>
          <w:tcPr>
            <w:tcW w:w="900" w:type="dxa"/>
            <w:tcBorders>
              <w:top w:val="nil"/>
              <w:left w:val="nil"/>
              <w:bottom w:val="nil"/>
              <w:right w:val="nil"/>
            </w:tcBorders>
            <w:shd w:val="clear" w:color="auto" w:fill="auto"/>
            <w:noWrap/>
            <w:vAlign w:val="bottom"/>
            <w:hideMark/>
          </w:tcPr>
          <w:p w14:paraId="584024AA"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188</w:t>
            </w:r>
          </w:p>
        </w:tc>
        <w:tc>
          <w:tcPr>
            <w:tcW w:w="900" w:type="dxa"/>
            <w:tcBorders>
              <w:top w:val="nil"/>
              <w:left w:val="nil"/>
              <w:bottom w:val="nil"/>
              <w:right w:val="nil"/>
            </w:tcBorders>
            <w:shd w:val="clear" w:color="auto" w:fill="auto"/>
            <w:noWrap/>
            <w:vAlign w:val="bottom"/>
            <w:hideMark/>
          </w:tcPr>
          <w:p w14:paraId="2FCB7E60"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190</w:t>
            </w:r>
          </w:p>
        </w:tc>
      </w:tr>
      <w:tr w:rsidR="00513966" w:rsidRPr="00513966" w14:paraId="726EB9F8" w14:textId="77777777" w:rsidTr="00513966">
        <w:trPr>
          <w:trHeight w:val="450"/>
        </w:trPr>
        <w:tc>
          <w:tcPr>
            <w:tcW w:w="2880" w:type="dxa"/>
            <w:tcBorders>
              <w:top w:val="nil"/>
              <w:left w:val="nil"/>
              <w:bottom w:val="nil"/>
              <w:right w:val="nil"/>
            </w:tcBorders>
            <w:shd w:val="clear" w:color="000000" w:fill="FFFFFF"/>
            <w:vAlign w:val="bottom"/>
            <w:hideMark/>
          </w:tcPr>
          <w:p w14:paraId="43C997C4" w14:textId="77777777" w:rsidR="00513966" w:rsidRPr="00513966" w:rsidRDefault="00513966" w:rsidP="00513966">
            <w:pPr>
              <w:spacing w:after="0"/>
              <w:ind w:leftChars="75" w:left="143"/>
              <w:rPr>
                <w:rFonts w:ascii="Arial" w:hAnsi="Arial" w:cs="Arial"/>
                <w:color w:val="auto"/>
                <w:sz w:val="16"/>
                <w:szCs w:val="16"/>
              </w:rPr>
            </w:pPr>
            <w:r w:rsidRPr="00513966">
              <w:rPr>
                <w:rFonts w:ascii="Arial" w:hAnsi="Arial" w:cs="Arial"/>
                <w:color w:val="auto"/>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14:paraId="27D0073B"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500</w:t>
            </w:r>
          </w:p>
        </w:tc>
        <w:tc>
          <w:tcPr>
            <w:tcW w:w="900" w:type="dxa"/>
            <w:tcBorders>
              <w:top w:val="nil"/>
              <w:left w:val="nil"/>
              <w:bottom w:val="nil"/>
              <w:right w:val="nil"/>
            </w:tcBorders>
            <w:shd w:val="clear" w:color="000000" w:fill="D9D9D9"/>
            <w:noWrap/>
            <w:vAlign w:val="bottom"/>
            <w:hideMark/>
          </w:tcPr>
          <w:p w14:paraId="72B231C8"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392CAD35"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01FDA54C"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7ABAFC51"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w:t>
            </w:r>
          </w:p>
        </w:tc>
      </w:tr>
      <w:tr w:rsidR="00513966" w:rsidRPr="00513966" w14:paraId="57732E53" w14:textId="77777777" w:rsidTr="00513966">
        <w:trPr>
          <w:trHeight w:val="525"/>
        </w:trPr>
        <w:tc>
          <w:tcPr>
            <w:tcW w:w="2880" w:type="dxa"/>
            <w:tcBorders>
              <w:top w:val="nil"/>
              <w:left w:val="nil"/>
              <w:bottom w:val="nil"/>
              <w:right w:val="nil"/>
            </w:tcBorders>
            <w:shd w:val="clear" w:color="000000" w:fill="FFFFFF"/>
            <w:vAlign w:val="bottom"/>
            <w:hideMark/>
          </w:tcPr>
          <w:p w14:paraId="1CE14A52" w14:textId="77777777" w:rsidR="00513966" w:rsidRPr="00513966" w:rsidRDefault="00513966" w:rsidP="00513966">
            <w:pPr>
              <w:spacing w:after="0"/>
              <w:rPr>
                <w:rFonts w:ascii="Arial" w:hAnsi="Arial" w:cs="Arial"/>
                <w:b/>
                <w:bCs/>
                <w:color w:val="auto"/>
                <w:sz w:val="16"/>
                <w:szCs w:val="16"/>
              </w:rPr>
            </w:pPr>
            <w:r w:rsidRPr="00513966">
              <w:rPr>
                <w:rFonts w:ascii="Arial" w:hAnsi="Arial" w:cs="Arial"/>
                <w:b/>
                <w:bCs/>
                <w:color w:val="auto"/>
                <w:sz w:val="16"/>
                <w:szCs w:val="16"/>
              </w:rPr>
              <w:t>Total acquisitions of non-financial assets</w:t>
            </w:r>
          </w:p>
        </w:tc>
        <w:tc>
          <w:tcPr>
            <w:tcW w:w="900" w:type="dxa"/>
            <w:tcBorders>
              <w:top w:val="nil"/>
              <w:left w:val="nil"/>
              <w:bottom w:val="single" w:sz="4" w:space="0" w:color="auto"/>
              <w:right w:val="nil"/>
            </w:tcBorders>
            <w:shd w:val="clear" w:color="auto" w:fill="auto"/>
            <w:noWrap/>
            <w:vAlign w:val="bottom"/>
            <w:hideMark/>
          </w:tcPr>
          <w:p w14:paraId="09ECDC92" w14:textId="77777777" w:rsidR="00513966" w:rsidRPr="00513966" w:rsidRDefault="00513966" w:rsidP="00513966">
            <w:pPr>
              <w:spacing w:after="0"/>
              <w:jc w:val="right"/>
              <w:rPr>
                <w:rFonts w:ascii="Arial" w:hAnsi="Arial" w:cs="Arial"/>
                <w:b/>
                <w:bCs/>
                <w:sz w:val="16"/>
                <w:szCs w:val="16"/>
              </w:rPr>
            </w:pPr>
            <w:r w:rsidRPr="00513966">
              <w:rPr>
                <w:rFonts w:ascii="Arial" w:hAnsi="Arial" w:cs="Arial"/>
                <w:b/>
                <w:bCs/>
                <w:sz w:val="16"/>
                <w:szCs w:val="16"/>
              </w:rPr>
              <w:t>679</w:t>
            </w:r>
          </w:p>
        </w:tc>
        <w:tc>
          <w:tcPr>
            <w:tcW w:w="900" w:type="dxa"/>
            <w:tcBorders>
              <w:top w:val="nil"/>
              <w:left w:val="nil"/>
              <w:bottom w:val="single" w:sz="4" w:space="0" w:color="auto"/>
              <w:right w:val="nil"/>
            </w:tcBorders>
            <w:shd w:val="clear" w:color="000000" w:fill="D9D9D9"/>
            <w:noWrap/>
            <w:vAlign w:val="bottom"/>
            <w:hideMark/>
          </w:tcPr>
          <w:p w14:paraId="5ED68A07" w14:textId="77777777" w:rsidR="00513966" w:rsidRPr="00513966" w:rsidRDefault="00513966" w:rsidP="00513966">
            <w:pPr>
              <w:spacing w:after="0"/>
              <w:jc w:val="right"/>
              <w:rPr>
                <w:rFonts w:ascii="Arial" w:hAnsi="Arial" w:cs="Arial"/>
                <w:b/>
                <w:bCs/>
                <w:sz w:val="16"/>
                <w:szCs w:val="16"/>
              </w:rPr>
            </w:pPr>
            <w:r w:rsidRPr="00513966">
              <w:rPr>
                <w:rFonts w:ascii="Arial" w:hAnsi="Arial" w:cs="Arial"/>
                <w:b/>
                <w:bCs/>
                <w:sz w:val="16"/>
                <w:szCs w:val="16"/>
              </w:rPr>
              <w:t>185</w:t>
            </w:r>
          </w:p>
        </w:tc>
        <w:tc>
          <w:tcPr>
            <w:tcW w:w="900" w:type="dxa"/>
            <w:tcBorders>
              <w:top w:val="nil"/>
              <w:left w:val="nil"/>
              <w:bottom w:val="single" w:sz="4" w:space="0" w:color="auto"/>
              <w:right w:val="nil"/>
            </w:tcBorders>
            <w:shd w:val="clear" w:color="auto" w:fill="auto"/>
            <w:noWrap/>
            <w:vAlign w:val="bottom"/>
            <w:hideMark/>
          </w:tcPr>
          <w:p w14:paraId="677A2933" w14:textId="77777777" w:rsidR="00513966" w:rsidRPr="00513966" w:rsidRDefault="00513966" w:rsidP="00513966">
            <w:pPr>
              <w:spacing w:after="0"/>
              <w:jc w:val="right"/>
              <w:rPr>
                <w:rFonts w:ascii="Arial" w:hAnsi="Arial" w:cs="Arial"/>
                <w:b/>
                <w:bCs/>
                <w:sz w:val="16"/>
                <w:szCs w:val="16"/>
              </w:rPr>
            </w:pPr>
            <w:r w:rsidRPr="00513966">
              <w:rPr>
                <w:rFonts w:ascii="Arial" w:hAnsi="Arial" w:cs="Arial"/>
                <w:b/>
                <w:bCs/>
                <w:sz w:val="16"/>
                <w:szCs w:val="16"/>
              </w:rPr>
              <w:t>187</w:t>
            </w:r>
          </w:p>
        </w:tc>
        <w:tc>
          <w:tcPr>
            <w:tcW w:w="900" w:type="dxa"/>
            <w:tcBorders>
              <w:top w:val="nil"/>
              <w:left w:val="nil"/>
              <w:bottom w:val="single" w:sz="4" w:space="0" w:color="auto"/>
              <w:right w:val="nil"/>
            </w:tcBorders>
            <w:shd w:val="clear" w:color="auto" w:fill="auto"/>
            <w:noWrap/>
            <w:vAlign w:val="bottom"/>
            <w:hideMark/>
          </w:tcPr>
          <w:p w14:paraId="548B70A1" w14:textId="77777777" w:rsidR="00513966" w:rsidRPr="00513966" w:rsidRDefault="00513966" w:rsidP="00513966">
            <w:pPr>
              <w:spacing w:after="0"/>
              <w:jc w:val="right"/>
              <w:rPr>
                <w:rFonts w:ascii="Arial" w:hAnsi="Arial" w:cs="Arial"/>
                <w:b/>
                <w:bCs/>
                <w:sz w:val="16"/>
                <w:szCs w:val="16"/>
              </w:rPr>
            </w:pPr>
            <w:r w:rsidRPr="00513966">
              <w:rPr>
                <w:rFonts w:ascii="Arial" w:hAnsi="Arial" w:cs="Arial"/>
                <w:b/>
                <w:bCs/>
                <w:sz w:val="16"/>
                <w:szCs w:val="16"/>
              </w:rPr>
              <w:t>188</w:t>
            </w:r>
          </w:p>
        </w:tc>
        <w:tc>
          <w:tcPr>
            <w:tcW w:w="900" w:type="dxa"/>
            <w:tcBorders>
              <w:top w:val="nil"/>
              <w:left w:val="nil"/>
              <w:bottom w:val="single" w:sz="4" w:space="0" w:color="auto"/>
              <w:right w:val="nil"/>
            </w:tcBorders>
            <w:shd w:val="clear" w:color="auto" w:fill="auto"/>
            <w:noWrap/>
            <w:vAlign w:val="bottom"/>
            <w:hideMark/>
          </w:tcPr>
          <w:p w14:paraId="046CA7EF" w14:textId="77777777" w:rsidR="00513966" w:rsidRPr="00513966" w:rsidRDefault="00513966" w:rsidP="00513966">
            <w:pPr>
              <w:spacing w:after="0"/>
              <w:jc w:val="right"/>
              <w:rPr>
                <w:rFonts w:ascii="Arial" w:hAnsi="Arial" w:cs="Arial"/>
                <w:b/>
                <w:bCs/>
                <w:sz w:val="16"/>
                <w:szCs w:val="16"/>
              </w:rPr>
            </w:pPr>
            <w:r w:rsidRPr="00513966">
              <w:rPr>
                <w:rFonts w:ascii="Arial" w:hAnsi="Arial" w:cs="Arial"/>
                <w:b/>
                <w:bCs/>
                <w:sz w:val="16"/>
                <w:szCs w:val="16"/>
              </w:rPr>
              <w:t>190</w:t>
            </w:r>
          </w:p>
        </w:tc>
      </w:tr>
      <w:tr w:rsidR="00513966" w:rsidRPr="00513966" w14:paraId="1A3CDDA8" w14:textId="77777777" w:rsidTr="00513966">
        <w:trPr>
          <w:trHeight w:val="750"/>
        </w:trPr>
        <w:tc>
          <w:tcPr>
            <w:tcW w:w="2880" w:type="dxa"/>
            <w:tcBorders>
              <w:top w:val="nil"/>
              <w:left w:val="nil"/>
              <w:bottom w:val="nil"/>
              <w:right w:val="nil"/>
            </w:tcBorders>
            <w:shd w:val="clear" w:color="000000" w:fill="FFFFFF"/>
            <w:vAlign w:val="bottom"/>
            <w:hideMark/>
          </w:tcPr>
          <w:p w14:paraId="78C51053" w14:textId="77777777" w:rsidR="00513966" w:rsidRPr="00513966" w:rsidRDefault="00513966" w:rsidP="00513966">
            <w:pPr>
              <w:spacing w:after="0"/>
              <w:rPr>
                <w:rFonts w:ascii="Arial" w:hAnsi="Arial" w:cs="Arial"/>
                <w:b/>
                <w:bCs/>
                <w:color w:val="auto"/>
                <w:sz w:val="16"/>
                <w:szCs w:val="16"/>
              </w:rPr>
            </w:pPr>
            <w:r w:rsidRPr="00513966">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3B1028C1" w14:textId="77777777" w:rsidR="00513966" w:rsidRPr="00513966" w:rsidRDefault="00513966" w:rsidP="00513966">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75F83D77"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F5AF7C3" w14:textId="77777777" w:rsidR="00513966" w:rsidRPr="00513966" w:rsidRDefault="00513966" w:rsidP="00513966">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FDFE5A7" w14:textId="77777777" w:rsidR="00513966" w:rsidRPr="00513966" w:rsidRDefault="00513966" w:rsidP="00513966">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7B7A347F" w14:textId="77777777" w:rsidR="00513966" w:rsidRPr="00513966" w:rsidRDefault="00513966" w:rsidP="00513966">
            <w:pPr>
              <w:spacing w:after="0"/>
              <w:rPr>
                <w:rFonts w:ascii="Times New Roman" w:hAnsi="Times New Roman"/>
                <w:color w:val="auto"/>
                <w:sz w:val="20"/>
              </w:rPr>
            </w:pPr>
          </w:p>
        </w:tc>
      </w:tr>
      <w:tr w:rsidR="00513966" w:rsidRPr="00513966" w14:paraId="6B72C4C4" w14:textId="77777777" w:rsidTr="00513966">
        <w:trPr>
          <w:trHeight w:val="225"/>
        </w:trPr>
        <w:tc>
          <w:tcPr>
            <w:tcW w:w="2880" w:type="dxa"/>
            <w:tcBorders>
              <w:top w:val="nil"/>
              <w:left w:val="nil"/>
              <w:bottom w:val="nil"/>
              <w:right w:val="nil"/>
            </w:tcBorders>
            <w:shd w:val="clear" w:color="000000" w:fill="FFFFFF"/>
            <w:noWrap/>
            <w:vAlign w:val="bottom"/>
            <w:hideMark/>
          </w:tcPr>
          <w:p w14:paraId="2C1030B4" w14:textId="77777777" w:rsidR="00513966" w:rsidRPr="00513966" w:rsidRDefault="00513966" w:rsidP="00513966">
            <w:pPr>
              <w:spacing w:after="0"/>
              <w:ind w:leftChars="75" w:left="143"/>
              <w:rPr>
                <w:rFonts w:ascii="Arial" w:hAnsi="Arial" w:cs="Arial"/>
                <w:color w:val="auto"/>
                <w:sz w:val="16"/>
                <w:szCs w:val="16"/>
              </w:rPr>
            </w:pPr>
            <w:r w:rsidRPr="00513966">
              <w:rPr>
                <w:rFonts w:ascii="Arial" w:hAnsi="Arial" w:cs="Arial"/>
                <w:color w:val="auto"/>
                <w:sz w:val="16"/>
                <w:szCs w:val="16"/>
              </w:rPr>
              <w:t>Total purchases</w:t>
            </w:r>
          </w:p>
        </w:tc>
        <w:tc>
          <w:tcPr>
            <w:tcW w:w="900" w:type="dxa"/>
            <w:tcBorders>
              <w:top w:val="nil"/>
              <w:left w:val="nil"/>
              <w:bottom w:val="single" w:sz="4" w:space="0" w:color="auto"/>
              <w:right w:val="nil"/>
            </w:tcBorders>
            <w:shd w:val="clear" w:color="auto" w:fill="auto"/>
            <w:noWrap/>
            <w:vAlign w:val="bottom"/>
            <w:hideMark/>
          </w:tcPr>
          <w:p w14:paraId="0429257D"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679</w:t>
            </w:r>
          </w:p>
        </w:tc>
        <w:tc>
          <w:tcPr>
            <w:tcW w:w="900" w:type="dxa"/>
            <w:tcBorders>
              <w:top w:val="nil"/>
              <w:left w:val="nil"/>
              <w:bottom w:val="single" w:sz="4" w:space="0" w:color="auto"/>
              <w:right w:val="nil"/>
            </w:tcBorders>
            <w:shd w:val="clear" w:color="000000" w:fill="D9D9D9"/>
            <w:noWrap/>
            <w:vAlign w:val="bottom"/>
            <w:hideMark/>
          </w:tcPr>
          <w:p w14:paraId="398FD373"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185</w:t>
            </w:r>
          </w:p>
        </w:tc>
        <w:tc>
          <w:tcPr>
            <w:tcW w:w="900" w:type="dxa"/>
            <w:tcBorders>
              <w:top w:val="nil"/>
              <w:left w:val="nil"/>
              <w:bottom w:val="single" w:sz="4" w:space="0" w:color="auto"/>
              <w:right w:val="nil"/>
            </w:tcBorders>
            <w:shd w:val="clear" w:color="auto" w:fill="auto"/>
            <w:noWrap/>
            <w:vAlign w:val="bottom"/>
            <w:hideMark/>
          </w:tcPr>
          <w:p w14:paraId="5DAFAE9A"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187</w:t>
            </w:r>
          </w:p>
        </w:tc>
        <w:tc>
          <w:tcPr>
            <w:tcW w:w="900" w:type="dxa"/>
            <w:tcBorders>
              <w:top w:val="nil"/>
              <w:left w:val="nil"/>
              <w:bottom w:val="single" w:sz="4" w:space="0" w:color="auto"/>
              <w:right w:val="nil"/>
            </w:tcBorders>
            <w:shd w:val="clear" w:color="auto" w:fill="auto"/>
            <w:noWrap/>
            <w:vAlign w:val="bottom"/>
            <w:hideMark/>
          </w:tcPr>
          <w:p w14:paraId="37CA4341"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188</w:t>
            </w:r>
          </w:p>
        </w:tc>
        <w:tc>
          <w:tcPr>
            <w:tcW w:w="900" w:type="dxa"/>
            <w:tcBorders>
              <w:top w:val="nil"/>
              <w:left w:val="nil"/>
              <w:bottom w:val="single" w:sz="4" w:space="0" w:color="auto"/>
              <w:right w:val="nil"/>
            </w:tcBorders>
            <w:shd w:val="clear" w:color="auto" w:fill="auto"/>
            <w:noWrap/>
            <w:vAlign w:val="bottom"/>
            <w:hideMark/>
          </w:tcPr>
          <w:p w14:paraId="6582F15F" w14:textId="77777777" w:rsidR="00513966" w:rsidRPr="00513966" w:rsidRDefault="00513966" w:rsidP="00513966">
            <w:pPr>
              <w:spacing w:after="0"/>
              <w:jc w:val="right"/>
              <w:rPr>
                <w:rFonts w:ascii="Arial" w:hAnsi="Arial" w:cs="Arial"/>
                <w:sz w:val="16"/>
                <w:szCs w:val="16"/>
              </w:rPr>
            </w:pPr>
            <w:r w:rsidRPr="00513966">
              <w:rPr>
                <w:rFonts w:ascii="Arial" w:hAnsi="Arial" w:cs="Arial"/>
                <w:sz w:val="16"/>
                <w:szCs w:val="16"/>
              </w:rPr>
              <w:t>190</w:t>
            </w:r>
          </w:p>
        </w:tc>
      </w:tr>
      <w:tr w:rsidR="00513966" w:rsidRPr="00513966" w14:paraId="670F9D7E" w14:textId="77777777" w:rsidTr="00513966">
        <w:trPr>
          <w:trHeight w:val="450"/>
        </w:trPr>
        <w:tc>
          <w:tcPr>
            <w:tcW w:w="2880" w:type="dxa"/>
            <w:tcBorders>
              <w:top w:val="nil"/>
              <w:left w:val="nil"/>
              <w:bottom w:val="single" w:sz="4" w:space="0" w:color="auto"/>
              <w:right w:val="nil"/>
            </w:tcBorders>
            <w:shd w:val="clear" w:color="000000" w:fill="FFFFFF"/>
            <w:vAlign w:val="bottom"/>
            <w:hideMark/>
          </w:tcPr>
          <w:p w14:paraId="2CF38BB0" w14:textId="77777777" w:rsidR="00513966" w:rsidRPr="00513966" w:rsidRDefault="00513966" w:rsidP="00513966">
            <w:pPr>
              <w:spacing w:after="0"/>
              <w:ind w:leftChars="75" w:left="143"/>
              <w:rPr>
                <w:rFonts w:ascii="Arial" w:hAnsi="Arial" w:cs="Arial"/>
                <w:b/>
                <w:bCs/>
                <w:color w:val="auto"/>
                <w:sz w:val="16"/>
                <w:szCs w:val="16"/>
              </w:rPr>
            </w:pPr>
            <w:r w:rsidRPr="00513966">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1642BBC7" w14:textId="77777777" w:rsidR="00513966" w:rsidRPr="00513966" w:rsidRDefault="00513966" w:rsidP="00513966">
            <w:pPr>
              <w:spacing w:after="0"/>
              <w:jc w:val="right"/>
              <w:rPr>
                <w:rFonts w:ascii="Arial" w:hAnsi="Arial" w:cs="Arial"/>
                <w:b/>
                <w:bCs/>
                <w:color w:val="auto"/>
                <w:sz w:val="16"/>
                <w:szCs w:val="16"/>
              </w:rPr>
            </w:pPr>
            <w:r w:rsidRPr="00513966">
              <w:rPr>
                <w:rFonts w:ascii="Arial" w:hAnsi="Arial" w:cs="Arial"/>
                <w:b/>
                <w:bCs/>
                <w:color w:val="auto"/>
                <w:sz w:val="16"/>
                <w:szCs w:val="16"/>
              </w:rPr>
              <w:t>679</w:t>
            </w:r>
          </w:p>
        </w:tc>
        <w:tc>
          <w:tcPr>
            <w:tcW w:w="900" w:type="dxa"/>
            <w:tcBorders>
              <w:top w:val="nil"/>
              <w:left w:val="nil"/>
              <w:bottom w:val="single" w:sz="4" w:space="0" w:color="auto"/>
              <w:right w:val="nil"/>
            </w:tcBorders>
            <w:shd w:val="clear" w:color="000000" w:fill="D9D9D9"/>
            <w:noWrap/>
            <w:vAlign w:val="bottom"/>
            <w:hideMark/>
          </w:tcPr>
          <w:p w14:paraId="192A76CB" w14:textId="77777777" w:rsidR="00513966" w:rsidRPr="00513966" w:rsidRDefault="00513966" w:rsidP="00513966">
            <w:pPr>
              <w:spacing w:after="0"/>
              <w:jc w:val="right"/>
              <w:rPr>
                <w:rFonts w:ascii="Arial" w:hAnsi="Arial" w:cs="Arial"/>
                <w:b/>
                <w:bCs/>
                <w:color w:val="auto"/>
                <w:sz w:val="16"/>
                <w:szCs w:val="16"/>
              </w:rPr>
            </w:pPr>
            <w:r w:rsidRPr="00513966">
              <w:rPr>
                <w:rFonts w:ascii="Arial" w:hAnsi="Arial" w:cs="Arial"/>
                <w:b/>
                <w:bCs/>
                <w:color w:val="auto"/>
                <w:sz w:val="16"/>
                <w:szCs w:val="16"/>
              </w:rPr>
              <w:t>185</w:t>
            </w:r>
          </w:p>
        </w:tc>
        <w:tc>
          <w:tcPr>
            <w:tcW w:w="900" w:type="dxa"/>
            <w:tcBorders>
              <w:top w:val="nil"/>
              <w:left w:val="nil"/>
              <w:bottom w:val="single" w:sz="4" w:space="0" w:color="auto"/>
              <w:right w:val="nil"/>
            </w:tcBorders>
            <w:shd w:val="clear" w:color="auto" w:fill="auto"/>
            <w:noWrap/>
            <w:vAlign w:val="bottom"/>
            <w:hideMark/>
          </w:tcPr>
          <w:p w14:paraId="0D1C17C0" w14:textId="77777777" w:rsidR="00513966" w:rsidRPr="00513966" w:rsidRDefault="00513966" w:rsidP="00513966">
            <w:pPr>
              <w:spacing w:after="0"/>
              <w:jc w:val="right"/>
              <w:rPr>
                <w:rFonts w:ascii="Arial" w:hAnsi="Arial" w:cs="Arial"/>
                <w:b/>
                <w:bCs/>
                <w:color w:val="auto"/>
                <w:sz w:val="16"/>
                <w:szCs w:val="16"/>
              </w:rPr>
            </w:pPr>
            <w:r w:rsidRPr="00513966">
              <w:rPr>
                <w:rFonts w:ascii="Arial" w:hAnsi="Arial" w:cs="Arial"/>
                <w:b/>
                <w:bCs/>
                <w:color w:val="auto"/>
                <w:sz w:val="16"/>
                <w:szCs w:val="16"/>
              </w:rPr>
              <w:t>187</w:t>
            </w:r>
          </w:p>
        </w:tc>
        <w:tc>
          <w:tcPr>
            <w:tcW w:w="900" w:type="dxa"/>
            <w:tcBorders>
              <w:top w:val="nil"/>
              <w:left w:val="nil"/>
              <w:bottom w:val="single" w:sz="4" w:space="0" w:color="auto"/>
              <w:right w:val="nil"/>
            </w:tcBorders>
            <w:shd w:val="clear" w:color="auto" w:fill="auto"/>
            <w:noWrap/>
            <w:vAlign w:val="bottom"/>
            <w:hideMark/>
          </w:tcPr>
          <w:p w14:paraId="09C7D79A" w14:textId="77777777" w:rsidR="00513966" w:rsidRPr="00513966" w:rsidRDefault="00513966" w:rsidP="00513966">
            <w:pPr>
              <w:spacing w:after="0"/>
              <w:jc w:val="right"/>
              <w:rPr>
                <w:rFonts w:ascii="Arial" w:hAnsi="Arial" w:cs="Arial"/>
                <w:b/>
                <w:bCs/>
                <w:color w:val="auto"/>
                <w:sz w:val="16"/>
                <w:szCs w:val="16"/>
              </w:rPr>
            </w:pPr>
            <w:r w:rsidRPr="00513966">
              <w:rPr>
                <w:rFonts w:ascii="Arial" w:hAnsi="Arial" w:cs="Arial"/>
                <w:b/>
                <w:bCs/>
                <w:color w:val="auto"/>
                <w:sz w:val="16"/>
                <w:szCs w:val="16"/>
              </w:rPr>
              <w:t>188</w:t>
            </w:r>
          </w:p>
        </w:tc>
        <w:tc>
          <w:tcPr>
            <w:tcW w:w="900" w:type="dxa"/>
            <w:tcBorders>
              <w:top w:val="nil"/>
              <w:left w:val="nil"/>
              <w:bottom w:val="single" w:sz="4" w:space="0" w:color="auto"/>
              <w:right w:val="nil"/>
            </w:tcBorders>
            <w:shd w:val="clear" w:color="auto" w:fill="auto"/>
            <w:noWrap/>
            <w:vAlign w:val="bottom"/>
            <w:hideMark/>
          </w:tcPr>
          <w:p w14:paraId="52A6E0EC" w14:textId="77777777" w:rsidR="00513966" w:rsidRPr="00513966" w:rsidRDefault="00513966" w:rsidP="00513966">
            <w:pPr>
              <w:spacing w:after="0"/>
              <w:jc w:val="right"/>
              <w:rPr>
                <w:rFonts w:ascii="Arial" w:hAnsi="Arial" w:cs="Arial"/>
                <w:b/>
                <w:bCs/>
                <w:color w:val="auto"/>
                <w:sz w:val="16"/>
                <w:szCs w:val="16"/>
              </w:rPr>
            </w:pPr>
            <w:r w:rsidRPr="00513966">
              <w:rPr>
                <w:rFonts w:ascii="Arial" w:hAnsi="Arial" w:cs="Arial"/>
                <w:b/>
                <w:bCs/>
                <w:color w:val="auto"/>
                <w:sz w:val="16"/>
                <w:szCs w:val="16"/>
              </w:rPr>
              <w:t>190</w:t>
            </w:r>
          </w:p>
        </w:tc>
      </w:tr>
    </w:tbl>
    <w:p w14:paraId="7B5A3E18" w14:textId="5E8B8954" w:rsidR="00E034EC" w:rsidRPr="00E034EC" w:rsidRDefault="00E034EC" w:rsidP="00E034EC">
      <w:pPr>
        <w:pStyle w:val="FootnoteText"/>
        <w:spacing w:before="120" w:after="40"/>
      </w:pPr>
      <w:r w:rsidRPr="00E034EC">
        <w:t>Prepared on Austral</w:t>
      </w:r>
      <w:r>
        <w:t>ian Accounting Standards basis.</w:t>
      </w:r>
    </w:p>
    <w:p w14:paraId="500D1DA6" w14:textId="72322AAE" w:rsidR="00E034EC" w:rsidRPr="00E034EC" w:rsidRDefault="00E034EC" w:rsidP="00E034EC">
      <w:pPr>
        <w:pStyle w:val="FootnoteText"/>
        <w:spacing w:after="40"/>
      </w:pPr>
      <w:r w:rsidRPr="00E034EC">
        <w:t>DCB = Departmental Capital Budget</w:t>
      </w:r>
    </w:p>
    <w:p w14:paraId="223737C2" w14:textId="5169F12C" w:rsidR="00E034EC" w:rsidRPr="00E034EC" w:rsidRDefault="00E034EC" w:rsidP="00E034EC">
      <w:pPr>
        <w:pStyle w:val="FootnoteText"/>
      </w:pPr>
      <w:r w:rsidRPr="00E034EC">
        <w:rPr>
          <w:vertAlign w:val="superscript"/>
        </w:rPr>
        <w:t>(a)</w:t>
      </w:r>
      <w:r>
        <w:tab/>
      </w:r>
      <w:r w:rsidRPr="00E034EC">
        <w:t xml:space="preserve"> Includes both current Bill 2 and prior Act 2, 4, 6 appropriations.</w:t>
      </w:r>
    </w:p>
    <w:p w14:paraId="37214922" w14:textId="2F28F383" w:rsidR="00E034EC" w:rsidRDefault="00E034EC" w:rsidP="00E034EC">
      <w:pPr>
        <w:pStyle w:val="FootnoteText"/>
      </w:pPr>
      <w:r w:rsidRPr="00E034EC">
        <w:rPr>
          <w:vertAlign w:val="superscript"/>
        </w:rPr>
        <w:t>(b)</w:t>
      </w:r>
      <w:r>
        <w:tab/>
      </w:r>
      <w:r w:rsidRPr="00E034EC">
        <w:t xml:space="preserve"> Does not include annual finance lease costs. Includes purchases from current and previous years' DCB.</w:t>
      </w:r>
    </w:p>
    <w:p w14:paraId="66DA1D89" w14:textId="3FFC452E" w:rsidR="000A380F" w:rsidRDefault="000A380F" w:rsidP="00E034EC">
      <w:pPr>
        <w:pStyle w:val="FootnoteText"/>
      </w:pPr>
      <w:r>
        <w:br w:type="page"/>
      </w:r>
    </w:p>
    <w:p w14:paraId="4F3DC8DD" w14:textId="28B5F08D" w:rsidR="00A52B29" w:rsidRPr="00A52B29" w:rsidRDefault="00A52B29" w:rsidP="00185E10">
      <w:pPr>
        <w:keepNext/>
        <w:spacing w:before="120"/>
        <w:rPr>
          <w:rFonts w:ascii="Arial" w:hAnsi="Arial"/>
          <w:b/>
          <w:color w:val="auto"/>
          <w:sz w:val="20"/>
        </w:rPr>
      </w:pPr>
      <w:r w:rsidRPr="00A52B29">
        <w:rPr>
          <w:rFonts w:ascii="Arial" w:hAnsi="Arial"/>
          <w:b/>
          <w:color w:val="auto"/>
          <w:sz w:val="20"/>
        </w:rPr>
        <w:lastRenderedPageBreak/>
        <w:t xml:space="preserve">Table 3.6: Statement of departmental asset movements </w:t>
      </w:r>
      <w:r w:rsidRPr="00A52B29">
        <w:rPr>
          <w:rFonts w:ascii="Arial" w:hAnsi="Arial"/>
          <w:b/>
          <w:color w:val="auto"/>
          <w:sz w:val="20"/>
        </w:rPr>
        <w:br/>
        <w:t xml:space="preserve">(Budget </w:t>
      </w:r>
      <w:r w:rsidR="00BD2155">
        <w:rPr>
          <w:rFonts w:ascii="Arial" w:hAnsi="Arial"/>
          <w:b/>
          <w:color w:val="auto"/>
          <w:sz w:val="20"/>
        </w:rPr>
        <w:t>year 2023–24</w:t>
      </w:r>
      <w:r w:rsidRPr="00A52B29">
        <w:rPr>
          <w:rFonts w:ascii="Arial" w:hAnsi="Arial"/>
          <w:b/>
          <w:color w:val="auto"/>
          <w:sz w:val="20"/>
        </w:rPr>
        <w:t>)</w:t>
      </w:r>
    </w:p>
    <w:tbl>
      <w:tblPr>
        <w:tblW w:w="7340" w:type="dxa"/>
        <w:tblLayout w:type="fixed"/>
        <w:tblLook w:val="04A0" w:firstRow="1" w:lastRow="0" w:firstColumn="1" w:lastColumn="0" w:noHBand="0" w:noVBand="1"/>
      </w:tblPr>
      <w:tblGrid>
        <w:gridCol w:w="3100"/>
        <w:gridCol w:w="1060"/>
        <w:gridCol w:w="1060"/>
        <w:gridCol w:w="1060"/>
        <w:gridCol w:w="1060"/>
      </w:tblGrid>
      <w:tr w:rsidR="005B2384" w:rsidRPr="005B2384" w14:paraId="66472219" w14:textId="77777777" w:rsidTr="00883D88">
        <w:trPr>
          <w:trHeight w:val="765"/>
        </w:trPr>
        <w:tc>
          <w:tcPr>
            <w:tcW w:w="3100" w:type="dxa"/>
            <w:tcBorders>
              <w:top w:val="single" w:sz="4" w:space="0" w:color="auto"/>
              <w:left w:val="nil"/>
              <w:bottom w:val="nil"/>
              <w:right w:val="nil"/>
            </w:tcBorders>
            <w:shd w:val="clear" w:color="auto" w:fill="auto"/>
            <w:hideMark/>
          </w:tcPr>
          <w:p w14:paraId="327E999D" w14:textId="77777777" w:rsidR="005B2384" w:rsidRPr="005B2384" w:rsidRDefault="005B2384" w:rsidP="005B2384">
            <w:pPr>
              <w:spacing w:after="0"/>
              <w:jc w:val="right"/>
              <w:rPr>
                <w:rFonts w:ascii="Arial" w:hAnsi="Arial" w:cs="Arial"/>
                <w:b/>
                <w:bCs/>
                <w:color w:val="auto"/>
                <w:sz w:val="16"/>
                <w:szCs w:val="16"/>
              </w:rPr>
            </w:pPr>
            <w:r w:rsidRPr="005B2384">
              <w:rPr>
                <w:rFonts w:ascii="Arial" w:hAnsi="Arial" w:cs="Arial"/>
                <w:b/>
                <w:bCs/>
                <w:color w:val="auto"/>
                <w:sz w:val="16"/>
                <w:szCs w:val="16"/>
              </w:rPr>
              <w:t> </w:t>
            </w:r>
          </w:p>
        </w:tc>
        <w:tc>
          <w:tcPr>
            <w:tcW w:w="1060" w:type="dxa"/>
            <w:tcBorders>
              <w:top w:val="single" w:sz="4" w:space="0" w:color="auto"/>
              <w:left w:val="nil"/>
              <w:bottom w:val="single" w:sz="4" w:space="0" w:color="auto"/>
              <w:right w:val="nil"/>
            </w:tcBorders>
            <w:shd w:val="clear" w:color="auto" w:fill="auto"/>
            <w:hideMark/>
          </w:tcPr>
          <w:p w14:paraId="3DD7EF48" w14:textId="77777777" w:rsidR="005B2384" w:rsidRPr="005B2384" w:rsidRDefault="005B2384" w:rsidP="005B2384">
            <w:pPr>
              <w:spacing w:after="0"/>
              <w:jc w:val="right"/>
              <w:rPr>
                <w:rFonts w:ascii="Arial" w:hAnsi="Arial" w:cs="Arial"/>
                <w:b/>
                <w:bCs/>
                <w:color w:val="auto"/>
                <w:sz w:val="16"/>
                <w:szCs w:val="16"/>
              </w:rPr>
            </w:pPr>
            <w:r w:rsidRPr="005B2384">
              <w:rPr>
                <w:rFonts w:ascii="Arial" w:hAnsi="Arial" w:cs="Arial"/>
                <w:b/>
                <w:bCs/>
                <w:color w:val="auto"/>
                <w:sz w:val="16"/>
                <w:szCs w:val="16"/>
              </w:rPr>
              <w:t xml:space="preserve">Buildings </w:t>
            </w:r>
            <w:r w:rsidRPr="005B2384">
              <w:rPr>
                <w:rFonts w:ascii="Arial" w:hAnsi="Arial" w:cs="Arial"/>
                <w:b/>
                <w:bCs/>
                <w:color w:val="auto"/>
                <w:sz w:val="16"/>
                <w:szCs w:val="16"/>
              </w:rPr>
              <w:br/>
            </w:r>
            <w:r w:rsidRPr="005B2384">
              <w:rPr>
                <w:rFonts w:ascii="Arial" w:hAnsi="Arial" w:cs="Arial"/>
                <w:b/>
                <w:bCs/>
                <w:color w:val="auto"/>
                <w:sz w:val="16"/>
                <w:szCs w:val="16"/>
              </w:rPr>
              <w:br/>
            </w:r>
            <w:r w:rsidRPr="005B2384">
              <w:rPr>
                <w:rFonts w:ascii="Arial" w:hAnsi="Arial" w:cs="Arial"/>
                <w:b/>
                <w:bCs/>
                <w:color w:val="auto"/>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20036F6E" w14:textId="77777777" w:rsidR="005B2384" w:rsidRPr="005B2384" w:rsidRDefault="005B2384" w:rsidP="005B2384">
            <w:pPr>
              <w:spacing w:after="0"/>
              <w:jc w:val="right"/>
              <w:rPr>
                <w:rFonts w:ascii="Arial" w:hAnsi="Arial" w:cs="Arial"/>
                <w:b/>
                <w:bCs/>
                <w:color w:val="auto"/>
                <w:sz w:val="16"/>
                <w:szCs w:val="16"/>
              </w:rPr>
            </w:pPr>
            <w:r w:rsidRPr="005B2384">
              <w:rPr>
                <w:rFonts w:ascii="Arial" w:hAnsi="Arial" w:cs="Arial"/>
                <w:b/>
                <w:bCs/>
                <w:color w:val="auto"/>
                <w:sz w:val="16"/>
                <w:szCs w:val="16"/>
              </w:rPr>
              <w:t xml:space="preserve">Property, plant and equipment </w:t>
            </w:r>
            <w:r w:rsidRPr="005B2384">
              <w:rPr>
                <w:rFonts w:ascii="Arial" w:hAnsi="Arial" w:cs="Arial"/>
                <w:b/>
                <w:bCs/>
                <w:color w:val="auto"/>
                <w:sz w:val="16"/>
                <w:szCs w:val="16"/>
              </w:rPr>
              <w:br/>
              <w:t>$'000</w:t>
            </w:r>
          </w:p>
        </w:tc>
        <w:tc>
          <w:tcPr>
            <w:tcW w:w="1060" w:type="dxa"/>
            <w:tcBorders>
              <w:top w:val="single" w:sz="4" w:space="0" w:color="auto"/>
              <w:left w:val="nil"/>
              <w:bottom w:val="single" w:sz="4" w:space="0" w:color="auto"/>
              <w:right w:val="nil"/>
            </w:tcBorders>
            <w:shd w:val="clear" w:color="auto" w:fill="auto"/>
            <w:tcMar>
              <w:left w:w="0" w:type="dxa"/>
            </w:tcMar>
            <w:hideMark/>
          </w:tcPr>
          <w:p w14:paraId="3ED6935F" w14:textId="77777777" w:rsidR="005B2384" w:rsidRPr="005B2384" w:rsidRDefault="005B2384" w:rsidP="005B2384">
            <w:pPr>
              <w:spacing w:after="0"/>
              <w:jc w:val="right"/>
              <w:rPr>
                <w:rFonts w:ascii="Arial" w:hAnsi="Arial" w:cs="Arial"/>
                <w:b/>
                <w:bCs/>
                <w:color w:val="auto"/>
                <w:sz w:val="16"/>
                <w:szCs w:val="16"/>
              </w:rPr>
            </w:pPr>
            <w:r w:rsidRPr="005B2384">
              <w:rPr>
                <w:rFonts w:ascii="Arial" w:hAnsi="Arial" w:cs="Arial"/>
                <w:b/>
                <w:bCs/>
                <w:color w:val="auto"/>
                <w:sz w:val="16"/>
                <w:szCs w:val="16"/>
              </w:rPr>
              <w:t xml:space="preserve">Intangibles </w:t>
            </w:r>
            <w:r w:rsidRPr="005B2384">
              <w:rPr>
                <w:rFonts w:ascii="Arial" w:hAnsi="Arial" w:cs="Arial"/>
                <w:b/>
                <w:bCs/>
                <w:color w:val="auto"/>
                <w:sz w:val="16"/>
                <w:szCs w:val="16"/>
              </w:rPr>
              <w:br/>
            </w:r>
            <w:r w:rsidRPr="005B2384">
              <w:rPr>
                <w:rFonts w:ascii="Arial" w:hAnsi="Arial" w:cs="Arial"/>
                <w:b/>
                <w:bCs/>
                <w:color w:val="auto"/>
                <w:sz w:val="16"/>
                <w:szCs w:val="16"/>
              </w:rPr>
              <w:br/>
            </w:r>
            <w:r w:rsidRPr="005B2384">
              <w:rPr>
                <w:rFonts w:ascii="Arial" w:hAnsi="Arial" w:cs="Arial"/>
                <w:b/>
                <w:bCs/>
                <w:color w:val="auto"/>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48E07722" w14:textId="77777777" w:rsidR="005B2384" w:rsidRPr="005B2384" w:rsidRDefault="005B2384" w:rsidP="005B2384">
            <w:pPr>
              <w:spacing w:after="0"/>
              <w:jc w:val="right"/>
              <w:rPr>
                <w:rFonts w:ascii="Arial" w:hAnsi="Arial" w:cs="Arial"/>
                <w:b/>
                <w:bCs/>
                <w:color w:val="auto"/>
                <w:sz w:val="16"/>
                <w:szCs w:val="16"/>
              </w:rPr>
            </w:pPr>
            <w:r w:rsidRPr="005B2384">
              <w:rPr>
                <w:rFonts w:ascii="Arial" w:hAnsi="Arial" w:cs="Arial"/>
                <w:b/>
                <w:bCs/>
                <w:color w:val="auto"/>
                <w:sz w:val="16"/>
                <w:szCs w:val="16"/>
              </w:rPr>
              <w:t xml:space="preserve">Total </w:t>
            </w:r>
            <w:r w:rsidRPr="005B2384">
              <w:rPr>
                <w:rFonts w:ascii="Arial" w:hAnsi="Arial" w:cs="Arial"/>
                <w:b/>
                <w:bCs/>
                <w:color w:val="auto"/>
                <w:sz w:val="16"/>
                <w:szCs w:val="16"/>
              </w:rPr>
              <w:br/>
            </w:r>
            <w:r w:rsidRPr="005B2384">
              <w:rPr>
                <w:rFonts w:ascii="Arial" w:hAnsi="Arial" w:cs="Arial"/>
                <w:b/>
                <w:bCs/>
                <w:color w:val="auto"/>
                <w:sz w:val="16"/>
                <w:szCs w:val="16"/>
              </w:rPr>
              <w:br/>
            </w:r>
            <w:r w:rsidRPr="005B2384">
              <w:rPr>
                <w:rFonts w:ascii="Arial" w:hAnsi="Arial" w:cs="Arial"/>
                <w:b/>
                <w:bCs/>
                <w:color w:val="auto"/>
                <w:sz w:val="16"/>
                <w:szCs w:val="16"/>
              </w:rPr>
              <w:br/>
              <w:t>$'000</w:t>
            </w:r>
          </w:p>
        </w:tc>
      </w:tr>
      <w:tr w:rsidR="005B2384" w:rsidRPr="005B2384" w14:paraId="5BF42B2B" w14:textId="77777777" w:rsidTr="005B2384">
        <w:trPr>
          <w:trHeight w:val="225"/>
        </w:trPr>
        <w:tc>
          <w:tcPr>
            <w:tcW w:w="3100" w:type="dxa"/>
            <w:tcBorders>
              <w:top w:val="nil"/>
              <w:left w:val="nil"/>
              <w:bottom w:val="nil"/>
              <w:right w:val="nil"/>
            </w:tcBorders>
            <w:shd w:val="clear" w:color="auto" w:fill="auto"/>
            <w:noWrap/>
            <w:vAlign w:val="bottom"/>
            <w:hideMark/>
          </w:tcPr>
          <w:p w14:paraId="51F4159D" w14:textId="77777777" w:rsidR="005B2384" w:rsidRPr="005B2384" w:rsidRDefault="005B2384" w:rsidP="005B2384">
            <w:pPr>
              <w:spacing w:after="0"/>
              <w:rPr>
                <w:rFonts w:ascii="Arial" w:hAnsi="Arial" w:cs="Arial"/>
                <w:b/>
                <w:bCs/>
                <w:color w:val="auto"/>
                <w:sz w:val="16"/>
                <w:szCs w:val="16"/>
              </w:rPr>
            </w:pPr>
            <w:r w:rsidRPr="005B2384">
              <w:rPr>
                <w:rFonts w:ascii="Arial" w:hAnsi="Arial" w:cs="Arial"/>
                <w:b/>
                <w:bCs/>
                <w:color w:val="auto"/>
                <w:sz w:val="16"/>
                <w:szCs w:val="16"/>
              </w:rPr>
              <w:t>As at 1 July 2023</w:t>
            </w:r>
          </w:p>
        </w:tc>
        <w:tc>
          <w:tcPr>
            <w:tcW w:w="1060" w:type="dxa"/>
            <w:tcBorders>
              <w:top w:val="nil"/>
              <w:left w:val="nil"/>
              <w:bottom w:val="nil"/>
              <w:right w:val="nil"/>
            </w:tcBorders>
            <w:shd w:val="clear" w:color="auto" w:fill="auto"/>
            <w:noWrap/>
            <w:vAlign w:val="bottom"/>
            <w:hideMark/>
          </w:tcPr>
          <w:p w14:paraId="1BEDFD88" w14:textId="77777777" w:rsidR="005B2384" w:rsidRPr="005B2384" w:rsidRDefault="005B2384" w:rsidP="005B2384">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1424078D" w14:textId="77777777" w:rsidR="005B2384" w:rsidRPr="005B2384" w:rsidRDefault="005B2384" w:rsidP="005B2384">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45426817" w14:textId="77777777" w:rsidR="005B2384" w:rsidRPr="005B2384" w:rsidRDefault="005B2384" w:rsidP="005B2384">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1FA01938" w14:textId="77777777" w:rsidR="005B2384" w:rsidRPr="005B2384" w:rsidRDefault="005B2384" w:rsidP="005B2384">
            <w:pPr>
              <w:spacing w:after="0"/>
              <w:jc w:val="right"/>
              <w:rPr>
                <w:rFonts w:ascii="Times New Roman" w:hAnsi="Times New Roman"/>
                <w:color w:val="auto"/>
                <w:sz w:val="20"/>
              </w:rPr>
            </w:pPr>
          </w:p>
        </w:tc>
      </w:tr>
      <w:tr w:rsidR="005B2384" w:rsidRPr="005B2384" w14:paraId="1867855C" w14:textId="77777777" w:rsidTr="005B2384">
        <w:trPr>
          <w:trHeight w:val="225"/>
        </w:trPr>
        <w:tc>
          <w:tcPr>
            <w:tcW w:w="3100" w:type="dxa"/>
            <w:tcBorders>
              <w:top w:val="nil"/>
              <w:left w:val="nil"/>
              <w:bottom w:val="nil"/>
              <w:right w:val="nil"/>
            </w:tcBorders>
            <w:shd w:val="clear" w:color="auto" w:fill="auto"/>
            <w:noWrap/>
            <w:vAlign w:val="bottom"/>
            <w:hideMark/>
          </w:tcPr>
          <w:p w14:paraId="412908CE" w14:textId="77777777" w:rsidR="005B2384" w:rsidRPr="005B2384" w:rsidRDefault="005B2384" w:rsidP="005B2384">
            <w:pPr>
              <w:spacing w:after="0"/>
              <w:ind w:leftChars="75" w:left="143"/>
              <w:rPr>
                <w:rFonts w:ascii="Arial" w:hAnsi="Arial" w:cs="Arial"/>
                <w:sz w:val="16"/>
                <w:szCs w:val="16"/>
              </w:rPr>
            </w:pPr>
            <w:r w:rsidRPr="005B2384">
              <w:rPr>
                <w:rFonts w:ascii="Arial" w:hAnsi="Arial" w:cs="Arial"/>
                <w:sz w:val="16"/>
                <w:szCs w:val="16"/>
              </w:rPr>
              <w:t xml:space="preserve">Gross book value </w:t>
            </w:r>
          </w:p>
        </w:tc>
        <w:tc>
          <w:tcPr>
            <w:tcW w:w="1060" w:type="dxa"/>
            <w:tcBorders>
              <w:top w:val="nil"/>
              <w:left w:val="nil"/>
              <w:bottom w:val="nil"/>
              <w:right w:val="nil"/>
            </w:tcBorders>
            <w:shd w:val="clear" w:color="auto" w:fill="auto"/>
            <w:noWrap/>
            <w:vAlign w:val="bottom"/>
            <w:hideMark/>
          </w:tcPr>
          <w:p w14:paraId="5E43AE29"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57D473D"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4,786</w:t>
            </w:r>
          </w:p>
        </w:tc>
        <w:tc>
          <w:tcPr>
            <w:tcW w:w="1060" w:type="dxa"/>
            <w:tcBorders>
              <w:top w:val="nil"/>
              <w:left w:val="nil"/>
              <w:bottom w:val="nil"/>
              <w:right w:val="nil"/>
            </w:tcBorders>
            <w:shd w:val="clear" w:color="auto" w:fill="auto"/>
            <w:noWrap/>
            <w:vAlign w:val="bottom"/>
            <w:hideMark/>
          </w:tcPr>
          <w:p w14:paraId="1222E207"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42,496</w:t>
            </w:r>
          </w:p>
        </w:tc>
        <w:tc>
          <w:tcPr>
            <w:tcW w:w="1060" w:type="dxa"/>
            <w:tcBorders>
              <w:top w:val="nil"/>
              <w:left w:val="nil"/>
              <w:bottom w:val="nil"/>
              <w:right w:val="nil"/>
            </w:tcBorders>
            <w:shd w:val="clear" w:color="auto" w:fill="auto"/>
            <w:noWrap/>
            <w:vAlign w:val="bottom"/>
            <w:hideMark/>
          </w:tcPr>
          <w:p w14:paraId="5F45EB7A"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47,282</w:t>
            </w:r>
          </w:p>
        </w:tc>
      </w:tr>
      <w:tr w:rsidR="005B2384" w:rsidRPr="005B2384" w14:paraId="59B6FDE6" w14:textId="77777777" w:rsidTr="005B2384">
        <w:trPr>
          <w:trHeight w:val="225"/>
        </w:trPr>
        <w:tc>
          <w:tcPr>
            <w:tcW w:w="3100" w:type="dxa"/>
            <w:tcBorders>
              <w:top w:val="nil"/>
              <w:left w:val="nil"/>
              <w:bottom w:val="nil"/>
              <w:right w:val="nil"/>
            </w:tcBorders>
            <w:shd w:val="clear" w:color="auto" w:fill="auto"/>
            <w:vAlign w:val="bottom"/>
            <w:hideMark/>
          </w:tcPr>
          <w:p w14:paraId="5673CC53" w14:textId="77777777" w:rsidR="005B2384" w:rsidRPr="005B2384" w:rsidRDefault="005B2384" w:rsidP="005B2384">
            <w:pPr>
              <w:spacing w:after="0"/>
              <w:ind w:leftChars="75" w:left="143"/>
              <w:rPr>
                <w:rFonts w:ascii="Arial" w:hAnsi="Arial" w:cs="Arial"/>
                <w:sz w:val="16"/>
                <w:szCs w:val="16"/>
              </w:rPr>
            </w:pPr>
            <w:r w:rsidRPr="005B2384">
              <w:rPr>
                <w:rFonts w:ascii="Arial" w:hAnsi="Arial" w:cs="Arial"/>
                <w:sz w:val="16"/>
                <w:szCs w:val="16"/>
              </w:rPr>
              <w:t>Gross book value - RoU</w:t>
            </w:r>
          </w:p>
        </w:tc>
        <w:tc>
          <w:tcPr>
            <w:tcW w:w="1060" w:type="dxa"/>
            <w:tcBorders>
              <w:top w:val="nil"/>
              <w:left w:val="nil"/>
              <w:bottom w:val="nil"/>
              <w:right w:val="nil"/>
            </w:tcBorders>
            <w:shd w:val="clear" w:color="auto" w:fill="auto"/>
            <w:noWrap/>
            <w:vAlign w:val="bottom"/>
            <w:hideMark/>
          </w:tcPr>
          <w:p w14:paraId="337264F2"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23,966</w:t>
            </w:r>
          </w:p>
        </w:tc>
        <w:tc>
          <w:tcPr>
            <w:tcW w:w="1060" w:type="dxa"/>
            <w:tcBorders>
              <w:top w:val="nil"/>
              <w:left w:val="nil"/>
              <w:bottom w:val="nil"/>
              <w:right w:val="nil"/>
            </w:tcBorders>
            <w:shd w:val="clear" w:color="auto" w:fill="auto"/>
            <w:noWrap/>
            <w:vAlign w:val="bottom"/>
            <w:hideMark/>
          </w:tcPr>
          <w:p w14:paraId="469754C1"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707</w:t>
            </w:r>
          </w:p>
        </w:tc>
        <w:tc>
          <w:tcPr>
            <w:tcW w:w="1060" w:type="dxa"/>
            <w:tcBorders>
              <w:top w:val="nil"/>
              <w:left w:val="nil"/>
              <w:bottom w:val="nil"/>
              <w:right w:val="nil"/>
            </w:tcBorders>
            <w:shd w:val="clear" w:color="auto" w:fill="auto"/>
            <w:noWrap/>
            <w:vAlign w:val="bottom"/>
            <w:hideMark/>
          </w:tcPr>
          <w:p w14:paraId="369B5CD6"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014546BA"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24,673</w:t>
            </w:r>
          </w:p>
        </w:tc>
      </w:tr>
      <w:tr w:rsidR="005B2384" w:rsidRPr="005B2384" w14:paraId="7F86D320" w14:textId="77777777" w:rsidTr="005B2384">
        <w:trPr>
          <w:trHeight w:val="450"/>
        </w:trPr>
        <w:tc>
          <w:tcPr>
            <w:tcW w:w="3100" w:type="dxa"/>
            <w:tcBorders>
              <w:top w:val="nil"/>
              <w:left w:val="nil"/>
              <w:bottom w:val="nil"/>
              <w:right w:val="nil"/>
            </w:tcBorders>
            <w:shd w:val="clear" w:color="auto" w:fill="auto"/>
            <w:vAlign w:val="bottom"/>
            <w:hideMark/>
          </w:tcPr>
          <w:p w14:paraId="5C374076" w14:textId="77777777" w:rsidR="005B2384" w:rsidRPr="005B2384" w:rsidRDefault="005B2384" w:rsidP="005B2384">
            <w:pPr>
              <w:spacing w:after="0"/>
              <w:ind w:leftChars="75" w:left="143"/>
              <w:rPr>
                <w:rFonts w:ascii="Arial" w:hAnsi="Arial" w:cs="Arial"/>
                <w:sz w:val="16"/>
                <w:szCs w:val="16"/>
              </w:rPr>
            </w:pPr>
            <w:r w:rsidRPr="005B2384">
              <w:rPr>
                <w:rFonts w:ascii="Arial" w:hAnsi="Arial" w:cs="Arial"/>
                <w:sz w:val="16"/>
                <w:szCs w:val="16"/>
              </w:rPr>
              <w:t>Accumulated depreciation/</w:t>
            </w:r>
            <w:r w:rsidRPr="005B2384">
              <w:rPr>
                <w:rFonts w:ascii="Arial" w:hAnsi="Arial" w:cs="Arial"/>
                <w:sz w:val="16"/>
                <w:szCs w:val="16"/>
              </w:rPr>
              <w:br/>
              <w:t>amortisation and impairment</w:t>
            </w:r>
          </w:p>
        </w:tc>
        <w:tc>
          <w:tcPr>
            <w:tcW w:w="1060" w:type="dxa"/>
            <w:tcBorders>
              <w:top w:val="nil"/>
              <w:left w:val="nil"/>
              <w:bottom w:val="nil"/>
              <w:right w:val="nil"/>
            </w:tcBorders>
            <w:shd w:val="clear" w:color="auto" w:fill="auto"/>
            <w:noWrap/>
            <w:vAlign w:val="bottom"/>
            <w:hideMark/>
          </w:tcPr>
          <w:p w14:paraId="4EB0E75A"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3A84487"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(2,488)</w:t>
            </w:r>
          </w:p>
        </w:tc>
        <w:tc>
          <w:tcPr>
            <w:tcW w:w="1060" w:type="dxa"/>
            <w:tcBorders>
              <w:top w:val="nil"/>
              <w:left w:val="nil"/>
              <w:bottom w:val="nil"/>
              <w:right w:val="nil"/>
            </w:tcBorders>
            <w:shd w:val="clear" w:color="auto" w:fill="auto"/>
            <w:noWrap/>
            <w:vAlign w:val="bottom"/>
            <w:hideMark/>
          </w:tcPr>
          <w:p w14:paraId="1959F145"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(21,025)</w:t>
            </w:r>
          </w:p>
        </w:tc>
        <w:tc>
          <w:tcPr>
            <w:tcW w:w="1060" w:type="dxa"/>
            <w:tcBorders>
              <w:top w:val="nil"/>
              <w:left w:val="nil"/>
              <w:bottom w:val="nil"/>
              <w:right w:val="nil"/>
            </w:tcBorders>
            <w:shd w:val="clear" w:color="auto" w:fill="auto"/>
            <w:noWrap/>
            <w:vAlign w:val="bottom"/>
            <w:hideMark/>
          </w:tcPr>
          <w:p w14:paraId="2A89B238"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(23,513)</w:t>
            </w:r>
          </w:p>
        </w:tc>
      </w:tr>
      <w:tr w:rsidR="005B2384" w:rsidRPr="005B2384" w14:paraId="41372101" w14:textId="77777777" w:rsidTr="005B2384">
        <w:trPr>
          <w:trHeight w:val="450"/>
        </w:trPr>
        <w:tc>
          <w:tcPr>
            <w:tcW w:w="3100" w:type="dxa"/>
            <w:tcBorders>
              <w:top w:val="nil"/>
              <w:left w:val="nil"/>
              <w:bottom w:val="nil"/>
              <w:right w:val="nil"/>
            </w:tcBorders>
            <w:shd w:val="clear" w:color="auto" w:fill="auto"/>
            <w:vAlign w:val="bottom"/>
            <w:hideMark/>
          </w:tcPr>
          <w:p w14:paraId="725E6915" w14:textId="77777777" w:rsidR="005B2384" w:rsidRPr="005B2384" w:rsidRDefault="005B2384" w:rsidP="005B2384">
            <w:pPr>
              <w:spacing w:after="0"/>
              <w:ind w:leftChars="75" w:left="143"/>
              <w:rPr>
                <w:rFonts w:ascii="Arial" w:hAnsi="Arial" w:cs="Arial"/>
                <w:sz w:val="16"/>
                <w:szCs w:val="16"/>
              </w:rPr>
            </w:pPr>
            <w:r w:rsidRPr="005B2384">
              <w:rPr>
                <w:rFonts w:ascii="Arial" w:hAnsi="Arial" w:cs="Arial"/>
                <w:sz w:val="16"/>
                <w:szCs w:val="16"/>
              </w:rPr>
              <w:t>Accumulated depreciation/ amortisation and impairment - RoU</w:t>
            </w:r>
          </w:p>
        </w:tc>
        <w:tc>
          <w:tcPr>
            <w:tcW w:w="1060" w:type="dxa"/>
            <w:tcBorders>
              <w:top w:val="nil"/>
              <w:left w:val="nil"/>
              <w:bottom w:val="single" w:sz="4" w:space="0" w:color="auto"/>
              <w:right w:val="nil"/>
            </w:tcBorders>
            <w:shd w:val="clear" w:color="auto" w:fill="auto"/>
            <w:noWrap/>
            <w:vAlign w:val="bottom"/>
            <w:hideMark/>
          </w:tcPr>
          <w:p w14:paraId="2AF25194"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(10,531)</w:t>
            </w:r>
          </w:p>
        </w:tc>
        <w:tc>
          <w:tcPr>
            <w:tcW w:w="1060" w:type="dxa"/>
            <w:tcBorders>
              <w:top w:val="nil"/>
              <w:left w:val="nil"/>
              <w:bottom w:val="single" w:sz="4" w:space="0" w:color="auto"/>
              <w:right w:val="nil"/>
            </w:tcBorders>
            <w:shd w:val="clear" w:color="auto" w:fill="auto"/>
            <w:noWrap/>
            <w:vAlign w:val="bottom"/>
            <w:hideMark/>
          </w:tcPr>
          <w:p w14:paraId="2D30537D"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(752)</w:t>
            </w:r>
          </w:p>
        </w:tc>
        <w:tc>
          <w:tcPr>
            <w:tcW w:w="1060" w:type="dxa"/>
            <w:tcBorders>
              <w:top w:val="nil"/>
              <w:left w:val="nil"/>
              <w:bottom w:val="single" w:sz="4" w:space="0" w:color="auto"/>
              <w:right w:val="nil"/>
            </w:tcBorders>
            <w:shd w:val="clear" w:color="auto" w:fill="auto"/>
            <w:noWrap/>
            <w:vAlign w:val="bottom"/>
            <w:hideMark/>
          </w:tcPr>
          <w:p w14:paraId="31FFA925"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808B5E7"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(11,283)</w:t>
            </w:r>
          </w:p>
        </w:tc>
      </w:tr>
      <w:tr w:rsidR="005B2384" w:rsidRPr="005B2384" w14:paraId="146D423B" w14:textId="77777777" w:rsidTr="005B2384">
        <w:trPr>
          <w:trHeight w:val="225"/>
        </w:trPr>
        <w:tc>
          <w:tcPr>
            <w:tcW w:w="3100" w:type="dxa"/>
            <w:tcBorders>
              <w:top w:val="nil"/>
              <w:left w:val="nil"/>
              <w:bottom w:val="nil"/>
              <w:right w:val="nil"/>
            </w:tcBorders>
            <w:shd w:val="clear" w:color="auto" w:fill="auto"/>
            <w:noWrap/>
            <w:vAlign w:val="bottom"/>
            <w:hideMark/>
          </w:tcPr>
          <w:p w14:paraId="7AFA0524" w14:textId="77777777" w:rsidR="005B2384" w:rsidRPr="005B2384" w:rsidRDefault="005B2384" w:rsidP="005B2384">
            <w:pPr>
              <w:spacing w:after="0"/>
              <w:ind w:firstLineChars="100" w:firstLine="160"/>
              <w:rPr>
                <w:rFonts w:ascii="Arial" w:hAnsi="Arial" w:cs="Arial"/>
                <w:b/>
                <w:bCs/>
                <w:color w:val="auto"/>
                <w:sz w:val="16"/>
                <w:szCs w:val="16"/>
              </w:rPr>
            </w:pPr>
            <w:r w:rsidRPr="005B2384">
              <w:rPr>
                <w:rFonts w:ascii="Arial" w:hAnsi="Arial" w:cs="Arial"/>
                <w:b/>
                <w:bCs/>
                <w:color w:val="auto"/>
                <w:sz w:val="16"/>
                <w:szCs w:val="16"/>
              </w:rPr>
              <w:t>Opening net book balance</w:t>
            </w:r>
          </w:p>
        </w:tc>
        <w:tc>
          <w:tcPr>
            <w:tcW w:w="1060" w:type="dxa"/>
            <w:tcBorders>
              <w:top w:val="nil"/>
              <w:left w:val="nil"/>
              <w:bottom w:val="single" w:sz="4" w:space="0" w:color="auto"/>
              <w:right w:val="nil"/>
            </w:tcBorders>
            <w:shd w:val="clear" w:color="auto" w:fill="auto"/>
            <w:noWrap/>
            <w:vAlign w:val="bottom"/>
            <w:hideMark/>
          </w:tcPr>
          <w:p w14:paraId="64A437DA"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13,435</w:t>
            </w:r>
          </w:p>
        </w:tc>
        <w:tc>
          <w:tcPr>
            <w:tcW w:w="1060" w:type="dxa"/>
            <w:tcBorders>
              <w:top w:val="nil"/>
              <w:left w:val="nil"/>
              <w:bottom w:val="single" w:sz="4" w:space="0" w:color="auto"/>
              <w:right w:val="nil"/>
            </w:tcBorders>
            <w:shd w:val="clear" w:color="auto" w:fill="auto"/>
            <w:noWrap/>
            <w:vAlign w:val="bottom"/>
            <w:hideMark/>
          </w:tcPr>
          <w:p w14:paraId="0AFF971E"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2,253</w:t>
            </w:r>
          </w:p>
        </w:tc>
        <w:tc>
          <w:tcPr>
            <w:tcW w:w="1060" w:type="dxa"/>
            <w:tcBorders>
              <w:top w:val="nil"/>
              <w:left w:val="nil"/>
              <w:bottom w:val="single" w:sz="4" w:space="0" w:color="auto"/>
              <w:right w:val="nil"/>
            </w:tcBorders>
            <w:shd w:val="clear" w:color="auto" w:fill="auto"/>
            <w:noWrap/>
            <w:vAlign w:val="bottom"/>
            <w:hideMark/>
          </w:tcPr>
          <w:p w14:paraId="0A55031D"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21,471</w:t>
            </w:r>
          </w:p>
        </w:tc>
        <w:tc>
          <w:tcPr>
            <w:tcW w:w="1060" w:type="dxa"/>
            <w:tcBorders>
              <w:top w:val="single" w:sz="4" w:space="0" w:color="auto"/>
              <w:left w:val="nil"/>
              <w:bottom w:val="single" w:sz="4" w:space="0" w:color="auto"/>
              <w:right w:val="nil"/>
            </w:tcBorders>
            <w:shd w:val="clear" w:color="auto" w:fill="auto"/>
            <w:noWrap/>
            <w:vAlign w:val="bottom"/>
            <w:hideMark/>
          </w:tcPr>
          <w:p w14:paraId="7A651F43"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37,159</w:t>
            </w:r>
          </w:p>
        </w:tc>
      </w:tr>
      <w:tr w:rsidR="005B2384" w:rsidRPr="005B2384" w14:paraId="6D7A337F" w14:textId="77777777" w:rsidTr="005B2384">
        <w:trPr>
          <w:trHeight w:val="300"/>
        </w:trPr>
        <w:tc>
          <w:tcPr>
            <w:tcW w:w="3100" w:type="dxa"/>
            <w:tcBorders>
              <w:top w:val="nil"/>
              <w:left w:val="nil"/>
              <w:bottom w:val="nil"/>
              <w:right w:val="nil"/>
            </w:tcBorders>
            <w:shd w:val="clear" w:color="auto" w:fill="auto"/>
            <w:noWrap/>
            <w:vAlign w:val="bottom"/>
            <w:hideMark/>
          </w:tcPr>
          <w:p w14:paraId="3E9292B2" w14:textId="77777777" w:rsidR="005B2384" w:rsidRPr="005B2384" w:rsidRDefault="005B2384" w:rsidP="005B2384">
            <w:pPr>
              <w:spacing w:after="0"/>
              <w:rPr>
                <w:rFonts w:ascii="Arial" w:hAnsi="Arial" w:cs="Arial"/>
                <w:b/>
                <w:bCs/>
                <w:color w:val="auto"/>
                <w:sz w:val="16"/>
                <w:szCs w:val="16"/>
              </w:rPr>
            </w:pPr>
            <w:r w:rsidRPr="005B2384">
              <w:rPr>
                <w:rFonts w:ascii="Arial" w:hAnsi="Arial" w:cs="Arial"/>
                <w:b/>
                <w:bCs/>
                <w:color w:val="auto"/>
                <w:sz w:val="16"/>
                <w:szCs w:val="16"/>
              </w:rPr>
              <w:t>CAPITAL ASSET ADDITIONS</w:t>
            </w:r>
          </w:p>
        </w:tc>
        <w:tc>
          <w:tcPr>
            <w:tcW w:w="1060" w:type="dxa"/>
            <w:tcBorders>
              <w:top w:val="nil"/>
              <w:left w:val="nil"/>
              <w:bottom w:val="nil"/>
              <w:right w:val="nil"/>
            </w:tcBorders>
            <w:shd w:val="clear" w:color="auto" w:fill="auto"/>
            <w:noWrap/>
            <w:vAlign w:val="bottom"/>
            <w:hideMark/>
          </w:tcPr>
          <w:p w14:paraId="18129886" w14:textId="77777777" w:rsidR="005B2384" w:rsidRPr="005B2384" w:rsidRDefault="005B2384" w:rsidP="005B2384">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1C7208B3" w14:textId="77777777" w:rsidR="005B2384" w:rsidRPr="005B2384" w:rsidRDefault="005B2384" w:rsidP="005B2384">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5DC48175" w14:textId="77777777" w:rsidR="005B2384" w:rsidRPr="005B2384" w:rsidRDefault="005B2384" w:rsidP="005B2384">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56A75BD1" w14:textId="77777777" w:rsidR="005B2384" w:rsidRPr="005B2384" w:rsidRDefault="005B2384" w:rsidP="005B2384">
            <w:pPr>
              <w:spacing w:after="0"/>
              <w:jc w:val="right"/>
              <w:rPr>
                <w:rFonts w:ascii="Times New Roman" w:hAnsi="Times New Roman"/>
                <w:color w:val="auto"/>
                <w:sz w:val="20"/>
              </w:rPr>
            </w:pPr>
          </w:p>
        </w:tc>
      </w:tr>
      <w:tr w:rsidR="005B2384" w:rsidRPr="005B2384" w14:paraId="481A0DC6" w14:textId="77777777" w:rsidTr="005B2384">
        <w:trPr>
          <w:trHeight w:val="525"/>
        </w:trPr>
        <w:tc>
          <w:tcPr>
            <w:tcW w:w="3100" w:type="dxa"/>
            <w:tcBorders>
              <w:top w:val="nil"/>
              <w:left w:val="nil"/>
              <w:bottom w:val="nil"/>
              <w:right w:val="nil"/>
            </w:tcBorders>
            <w:shd w:val="clear" w:color="auto" w:fill="auto"/>
            <w:vAlign w:val="bottom"/>
            <w:hideMark/>
          </w:tcPr>
          <w:p w14:paraId="04166F6C" w14:textId="77777777" w:rsidR="005B2384" w:rsidRPr="005B2384" w:rsidRDefault="005B2384" w:rsidP="004A3FF3">
            <w:pPr>
              <w:spacing w:after="0"/>
              <w:ind w:leftChars="75" w:left="143"/>
              <w:rPr>
                <w:rFonts w:ascii="Arial" w:hAnsi="Arial" w:cs="Arial"/>
                <w:b/>
                <w:bCs/>
                <w:color w:val="auto"/>
                <w:sz w:val="16"/>
                <w:szCs w:val="16"/>
              </w:rPr>
            </w:pPr>
            <w:r w:rsidRPr="005B2384">
              <w:rPr>
                <w:rFonts w:ascii="Arial" w:hAnsi="Arial" w:cs="Arial"/>
                <w:b/>
                <w:bCs/>
                <w:color w:val="auto"/>
                <w:sz w:val="16"/>
                <w:szCs w:val="16"/>
              </w:rPr>
              <w:t xml:space="preserve">Estimated expenditure on new or </w:t>
            </w:r>
            <w:r w:rsidRPr="005B2384">
              <w:rPr>
                <w:rFonts w:ascii="Arial" w:hAnsi="Arial" w:cs="Arial"/>
                <w:b/>
                <w:bCs/>
                <w:sz w:val="16"/>
                <w:szCs w:val="16"/>
              </w:rPr>
              <w:t>replacement</w:t>
            </w:r>
            <w:r w:rsidRPr="005B2384">
              <w:rPr>
                <w:rFonts w:ascii="Arial" w:hAnsi="Arial" w:cs="Arial"/>
                <w:b/>
                <w:bCs/>
                <w:color w:val="auto"/>
                <w:sz w:val="16"/>
                <w:szCs w:val="16"/>
              </w:rPr>
              <w:t xml:space="preserve"> assets</w:t>
            </w:r>
          </w:p>
        </w:tc>
        <w:tc>
          <w:tcPr>
            <w:tcW w:w="1060" w:type="dxa"/>
            <w:tcBorders>
              <w:top w:val="nil"/>
              <w:left w:val="nil"/>
              <w:bottom w:val="nil"/>
              <w:right w:val="nil"/>
            </w:tcBorders>
            <w:shd w:val="clear" w:color="auto" w:fill="auto"/>
            <w:noWrap/>
            <w:vAlign w:val="bottom"/>
            <w:hideMark/>
          </w:tcPr>
          <w:p w14:paraId="6BBD4571" w14:textId="77777777" w:rsidR="005B2384" w:rsidRPr="005B2384" w:rsidRDefault="005B2384" w:rsidP="005B2384">
            <w:pPr>
              <w:spacing w:after="0"/>
              <w:ind w:firstLineChars="100" w:firstLine="16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571DFDA1" w14:textId="77777777" w:rsidR="005B2384" w:rsidRPr="005B2384" w:rsidRDefault="005B2384" w:rsidP="005B2384">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3497F3D0" w14:textId="77777777" w:rsidR="005B2384" w:rsidRPr="005B2384" w:rsidRDefault="005B2384" w:rsidP="005B2384">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447142BC" w14:textId="77777777" w:rsidR="005B2384" w:rsidRPr="005B2384" w:rsidRDefault="005B2384" w:rsidP="005B2384">
            <w:pPr>
              <w:spacing w:after="0"/>
              <w:jc w:val="right"/>
              <w:rPr>
                <w:rFonts w:ascii="Times New Roman" w:hAnsi="Times New Roman"/>
                <w:color w:val="auto"/>
                <w:sz w:val="20"/>
              </w:rPr>
            </w:pPr>
          </w:p>
        </w:tc>
      </w:tr>
      <w:tr w:rsidR="005B2384" w:rsidRPr="005B2384" w14:paraId="4D6917C6" w14:textId="77777777" w:rsidTr="005B2384">
        <w:trPr>
          <w:trHeight w:val="450"/>
        </w:trPr>
        <w:tc>
          <w:tcPr>
            <w:tcW w:w="3100" w:type="dxa"/>
            <w:tcBorders>
              <w:top w:val="nil"/>
              <w:left w:val="nil"/>
              <w:bottom w:val="nil"/>
              <w:right w:val="nil"/>
            </w:tcBorders>
            <w:shd w:val="clear" w:color="auto" w:fill="auto"/>
            <w:vAlign w:val="bottom"/>
            <w:hideMark/>
          </w:tcPr>
          <w:p w14:paraId="2A8F38DA" w14:textId="77777777" w:rsidR="005B2384" w:rsidRPr="005B2384" w:rsidRDefault="005B2384" w:rsidP="005B2384">
            <w:pPr>
              <w:spacing w:after="0"/>
              <w:ind w:leftChars="175" w:left="333"/>
              <w:rPr>
                <w:rFonts w:ascii="Arial" w:hAnsi="Arial" w:cs="Arial"/>
                <w:color w:val="auto"/>
                <w:sz w:val="16"/>
                <w:szCs w:val="16"/>
              </w:rPr>
            </w:pPr>
            <w:r w:rsidRPr="005B2384">
              <w:rPr>
                <w:rFonts w:ascii="Arial" w:hAnsi="Arial" w:cs="Arial"/>
                <w:color w:val="auto"/>
                <w:sz w:val="16"/>
                <w:szCs w:val="16"/>
              </w:rPr>
              <w:t>By purchase - appropriation ordinary annual services</w:t>
            </w:r>
          </w:p>
        </w:tc>
        <w:tc>
          <w:tcPr>
            <w:tcW w:w="1060" w:type="dxa"/>
            <w:tcBorders>
              <w:top w:val="nil"/>
              <w:left w:val="nil"/>
              <w:bottom w:val="nil"/>
              <w:right w:val="nil"/>
            </w:tcBorders>
            <w:shd w:val="clear" w:color="auto" w:fill="auto"/>
            <w:noWrap/>
            <w:vAlign w:val="bottom"/>
            <w:hideMark/>
          </w:tcPr>
          <w:p w14:paraId="5384C774"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7E49930"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185</w:t>
            </w:r>
          </w:p>
        </w:tc>
        <w:tc>
          <w:tcPr>
            <w:tcW w:w="1060" w:type="dxa"/>
            <w:tcBorders>
              <w:top w:val="nil"/>
              <w:left w:val="nil"/>
              <w:bottom w:val="nil"/>
              <w:right w:val="nil"/>
            </w:tcBorders>
            <w:shd w:val="clear" w:color="auto" w:fill="auto"/>
            <w:noWrap/>
            <w:vAlign w:val="bottom"/>
            <w:hideMark/>
          </w:tcPr>
          <w:p w14:paraId="07D59D6F"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9055A62"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185</w:t>
            </w:r>
          </w:p>
        </w:tc>
      </w:tr>
      <w:tr w:rsidR="005B2384" w:rsidRPr="005B2384" w14:paraId="4E855CC2" w14:textId="77777777" w:rsidTr="005B2384">
        <w:trPr>
          <w:trHeight w:val="225"/>
        </w:trPr>
        <w:tc>
          <w:tcPr>
            <w:tcW w:w="3100" w:type="dxa"/>
            <w:tcBorders>
              <w:top w:val="nil"/>
              <w:left w:val="nil"/>
              <w:bottom w:val="nil"/>
              <w:right w:val="nil"/>
            </w:tcBorders>
            <w:shd w:val="clear" w:color="auto" w:fill="auto"/>
            <w:vAlign w:val="bottom"/>
            <w:hideMark/>
          </w:tcPr>
          <w:p w14:paraId="53C1ED48" w14:textId="77777777" w:rsidR="005B2384" w:rsidRPr="005B2384" w:rsidRDefault="005B2384" w:rsidP="005B2384">
            <w:pPr>
              <w:spacing w:after="0"/>
              <w:ind w:leftChars="175" w:left="333"/>
              <w:rPr>
                <w:rFonts w:ascii="Arial" w:hAnsi="Arial" w:cs="Arial"/>
                <w:color w:val="auto"/>
                <w:sz w:val="16"/>
                <w:szCs w:val="16"/>
              </w:rPr>
            </w:pPr>
            <w:r w:rsidRPr="005B2384">
              <w:rPr>
                <w:rFonts w:ascii="Arial" w:hAnsi="Arial" w:cs="Arial"/>
                <w:color w:val="auto"/>
                <w:sz w:val="16"/>
                <w:szCs w:val="16"/>
              </w:rPr>
              <w:t>By purchase - RoU</w:t>
            </w:r>
          </w:p>
        </w:tc>
        <w:tc>
          <w:tcPr>
            <w:tcW w:w="1060" w:type="dxa"/>
            <w:tcBorders>
              <w:top w:val="nil"/>
              <w:left w:val="nil"/>
              <w:bottom w:val="nil"/>
              <w:right w:val="nil"/>
            </w:tcBorders>
            <w:shd w:val="clear" w:color="auto" w:fill="auto"/>
            <w:noWrap/>
            <w:vAlign w:val="bottom"/>
            <w:hideMark/>
          </w:tcPr>
          <w:p w14:paraId="51B8C1A4" w14:textId="5EE9E5F9" w:rsidR="005B2384" w:rsidRPr="005B2384" w:rsidRDefault="00221C8D" w:rsidP="005B2384">
            <w:pPr>
              <w:spacing w:after="0"/>
              <w:jc w:val="right"/>
              <w:rPr>
                <w:rFonts w:ascii="Arial" w:hAnsi="Arial" w:cs="Arial"/>
                <w:sz w:val="16"/>
                <w:szCs w:val="16"/>
              </w:rPr>
            </w:pPr>
            <w:r>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7E98C4B" w14:textId="18FB2DEF" w:rsidR="005B2384" w:rsidRPr="005B2384" w:rsidRDefault="00221C8D" w:rsidP="005B2384">
            <w:pPr>
              <w:spacing w:after="0"/>
              <w:jc w:val="right"/>
              <w:rPr>
                <w:rFonts w:ascii="Arial" w:hAnsi="Arial" w:cs="Arial"/>
                <w:sz w:val="16"/>
                <w:szCs w:val="16"/>
              </w:rPr>
            </w:pPr>
            <w:r>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15B7D950" w14:textId="3B3388D4" w:rsidR="005B2384" w:rsidRPr="005B2384" w:rsidRDefault="00221C8D" w:rsidP="005B2384">
            <w:pPr>
              <w:spacing w:after="0"/>
              <w:jc w:val="right"/>
              <w:rPr>
                <w:rFonts w:ascii="Arial" w:hAnsi="Arial" w:cs="Arial"/>
                <w:sz w:val="16"/>
                <w:szCs w:val="16"/>
              </w:rPr>
            </w:pPr>
            <w:r>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9189127"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w:t>
            </w:r>
          </w:p>
        </w:tc>
      </w:tr>
      <w:tr w:rsidR="005B2384" w:rsidRPr="005B2384" w14:paraId="2D3924E7" w14:textId="77777777" w:rsidTr="005B2384">
        <w:trPr>
          <w:trHeight w:val="225"/>
        </w:trPr>
        <w:tc>
          <w:tcPr>
            <w:tcW w:w="3100" w:type="dxa"/>
            <w:tcBorders>
              <w:top w:val="nil"/>
              <w:left w:val="nil"/>
              <w:bottom w:val="nil"/>
              <w:right w:val="nil"/>
            </w:tcBorders>
            <w:shd w:val="clear" w:color="auto" w:fill="auto"/>
            <w:noWrap/>
            <w:vAlign w:val="bottom"/>
            <w:hideMark/>
          </w:tcPr>
          <w:p w14:paraId="6D446547" w14:textId="77777777" w:rsidR="005B2384" w:rsidRPr="005B2384" w:rsidRDefault="005B2384" w:rsidP="004A3FF3">
            <w:pPr>
              <w:spacing w:after="0"/>
              <w:ind w:leftChars="75" w:left="143"/>
              <w:rPr>
                <w:rFonts w:ascii="Arial" w:hAnsi="Arial" w:cs="Arial"/>
                <w:b/>
                <w:bCs/>
                <w:sz w:val="16"/>
                <w:szCs w:val="16"/>
              </w:rPr>
            </w:pPr>
            <w:r w:rsidRPr="005B2384">
              <w:rPr>
                <w:rFonts w:ascii="Arial" w:hAnsi="Arial" w:cs="Arial"/>
                <w:b/>
                <w:bCs/>
                <w:sz w:val="16"/>
                <w:szCs w:val="16"/>
              </w:rPr>
              <w:t>Total additions</w:t>
            </w:r>
          </w:p>
        </w:tc>
        <w:tc>
          <w:tcPr>
            <w:tcW w:w="1060" w:type="dxa"/>
            <w:tcBorders>
              <w:top w:val="nil"/>
              <w:left w:val="nil"/>
              <w:bottom w:val="single" w:sz="4" w:space="0" w:color="auto"/>
              <w:right w:val="nil"/>
            </w:tcBorders>
            <w:shd w:val="clear" w:color="auto" w:fill="auto"/>
            <w:noWrap/>
            <w:vAlign w:val="bottom"/>
            <w:hideMark/>
          </w:tcPr>
          <w:p w14:paraId="73EE36B9"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w:t>
            </w:r>
          </w:p>
        </w:tc>
        <w:tc>
          <w:tcPr>
            <w:tcW w:w="1060" w:type="dxa"/>
            <w:tcBorders>
              <w:top w:val="nil"/>
              <w:left w:val="nil"/>
              <w:bottom w:val="single" w:sz="4" w:space="0" w:color="auto"/>
              <w:right w:val="nil"/>
            </w:tcBorders>
            <w:shd w:val="clear" w:color="auto" w:fill="auto"/>
            <w:noWrap/>
            <w:vAlign w:val="bottom"/>
            <w:hideMark/>
          </w:tcPr>
          <w:p w14:paraId="14B640A2"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185</w:t>
            </w:r>
          </w:p>
        </w:tc>
        <w:tc>
          <w:tcPr>
            <w:tcW w:w="1060" w:type="dxa"/>
            <w:tcBorders>
              <w:top w:val="nil"/>
              <w:left w:val="nil"/>
              <w:bottom w:val="single" w:sz="4" w:space="0" w:color="auto"/>
              <w:right w:val="nil"/>
            </w:tcBorders>
            <w:shd w:val="clear" w:color="auto" w:fill="auto"/>
            <w:noWrap/>
            <w:vAlign w:val="bottom"/>
            <w:hideMark/>
          </w:tcPr>
          <w:p w14:paraId="2EDA5035"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w:t>
            </w:r>
          </w:p>
        </w:tc>
        <w:tc>
          <w:tcPr>
            <w:tcW w:w="1060" w:type="dxa"/>
            <w:tcBorders>
              <w:top w:val="nil"/>
              <w:left w:val="nil"/>
              <w:bottom w:val="single" w:sz="4" w:space="0" w:color="auto"/>
              <w:right w:val="nil"/>
            </w:tcBorders>
            <w:shd w:val="clear" w:color="auto" w:fill="auto"/>
            <w:noWrap/>
            <w:vAlign w:val="bottom"/>
            <w:hideMark/>
          </w:tcPr>
          <w:p w14:paraId="0843D46E"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185</w:t>
            </w:r>
          </w:p>
        </w:tc>
      </w:tr>
      <w:tr w:rsidR="005B2384" w:rsidRPr="005B2384" w14:paraId="43AA7038" w14:textId="77777777" w:rsidTr="005B2384">
        <w:trPr>
          <w:trHeight w:val="300"/>
        </w:trPr>
        <w:tc>
          <w:tcPr>
            <w:tcW w:w="3100" w:type="dxa"/>
            <w:tcBorders>
              <w:top w:val="nil"/>
              <w:left w:val="nil"/>
              <w:bottom w:val="nil"/>
              <w:right w:val="nil"/>
            </w:tcBorders>
            <w:shd w:val="clear" w:color="auto" w:fill="auto"/>
            <w:noWrap/>
            <w:vAlign w:val="bottom"/>
            <w:hideMark/>
          </w:tcPr>
          <w:p w14:paraId="04497A74" w14:textId="77777777" w:rsidR="005B2384" w:rsidRPr="005B2384" w:rsidRDefault="005B2384" w:rsidP="005B2384">
            <w:pPr>
              <w:spacing w:after="0"/>
              <w:rPr>
                <w:rFonts w:ascii="Arial" w:hAnsi="Arial" w:cs="Arial"/>
                <w:b/>
                <w:bCs/>
                <w:color w:val="auto"/>
                <w:sz w:val="16"/>
                <w:szCs w:val="16"/>
              </w:rPr>
            </w:pPr>
            <w:r w:rsidRPr="005B2384">
              <w:rPr>
                <w:rFonts w:ascii="Arial" w:hAnsi="Arial" w:cs="Arial"/>
                <w:b/>
                <w:bCs/>
                <w:color w:val="auto"/>
                <w:sz w:val="16"/>
                <w:szCs w:val="16"/>
              </w:rPr>
              <w:t>Other movements</w:t>
            </w:r>
          </w:p>
        </w:tc>
        <w:tc>
          <w:tcPr>
            <w:tcW w:w="1060" w:type="dxa"/>
            <w:tcBorders>
              <w:top w:val="nil"/>
              <w:left w:val="nil"/>
              <w:bottom w:val="nil"/>
              <w:right w:val="nil"/>
            </w:tcBorders>
            <w:shd w:val="clear" w:color="auto" w:fill="auto"/>
            <w:noWrap/>
            <w:vAlign w:val="bottom"/>
            <w:hideMark/>
          </w:tcPr>
          <w:p w14:paraId="11EB6107" w14:textId="77777777" w:rsidR="005B2384" w:rsidRPr="005B2384" w:rsidRDefault="005B2384" w:rsidP="005B2384">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0DF5F574" w14:textId="77777777" w:rsidR="005B2384" w:rsidRPr="005B2384" w:rsidRDefault="005B2384" w:rsidP="005B2384">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2FD6278D" w14:textId="77777777" w:rsidR="005B2384" w:rsidRPr="005B2384" w:rsidRDefault="005B2384" w:rsidP="005B2384">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45B81FD8" w14:textId="77777777" w:rsidR="005B2384" w:rsidRPr="005B2384" w:rsidRDefault="005B2384" w:rsidP="005B2384">
            <w:pPr>
              <w:spacing w:after="0"/>
              <w:jc w:val="right"/>
              <w:rPr>
                <w:rFonts w:ascii="Times New Roman" w:hAnsi="Times New Roman"/>
                <w:color w:val="auto"/>
                <w:sz w:val="20"/>
              </w:rPr>
            </w:pPr>
          </w:p>
        </w:tc>
      </w:tr>
      <w:tr w:rsidR="005B2384" w:rsidRPr="005B2384" w14:paraId="2B017C4E" w14:textId="77777777" w:rsidTr="005B2384">
        <w:trPr>
          <w:trHeight w:val="225"/>
        </w:trPr>
        <w:tc>
          <w:tcPr>
            <w:tcW w:w="3100" w:type="dxa"/>
            <w:tcBorders>
              <w:top w:val="nil"/>
              <w:left w:val="nil"/>
              <w:bottom w:val="nil"/>
              <w:right w:val="nil"/>
            </w:tcBorders>
            <w:shd w:val="clear" w:color="auto" w:fill="auto"/>
            <w:noWrap/>
            <w:vAlign w:val="bottom"/>
            <w:hideMark/>
          </w:tcPr>
          <w:p w14:paraId="7C9FEA82" w14:textId="77777777" w:rsidR="005B2384" w:rsidRPr="005B2384" w:rsidRDefault="005B2384" w:rsidP="004A3FF3">
            <w:pPr>
              <w:spacing w:after="0"/>
              <w:ind w:leftChars="75" w:left="143"/>
              <w:rPr>
                <w:rFonts w:ascii="Arial" w:hAnsi="Arial" w:cs="Arial"/>
                <w:color w:val="auto"/>
                <w:sz w:val="16"/>
                <w:szCs w:val="16"/>
              </w:rPr>
            </w:pPr>
            <w:r w:rsidRPr="005B2384">
              <w:rPr>
                <w:rFonts w:ascii="Arial" w:hAnsi="Arial" w:cs="Arial"/>
                <w:color w:val="auto"/>
                <w:sz w:val="16"/>
                <w:szCs w:val="16"/>
              </w:rPr>
              <w:t>Depreciation/amortisation expense</w:t>
            </w:r>
          </w:p>
        </w:tc>
        <w:tc>
          <w:tcPr>
            <w:tcW w:w="1060" w:type="dxa"/>
            <w:tcBorders>
              <w:top w:val="nil"/>
              <w:left w:val="nil"/>
              <w:bottom w:val="nil"/>
              <w:right w:val="nil"/>
            </w:tcBorders>
            <w:shd w:val="clear" w:color="auto" w:fill="auto"/>
            <w:noWrap/>
            <w:vAlign w:val="bottom"/>
            <w:hideMark/>
          </w:tcPr>
          <w:p w14:paraId="1DF47916"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6D5FE35"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(511)</w:t>
            </w:r>
          </w:p>
        </w:tc>
        <w:tc>
          <w:tcPr>
            <w:tcW w:w="1060" w:type="dxa"/>
            <w:tcBorders>
              <w:top w:val="nil"/>
              <w:left w:val="nil"/>
              <w:bottom w:val="nil"/>
              <w:right w:val="nil"/>
            </w:tcBorders>
            <w:shd w:val="clear" w:color="auto" w:fill="auto"/>
            <w:noWrap/>
            <w:vAlign w:val="bottom"/>
            <w:hideMark/>
          </w:tcPr>
          <w:p w14:paraId="1A862075"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(2,391)</w:t>
            </w:r>
          </w:p>
        </w:tc>
        <w:tc>
          <w:tcPr>
            <w:tcW w:w="1060" w:type="dxa"/>
            <w:tcBorders>
              <w:top w:val="nil"/>
              <w:left w:val="nil"/>
              <w:bottom w:val="nil"/>
              <w:right w:val="nil"/>
            </w:tcBorders>
            <w:shd w:val="clear" w:color="auto" w:fill="auto"/>
            <w:noWrap/>
            <w:vAlign w:val="bottom"/>
            <w:hideMark/>
          </w:tcPr>
          <w:p w14:paraId="2697DCE1"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(2,902)</w:t>
            </w:r>
          </w:p>
        </w:tc>
      </w:tr>
      <w:tr w:rsidR="005B2384" w:rsidRPr="005B2384" w14:paraId="04CA32F8" w14:textId="77777777" w:rsidTr="005B2384">
        <w:trPr>
          <w:trHeight w:val="450"/>
        </w:trPr>
        <w:tc>
          <w:tcPr>
            <w:tcW w:w="3100" w:type="dxa"/>
            <w:tcBorders>
              <w:top w:val="nil"/>
              <w:left w:val="nil"/>
              <w:bottom w:val="nil"/>
              <w:right w:val="nil"/>
            </w:tcBorders>
            <w:shd w:val="clear" w:color="auto" w:fill="auto"/>
            <w:vAlign w:val="bottom"/>
            <w:hideMark/>
          </w:tcPr>
          <w:p w14:paraId="730A8AA2" w14:textId="77777777" w:rsidR="005B2384" w:rsidRPr="005B2384" w:rsidRDefault="005B2384" w:rsidP="004A3FF3">
            <w:pPr>
              <w:spacing w:after="0"/>
              <w:ind w:leftChars="75" w:left="143"/>
              <w:rPr>
                <w:rFonts w:ascii="Arial" w:hAnsi="Arial" w:cs="Arial"/>
                <w:sz w:val="16"/>
                <w:szCs w:val="16"/>
              </w:rPr>
            </w:pPr>
            <w:r w:rsidRPr="005B2384">
              <w:rPr>
                <w:rFonts w:ascii="Arial" w:hAnsi="Arial" w:cs="Arial"/>
                <w:sz w:val="16"/>
                <w:szCs w:val="16"/>
              </w:rPr>
              <w:t>Depreciation/amortisation expense - RoU</w:t>
            </w:r>
          </w:p>
        </w:tc>
        <w:tc>
          <w:tcPr>
            <w:tcW w:w="1060" w:type="dxa"/>
            <w:tcBorders>
              <w:top w:val="nil"/>
              <w:left w:val="nil"/>
              <w:bottom w:val="nil"/>
              <w:right w:val="nil"/>
            </w:tcBorders>
            <w:shd w:val="clear" w:color="auto" w:fill="auto"/>
            <w:noWrap/>
            <w:vAlign w:val="bottom"/>
            <w:hideMark/>
          </w:tcPr>
          <w:p w14:paraId="767561EF"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(2,608)</w:t>
            </w:r>
          </w:p>
        </w:tc>
        <w:tc>
          <w:tcPr>
            <w:tcW w:w="1060" w:type="dxa"/>
            <w:tcBorders>
              <w:top w:val="nil"/>
              <w:left w:val="nil"/>
              <w:bottom w:val="nil"/>
              <w:right w:val="nil"/>
            </w:tcBorders>
            <w:shd w:val="clear" w:color="auto" w:fill="auto"/>
            <w:noWrap/>
            <w:vAlign w:val="bottom"/>
            <w:hideMark/>
          </w:tcPr>
          <w:p w14:paraId="103AFC0C"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(70)</w:t>
            </w:r>
          </w:p>
        </w:tc>
        <w:tc>
          <w:tcPr>
            <w:tcW w:w="1060" w:type="dxa"/>
            <w:tcBorders>
              <w:top w:val="nil"/>
              <w:left w:val="nil"/>
              <w:bottom w:val="nil"/>
              <w:right w:val="nil"/>
            </w:tcBorders>
            <w:shd w:val="clear" w:color="auto" w:fill="auto"/>
            <w:noWrap/>
            <w:vAlign w:val="bottom"/>
            <w:hideMark/>
          </w:tcPr>
          <w:p w14:paraId="41E41354"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5C6557B"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(2,678)</w:t>
            </w:r>
          </w:p>
        </w:tc>
      </w:tr>
      <w:tr w:rsidR="005B2384" w:rsidRPr="005B2384" w14:paraId="542569AA" w14:textId="77777777" w:rsidTr="005B2384">
        <w:trPr>
          <w:trHeight w:val="225"/>
        </w:trPr>
        <w:tc>
          <w:tcPr>
            <w:tcW w:w="3100" w:type="dxa"/>
            <w:tcBorders>
              <w:top w:val="nil"/>
              <w:left w:val="nil"/>
              <w:bottom w:val="nil"/>
              <w:right w:val="nil"/>
            </w:tcBorders>
            <w:shd w:val="clear" w:color="auto" w:fill="auto"/>
            <w:noWrap/>
            <w:vAlign w:val="bottom"/>
            <w:hideMark/>
          </w:tcPr>
          <w:p w14:paraId="5C11FB0E" w14:textId="77777777" w:rsidR="005B2384" w:rsidRPr="005B2384" w:rsidRDefault="005B2384" w:rsidP="004A3FF3">
            <w:pPr>
              <w:spacing w:after="0"/>
              <w:ind w:leftChars="75" w:left="143"/>
              <w:rPr>
                <w:rFonts w:ascii="Arial" w:hAnsi="Arial" w:cs="Arial"/>
                <w:color w:val="auto"/>
                <w:sz w:val="16"/>
                <w:szCs w:val="16"/>
              </w:rPr>
            </w:pPr>
            <w:r w:rsidRPr="005B2384">
              <w:rPr>
                <w:rFonts w:ascii="Arial" w:hAnsi="Arial" w:cs="Arial"/>
                <w:color w:val="auto"/>
                <w:sz w:val="16"/>
                <w:szCs w:val="16"/>
              </w:rPr>
              <w:t xml:space="preserve">Other </w:t>
            </w:r>
            <w:r w:rsidRPr="005B2384">
              <w:rPr>
                <w:rFonts w:ascii="Arial" w:hAnsi="Arial" w:cs="Arial"/>
                <w:sz w:val="16"/>
                <w:szCs w:val="16"/>
              </w:rPr>
              <w:t>movements</w:t>
            </w:r>
          </w:p>
        </w:tc>
        <w:tc>
          <w:tcPr>
            <w:tcW w:w="1060" w:type="dxa"/>
            <w:tcBorders>
              <w:top w:val="nil"/>
              <w:left w:val="nil"/>
              <w:bottom w:val="nil"/>
              <w:right w:val="nil"/>
            </w:tcBorders>
            <w:shd w:val="clear" w:color="auto" w:fill="auto"/>
            <w:noWrap/>
            <w:vAlign w:val="bottom"/>
            <w:hideMark/>
          </w:tcPr>
          <w:p w14:paraId="38D9334F"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F9234C3"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6FF1F97"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46BBC59"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w:t>
            </w:r>
          </w:p>
        </w:tc>
      </w:tr>
      <w:tr w:rsidR="005B2384" w:rsidRPr="005B2384" w14:paraId="2A368265" w14:textId="77777777" w:rsidTr="005B2384">
        <w:trPr>
          <w:trHeight w:val="225"/>
        </w:trPr>
        <w:tc>
          <w:tcPr>
            <w:tcW w:w="3100" w:type="dxa"/>
            <w:tcBorders>
              <w:top w:val="nil"/>
              <w:left w:val="nil"/>
              <w:bottom w:val="nil"/>
              <w:right w:val="nil"/>
            </w:tcBorders>
            <w:shd w:val="clear" w:color="auto" w:fill="auto"/>
            <w:noWrap/>
            <w:vAlign w:val="bottom"/>
            <w:hideMark/>
          </w:tcPr>
          <w:p w14:paraId="3A53759A" w14:textId="77777777" w:rsidR="005B2384" w:rsidRPr="005B2384" w:rsidRDefault="005B2384" w:rsidP="004A3FF3">
            <w:pPr>
              <w:spacing w:after="0"/>
              <w:ind w:leftChars="75" w:left="143"/>
              <w:rPr>
                <w:rFonts w:ascii="Arial" w:hAnsi="Arial" w:cs="Arial"/>
                <w:b/>
                <w:bCs/>
                <w:sz w:val="16"/>
                <w:szCs w:val="16"/>
              </w:rPr>
            </w:pPr>
            <w:r w:rsidRPr="005B2384">
              <w:rPr>
                <w:rFonts w:ascii="Arial" w:hAnsi="Arial" w:cs="Arial"/>
                <w:b/>
                <w:bCs/>
                <w:sz w:val="16"/>
                <w:szCs w:val="16"/>
              </w:rPr>
              <w:t>Total other movements</w:t>
            </w:r>
          </w:p>
        </w:tc>
        <w:tc>
          <w:tcPr>
            <w:tcW w:w="1060" w:type="dxa"/>
            <w:tcBorders>
              <w:top w:val="nil"/>
              <w:left w:val="nil"/>
              <w:bottom w:val="single" w:sz="4" w:space="0" w:color="auto"/>
              <w:right w:val="nil"/>
            </w:tcBorders>
            <w:shd w:val="clear" w:color="auto" w:fill="auto"/>
            <w:noWrap/>
            <w:vAlign w:val="bottom"/>
            <w:hideMark/>
          </w:tcPr>
          <w:p w14:paraId="2ED35C6E"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(2,608)</w:t>
            </w:r>
          </w:p>
        </w:tc>
        <w:tc>
          <w:tcPr>
            <w:tcW w:w="1060" w:type="dxa"/>
            <w:tcBorders>
              <w:top w:val="nil"/>
              <w:left w:val="nil"/>
              <w:bottom w:val="single" w:sz="4" w:space="0" w:color="auto"/>
              <w:right w:val="nil"/>
            </w:tcBorders>
            <w:shd w:val="clear" w:color="auto" w:fill="auto"/>
            <w:noWrap/>
            <w:vAlign w:val="bottom"/>
            <w:hideMark/>
          </w:tcPr>
          <w:p w14:paraId="7D8DA65F"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(581)</w:t>
            </w:r>
          </w:p>
        </w:tc>
        <w:tc>
          <w:tcPr>
            <w:tcW w:w="1060" w:type="dxa"/>
            <w:tcBorders>
              <w:top w:val="nil"/>
              <w:left w:val="nil"/>
              <w:bottom w:val="single" w:sz="4" w:space="0" w:color="auto"/>
              <w:right w:val="nil"/>
            </w:tcBorders>
            <w:shd w:val="clear" w:color="auto" w:fill="auto"/>
            <w:noWrap/>
            <w:vAlign w:val="bottom"/>
            <w:hideMark/>
          </w:tcPr>
          <w:p w14:paraId="3E34967A"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(2,391)</w:t>
            </w:r>
          </w:p>
        </w:tc>
        <w:tc>
          <w:tcPr>
            <w:tcW w:w="1060" w:type="dxa"/>
            <w:tcBorders>
              <w:top w:val="nil"/>
              <w:left w:val="nil"/>
              <w:bottom w:val="single" w:sz="4" w:space="0" w:color="auto"/>
              <w:right w:val="nil"/>
            </w:tcBorders>
            <w:shd w:val="clear" w:color="auto" w:fill="auto"/>
            <w:noWrap/>
            <w:vAlign w:val="bottom"/>
            <w:hideMark/>
          </w:tcPr>
          <w:p w14:paraId="027DABDA"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(5,580)</w:t>
            </w:r>
          </w:p>
        </w:tc>
      </w:tr>
      <w:tr w:rsidR="005B2384" w:rsidRPr="005B2384" w14:paraId="052771D7" w14:textId="77777777" w:rsidTr="005B2384">
        <w:trPr>
          <w:trHeight w:val="300"/>
        </w:trPr>
        <w:tc>
          <w:tcPr>
            <w:tcW w:w="3100" w:type="dxa"/>
            <w:tcBorders>
              <w:top w:val="nil"/>
              <w:left w:val="nil"/>
              <w:bottom w:val="nil"/>
              <w:right w:val="nil"/>
            </w:tcBorders>
            <w:shd w:val="clear" w:color="auto" w:fill="auto"/>
            <w:noWrap/>
            <w:vAlign w:val="bottom"/>
            <w:hideMark/>
          </w:tcPr>
          <w:p w14:paraId="08351904" w14:textId="77777777" w:rsidR="005B2384" w:rsidRPr="005B2384" w:rsidRDefault="005B2384" w:rsidP="005B2384">
            <w:pPr>
              <w:spacing w:after="0"/>
              <w:rPr>
                <w:rFonts w:ascii="Arial" w:hAnsi="Arial" w:cs="Arial"/>
                <w:b/>
                <w:bCs/>
                <w:color w:val="auto"/>
                <w:sz w:val="16"/>
                <w:szCs w:val="16"/>
              </w:rPr>
            </w:pPr>
            <w:r w:rsidRPr="005B2384">
              <w:rPr>
                <w:rFonts w:ascii="Arial" w:hAnsi="Arial" w:cs="Arial"/>
                <w:b/>
                <w:bCs/>
                <w:color w:val="auto"/>
                <w:sz w:val="16"/>
                <w:szCs w:val="16"/>
              </w:rPr>
              <w:t>As at 30 June 2024</w:t>
            </w:r>
          </w:p>
        </w:tc>
        <w:tc>
          <w:tcPr>
            <w:tcW w:w="1060" w:type="dxa"/>
            <w:tcBorders>
              <w:top w:val="nil"/>
              <w:left w:val="nil"/>
              <w:bottom w:val="nil"/>
              <w:right w:val="nil"/>
            </w:tcBorders>
            <w:shd w:val="clear" w:color="auto" w:fill="auto"/>
            <w:noWrap/>
            <w:vAlign w:val="bottom"/>
            <w:hideMark/>
          </w:tcPr>
          <w:p w14:paraId="780D5B08" w14:textId="77777777" w:rsidR="005B2384" w:rsidRPr="005B2384" w:rsidRDefault="005B2384" w:rsidP="005B2384">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336A4508" w14:textId="77777777" w:rsidR="005B2384" w:rsidRPr="005B2384" w:rsidRDefault="005B2384" w:rsidP="005B2384">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0EE718F4" w14:textId="77777777" w:rsidR="005B2384" w:rsidRPr="005B2384" w:rsidRDefault="005B2384" w:rsidP="005B2384">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52B50256" w14:textId="77777777" w:rsidR="005B2384" w:rsidRPr="005B2384" w:rsidRDefault="005B2384" w:rsidP="005B2384">
            <w:pPr>
              <w:spacing w:after="0"/>
              <w:jc w:val="right"/>
              <w:rPr>
                <w:rFonts w:ascii="Times New Roman" w:hAnsi="Times New Roman"/>
                <w:color w:val="auto"/>
                <w:sz w:val="20"/>
              </w:rPr>
            </w:pPr>
          </w:p>
        </w:tc>
      </w:tr>
      <w:tr w:rsidR="005B2384" w:rsidRPr="005B2384" w14:paraId="2FAB39F3" w14:textId="77777777" w:rsidTr="005B2384">
        <w:trPr>
          <w:trHeight w:val="225"/>
        </w:trPr>
        <w:tc>
          <w:tcPr>
            <w:tcW w:w="3100" w:type="dxa"/>
            <w:tcBorders>
              <w:top w:val="nil"/>
              <w:left w:val="nil"/>
              <w:bottom w:val="nil"/>
              <w:right w:val="nil"/>
            </w:tcBorders>
            <w:shd w:val="clear" w:color="auto" w:fill="auto"/>
            <w:noWrap/>
            <w:vAlign w:val="bottom"/>
            <w:hideMark/>
          </w:tcPr>
          <w:p w14:paraId="5546FB5A" w14:textId="77777777" w:rsidR="005B2384" w:rsidRPr="005B2384" w:rsidRDefault="005B2384" w:rsidP="005B2384">
            <w:pPr>
              <w:spacing w:after="0"/>
              <w:ind w:firstLineChars="100" w:firstLine="160"/>
              <w:rPr>
                <w:rFonts w:ascii="Arial" w:hAnsi="Arial" w:cs="Arial"/>
                <w:color w:val="auto"/>
                <w:sz w:val="16"/>
                <w:szCs w:val="16"/>
              </w:rPr>
            </w:pPr>
            <w:r w:rsidRPr="005B2384">
              <w:rPr>
                <w:rFonts w:ascii="Arial" w:hAnsi="Arial" w:cs="Arial"/>
                <w:color w:val="auto"/>
                <w:sz w:val="16"/>
                <w:szCs w:val="16"/>
              </w:rPr>
              <w:t>Gross book value</w:t>
            </w:r>
          </w:p>
        </w:tc>
        <w:tc>
          <w:tcPr>
            <w:tcW w:w="1060" w:type="dxa"/>
            <w:tcBorders>
              <w:top w:val="nil"/>
              <w:left w:val="nil"/>
              <w:bottom w:val="nil"/>
              <w:right w:val="nil"/>
            </w:tcBorders>
            <w:shd w:val="clear" w:color="auto" w:fill="auto"/>
            <w:noWrap/>
            <w:vAlign w:val="bottom"/>
            <w:hideMark/>
          </w:tcPr>
          <w:p w14:paraId="1F259905"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006C08D2"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4,971</w:t>
            </w:r>
          </w:p>
        </w:tc>
        <w:tc>
          <w:tcPr>
            <w:tcW w:w="1060" w:type="dxa"/>
            <w:tcBorders>
              <w:top w:val="nil"/>
              <w:left w:val="nil"/>
              <w:bottom w:val="nil"/>
              <w:right w:val="nil"/>
            </w:tcBorders>
            <w:shd w:val="clear" w:color="auto" w:fill="auto"/>
            <w:noWrap/>
            <w:vAlign w:val="bottom"/>
            <w:hideMark/>
          </w:tcPr>
          <w:p w14:paraId="4B9B1603"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42,496</w:t>
            </w:r>
          </w:p>
        </w:tc>
        <w:tc>
          <w:tcPr>
            <w:tcW w:w="1060" w:type="dxa"/>
            <w:tcBorders>
              <w:top w:val="nil"/>
              <w:left w:val="nil"/>
              <w:bottom w:val="nil"/>
              <w:right w:val="nil"/>
            </w:tcBorders>
            <w:shd w:val="clear" w:color="auto" w:fill="auto"/>
            <w:noWrap/>
            <w:vAlign w:val="bottom"/>
            <w:hideMark/>
          </w:tcPr>
          <w:p w14:paraId="17A85400"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47,467</w:t>
            </w:r>
          </w:p>
        </w:tc>
      </w:tr>
      <w:tr w:rsidR="005B2384" w:rsidRPr="005B2384" w14:paraId="58AD5841" w14:textId="77777777" w:rsidTr="005B2384">
        <w:trPr>
          <w:trHeight w:val="225"/>
        </w:trPr>
        <w:tc>
          <w:tcPr>
            <w:tcW w:w="3100" w:type="dxa"/>
            <w:tcBorders>
              <w:top w:val="nil"/>
              <w:left w:val="nil"/>
              <w:bottom w:val="nil"/>
              <w:right w:val="nil"/>
            </w:tcBorders>
            <w:shd w:val="clear" w:color="auto" w:fill="auto"/>
            <w:noWrap/>
            <w:vAlign w:val="bottom"/>
            <w:hideMark/>
          </w:tcPr>
          <w:p w14:paraId="56DAF0B9" w14:textId="77777777" w:rsidR="005B2384" w:rsidRPr="005B2384" w:rsidRDefault="005B2384" w:rsidP="005B2384">
            <w:pPr>
              <w:spacing w:after="0"/>
              <w:ind w:firstLineChars="100" w:firstLine="160"/>
              <w:rPr>
                <w:rFonts w:ascii="Arial" w:hAnsi="Arial" w:cs="Arial"/>
                <w:color w:val="auto"/>
                <w:sz w:val="16"/>
                <w:szCs w:val="16"/>
              </w:rPr>
            </w:pPr>
            <w:r w:rsidRPr="005B2384">
              <w:rPr>
                <w:rFonts w:ascii="Arial" w:hAnsi="Arial" w:cs="Arial"/>
                <w:color w:val="auto"/>
                <w:sz w:val="16"/>
                <w:szCs w:val="16"/>
              </w:rPr>
              <w:t>Gross book value - RoU</w:t>
            </w:r>
          </w:p>
        </w:tc>
        <w:tc>
          <w:tcPr>
            <w:tcW w:w="1060" w:type="dxa"/>
            <w:tcBorders>
              <w:top w:val="nil"/>
              <w:left w:val="nil"/>
              <w:bottom w:val="nil"/>
              <w:right w:val="nil"/>
            </w:tcBorders>
            <w:shd w:val="clear" w:color="auto" w:fill="auto"/>
            <w:noWrap/>
            <w:vAlign w:val="bottom"/>
            <w:hideMark/>
          </w:tcPr>
          <w:p w14:paraId="2851D40E"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23,966</w:t>
            </w:r>
          </w:p>
        </w:tc>
        <w:tc>
          <w:tcPr>
            <w:tcW w:w="1060" w:type="dxa"/>
            <w:tcBorders>
              <w:top w:val="nil"/>
              <w:left w:val="nil"/>
              <w:bottom w:val="nil"/>
              <w:right w:val="nil"/>
            </w:tcBorders>
            <w:shd w:val="clear" w:color="auto" w:fill="auto"/>
            <w:noWrap/>
            <w:vAlign w:val="bottom"/>
            <w:hideMark/>
          </w:tcPr>
          <w:p w14:paraId="6640F7AC"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707</w:t>
            </w:r>
          </w:p>
        </w:tc>
        <w:tc>
          <w:tcPr>
            <w:tcW w:w="1060" w:type="dxa"/>
            <w:tcBorders>
              <w:top w:val="nil"/>
              <w:left w:val="nil"/>
              <w:bottom w:val="nil"/>
              <w:right w:val="nil"/>
            </w:tcBorders>
            <w:shd w:val="clear" w:color="auto" w:fill="auto"/>
            <w:noWrap/>
            <w:vAlign w:val="bottom"/>
            <w:hideMark/>
          </w:tcPr>
          <w:p w14:paraId="656A7279"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FB688DD"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24,673</w:t>
            </w:r>
          </w:p>
        </w:tc>
      </w:tr>
      <w:tr w:rsidR="005B2384" w:rsidRPr="005B2384" w14:paraId="27F89B28" w14:textId="77777777" w:rsidTr="005B2384">
        <w:trPr>
          <w:trHeight w:val="450"/>
        </w:trPr>
        <w:tc>
          <w:tcPr>
            <w:tcW w:w="3100" w:type="dxa"/>
            <w:tcBorders>
              <w:top w:val="nil"/>
              <w:left w:val="nil"/>
              <w:bottom w:val="nil"/>
              <w:right w:val="nil"/>
            </w:tcBorders>
            <w:shd w:val="clear" w:color="auto" w:fill="auto"/>
            <w:vAlign w:val="bottom"/>
            <w:hideMark/>
          </w:tcPr>
          <w:p w14:paraId="0D1FAAE1" w14:textId="77777777" w:rsidR="005B2384" w:rsidRPr="005B2384" w:rsidRDefault="005B2384" w:rsidP="005B2384">
            <w:pPr>
              <w:spacing w:after="0"/>
              <w:ind w:leftChars="75" w:left="143"/>
              <w:rPr>
                <w:rFonts w:ascii="Arial" w:hAnsi="Arial" w:cs="Arial"/>
                <w:sz w:val="16"/>
                <w:szCs w:val="16"/>
              </w:rPr>
            </w:pPr>
            <w:r w:rsidRPr="005B2384">
              <w:rPr>
                <w:rFonts w:ascii="Arial" w:hAnsi="Arial" w:cs="Arial"/>
                <w:sz w:val="16"/>
                <w:szCs w:val="16"/>
              </w:rPr>
              <w:t>Accumulated depreciation/ amortisation and impairment</w:t>
            </w:r>
          </w:p>
        </w:tc>
        <w:tc>
          <w:tcPr>
            <w:tcW w:w="1060" w:type="dxa"/>
            <w:tcBorders>
              <w:top w:val="nil"/>
              <w:left w:val="nil"/>
              <w:bottom w:val="nil"/>
              <w:right w:val="nil"/>
            </w:tcBorders>
            <w:shd w:val="clear" w:color="auto" w:fill="auto"/>
            <w:noWrap/>
            <w:vAlign w:val="bottom"/>
            <w:hideMark/>
          </w:tcPr>
          <w:p w14:paraId="12EB377B"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4BC36EF"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(2,999)</w:t>
            </w:r>
          </w:p>
        </w:tc>
        <w:tc>
          <w:tcPr>
            <w:tcW w:w="1060" w:type="dxa"/>
            <w:tcBorders>
              <w:top w:val="nil"/>
              <w:left w:val="nil"/>
              <w:bottom w:val="nil"/>
              <w:right w:val="nil"/>
            </w:tcBorders>
            <w:shd w:val="clear" w:color="auto" w:fill="auto"/>
            <w:noWrap/>
            <w:vAlign w:val="bottom"/>
            <w:hideMark/>
          </w:tcPr>
          <w:p w14:paraId="23945315"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(23,416)</w:t>
            </w:r>
          </w:p>
        </w:tc>
        <w:tc>
          <w:tcPr>
            <w:tcW w:w="1060" w:type="dxa"/>
            <w:tcBorders>
              <w:top w:val="nil"/>
              <w:left w:val="nil"/>
              <w:bottom w:val="nil"/>
              <w:right w:val="nil"/>
            </w:tcBorders>
            <w:shd w:val="clear" w:color="auto" w:fill="auto"/>
            <w:noWrap/>
            <w:vAlign w:val="bottom"/>
            <w:hideMark/>
          </w:tcPr>
          <w:p w14:paraId="0C440175"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(26,415)</w:t>
            </w:r>
          </w:p>
        </w:tc>
      </w:tr>
      <w:tr w:rsidR="005B2384" w:rsidRPr="005B2384" w14:paraId="7F26AD3C" w14:textId="77777777" w:rsidTr="005B2384">
        <w:trPr>
          <w:trHeight w:val="450"/>
        </w:trPr>
        <w:tc>
          <w:tcPr>
            <w:tcW w:w="3100" w:type="dxa"/>
            <w:tcBorders>
              <w:top w:val="nil"/>
              <w:left w:val="nil"/>
              <w:bottom w:val="nil"/>
              <w:right w:val="nil"/>
            </w:tcBorders>
            <w:shd w:val="clear" w:color="auto" w:fill="auto"/>
            <w:vAlign w:val="bottom"/>
            <w:hideMark/>
          </w:tcPr>
          <w:p w14:paraId="0765031C" w14:textId="77777777" w:rsidR="005B2384" w:rsidRPr="005B2384" w:rsidRDefault="005B2384" w:rsidP="005B2384">
            <w:pPr>
              <w:spacing w:after="0"/>
              <w:ind w:leftChars="75" w:left="143"/>
              <w:rPr>
                <w:rFonts w:ascii="Arial" w:hAnsi="Arial" w:cs="Arial"/>
                <w:sz w:val="16"/>
                <w:szCs w:val="16"/>
              </w:rPr>
            </w:pPr>
            <w:r w:rsidRPr="005B2384">
              <w:rPr>
                <w:rFonts w:ascii="Arial" w:hAnsi="Arial" w:cs="Arial"/>
                <w:sz w:val="16"/>
                <w:szCs w:val="16"/>
              </w:rPr>
              <w:t>Accumulated depreciation/ amortisation and impairment - RoU</w:t>
            </w:r>
          </w:p>
        </w:tc>
        <w:tc>
          <w:tcPr>
            <w:tcW w:w="1060" w:type="dxa"/>
            <w:tcBorders>
              <w:top w:val="nil"/>
              <w:left w:val="nil"/>
              <w:bottom w:val="single" w:sz="4" w:space="0" w:color="auto"/>
              <w:right w:val="nil"/>
            </w:tcBorders>
            <w:shd w:val="clear" w:color="auto" w:fill="auto"/>
            <w:noWrap/>
            <w:vAlign w:val="bottom"/>
            <w:hideMark/>
          </w:tcPr>
          <w:p w14:paraId="4934F7C7"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(13,139)</w:t>
            </w:r>
          </w:p>
        </w:tc>
        <w:tc>
          <w:tcPr>
            <w:tcW w:w="1060" w:type="dxa"/>
            <w:tcBorders>
              <w:top w:val="nil"/>
              <w:left w:val="nil"/>
              <w:bottom w:val="single" w:sz="4" w:space="0" w:color="auto"/>
              <w:right w:val="nil"/>
            </w:tcBorders>
            <w:shd w:val="clear" w:color="auto" w:fill="auto"/>
            <w:noWrap/>
            <w:vAlign w:val="bottom"/>
            <w:hideMark/>
          </w:tcPr>
          <w:p w14:paraId="10126663"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(822)</w:t>
            </w:r>
          </w:p>
        </w:tc>
        <w:tc>
          <w:tcPr>
            <w:tcW w:w="1060" w:type="dxa"/>
            <w:tcBorders>
              <w:top w:val="nil"/>
              <w:left w:val="nil"/>
              <w:bottom w:val="single" w:sz="4" w:space="0" w:color="auto"/>
              <w:right w:val="nil"/>
            </w:tcBorders>
            <w:shd w:val="clear" w:color="auto" w:fill="auto"/>
            <w:noWrap/>
            <w:vAlign w:val="bottom"/>
            <w:hideMark/>
          </w:tcPr>
          <w:p w14:paraId="2CEE9651" w14:textId="77777777" w:rsidR="005B2384" w:rsidRPr="005B2384" w:rsidRDefault="005B2384" w:rsidP="005B2384">
            <w:pPr>
              <w:spacing w:after="0"/>
              <w:jc w:val="right"/>
              <w:rPr>
                <w:rFonts w:ascii="Arial" w:hAnsi="Arial" w:cs="Arial"/>
                <w:sz w:val="16"/>
                <w:szCs w:val="16"/>
              </w:rPr>
            </w:pPr>
            <w:r w:rsidRPr="005B238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8097DA9"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(13,961)</w:t>
            </w:r>
          </w:p>
        </w:tc>
      </w:tr>
      <w:tr w:rsidR="005B2384" w:rsidRPr="005B2384" w14:paraId="6E57BAE4" w14:textId="77777777" w:rsidTr="005B2384">
        <w:trPr>
          <w:trHeight w:val="225"/>
        </w:trPr>
        <w:tc>
          <w:tcPr>
            <w:tcW w:w="3100" w:type="dxa"/>
            <w:tcBorders>
              <w:top w:val="nil"/>
              <w:left w:val="nil"/>
              <w:bottom w:val="single" w:sz="4" w:space="0" w:color="auto"/>
              <w:right w:val="nil"/>
            </w:tcBorders>
            <w:shd w:val="clear" w:color="auto" w:fill="auto"/>
            <w:noWrap/>
            <w:vAlign w:val="bottom"/>
            <w:hideMark/>
          </w:tcPr>
          <w:p w14:paraId="09D0C5C5" w14:textId="77777777" w:rsidR="005B2384" w:rsidRPr="005B2384" w:rsidRDefault="005B2384" w:rsidP="005B2384">
            <w:pPr>
              <w:spacing w:after="0"/>
              <w:ind w:firstLineChars="100" w:firstLine="160"/>
              <w:rPr>
                <w:rFonts w:ascii="Arial" w:hAnsi="Arial" w:cs="Arial"/>
                <w:b/>
                <w:bCs/>
                <w:color w:val="auto"/>
                <w:sz w:val="16"/>
                <w:szCs w:val="16"/>
              </w:rPr>
            </w:pPr>
            <w:r w:rsidRPr="005B2384">
              <w:rPr>
                <w:rFonts w:ascii="Arial" w:hAnsi="Arial" w:cs="Arial"/>
                <w:b/>
                <w:bCs/>
                <w:color w:val="auto"/>
                <w:sz w:val="16"/>
                <w:szCs w:val="16"/>
              </w:rPr>
              <w:t>Closing net book balance</w:t>
            </w:r>
          </w:p>
        </w:tc>
        <w:tc>
          <w:tcPr>
            <w:tcW w:w="1060" w:type="dxa"/>
            <w:tcBorders>
              <w:top w:val="nil"/>
              <w:left w:val="nil"/>
              <w:bottom w:val="single" w:sz="4" w:space="0" w:color="auto"/>
              <w:right w:val="nil"/>
            </w:tcBorders>
            <w:shd w:val="clear" w:color="auto" w:fill="auto"/>
            <w:noWrap/>
            <w:vAlign w:val="bottom"/>
            <w:hideMark/>
          </w:tcPr>
          <w:p w14:paraId="293FCA7E"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10,827</w:t>
            </w:r>
          </w:p>
        </w:tc>
        <w:tc>
          <w:tcPr>
            <w:tcW w:w="1060" w:type="dxa"/>
            <w:tcBorders>
              <w:top w:val="nil"/>
              <w:left w:val="nil"/>
              <w:bottom w:val="single" w:sz="4" w:space="0" w:color="auto"/>
              <w:right w:val="nil"/>
            </w:tcBorders>
            <w:shd w:val="clear" w:color="auto" w:fill="auto"/>
            <w:noWrap/>
            <w:vAlign w:val="bottom"/>
            <w:hideMark/>
          </w:tcPr>
          <w:p w14:paraId="0F4818E5"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1,857</w:t>
            </w:r>
          </w:p>
        </w:tc>
        <w:tc>
          <w:tcPr>
            <w:tcW w:w="1060" w:type="dxa"/>
            <w:tcBorders>
              <w:top w:val="nil"/>
              <w:left w:val="nil"/>
              <w:bottom w:val="single" w:sz="4" w:space="0" w:color="auto"/>
              <w:right w:val="nil"/>
            </w:tcBorders>
            <w:shd w:val="clear" w:color="auto" w:fill="auto"/>
            <w:noWrap/>
            <w:vAlign w:val="bottom"/>
            <w:hideMark/>
          </w:tcPr>
          <w:p w14:paraId="5BEFC9DA"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19,080</w:t>
            </w:r>
          </w:p>
        </w:tc>
        <w:tc>
          <w:tcPr>
            <w:tcW w:w="1060" w:type="dxa"/>
            <w:tcBorders>
              <w:top w:val="single" w:sz="4" w:space="0" w:color="auto"/>
              <w:left w:val="nil"/>
              <w:bottom w:val="single" w:sz="4" w:space="0" w:color="auto"/>
              <w:right w:val="nil"/>
            </w:tcBorders>
            <w:shd w:val="clear" w:color="auto" w:fill="auto"/>
            <w:noWrap/>
            <w:vAlign w:val="bottom"/>
            <w:hideMark/>
          </w:tcPr>
          <w:p w14:paraId="191FA709" w14:textId="77777777" w:rsidR="005B2384" w:rsidRPr="005B2384" w:rsidRDefault="005B2384" w:rsidP="005B2384">
            <w:pPr>
              <w:spacing w:after="0"/>
              <w:jc w:val="right"/>
              <w:rPr>
                <w:rFonts w:ascii="Arial" w:hAnsi="Arial" w:cs="Arial"/>
                <w:b/>
                <w:bCs/>
                <w:sz w:val="16"/>
                <w:szCs w:val="16"/>
              </w:rPr>
            </w:pPr>
            <w:r w:rsidRPr="005B2384">
              <w:rPr>
                <w:rFonts w:ascii="Arial" w:hAnsi="Arial" w:cs="Arial"/>
                <w:b/>
                <w:bCs/>
                <w:sz w:val="16"/>
                <w:szCs w:val="16"/>
              </w:rPr>
              <w:t>31,764</w:t>
            </w:r>
          </w:p>
        </w:tc>
      </w:tr>
    </w:tbl>
    <w:p w14:paraId="51A1BECE" w14:textId="08A6F5E0" w:rsidR="00E10F79" w:rsidRPr="00E10F79" w:rsidRDefault="00E10F79" w:rsidP="00E10F79">
      <w:pPr>
        <w:pStyle w:val="FootnoteText"/>
        <w:spacing w:before="120" w:after="40"/>
      </w:pPr>
      <w:r w:rsidRPr="00E10F79">
        <w:t>Prepared on Australian Accounting Standards basis.</w:t>
      </w:r>
    </w:p>
    <w:p w14:paraId="00E345BF" w14:textId="311EFD0F" w:rsidR="005B2384" w:rsidRDefault="00E10F79" w:rsidP="00E10F79">
      <w:pPr>
        <w:pStyle w:val="FootnoteText"/>
      </w:pPr>
      <w:r w:rsidRPr="00E10F79">
        <w:t>RoU = Right-of-Use Asset</w:t>
      </w:r>
    </w:p>
    <w:p w14:paraId="0E5445B6" w14:textId="722B442C" w:rsidR="000A380F" w:rsidRDefault="000A380F">
      <w:pPr>
        <w:spacing w:after="160" w:line="259" w:lineRule="auto"/>
        <w:rPr>
          <w:rFonts w:ascii="Arial" w:hAnsi="Arial"/>
          <w:b/>
          <w:color w:val="auto"/>
          <w:sz w:val="20"/>
        </w:rPr>
      </w:pPr>
      <w:r>
        <w:rPr>
          <w:rFonts w:ascii="Arial" w:hAnsi="Arial"/>
          <w:b/>
          <w:color w:val="auto"/>
          <w:sz w:val="20"/>
        </w:rPr>
        <w:br w:type="page"/>
      </w:r>
    </w:p>
    <w:p w14:paraId="5A8DB3FC" w14:textId="1EE33AD2" w:rsidR="00A52B29" w:rsidRPr="00A52B29" w:rsidRDefault="00A52B29" w:rsidP="00760D56">
      <w:pPr>
        <w:keepNext/>
        <w:rPr>
          <w:rFonts w:ascii="Arial" w:hAnsi="Arial"/>
          <w:b/>
          <w:color w:val="auto"/>
          <w:sz w:val="20"/>
        </w:rPr>
      </w:pPr>
      <w:r w:rsidRPr="00A52B29">
        <w:rPr>
          <w:rFonts w:ascii="Arial" w:hAnsi="Arial"/>
          <w:b/>
          <w:color w:val="auto"/>
          <w:sz w:val="20"/>
        </w:rPr>
        <w:lastRenderedPageBreak/>
        <w:t>Table 3.7: Schedule of budgeted income and expenses administered on behalf of Government (for the period ended 30 June)</w:t>
      </w:r>
    </w:p>
    <w:tbl>
      <w:tblPr>
        <w:tblW w:w="7380" w:type="dxa"/>
        <w:tblLayout w:type="fixed"/>
        <w:tblLook w:val="04A0" w:firstRow="1" w:lastRow="0" w:firstColumn="1" w:lastColumn="0" w:noHBand="0" w:noVBand="1"/>
      </w:tblPr>
      <w:tblGrid>
        <w:gridCol w:w="2880"/>
        <w:gridCol w:w="900"/>
        <w:gridCol w:w="900"/>
        <w:gridCol w:w="900"/>
        <w:gridCol w:w="900"/>
        <w:gridCol w:w="900"/>
      </w:tblGrid>
      <w:tr w:rsidR="004A1479" w:rsidRPr="004A1479" w14:paraId="799B121A" w14:textId="77777777" w:rsidTr="004A1479">
        <w:trPr>
          <w:trHeight w:val="765"/>
        </w:trPr>
        <w:tc>
          <w:tcPr>
            <w:tcW w:w="2880" w:type="dxa"/>
            <w:tcBorders>
              <w:top w:val="single" w:sz="4" w:space="0" w:color="auto"/>
              <w:left w:val="nil"/>
              <w:bottom w:val="nil"/>
              <w:right w:val="nil"/>
            </w:tcBorders>
            <w:shd w:val="clear" w:color="auto" w:fill="auto"/>
            <w:hideMark/>
          </w:tcPr>
          <w:p w14:paraId="26A290DF" w14:textId="77777777" w:rsidR="004A1479" w:rsidRPr="004A1479" w:rsidRDefault="004A1479" w:rsidP="004A1479">
            <w:pPr>
              <w:spacing w:before="40" w:after="0"/>
              <w:jc w:val="right"/>
              <w:rPr>
                <w:rFonts w:ascii="Arial" w:hAnsi="Arial" w:cs="Arial"/>
                <w:b/>
                <w:bCs/>
                <w:color w:val="auto"/>
                <w:sz w:val="16"/>
                <w:szCs w:val="16"/>
              </w:rPr>
            </w:pPr>
            <w:r w:rsidRPr="004A1479">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459C94A0" w14:textId="77777777" w:rsidR="004A1479" w:rsidRPr="004A1479" w:rsidRDefault="004A1479" w:rsidP="004A1479">
            <w:pPr>
              <w:spacing w:before="40" w:after="0"/>
              <w:jc w:val="right"/>
              <w:rPr>
                <w:rFonts w:ascii="Arial" w:hAnsi="Arial" w:cs="Arial"/>
                <w:b/>
                <w:bCs/>
                <w:color w:val="auto"/>
                <w:sz w:val="16"/>
                <w:szCs w:val="16"/>
              </w:rPr>
            </w:pPr>
            <w:r w:rsidRPr="004A1479">
              <w:rPr>
                <w:rFonts w:ascii="Arial" w:hAnsi="Arial" w:cs="Arial"/>
                <w:b/>
                <w:bCs/>
                <w:color w:val="auto"/>
                <w:sz w:val="16"/>
                <w:szCs w:val="16"/>
              </w:rPr>
              <w:t>2022–23 Estimated actual</w:t>
            </w:r>
            <w:r w:rsidRPr="004A1479">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22FEA142" w14:textId="77777777" w:rsidR="004A1479" w:rsidRPr="004A1479" w:rsidRDefault="004A1479" w:rsidP="004A1479">
            <w:pPr>
              <w:spacing w:before="40" w:after="0"/>
              <w:jc w:val="right"/>
              <w:rPr>
                <w:rFonts w:ascii="Arial" w:hAnsi="Arial" w:cs="Arial"/>
                <w:b/>
                <w:bCs/>
                <w:color w:val="auto"/>
                <w:sz w:val="16"/>
                <w:szCs w:val="16"/>
              </w:rPr>
            </w:pPr>
            <w:r w:rsidRPr="004A1479">
              <w:rPr>
                <w:rFonts w:ascii="Arial" w:hAnsi="Arial" w:cs="Arial"/>
                <w:b/>
                <w:bCs/>
                <w:color w:val="auto"/>
                <w:sz w:val="16"/>
                <w:szCs w:val="16"/>
              </w:rPr>
              <w:t xml:space="preserve">2023–24 Budget </w:t>
            </w:r>
            <w:r w:rsidRPr="004A1479">
              <w:rPr>
                <w:rFonts w:ascii="Arial" w:hAnsi="Arial" w:cs="Arial"/>
                <w:b/>
                <w:bCs/>
                <w:color w:val="auto"/>
                <w:sz w:val="16"/>
                <w:szCs w:val="16"/>
              </w:rPr>
              <w:br/>
            </w:r>
            <w:r w:rsidRPr="004A1479">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1D7D205E" w14:textId="77777777" w:rsidR="004A1479" w:rsidRPr="004A1479" w:rsidRDefault="004A1479" w:rsidP="004A1479">
            <w:pPr>
              <w:spacing w:before="40" w:after="0"/>
              <w:jc w:val="right"/>
              <w:rPr>
                <w:rFonts w:ascii="Arial" w:hAnsi="Arial" w:cs="Arial"/>
                <w:b/>
                <w:bCs/>
                <w:color w:val="auto"/>
                <w:sz w:val="16"/>
                <w:szCs w:val="16"/>
              </w:rPr>
            </w:pPr>
            <w:r w:rsidRPr="004A1479">
              <w:rPr>
                <w:rFonts w:ascii="Arial" w:hAnsi="Arial" w:cs="Arial"/>
                <w:b/>
                <w:bCs/>
                <w:color w:val="auto"/>
                <w:sz w:val="16"/>
                <w:szCs w:val="16"/>
              </w:rPr>
              <w:t>2024–25 Forward estimate</w:t>
            </w:r>
            <w:r w:rsidRPr="004A1479">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644F833F" w14:textId="77777777" w:rsidR="004A1479" w:rsidRPr="004A1479" w:rsidRDefault="004A1479" w:rsidP="004A1479">
            <w:pPr>
              <w:spacing w:before="40" w:after="0"/>
              <w:jc w:val="right"/>
              <w:rPr>
                <w:rFonts w:ascii="Arial" w:hAnsi="Arial" w:cs="Arial"/>
                <w:b/>
                <w:bCs/>
                <w:color w:val="auto"/>
                <w:sz w:val="16"/>
                <w:szCs w:val="16"/>
              </w:rPr>
            </w:pPr>
            <w:r w:rsidRPr="004A1479">
              <w:rPr>
                <w:rFonts w:ascii="Arial" w:hAnsi="Arial" w:cs="Arial"/>
                <w:b/>
                <w:bCs/>
                <w:color w:val="auto"/>
                <w:sz w:val="16"/>
                <w:szCs w:val="16"/>
              </w:rPr>
              <w:t>2025–26 Forward estimate</w:t>
            </w:r>
            <w:r w:rsidRPr="004A1479">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596B0491" w14:textId="77777777" w:rsidR="004A1479" w:rsidRPr="004A1479" w:rsidRDefault="004A1479" w:rsidP="004A1479">
            <w:pPr>
              <w:spacing w:before="40" w:after="0"/>
              <w:jc w:val="right"/>
              <w:rPr>
                <w:rFonts w:ascii="Arial" w:hAnsi="Arial" w:cs="Arial"/>
                <w:b/>
                <w:bCs/>
                <w:color w:val="auto"/>
                <w:sz w:val="16"/>
                <w:szCs w:val="16"/>
              </w:rPr>
            </w:pPr>
            <w:r w:rsidRPr="004A1479">
              <w:rPr>
                <w:rFonts w:ascii="Arial" w:hAnsi="Arial" w:cs="Arial"/>
                <w:b/>
                <w:bCs/>
                <w:color w:val="auto"/>
                <w:sz w:val="16"/>
                <w:szCs w:val="16"/>
              </w:rPr>
              <w:t>2026–27 Forward estimate</w:t>
            </w:r>
            <w:r w:rsidRPr="004A1479">
              <w:rPr>
                <w:rFonts w:ascii="Arial" w:hAnsi="Arial" w:cs="Arial"/>
                <w:b/>
                <w:bCs/>
                <w:color w:val="auto"/>
                <w:sz w:val="16"/>
                <w:szCs w:val="16"/>
              </w:rPr>
              <w:br/>
              <w:t>$'000</w:t>
            </w:r>
          </w:p>
        </w:tc>
      </w:tr>
      <w:tr w:rsidR="004A1479" w:rsidRPr="004A1479" w14:paraId="29EB9835" w14:textId="77777777" w:rsidTr="004A1479">
        <w:trPr>
          <w:trHeight w:val="525"/>
        </w:trPr>
        <w:tc>
          <w:tcPr>
            <w:tcW w:w="2880" w:type="dxa"/>
            <w:tcBorders>
              <w:top w:val="nil"/>
              <w:left w:val="nil"/>
              <w:bottom w:val="nil"/>
              <w:right w:val="nil"/>
            </w:tcBorders>
            <w:shd w:val="clear" w:color="auto" w:fill="auto"/>
            <w:vAlign w:val="bottom"/>
            <w:hideMark/>
          </w:tcPr>
          <w:p w14:paraId="4D127112" w14:textId="77777777" w:rsidR="004A1479" w:rsidRPr="004A1479" w:rsidRDefault="004A1479" w:rsidP="004A1479">
            <w:pPr>
              <w:spacing w:after="0"/>
              <w:rPr>
                <w:rFonts w:ascii="Arial" w:hAnsi="Arial" w:cs="Arial"/>
                <w:b/>
                <w:bCs/>
                <w:color w:val="auto"/>
                <w:sz w:val="16"/>
                <w:szCs w:val="16"/>
              </w:rPr>
            </w:pPr>
            <w:r w:rsidRPr="004A1479">
              <w:rPr>
                <w:rFonts w:ascii="Arial" w:hAnsi="Arial" w:cs="Arial"/>
                <w:b/>
                <w:bCs/>
                <w:color w:val="auto"/>
                <w:sz w:val="16"/>
                <w:szCs w:val="16"/>
              </w:rPr>
              <w:t>EXPENSES ADMINISTERED ON BEHALF OF GOVERNMENT</w:t>
            </w:r>
          </w:p>
        </w:tc>
        <w:tc>
          <w:tcPr>
            <w:tcW w:w="900" w:type="dxa"/>
            <w:tcBorders>
              <w:top w:val="nil"/>
              <w:left w:val="nil"/>
              <w:bottom w:val="nil"/>
              <w:right w:val="nil"/>
            </w:tcBorders>
            <w:shd w:val="clear" w:color="auto" w:fill="auto"/>
            <w:noWrap/>
            <w:vAlign w:val="bottom"/>
            <w:hideMark/>
          </w:tcPr>
          <w:p w14:paraId="5788A2AB" w14:textId="77777777" w:rsidR="004A1479" w:rsidRPr="004A1479" w:rsidRDefault="004A1479" w:rsidP="004A1479">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FD55FE0" w14:textId="77777777" w:rsidR="004A1479" w:rsidRPr="004A1479" w:rsidRDefault="004A1479" w:rsidP="004A1479">
            <w:pPr>
              <w:spacing w:after="0"/>
              <w:jc w:val="right"/>
              <w:rPr>
                <w:rFonts w:ascii="Arial" w:hAnsi="Arial" w:cs="Arial"/>
                <w:sz w:val="16"/>
                <w:szCs w:val="16"/>
              </w:rPr>
            </w:pPr>
            <w:r w:rsidRPr="004A1479">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27CBE17A" w14:textId="77777777" w:rsidR="004A1479" w:rsidRPr="004A1479" w:rsidRDefault="004A1479" w:rsidP="004A1479">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5395DBA3" w14:textId="77777777" w:rsidR="004A1479" w:rsidRPr="004A1479" w:rsidRDefault="004A1479" w:rsidP="004A1479">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717DFA5" w14:textId="77777777" w:rsidR="004A1479" w:rsidRPr="004A1479" w:rsidRDefault="004A1479" w:rsidP="004A1479">
            <w:pPr>
              <w:spacing w:after="0"/>
              <w:jc w:val="right"/>
              <w:rPr>
                <w:rFonts w:ascii="Times New Roman" w:hAnsi="Times New Roman"/>
                <w:color w:val="auto"/>
                <w:sz w:val="20"/>
              </w:rPr>
            </w:pPr>
          </w:p>
        </w:tc>
      </w:tr>
      <w:tr w:rsidR="004A1479" w:rsidRPr="004A1479" w14:paraId="7BF51959" w14:textId="77777777" w:rsidTr="00664791">
        <w:trPr>
          <w:trHeight w:val="225"/>
        </w:trPr>
        <w:tc>
          <w:tcPr>
            <w:tcW w:w="2880" w:type="dxa"/>
            <w:tcBorders>
              <w:top w:val="nil"/>
              <w:left w:val="nil"/>
              <w:bottom w:val="nil"/>
              <w:right w:val="nil"/>
            </w:tcBorders>
            <w:shd w:val="clear" w:color="auto" w:fill="auto"/>
            <w:noWrap/>
            <w:vAlign w:val="bottom"/>
            <w:hideMark/>
          </w:tcPr>
          <w:p w14:paraId="4E3AE5DF" w14:textId="77777777" w:rsidR="004A1479" w:rsidRPr="004A1479" w:rsidRDefault="004A1479" w:rsidP="004A1479">
            <w:pPr>
              <w:spacing w:after="0"/>
              <w:ind w:leftChars="75" w:left="143"/>
              <w:rPr>
                <w:rFonts w:ascii="Arial" w:hAnsi="Arial" w:cs="Arial"/>
                <w:color w:val="auto"/>
                <w:sz w:val="16"/>
                <w:szCs w:val="16"/>
              </w:rPr>
            </w:pPr>
            <w:r w:rsidRPr="004A1479">
              <w:rPr>
                <w:rFonts w:ascii="Arial" w:hAnsi="Arial" w:cs="Arial"/>
                <w:color w:val="auto"/>
                <w:sz w:val="16"/>
                <w:szCs w:val="16"/>
              </w:rPr>
              <w:t>Grants - MREA</w:t>
            </w:r>
          </w:p>
        </w:tc>
        <w:tc>
          <w:tcPr>
            <w:tcW w:w="900" w:type="dxa"/>
            <w:tcBorders>
              <w:top w:val="nil"/>
              <w:left w:val="nil"/>
              <w:bottom w:val="nil"/>
              <w:right w:val="nil"/>
            </w:tcBorders>
            <w:shd w:val="clear" w:color="auto" w:fill="auto"/>
            <w:noWrap/>
            <w:vAlign w:val="bottom"/>
            <w:hideMark/>
          </w:tcPr>
          <w:p w14:paraId="449173D4" w14:textId="77777777" w:rsidR="004A1479" w:rsidRPr="004A1479" w:rsidRDefault="004A1479" w:rsidP="004A1479">
            <w:pPr>
              <w:spacing w:after="0"/>
              <w:jc w:val="right"/>
              <w:rPr>
                <w:rFonts w:ascii="Arial" w:hAnsi="Arial" w:cs="Arial"/>
                <w:sz w:val="16"/>
                <w:szCs w:val="16"/>
              </w:rPr>
            </w:pPr>
            <w:r w:rsidRPr="004A1479">
              <w:rPr>
                <w:rFonts w:ascii="Arial" w:hAnsi="Arial" w:cs="Arial"/>
                <w:sz w:val="16"/>
                <w:szCs w:val="16"/>
              </w:rPr>
              <w:t>898,337</w:t>
            </w:r>
          </w:p>
        </w:tc>
        <w:tc>
          <w:tcPr>
            <w:tcW w:w="900" w:type="dxa"/>
            <w:tcBorders>
              <w:top w:val="nil"/>
              <w:left w:val="nil"/>
              <w:bottom w:val="nil"/>
              <w:right w:val="nil"/>
            </w:tcBorders>
            <w:shd w:val="clear" w:color="000000" w:fill="D9D9D9"/>
            <w:noWrap/>
            <w:vAlign w:val="bottom"/>
            <w:hideMark/>
          </w:tcPr>
          <w:p w14:paraId="1B15615D" w14:textId="77777777" w:rsidR="004A1479" w:rsidRPr="004A1479" w:rsidRDefault="004A1479" w:rsidP="004A1479">
            <w:pPr>
              <w:spacing w:after="0"/>
              <w:jc w:val="right"/>
              <w:rPr>
                <w:rFonts w:ascii="Arial" w:hAnsi="Arial" w:cs="Arial"/>
                <w:sz w:val="16"/>
                <w:szCs w:val="16"/>
              </w:rPr>
            </w:pPr>
            <w:r w:rsidRPr="004A1479">
              <w:rPr>
                <w:rFonts w:ascii="Arial" w:hAnsi="Arial" w:cs="Arial"/>
                <w:sz w:val="16"/>
                <w:szCs w:val="16"/>
              </w:rPr>
              <w:t>945,880</w:t>
            </w:r>
          </w:p>
        </w:tc>
        <w:tc>
          <w:tcPr>
            <w:tcW w:w="900" w:type="dxa"/>
            <w:tcBorders>
              <w:top w:val="nil"/>
              <w:left w:val="nil"/>
              <w:bottom w:val="nil"/>
              <w:right w:val="nil"/>
            </w:tcBorders>
            <w:shd w:val="clear" w:color="auto" w:fill="auto"/>
            <w:noWrap/>
            <w:vAlign w:val="bottom"/>
            <w:hideMark/>
          </w:tcPr>
          <w:p w14:paraId="1E44DBFE" w14:textId="77777777" w:rsidR="004A1479" w:rsidRPr="004A1479" w:rsidRDefault="004A1479" w:rsidP="004A1479">
            <w:pPr>
              <w:spacing w:after="0"/>
              <w:jc w:val="right"/>
              <w:rPr>
                <w:rFonts w:ascii="Arial" w:hAnsi="Arial" w:cs="Arial"/>
                <w:sz w:val="16"/>
                <w:szCs w:val="16"/>
              </w:rPr>
            </w:pPr>
            <w:r w:rsidRPr="004A1479">
              <w:rPr>
                <w:rFonts w:ascii="Arial" w:hAnsi="Arial" w:cs="Arial"/>
                <w:sz w:val="16"/>
                <w:szCs w:val="16"/>
              </w:rPr>
              <w:t>983,050</w:t>
            </w:r>
          </w:p>
        </w:tc>
        <w:tc>
          <w:tcPr>
            <w:tcW w:w="900" w:type="dxa"/>
            <w:tcBorders>
              <w:top w:val="nil"/>
              <w:left w:val="nil"/>
              <w:bottom w:val="nil"/>
              <w:right w:val="nil"/>
            </w:tcBorders>
            <w:shd w:val="clear" w:color="auto" w:fill="auto"/>
            <w:noWrap/>
            <w:tcMar>
              <w:left w:w="0" w:type="dxa"/>
            </w:tcMar>
            <w:vAlign w:val="bottom"/>
            <w:hideMark/>
          </w:tcPr>
          <w:p w14:paraId="52B86362" w14:textId="77777777" w:rsidR="004A1479" w:rsidRPr="004A1479" w:rsidRDefault="004A1479" w:rsidP="004A1479">
            <w:pPr>
              <w:spacing w:after="0"/>
              <w:jc w:val="right"/>
              <w:rPr>
                <w:rFonts w:ascii="Arial" w:hAnsi="Arial" w:cs="Arial"/>
                <w:sz w:val="16"/>
                <w:szCs w:val="16"/>
              </w:rPr>
            </w:pPr>
            <w:r w:rsidRPr="004A1479">
              <w:rPr>
                <w:rFonts w:ascii="Arial" w:hAnsi="Arial" w:cs="Arial"/>
                <w:sz w:val="16"/>
                <w:szCs w:val="16"/>
              </w:rPr>
              <w:t>995,561</w:t>
            </w:r>
          </w:p>
        </w:tc>
        <w:tc>
          <w:tcPr>
            <w:tcW w:w="900" w:type="dxa"/>
            <w:tcBorders>
              <w:top w:val="nil"/>
              <w:left w:val="nil"/>
              <w:bottom w:val="nil"/>
              <w:right w:val="nil"/>
            </w:tcBorders>
            <w:shd w:val="clear" w:color="auto" w:fill="auto"/>
            <w:noWrap/>
            <w:tcMar>
              <w:left w:w="0" w:type="dxa"/>
            </w:tcMar>
            <w:vAlign w:val="bottom"/>
            <w:hideMark/>
          </w:tcPr>
          <w:p w14:paraId="06C984B7" w14:textId="77777777" w:rsidR="004A1479" w:rsidRPr="004A1479" w:rsidRDefault="004A1479" w:rsidP="004A1479">
            <w:pPr>
              <w:spacing w:after="0"/>
              <w:jc w:val="right"/>
              <w:rPr>
                <w:rFonts w:ascii="Arial" w:hAnsi="Arial" w:cs="Arial"/>
                <w:sz w:val="16"/>
                <w:szCs w:val="16"/>
              </w:rPr>
            </w:pPr>
            <w:r w:rsidRPr="004A1479">
              <w:rPr>
                <w:rFonts w:ascii="Arial" w:hAnsi="Arial" w:cs="Arial"/>
                <w:sz w:val="16"/>
                <w:szCs w:val="16"/>
              </w:rPr>
              <w:t>989,396</w:t>
            </w:r>
          </w:p>
        </w:tc>
      </w:tr>
      <w:tr w:rsidR="004A1479" w:rsidRPr="004A1479" w14:paraId="0AE893C9" w14:textId="77777777" w:rsidTr="00664791">
        <w:trPr>
          <w:trHeight w:val="225"/>
        </w:trPr>
        <w:tc>
          <w:tcPr>
            <w:tcW w:w="2880" w:type="dxa"/>
            <w:tcBorders>
              <w:top w:val="nil"/>
              <w:left w:val="nil"/>
              <w:bottom w:val="nil"/>
              <w:right w:val="nil"/>
            </w:tcBorders>
            <w:shd w:val="clear" w:color="auto" w:fill="auto"/>
            <w:noWrap/>
            <w:vAlign w:val="bottom"/>
            <w:hideMark/>
          </w:tcPr>
          <w:p w14:paraId="04DA665E" w14:textId="77777777" w:rsidR="004A1479" w:rsidRPr="004A1479" w:rsidRDefault="004A1479" w:rsidP="004A1479">
            <w:pPr>
              <w:spacing w:after="0"/>
              <w:ind w:leftChars="75" w:left="143"/>
              <w:rPr>
                <w:rFonts w:ascii="Arial" w:hAnsi="Arial" w:cs="Arial"/>
                <w:color w:val="auto"/>
                <w:sz w:val="16"/>
                <w:szCs w:val="16"/>
              </w:rPr>
            </w:pPr>
            <w:r w:rsidRPr="004A1479">
              <w:rPr>
                <w:rFonts w:ascii="Arial" w:hAnsi="Arial" w:cs="Arial"/>
                <w:color w:val="auto"/>
                <w:sz w:val="16"/>
                <w:szCs w:val="16"/>
              </w:rPr>
              <w:t>Suppliers</w:t>
            </w:r>
          </w:p>
        </w:tc>
        <w:tc>
          <w:tcPr>
            <w:tcW w:w="900" w:type="dxa"/>
            <w:tcBorders>
              <w:top w:val="nil"/>
              <w:left w:val="nil"/>
              <w:bottom w:val="nil"/>
              <w:right w:val="nil"/>
            </w:tcBorders>
            <w:shd w:val="clear" w:color="auto" w:fill="auto"/>
            <w:noWrap/>
            <w:vAlign w:val="bottom"/>
            <w:hideMark/>
          </w:tcPr>
          <w:p w14:paraId="4995E184" w14:textId="77777777" w:rsidR="004A1479" w:rsidRPr="004A1479" w:rsidRDefault="004A1479" w:rsidP="004A1479">
            <w:pPr>
              <w:spacing w:after="0"/>
              <w:jc w:val="right"/>
              <w:rPr>
                <w:rFonts w:ascii="Arial" w:hAnsi="Arial" w:cs="Arial"/>
                <w:sz w:val="16"/>
                <w:szCs w:val="16"/>
              </w:rPr>
            </w:pPr>
            <w:r w:rsidRPr="004A1479">
              <w:rPr>
                <w:rFonts w:ascii="Arial" w:hAnsi="Arial" w:cs="Arial"/>
                <w:sz w:val="16"/>
                <w:szCs w:val="16"/>
              </w:rPr>
              <w:t>15,097</w:t>
            </w:r>
          </w:p>
        </w:tc>
        <w:tc>
          <w:tcPr>
            <w:tcW w:w="900" w:type="dxa"/>
            <w:tcBorders>
              <w:top w:val="nil"/>
              <w:left w:val="nil"/>
              <w:bottom w:val="nil"/>
              <w:right w:val="nil"/>
            </w:tcBorders>
            <w:shd w:val="clear" w:color="000000" w:fill="D9D9D9"/>
            <w:noWrap/>
            <w:vAlign w:val="bottom"/>
            <w:hideMark/>
          </w:tcPr>
          <w:p w14:paraId="15F955BB" w14:textId="77777777" w:rsidR="004A1479" w:rsidRPr="004A1479" w:rsidRDefault="004A1479" w:rsidP="004A1479">
            <w:pPr>
              <w:spacing w:after="0"/>
              <w:jc w:val="right"/>
              <w:rPr>
                <w:rFonts w:ascii="Arial" w:hAnsi="Arial" w:cs="Arial"/>
                <w:sz w:val="16"/>
                <w:szCs w:val="16"/>
              </w:rPr>
            </w:pPr>
            <w:r w:rsidRPr="004A1479">
              <w:rPr>
                <w:rFonts w:ascii="Arial" w:hAnsi="Arial" w:cs="Arial"/>
                <w:sz w:val="16"/>
                <w:szCs w:val="16"/>
              </w:rPr>
              <w:t>13,128</w:t>
            </w:r>
          </w:p>
        </w:tc>
        <w:tc>
          <w:tcPr>
            <w:tcW w:w="900" w:type="dxa"/>
            <w:tcBorders>
              <w:top w:val="nil"/>
              <w:left w:val="nil"/>
              <w:bottom w:val="nil"/>
              <w:right w:val="nil"/>
            </w:tcBorders>
            <w:shd w:val="clear" w:color="auto" w:fill="auto"/>
            <w:noWrap/>
            <w:vAlign w:val="bottom"/>
            <w:hideMark/>
          </w:tcPr>
          <w:p w14:paraId="195A9312" w14:textId="77777777" w:rsidR="004A1479" w:rsidRPr="004A1479" w:rsidRDefault="004A1479" w:rsidP="004A1479">
            <w:pPr>
              <w:spacing w:after="0"/>
              <w:jc w:val="right"/>
              <w:rPr>
                <w:rFonts w:ascii="Arial" w:hAnsi="Arial" w:cs="Arial"/>
                <w:sz w:val="16"/>
                <w:szCs w:val="16"/>
              </w:rPr>
            </w:pPr>
            <w:r w:rsidRPr="004A1479">
              <w:rPr>
                <w:rFonts w:ascii="Arial" w:hAnsi="Arial" w:cs="Arial"/>
                <w:sz w:val="16"/>
                <w:szCs w:val="16"/>
              </w:rPr>
              <w:t>13,542</w:t>
            </w:r>
          </w:p>
        </w:tc>
        <w:tc>
          <w:tcPr>
            <w:tcW w:w="900" w:type="dxa"/>
            <w:tcBorders>
              <w:top w:val="nil"/>
              <w:left w:val="nil"/>
              <w:bottom w:val="nil"/>
              <w:right w:val="nil"/>
            </w:tcBorders>
            <w:shd w:val="clear" w:color="auto" w:fill="auto"/>
            <w:noWrap/>
            <w:tcMar>
              <w:left w:w="0" w:type="dxa"/>
            </w:tcMar>
            <w:vAlign w:val="bottom"/>
            <w:hideMark/>
          </w:tcPr>
          <w:p w14:paraId="42C8CC7E" w14:textId="77777777" w:rsidR="004A1479" w:rsidRPr="004A1479" w:rsidRDefault="004A1479" w:rsidP="004A1479">
            <w:pPr>
              <w:spacing w:after="0"/>
              <w:jc w:val="right"/>
              <w:rPr>
                <w:rFonts w:ascii="Arial" w:hAnsi="Arial" w:cs="Arial"/>
                <w:sz w:val="16"/>
                <w:szCs w:val="16"/>
              </w:rPr>
            </w:pPr>
            <w:r w:rsidRPr="004A1479">
              <w:rPr>
                <w:rFonts w:ascii="Arial" w:hAnsi="Arial" w:cs="Arial"/>
                <w:sz w:val="16"/>
                <w:szCs w:val="16"/>
              </w:rPr>
              <w:t>13,803</w:t>
            </w:r>
          </w:p>
        </w:tc>
        <w:tc>
          <w:tcPr>
            <w:tcW w:w="900" w:type="dxa"/>
            <w:tcBorders>
              <w:top w:val="nil"/>
              <w:left w:val="nil"/>
              <w:bottom w:val="nil"/>
              <w:right w:val="nil"/>
            </w:tcBorders>
            <w:shd w:val="clear" w:color="auto" w:fill="auto"/>
            <w:noWrap/>
            <w:tcMar>
              <w:left w:w="0" w:type="dxa"/>
            </w:tcMar>
            <w:vAlign w:val="bottom"/>
            <w:hideMark/>
          </w:tcPr>
          <w:p w14:paraId="2C59C508" w14:textId="77777777" w:rsidR="004A1479" w:rsidRPr="004A1479" w:rsidRDefault="004A1479" w:rsidP="004A1479">
            <w:pPr>
              <w:spacing w:after="0"/>
              <w:jc w:val="right"/>
              <w:rPr>
                <w:rFonts w:ascii="Arial" w:hAnsi="Arial" w:cs="Arial"/>
                <w:sz w:val="16"/>
                <w:szCs w:val="16"/>
              </w:rPr>
            </w:pPr>
            <w:r w:rsidRPr="004A1479">
              <w:rPr>
                <w:rFonts w:ascii="Arial" w:hAnsi="Arial" w:cs="Arial"/>
                <w:sz w:val="16"/>
                <w:szCs w:val="16"/>
              </w:rPr>
              <w:t>14,036</w:t>
            </w:r>
          </w:p>
        </w:tc>
      </w:tr>
      <w:tr w:rsidR="004A1479" w:rsidRPr="004A1479" w14:paraId="7F0E384C" w14:textId="77777777" w:rsidTr="00664791">
        <w:trPr>
          <w:trHeight w:val="450"/>
        </w:trPr>
        <w:tc>
          <w:tcPr>
            <w:tcW w:w="2880" w:type="dxa"/>
            <w:tcBorders>
              <w:top w:val="nil"/>
              <w:left w:val="nil"/>
              <w:bottom w:val="nil"/>
              <w:right w:val="nil"/>
            </w:tcBorders>
            <w:shd w:val="clear" w:color="auto" w:fill="auto"/>
            <w:vAlign w:val="bottom"/>
            <w:hideMark/>
          </w:tcPr>
          <w:p w14:paraId="177A2B43" w14:textId="77777777" w:rsidR="004A1479" w:rsidRPr="004A1479" w:rsidRDefault="004A1479" w:rsidP="004A1479">
            <w:pPr>
              <w:spacing w:after="0"/>
              <w:ind w:leftChars="75" w:left="143"/>
              <w:rPr>
                <w:rFonts w:ascii="Arial" w:hAnsi="Arial" w:cs="Arial"/>
                <w:b/>
                <w:bCs/>
                <w:color w:val="auto"/>
                <w:sz w:val="16"/>
                <w:szCs w:val="16"/>
              </w:rPr>
            </w:pPr>
            <w:r w:rsidRPr="004A1479">
              <w:rPr>
                <w:rFonts w:ascii="Arial" w:hAnsi="Arial" w:cs="Arial"/>
                <w:b/>
                <w:bCs/>
                <w:color w:val="auto"/>
                <w:sz w:val="16"/>
                <w:szCs w:val="16"/>
              </w:rPr>
              <w:t>Total expenses administered on behalf of Government</w:t>
            </w:r>
          </w:p>
        </w:tc>
        <w:tc>
          <w:tcPr>
            <w:tcW w:w="900" w:type="dxa"/>
            <w:tcBorders>
              <w:top w:val="nil"/>
              <w:left w:val="nil"/>
              <w:bottom w:val="single" w:sz="4" w:space="0" w:color="auto"/>
              <w:right w:val="nil"/>
            </w:tcBorders>
            <w:shd w:val="clear" w:color="auto" w:fill="auto"/>
            <w:noWrap/>
            <w:vAlign w:val="bottom"/>
            <w:hideMark/>
          </w:tcPr>
          <w:p w14:paraId="44DA6761" w14:textId="77777777" w:rsidR="004A1479" w:rsidRPr="004A1479" w:rsidRDefault="004A1479" w:rsidP="004A1479">
            <w:pPr>
              <w:spacing w:after="0"/>
              <w:jc w:val="right"/>
              <w:rPr>
                <w:rFonts w:ascii="Arial" w:hAnsi="Arial" w:cs="Arial"/>
                <w:b/>
                <w:bCs/>
                <w:sz w:val="16"/>
                <w:szCs w:val="16"/>
              </w:rPr>
            </w:pPr>
            <w:r w:rsidRPr="004A1479">
              <w:rPr>
                <w:rFonts w:ascii="Arial" w:hAnsi="Arial" w:cs="Arial"/>
                <w:b/>
                <w:bCs/>
                <w:sz w:val="16"/>
                <w:szCs w:val="16"/>
              </w:rPr>
              <w:t>913,434</w:t>
            </w:r>
          </w:p>
        </w:tc>
        <w:tc>
          <w:tcPr>
            <w:tcW w:w="900" w:type="dxa"/>
            <w:tcBorders>
              <w:top w:val="nil"/>
              <w:left w:val="nil"/>
              <w:bottom w:val="single" w:sz="4" w:space="0" w:color="auto"/>
              <w:right w:val="nil"/>
            </w:tcBorders>
            <w:shd w:val="clear" w:color="000000" w:fill="D9D9D9"/>
            <w:noWrap/>
            <w:vAlign w:val="bottom"/>
            <w:hideMark/>
          </w:tcPr>
          <w:p w14:paraId="09BCDD5E" w14:textId="77777777" w:rsidR="004A1479" w:rsidRPr="004A1479" w:rsidRDefault="004A1479" w:rsidP="004A1479">
            <w:pPr>
              <w:spacing w:after="0"/>
              <w:jc w:val="right"/>
              <w:rPr>
                <w:rFonts w:ascii="Arial" w:hAnsi="Arial" w:cs="Arial"/>
                <w:b/>
                <w:bCs/>
                <w:sz w:val="16"/>
                <w:szCs w:val="16"/>
              </w:rPr>
            </w:pPr>
            <w:r w:rsidRPr="004A1479">
              <w:rPr>
                <w:rFonts w:ascii="Arial" w:hAnsi="Arial" w:cs="Arial"/>
                <w:b/>
                <w:bCs/>
                <w:sz w:val="16"/>
                <w:szCs w:val="16"/>
              </w:rPr>
              <w:t>959,008</w:t>
            </w:r>
          </w:p>
        </w:tc>
        <w:tc>
          <w:tcPr>
            <w:tcW w:w="900" w:type="dxa"/>
            <w:tcBorders>
              <w:top w:val="nil"/>
              <w:left w:val="nil"/>
              <w:bottom w:val="single" w:sz="4" w:space="0" w:color="auto"/>
              <w:right w:val="nil"/>
            </w:tcBorders>
            <w:shd w:val="clear" w:color="auto" w:fill="auto"/>
            <w:noWrap/>
            <w:vAlign w:val="bottom"/>
            <w:hideMark/>
          </w:tcPr>
          <w:p w14:paraId="2D850C8E" w14:textId="77777777" w:rsidR="004A1479" w:rsidRPr="004A1479" w:rsidRDefault="004A1479" w:rsidP="004A1479">
            <w:pPr>
              <w:spacing w:after="0"/>
              <w:jc w:val="right"/>
              <w:rPr>
                <w:rFonts w:ascii="Arial" w:hAnsi="Arial" w:cs="Arial"/>
                <w:b/>
                <w:bCs/>
                <w:sz w:val="16"/>
                <w:szCs w:val="16"/>
              </w:rPr>
            </w:pPr>
            <w:r w:rsidRPr="004A1479">
              <w:rPr>
                <w:rFonts w:ascii="Arial" w:hAnsi="Arial" w:cs="Arial"/>
                <w:b/>
                <w:bCs/>
                <w:sz w:val="16"/>
                <w:szCs w:val="16"/>
              </w:rPr>
              <w:t>996,592</w:t>
            </w:r>
          </w:p>
        </w:tc>
        <w:tc>
          <w:tcPr>
            <w:tcW w:w="900" w:type="dxa"/>
            <w:tcBorders>
              <w:top w:val="nil"/>
              <w:left w:val="nil"/>
              <w:bottom w:val="single" w:sz="4" w:space="0" w:color="auto"/>
              <w:right w:val="nil"/>
            </w:tcBorders>
            <w:shd w:val="clear" w:color="auto" w:fill="auto"/>
            <w:noWrap/>
            <w:tcMar>
              <w:left w:w="0" w:type="dxa"/>
            </w:tcMar>
            <w:vAlign w:val="bottom"/>
            <w:hideMark/>
          </w:tcPr>
          <w:p w14:paraId="643F8045" w14:textId="77777777" w:rsidR="004A1479" w:rsidRPr="004A1479" w:rsidRDefault="004A1479" w:rsidP="004A1479">
            <w:pPr>
              <w:spacing w:after="0"/>
              <w:jc w:val="right"/>
              <w:rPr>
                <w:rFonts w:ascii="Arial" w:hAnsi="Arial" w:cs="Arial"/>
                <w:b/>
                <w:bCs/>
                <w:sz w:val="16"/>
                <w:szCs w:val="16"/>
              </w:rPr>
            </w:pPr>
            <w:r w:rsidRPr="004A1479">
              <w:rPr>
                <w:rFonts w:ascii="Arial" w:hAnsi="Arial" w:cs="Arial"/>
                <w:b/>
                <w:bCs/>
                <w:sz w:val="16"/>
                <w:szCs w:val="16"/>
              </w:rPr>
              <w:t>1,009,364</w:t>
            </w:r>
          </w:p>
        </w:tc>
        <w:tc>
          <w:tcPr>
            <w:tcW w:w="900" w:type="dxa"/>
            <w:tcBorders>
              <w:top w:val="nil"/>
              <w:left w:val="nil"/>
              <w:bottom w:val="single" w:sz="4" w:space="0" w:color="auto"/>
              <w:right w:val="nil"/>
            </w:tcBorders>
            <w:shd w:val="clear" w:color="auto" w:fill="auto"/>
            <w:noWrap/>
            <w:tcMar>
              <w:left w:w="0" w:type="dxa"/>
            </w:tcMar>
            <w:vAlign w:val="bottom"/>
            <w:hideMark/>
          </w:tcPr>
          <w:p w14:paraId="7328CB5A" w14:textId="77777777" w:rsidR="004A1479" w:rsidRPr="004A1479" w:rsidRDefault="004A1479" w:rsidP="004A1479">
            <w:pPr>
              <w:spacing w:after="0"/>
              <w:jc w:val="right"/>
              <w:rPr>
                <w:rFonts w:ascii="Arial" w:hAnsi="Arial" w:cs="Arial"/>
                <w:b/>
                <w:bCs/>
                <w:sz w:val="16"/>
                <w:szCs w:val="16"/>
              </w:rPr>
            </w:pPr>
            <w:r w:rsidRPr="004A1479">
              <w:rPr>
                <w:rFonts w:ascii="Arial" w:hAnsi="Arial" w:cs="Arial"/>
                <w:b/>
                <w:bCs/>
                <w:sz w:val="16"/>
                <w:szCs w:val="16"/>
              </w:rPr>
              <w:t>1,003,432</w:t>
            </w:r>
          </w:p>
        </w:tc>
      </w:tr>
      <w:tr w:rsidR="004A1479" w:rsidRPr="004A1479" w14:paraId="2421A807" w14:textId="77777777" w:rsidTr="004A1479">
        <w:trPr>
          <w:trHeight w:val="525"/>
        </w:trPr>
        <w:tc>
          <w:tcPr>
            <w:tcW w:w="2880" w:type="dxa"/>
            <w:tcBorders>
              <w:top w:val="nil"/>
              <w:left w:val="nil"/>
              <w:bottom w:val="nil"/>
              <w:right w:val="nil"/>
            </w:tcBorders>
            <w:shd w:val="clear" w:color="auto" w:fill="auto"/>
            <w:vAlign w:val="bottom"/>
            <w:hideMark/>
          </w:tcPr>
          <w:p w14:paraId="5F92BE82" w14:textId="77777777" w:rsidR="004A1479" w:rsidRPr="004A1479" w:rsidRDefault="004A1479" w:rsidP="004A1479">
            <w:pPr>
              <w:spacing w:after="0"/>
              <w:rPr>
                <w:rFonts w:ascii="Arial" w:hAnsi="Arial" w:cs="Arial"/>
                <w:b/>
                <w:bCs/>
                <w:color w:val="auto"/>
                <w:sz w:val="16"/>
                <w:szCs w:val="16"/>
              </w:rPr>
            </w:pPr>
            <w:r w:rsidRPr="004A1479">
              <w:rPr>
                <w:rFonts w:ascii="Arial" w:hAnsi="Arial" w:cs="Arial"/>
                <w:b/>
                <w:bCs/>
                <w:color w:val="auto"/>
                <w:sz w:val="16"/>
                <w:szCs w:val="16"/>
              </w:rPr>
              <w:t>REVENUES ADMINISTERED ON BEHALF OF GOVERNMENT</w:t>
            </w:r>
          </w:p>
        </w:tc>
        <w:tc>
          <w:tcPr>
            <w:tcW w:w="900" w:type="dxa"/>
            <w:tcBorders>
              <w:top w:val="nil"/>
              <w:left w:val="nil"/>
              <w:bottom w:val="nil"/>
              <w:right w:val="nil"/>
            </w:tcBorders>
            <w:shd w:val="clear" w:color="auto" w:fill="auto"/>
            <w:noWrap/>
            <w:vAlign w:val="bottom"/>
            <w:hideMark/>
          </w:tcPr>
          <w:p w14:paraId="1BA367A8" w14:textId="77777777" w:rsidR="004A1479" w:rsidRPr="004A1479" w:rsidRDefault="004A1479" w:rsidP="004A1479">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6CC571E" w14:textId="77777777" w:rsidR="004A1479" w:rsidRPr="004A1479" w:rsidRDefault="004A1479" w:rsidP="004A1479">
            <w:pPr>
              <w:spacing w:after="0"/>
              <w:jc w:val="right"/>
              <w:rPr>
                <w:rFonts w:ascii="Arial" w:hAnsi="Arial" w:cs="Arial"/>
                <w:b/>
                <w:bCs/>
                <w:sz w:val="16"/>
                <w:szCs w:val="16"/>
              </w:rPr>
            </w:pPr>
            <w:r w:rsidRPr="004A1479">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483717DA" w14:textId="77777777" w:rsidR="004A1479" w:rsidRPr="004A1479" w:rsidRDefault="004A1479" w:rsidP="004A1479">
            <w:pPr>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049AED00" w14:textId="77777777" w:rsidR="004A1479" w:rsidRPr="004A1479" w:rsidRDefault="004A1479" w:rsidP="004A1479">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4682D491" w14:textId="77777777" w:rsidR="004A1479" w:rsidRPr="004A1479" w:rsidRDefault="004A1479" w:rsidP="004A1479">
            <w:pPr>
              <w:spacing w:after="0"/>
              <w:jc w:val="right"/>
              <w:rPr>
                <w:rFonts w:ascii="Times New Roman" w:hAnsi="Times New Roman"/>
                <w:color w:val="auto"/>
                <w:sz w:val="20"/>
              </w:rPr>
            </w:pPr>
          </w:p>
        </w:tc>
      </w:tr>
      <w:tr w:rsidR="004A1479" w:rsidRPr="004A1479" w14:paraId="466F3F51" w14:textId="77777777" w:rsidTr="004A1479">
        <w:trPr>
          <w:trHeight w:val="225"/>
        </w:trPr>
        <w:tc>
          <w:tcPr>
            <w:tcW w:w="2880" w:type="dxa"/>
            <w:tcBorders>
              <w:top w:val="nil"/>
              <w:left w:val="nil"/>
              <w:bottom w:val="nil"/>
              <w:right w:val="nil"/>
            </w:tcBorders>
            <w:shd w:val="clear" w:color="auto" w:fill="auto"/>
            <w:noWrap/>
            <w:vAlign w:val="bottom"/>
            <w:hideMark/>
          </w:tcPr>
          <w:p w14:paraId="3A37D6DB" w14:textId="77777777" w:rsidR="004A1479" w:rsidRPr="004A1479" w:rsidRDefault="004A1479" w:rsidP="004A1479">
            <w:pPr>
              <w:spacing w:after="0"/>
              <w:ind w:leftChars="75" w:left="143"/>
              <w:rPr>
                <w:rFonts w:ascii="Arial" w:hAnsi="Arial" w:cs="Arial"/>
                <w:color w:val="auto"/>
                <w:sz w:val="16"/>
                <w:szCs w:val="16"/>
              </w:rPr>
            </w:pPr>
            <w:r w:rsidRPr="004A1479">
              <w:rPr>
                <w:rFonts w:ascii="Arial" w:hAnsi="Arial" w:cs="Arial"/>
                <w:color w:val="auto"/>
                <w:sz w:val="16"/>
                <w:szCs w:val="16"/>
              </w:rPr>
              <w:t>Recoveries</w:t>
            </w:r>
          </w:p>
        </w:tc>
        <w:tc>
          <w:tcPr>
            <w:tcW w:w="900" w:type="dxa"/>
            <w:tcBorders>
              <w:top w:val="nil"/>
              <w:left w:val="nil"/>
              <w:bottom w:val="nil"/>
              <w:right w:val="nil"/>
            </w:tcBorders>
            <w:shd w:val="clear" w:color="auto" w:fill="auto"/>
            <w:noWrap/>
            <w:vAlign w:val="bottom"/>
            <w:hideMark/>
          </w:tcPr>
          <w:p w14:paraId="0B3A5FE3" w14:textId="77777777" w:rsidR="004A1479" w:rsidRPr="004A1479" w:rsidRDefault="004A1479" w:rsidP="004A1479">
            <w:pPr>
              <w:spacing w:after="0"/>
              <w:jc w:val="right"/>
              <w:rPr>
                <w:rFonts w:ascii="Arial" w:hAnsi="Arial" w:cs="Arial"/>
                <w:sz w:val="16"/>
                <w:szCs w:val="16"/>
              </w:rPr>
            </w:pPr>
            <w:r w:rsidRPr="004A1479">
              <w:rPr>
                <w:rFonts w:ascii="Arial" w:hAnsi="Arial" w:cs="Arial"/>
                <w:sz w:val="16"/>
                <w:szCs w:val="16"/>
              </w:rPr>
              <w:t>5,000</w:t>
            </w:r>
          </w:p>
        </w:tc>
        <w:tc>
          <w:tcPr>
            <w:tcW w:w="900" w:type="dxa"/>
            <w:tcBorders>
              <w:top w:val="nil"/>
              <w:left w:val="nil"/>
              <w:bottom w:val="nil"/>
              <w:right w:val="nil"/>
            </w:tcBorders>
            <w:shd w:val="clear" w:color="000000" w:fill="D9D9D9"/>
            <w:noWrap/>
            <w:vAlign w:val="bottom"/>
            <w:hideMark/>
          </w:tcPr>
          <w:p w14:paraId="597D3026" w14:textId="77777777" w:rsidR="004A1479" w:rsidRPr="004A1479" w:rsidRDefault="004A1479" w:rsidP="004A1479">
            <w:pPr>
              <w:spacing w:after="0"/>
              <w:jc w:val="right"/>
              <w:rPr>
                <w:rFonts w:ascii="Arial" w:hAnsi="Arial" w:cs="Arial"/>
                <w:sz w:val="16"/>
                <w:szCs w:val="16"/>
              </w:rPr>
            </w:pPr>
            <w:r w:rsidRPr="004A1479">
              <w:rPr>
                <w:rFonts w:ascii="Arial" w:hAnsi="Arial" w:cs="Arial"/>
                <w:sz w:val="16"/>
                <w:szCs w:val="16"/>
              </w:rPr>
              <w:t>5,000</w:t>
            </w:r>
          </w:p>
        </w:tc>
        <w:tc>
          <w:tcPr>
            <w:tcW w:w="900" w:type="dxa"/>
            <w:tcBorders>
              <w:top w:val="nil"/>
              <w:left w:val="nil"/>
              <w:bottom w:val="nil"/>
              <w:right w:val="nil"/>
            </w:tcBorders>
            <w:shd w:val="clear" w:color="auto" w:fill="auto"/>
            <w:noWrap/>
            <w:vAlign w:val="bottom"/>
            <w:hideMark/>
          </w:tcPr>
          <w:p w14:paraId="32AD13D9" w14:textId="77777777" w:rsidR="004A1479" w:rsidRPr="004A1479" w:rsidRDefault="004A1479" w:rsidP="004A1479">
            <w:pPr>
              <w:spacing w:after="0"/>
              <w:jc w:val="right"/>
              <w:rPr>
                <w:rFonts w:ascii="Arial" w:hAnsi="Arial" w:cs="Arial"/>
                <w:sz w:val="16"/>
                <w:szCs w:val="16"/>
              </w:rPr>
            </w:pPr>
            <w:r w:rsidRPr="004A1479">
              <w:rPr>
                <w:rFonts w:ascii="Arial" w:hAnsi="Arial" w:cs="Arial"/>
                <w:sz w:val="16"/>
                <w:szCs w:val="16"/>
              </w:rPr>
              <w:t>5,000</w:t>
            </w:r>
          </w:p>
        </w:tc>
        <w:tc>
          <w:tcPr>
            <w:tcW w:w="900" w:type="dxa"/>
            <w:tcBorders>
              <w:top w:val="nil"/>
              <w:left w:val="nil"/>
              <w:bottom w:val="nil"/>
              <w:right w:val="nil"/>
            </w:tcBorders>
            <w:shd w:val="clear" w:color="auto" w:fill="auto"/>
            <w:noWrap/>
            <w:vAlign w:val="bottom"/>
            <w:hideMark/>
          </w:tcPr>
          <w:p w14:paraId="34DF30D8" w14:textId="77777777" w:rsidR="004A1479" w:rsidRPr="004A1479" w:rsidRDefault="004A1479" w:rsidP="004A1479">
            <w:pPr>
              <w:spacing w:after="0"/>
              <w:jc w:val="right"/>
              <w:rPr>
                <w:rFonts w:ascii="Arial" w:hAnsi="Arial" w:cs="Arial"/>
                <w:sz w:val="16"/>
                <w:szCs w:val="16"/>
              </w:rPr>
            </w:pPr>
            <w:r w:rsidRPr="004A1479">
              <w:rPr>
                <w:rFonts w:ascii="Arial" w:hAnsi="Arial" w:cs="Arial"/>
                <w:sz w:val="16"/>
                <w:szCs w:val="16"/>
              </w:rPr>
              <w:t>5,000</w:t>
            </w:r>
          </w:p>
        </w:tc>
        <w:tc>
          <w:tcPr>
            <w:tcW w:w="900" w:type="dxa"/>
            <w:tcBorders>
              <w:top w:val="nil"/>
              <w:left w:val="nil"/>
              <w:bottom w:val="nil"/>
              <w:right w:val="nil"/>
            </w:tcBorders>
            <w:shd w:val="clear" w:color="auto" w:fill="auto"/>
            <w:noWrap/>
            <w:vAlign w:val="bottom"/>
            <w:hideMark/>
          </w:tcPr>
          <w:p w14:paraId="71618D1B" w14:textId="77777777" w:rsidR="004A1479" w:rsidRPr="004A1479" w:rsidRDefault="004A1479" w:rsidP="004A1479">
            <w:pPr>
              <w:spacing w:after="0"/>
              <w:jc w:val="right"/>
              <w:rPr>
                <w:rFonts w:ascii="Arial" w:hAnsi="Arial" w:cs="Arial"/>
                <w:sz w:val="16"/>
                <w:szCs w:val="16"/>
              </w:rPr>
            </w:pPr>
            <w:r w:rsidRPr="004A1479">
              <w:rPr>
                <w:rFonts w:ascii="Arial" w:hAnsi="Arial" w:cs="Arial"/>
                <w:sz w:val="16"/>
                <w:szCs w:val="16"/>
              </w:rPr>
              <w:t>5,000</w:t>
            </w:r>
          </w:p>
        </w:tc>
      </w:tr>
      <w:tr w:rsidR="004A1479" w:rsidRPr="004A1479" w14:paraId="264A2DCD" w14:textId="77777777" w:rsidTr="004A1479">
        <w:trPr>
          <w:trHeight w:val="225"/>
        </w:trPr>
        <w:tc>
          <w:tcPr>
            <w:tcW w:w="2880" w:type="dxa"/>
            <w:tcBorders>
              <w:top w:val="nil"/>
              <w:left w:val="nil"/>
              <w:bottom w:val="nil"/>
              <w:right w:val="nil"/>
            </w:tcBorders>
            <w:shd w:val="clear" w:color="auto" w:fill="auto"/>
            <w:noWrap/>
            <w:vAlign w:val="bottom"/>
            <w:hideMark/>
          </w:tcPr>
          <w:p w14:paraId="34DCDFAB" w14:textId="77777777" w:rsidR="004A1479" w:rsidRPr="004A1479" w:rsidRDefault="004A1479" w:rsidP="004A1479">
            <w:pPr>
              <w:spacing w:after="0"/>
              <w:ind w:leftChars="75" w:left="143"/>
              <w:rPr>
                <w:rFonts w:ascii="Arial" w:hAnsi="Arial" w:cs="Arial"/>
                <w:color w:val="auto"/>
                <w:sz w:val="16"/>
                <w:szCs w:val="16"/>
              </w:rPr>
            </w:pPr>
            <w:r w:rsidRPr="004A1479">
              <w:rPr>
                <w:rFonts w:ascii="Arial" w:hAnsi="Arial" w:cs="Arial"/>
                <w:color w:val="auto"/>
                <w:sz w:val="16"/>
                <w:szCs w:val="16"/>
              </w:rPr>
              <w:t>Sales of goods and services</w:t>
            </w:r>
          </w:p>
        </w:tc>
        <w:tc>
          <w:tcPr>
            <w:tcW w:w="900" w:type="dxa"/>
            <w:tcBorders>
              <w:top w:val="nil"/>
              <w:left w:val="nil"/>
              <w:bottom w:val="nil"/>
              <w:right w:val="nil"/>
            </w:tcBorders>
            <w:shd w:val="clear" w:color="auto" w:fill="auto"/>
            <w:noWrap/>
            <w:vAlign w:val="bottom"/>
            <w:hideMark/>
          </w:tcPr>
          <w:p w14:paraId="187D636A" w14:textId="77777777" w:rsidR="004A1479" w:rsidRPr="004A1479" w:rsidRDefault="004A1479" w:rsidP="004A1479">
            <w:pPr>
              <w:spacing w:after="0"/>
              <w:jc w:val="right"/>
              <w:rPr>
                <w:rFonts w:ascii="Arial" w:hAnsi="Arial" w:cs="Arial"/>
                <w:sz w:val="16"/>
                <w:szCs w:val="16"/>
              </w:rPr>
            </w:pPr>
            <w:r w:rsidRPr="004A1479">
              <w:rPr>
                <w:rFonts w:ascii="Arial" w:hAnsi="Arial" w:cs="Arial"/>
                <w:sz w:val="16"/>
                <w:szCs w:val="16"/>
              </w:rPr>
              <w:t>5,000</w:t>
            </w:r>
          </w:p>
        </w:tc>
        <w:tc>
          <w:tcPr>
            <w:tcW w:w="900" w:type="dxa"/>
            <w:tcBorders>
              <w:top w:val="nil"/>
              <w:left w:val="nil"/>
              <w:bottom w:val="nil"/>
              <w:right w:val="nil"/>
            </w:tcBorders>
            <w:shd w:val="clear" w:color="000000" w:fill="D9D9D9"/>
            <w:noWrap/>
            <w:vAlign w:val="bottom"/>
            <w:hideMark/>
          </w:tcPr>
          <w:p w14:paraId="1D5B8724" w14:textId="77777777" w:rsidR="004A1479" w:rsidRPr="004A1479" w:rsidRDefault="004A1479" w:rsidP="004A1479">
            <w:pPr>
              <w:spacing w:after="0"/>
              <w:jc w:val="right"/>
              <w:rPr>
                <w:rFonts w:ascii="Arial" w:hAnsi="Arial" w:cs="Arial"/>
                <w:sz w:val="16"/>
                <w:szCs w:val="16"/>
              </w:rPr>
            </w:pPr>
            <w:r w:rsidRPr="004A1479">
              <w:rPr>
                <w:rFonts w:ascii="Arial" w:hAnsi="Arial" w:cs="Arial"/>
                <w:sz w:val="16"/>
                <w:szCs w:val="16"/>
              </w:rPr>
              <w:t>5,000</w:t>
            </w:r>
          </w:p>
        </w:tc>
        <w:tc>
          <w:tcPr>
            <w:tcW w:w="900" w:type="dxa"/>
            <w:tcBorders>
              <w:top w:val="nil"/>
              <w:left w:val="nil"/>
              <w:bottom w:val="nil"/>
              <w:right w:val="nil"/>
            </w:tcBorders>
            <w:shd w:val="clear" w:color="auto" w:fill="auto"/>
            <w:noWrap/>
            <w:vAlign w:val="bottom"/>
            <w:hideMark/>
          </w:tcPr>
          <w:p w14:paraId="5B5C3B4E" w14:textId="77777777" w:rsidR="004A1479" w:rsidRPr="004A1479" w:rsidRDefault="004A1479" w:rsidP="004A1479">
            <w:pPr>
              <w:spacing w:after="0"/>
              <w:jc w:val="right"/>
              <w:rPr>
                <w:rFonts w:ascii="Arial" w:hAnsi="Arial" w:cs="Arial"/>
                <w:sz w:val="16"/>
                <w:szCs w:val="16"/>
              </w:rPr>
            </w:pPr>
            <w:r w:rsidRPr="004A1479">
              <w:rPr>
                <w:rFonts w:ascii="Arial" w:hAnsi="Arial" w:cs="Arial"/>
                <w:sz w:val="16"/>
                <w:szCs w:val="16"/>
              </w:rPr>
              <w:t>5,000</w:t>
            </w:r>
          </w:p>
        </w:tc>
        <w:tc>
          <w:tcPr>
            <w:tcW w:w="900" w:type="dxa"/>
            <w:tcBorders>
              <w:top w:val="nil"/>
              <w:left w:val="nil"/>
              <w:bottom w:val="nil"/>
              <w:right w:val="nil"/>
            </w:tcBorders>
            <w:shd w:val="clear" w:color="auto" w:fill="auto"/>
            <w:noWrap/>
            <w:vAlign w:val="bottom"/>
            <w:hideMark/>
          </w:tcPr>
          <w:p w14:paraId="7C5C0742" w14:textId="77777777" w:rsidR="004A1479" w:rsidRPr="004A1479" w:rsidRDefault="004A1479" w:rsidP="004A1479">
            <w:pPr>
              <w:spacing w:after="0"/>
              <w:jc w:val="right"/>
              <w:rPr>
                <w:rFonts w:ascii="Arial" w:hAnsi="Arial" w:cs="Arial"/>
                <w:sz w:val="16"/>
                <w:szCs w:val="16"/>
              </w:rPr>
            </w:pPr>
            <w:r w:rsidRPr="004A1479">
              <w:rPr>
                <w:rFonts w:ascii="Arial" w:hAnsi="Arial" w:cs="Arial"/>
                <w:sz w:val="16"/>
                <w:szCs w:val="16"/>
              </w:rPr>
              <w:t>5,000</w:t>
            </w:r>
          </w:p>
        </w:tc>
        <w:tc>
          <w:tcPr>
            <w:tcW w:w="900" w:type="dxa"/>
            <w:tcBorders>
              <w:top w:val="nil"/>
              <w:left w:val="nil"/>
              <w:bottom w:val="nil"/>
              <w:right w:val="nil"/>
            </w:tcBorders>
            <w:shd w:val="clear" w:color="auto" w:fill="auto"/>
            <w:noWrap/>
            <w:vAlign w:val="bottom"/>
            <w:hideMark/>
          </w:tcPr>
          <w:p w14:paraId="718F6CB4" w14:textId="77777777" w:rsidR="004A1479" w:rsidRPr="004A1479" w:rsidRDefault="004A1479" w:rsidP="004A1479">
            <w:pPr>
              <w:spacing w:after="0"/>
              <w:jc w:val="right"/>
              <w:rPr>
                <w:rFonts w:ascii="Arial" w:hAnsi="Arial" w:cs="Arial"/>
                <w:sz w:val="16"/>
                <w:szCs w:val="16"/>
              </w:rPr>
            </w:pPr>
            <w:r w:rsidRPr="004A1479">
              <w:rPr>
                <w:rFonts w:ascii="Arial" w:hAnsi="Arial" w:cs="Arial"/>
                <w:sz w:val="16"/>
                <w:szCs w:val="16"/>
              </w:rPr>
              <w:t>5,000</w:t>
            </w:r>
          </w:p>
        </w:tc>
      </w:tr>
      <w:tr w:rsidR="004A1479" w:rsidRPr="004A1479" w14:paraId="0546FB2E" w14:textId="77777777" w:rsidTr="004A1479">
        <w:trPr>
          <w:trHeight w:val="450"/>
        </w:trPr>
        <w:tc>
          <w:tcPr>
            <w:tcW w:w="2880" w:type="dxa"/>
            <w:tcBorders>
              <w:top w:val="nil"/>
              <w:left w:val="nil"/>
              <w:bottom w:val="single" w:sz="4" w:space="0" w:color="auto"/>
              <w:right w:val="nil"/>
            </w:tcBorders>
            <w:shd w:val="clear" w:color="auto" w:fill="auto"/>
            <w:vAlign w:val="bottom"/>
            <w:hideMark/>
          </w:tcPr>
          <w:p w14:paraId="06CBE76B" w14:textId="77777777" w:rsidR="004A1479" w:rsidRPr="004A1479" w:rsidRDefault="004A1479" w:rsidP="004A1479">
            <w:pPr>
              <w:spacing w:after="0"/>
              <w:ind w:leftChars="75" w:left="143"/>
              <w:rPr>
                <w:rFonts w:ascii="Arial" w:hAnsi="Arial" w:cs="Arial"/>
                <w:b/>
                <w:bCs/>
                <w:color w:val="auto"/>
                <w:sz w:val="16"/>
                <w:szCs w:val="16"/>
              </w:rPr>
            </w:pPr>
            <w:r w:rsidRPr="004A1479">
              <w:rPr>
                <w:rFonts w:ascii="Arial" w:hAnsi="Arial" w:cs="Arial"/>
                <w:b/>
                <w:bCs/>
                <w:color w:val="auto"/>
                <w:sz w:val="16"/>
                <w:szCs w:val="16"/>
              </w:rPr>
              <w:t>Total income administered on behalf of Government</w:t>
            </w:r>
          </w:p>
        </w:tc>
        <w:tc>
          <w:tcPr>
            <w:tcW w:w="900" w:type="dxa"/>
            <w:tcBorders>
              <w:top w:val="nil"/>
              <w:left w:val="nil"/>
              <w:bottom w:val="single" w:sz="4" w:space="0" w:color="auto"/>
              <w:right w:val="nil"/>
            </w:tcBorders>
            <w:shd w:val="clear" w:color="auto" w:fill="auto"/>
            <w:noWrap/>
            <w:vAlign w:val="bottom"/>
            <w:hideMark/>
          </w:tcPr>
          <w:p w14:paraId="5779B475" w14:textId="77777777" w:rsidR="004A1479" w:rsidRPr="004A1479" w:rsidRDefault="004A1479" w:rsidP="004A1479">
            <w:pPr>
              <w:spacing w:after="0"/>
              <w:jc w:val="right"/>
              <w:rPr>
                <w:rFonts w:ascii="Arial" w:hAnsi="Arial" w:cs="Arial"/>
                <w:b/>
                <w:bCs/>
                <w:sz w:val="16"/>
                <w:szCs w:val="16"/>
              </w:rPr>
            </w:pPr>
            <w:r w:rsidRPr="004A1479">
              <w:rPr>
                <w:rFonts w:ascii="Arial" w:hAnsi="Arial" w:cs="Arial"/>
                <w:b/>
                <w:bCs/>
                <w:sz w:val="16"/>
                <w:szCs w:val="16"/>
              </w:rPr>
              <w:t>10,000</w:t>
            </w:r>
          </w:p>
        </w:tc>
        <w:tc>
          <w:tcPr>
            <w:tcW w:w="900" w:type="dxa"/>
            <w:tcBorders>
              <w:top w:val="nil"/>
              <w:left w:val="nil"/>
              <w:bottom w:val="single" w:sz="4" w:space="0" w:color="auto"/>
              <w:right w:val="nil"/>
            </w:tcBorders>
            <w:shd w:val="clear" w:color="000000" w:fill="D9D9D9"/>
            <w:noWrap/>
            <w:vAlign w:val="bottom"/>
            <w:hideMark/>
          </w:tcPr>
          <w:p w14:paraId="730CDC5E" w14:textId="77777777" w:rsidR="004A1479" w:rsidRPr="004A1479" w:rsidRDefault="004A1479" w:rsidP="004A1479">
            <w:pPr>
              <w:spacing w:after="0"/>
              <w:jc w:val="right"/>
              <w:rPr>
                <w:rFonts w:ascii="Arial" w:hAnsi="Arial" w:cs="Arial"/>
                <w:b/>
                <w:bCs/>
                <w:sz w:val="16"/>
                <w:szCs w:val="16"/>
              </w:rPr>
            </w:pPr>
            <w:r w:rsidRPr="004A1479">
              <w:rPr>
                <w:rFonts w:ascii="Arial" w:hAnsi="Arial" w:cs="Arial"/>
                <w:b/>
                <w:bCs/>
                <w:sz w:val="16"/>
                <w:szCs w:val="16"/>
              </w:rPr>
              <w:t>10,000</w:t>
            </w:r>
          </w:p>
        </w:tc>
        <w:tc>
          <w:tcPr>
            <w:tcW w:w="900" w:type="dxa"/>
            <w:tcBorders>
              <w:top w:val="nil"/>
              <w:left w:val="nil"/>
              <w:bottom w:val="single" w:sz="4" w:space="0" w:color="auto"/>
              <w:right w:val="nil"/>
            </w:tcBorders>
            <w:shd w:val="clear" w:color="auto" w:fill="auto"/>
            <w:noWrap/>
            <w:vAlign w:val="bottom"/>
            <w:hideMark/>
          </w:tcPr>
          <w:p w14:paraId="4F6F099E" w14:textId="77777777" w:rsidR="004A1479" w:rsidRPr="004A1479" w:rsidRDefault="004A1479" w:rsidP="004A1479">
            <w:pPr>
              <w:spacing w:after="0"/>
              <w:jc w:val="right"/>
              <w:rPr>
                <w:rFonts w:ascii="Arial" w:hAnsi="Arial" w:cs="Arial"/>
                <w:b/>
                <w:bCs/>
                <w:sz w:val="16"/>
                <w:szCs w:val="16"/>
              </w:rPr>
            </w:pPr>
            <w:r w:rsidRPr="004A1479">
              <w:rPr>
                <w:rFonts w:ascii="Arial" w:hAnsi="Arial" w:cs="Arial"/>
                <w:b/>
                <w:bCs/>
                <w:sz w:val="16"/>
                <w:szCs w:val="16"/>
              </w:rPr>
              <w:t>10,000</w:t>
            </w:r>
          </w:p>
        </w:tc>
        <w:tc>
          <w:tcPr>
            <w:tcW w:w="900" w:type="dxa"/>
            <w:tcBorders>
              <w:top w:val="nil"/>
              <w:left w:val="nil"/>
              <w:bottom w:val="single" w:sz="4" w:space="0" w:color="auto"/>
              <w:right w:val="nil"/>
            </w:tcBorders>
            <w:shd w:val="clear" w:color="auto" w:fill="auto"/>
            <w:noWrap/>
            <w:vAlign w:val="bottom"/>
            <w:hideMark/>
          </w:tcPr>
          <w:p w14:paraId="71D0DBD2" w14:textId="77777777" w:rsidR="004A1479" w:rsidRPr="004A1479" w:rsidRDefault="004A1479" w:rsidP="004A1479">
            <w:pPr>
              <w:spacing w:after="0"/>
              <w:jc w:val="right"/>
              <w:rPr>
                <w:rFonts w:ascii="Arial" w:hAnsi="Arial" w:cs="Arial"/>
                <w:b/>
                <w:bCs/>
                <w:sz w:val="16"/>
                <w:szCs w:val="16"/>
              </w:rPr>
            </w:pPr>
            <w:r w:rsidRPr="004A1479">
              <w:rPr>
                <w:rFonts w:ascii="Arial" w:hAnsi="Arial" w:cs="Arial"/>
                <w:b/>
                <w:bCs/>
                <w:sz w:val="16"/>
                <w:szCs w:val="16"/>
              </w:rPr>
              <w:t>10,000</w:t>
            </w:r>
          </w:p>
        </w:tc>
        <w:tc>
          <w:tcPr>
            <w:tcW w:w="900" w:type="dxa"/>
            <w:tcBorders>
              <w:top w:val="nil"/>
              <w:left w:val="nil"/>
              <w:bottom w:val="single" w:sz="4" w:space="0" w:color="auto"/>
              <w:right w:val="nil"/>
            </w:tcBorders>
            <w:shd w:val="clear" w:color="auto" w:fill="auto"/>
            <w:noWrap/>
            <w:vAlign w:val="bottom"/>
            <w:hideMark/>
          </w:tcPr>
          <w:p w14:paraId="748DF6EE" w14:textId="77777777" w:rsidR="004A1479" w:rsidRPr="004A1479" w:rsidRDefault="004A1479" w:rsidP="004A1479">
            <w:pPr>
              <w:spacing w:after="0"/>
              <w:jc w:val="right"/>
              <w:rPr>
                <w:rFonts w:ascii="Arial" w:hAnsi="Arial" w:cs="Arial"/>
                <w:b/>
                <w:bCs/>
                <w:sz w:val="16"/>
                <w:szCs w:val="16"/>
              </w:rPr>
            </w:pPr>
            <w:r w:rsidRPr="004A1479">
              <w:rPr>
                <w:rFonts w:ascii="Arial" w:hAnsi="Arial" w:cs="Arial"/>
                <w:b/>
                <w:bCs/>
                <w:sz w:val="16"/>
                <w:szCs w:val="16"/>
              </w:rPr>
              <w:t>10,000</w:t>
            </w:r>
          </w:p>
        </w:tc>
      </w:tr>
    </w:tbl>
    <w:p w14:paraId="1F73072F" w14:textId="0C1FE0F5" w:rsidR="004A1479" w:rsidRPr="004A1479" w:rsidRDefault="004A1479" w:rsidP="004A1479">
      <w:pPr>
        <w:pStyle w:val="FootnoteText"/>
        <w:spacing w:before="120" w:after="40"/>
      </w:pPr>
      <w:r w:rsidRPr="004A1479">
        <w:t>Prepared on Australian Accounting Standards basis</w:t>
      </w:r>
      <w:r>
        <w:t>.</w:t>
      </w:r>
    </w:p>
    <w:p w14:paraId="3B387FA1" w14:textId="77777777" w:rsidR="004A1479" w:rsidRDefault="004A1479" w:rsidP="004A1479">
      <w:pPr>
        <w:pStyle w:val="FootnoteText"/>
      </w:pPr>
      <w:r w:rsidRPr="004A1479">
        <w:t>MREA = Medical Research Endowment Account</w:t>
      </w:r>
    </w:p>
    <w:p w14:paraId="60B2A557" w14:textId="77777777" w:rsidR="008D6B59" w:rsidRDefault="008D6B59" w:rsidP="005D099D">
      <w:pPr>
        <w:keepNext/>
        <w:spacing w:before="120"/>
        <w:rPr>
          <w:rFonts w:ascii="Arial" w:hAnsi="Arial"/>
          <w:b/>
          <w:color w:val="auto"/>
          <w:sz w:val="20"/>
        </w:rPr>
      </w:pPr>
    </w:p>
    <w:p w14:paraId="601B16DD" w14:textId="77777777" w:rsidR="008D6B59" w:rsidRDefault="008D6B59" w:rsidP="005D099D">
      <w:pPr>
        <w:keepNext/>
        <w:spacing w:before="120"/>
        <w:rPr>
          <w:rFonts w:ascii="Arial" w:hAnsi="Arial"/>
          <w:b/>
          <w:color w:val="auto"/>
          <w:sz w:val="20"/>
        </w:rPr>
      </w:pPr>
    </w:p>
    <w:p w14:paraId="44AAEAD3" w14:textId="0368A1FD" w:rsidR="00A52B29" w:rsidRPr="00A52B29" w:rsidRDefault="00A52B29" w:rsidP="005D099D">
      <w:pPr>
        <w:keepNext/>
        <w:spacing w:before="120"/>
        <w:rPr>
          <w:rFonts w:ascii="Arial" w:hAnsi="Arial"/>
          <w:b/>
          <w:color w:val="auto"/>
          <w:sz w:val="20"/>
        </w:rPr>
      </w:pPr>
      <w:r w:rsidRPr="00A52B29">
        <w:rPr>
          <w:rFonts w:ascii="Arial" w:hAnsi="Arial"/>
          <w:b/>
          <w:color w:val="auto"/>
          <w:sz w:val="20"/>
        </w:rPr>
        <w:t>Table 3.8: Schedule of budgeted assets and liabilities administered on behalf of Government (as at 30 June)</w:t>
      </w:r>
    </w:p>
    <w:tbl>
      <w:tblPr>
        <w:tblW w:w="7380" w:type="dxa"/>
        <w:tblLayout w:type="fixed"/>
        <w:tblLook w:val="04A0" w:firstRow="1" w:lastRow="0" w:firstColumn="1" w:lastColumn="0" w:noHBand="0" w:noVBand="1"/>
      </w:tblPr>
      <w:tblGrid>
        <w:gridCol w:w="2880"/>
        <w:gridCol w:w="900"/>
        <w:gridCol w:w="900"/>
        <w:gridCol w:w="900"/>
        <w:gridCol w:w="900"/>
        <w:gridCol w:w="900"/>
      </w:tblGrid>
      <w:tr w:rsidR="00DC49A5" w:rsidRPr="00DC49A5" w14:paraId="4E19D827" w14:textId="77777777" w:rsidTr="00883D88">
        <w:trPr>
          <w:trHeight w:val="765"/>
        </w:trPr>
        <w:tc>
          <w:tcPr>
            <w:tcW w:w="2880" w:type="dxa"/>
            <w:tcBorders>
              <w:top w:val="single" w:sz="4" w:space="0" w:color="auto"/>
              <w:left w:val="nil"/>
              <w:bottom w:val="nil"/>
              <w:right w:val="nil"/>
            </w:tcBorders>
            <w:shd w:val="clear" w:color="auto" w:fill="auto"/>
            <w:hideMark/>
          </w:tcPr>
          <w:p w14:paraId="700E9B61" w14:textId="77777777" w:rsidR="00DC49A5" w:rsidRPr="00DC49A5" w:rsidRDefault="00DC49A5" w:rsidP="00DC49A5">
            <w:pPr>
              <w:spacing w:before="40" w:after="0"/>
              <w:jc w:val="right"/>
              <w:rPr>
                <w:rFonts w:ascii="Arial" w:hAnsi="Arial" w:cs="Arial"/>
                <w:b/>
                <w:bCs/>
                <w:color w:val="auto"/>
                <w:sz w:val="16"/>
                <w:szCs w:val="16"/>
              </w:rPr>
            </w:pPr>
            <w:r w:rsidRPr="00DC49A5">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7B6BC45B" w14:textId="77777777" w:rsidR="00DC49A5" w:rsidRPr="00DC49A5" w:rsidRDefault="00DC49A5" w:rsidP="00DC49A5">
            <w:pPr>
              <w:spacing w:before="40" w:after="0"/>
              <w:jc w:val="right"/>
              <w:rPr>
                <w:rFonts w:ascii="Arial" w:hAnsi="Arial" w:cs="Arial"/>
                <w:b/>
                <w:bCs/>
                <w:color w:val="auto"/>
                <w:sz w:val="16"/>
                <w:szCs w:val="16"/>
              </w:rPr>
            </w:pPr>
            <w:r w:rsidRPr="00DC49A5">
              <w:rPr>
                <w:rFonts w:ascii="Arial" w:hAnsi="Arial" w:cs="Arial"/>
                <w:b/>
                <w:bCs/>
                <w:color w:val="auto"/>
                <w:sz w:val="16"/>
                <w:szCs w:val="16"/>
              </w:rPr>
              <w:t>2022–23 Estimated actual</w:t>
            </w:r>
            <w:r w:rsidRPr="00DC49A5">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7058DB74" w14:textId="77777777" w:rsidR="00DC49A5" w:rsidRPr="00DC49A5" w:rsidRDefault="00DC49A5" w:rsidP="00DC49A5">
            <w:pPr>
              <w:spacing w:before="40" w:after="0"/>
              <w:jc w:val="right"/>
              <w:rPr>
                <w:rFonts w:ascii="Arial" w:hAnsi="Arial" w:cs="Arial"/>
                <w:b/>
                <w:bCs/>
                <w:color w:val="auto"/>
                <w:sz w:val="16"/>
                <w:szCs w:val="16"/>
              </w:rPr>
            </w:pPr>
            <w:r w:rsidRPr="00DC49A5">
              <w:rPr>
                <w:rFonts w:ascii="Arial" w:hAnsi="Arial" w:cs="Arial"/>
                <w:b/>
                <w:bCs/>
                <w:color w:val="auto"/>
                <w:sz w:val="16"/>
                <w:szCs w:val="16"/>
              </w:rPr>
              <w:t xml:space="preserve">2023–24 Budget </w:t>
            </w:r>
            <w:r w:rsidRPr="00DC49A5">
              <w:rPr>
                <w:rFonts w:ascii="Arial" w:hAnsi="Arial" w:cs="Arial"/>
                <w:b/>
                <w:bCs/>
                <w:color w:val="auto"/>
                <w:sz w:val="16"/>
                <w:szCs w:val="16"/>
              </w:rPr>
              <w:br/>
            </w:r>
            <w:r w:rsidRPr="00DC49A5">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1BE7EFD9" w14:textId="77777777" w:rsidR="00DC49A5" w:rsidRPr="00DC49A5" w:rsidRDefault="00DC49A5" w:rsidP="00DC49A5">
            <w:pPr>
              <w:spacing w:before="40" w:after="0"/>
              <w:jc w:val="right"/>
              <w:rPr>
                <w:rFonts w:ascii="Arial" w:hAnsi="Arial" w:cs="Arial"/>
                <w:b/>
                <w:bCs/>
                <w:color w:val="auto"/>
                <w:sz w:val="16"/>
                <w:szCs w:val="16"/>
              </w:rPr>
            </w:pPr>
            <w:r w:rsidRPr="00DC49A5">
              <w:rPr>
                <w:rFonts w:ascii="Arial" w:hAnsi="Arial" w:cs="Arial"/>
                <w:b/>
                <w:bCs/>
                <w:color w:val="auto"/>
                <w:sz w:val="16"/>
                <w:szCs w:val="16"/>
              </w:rPr>
              <w:t>2024–25 Forward estimate</w:t>
            </w:r>
            <w:r w:rsidRPr="00DC49A5">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2BE9114E" w14:textId="77777777" w:rsidR="00DC49A5" w:rsidRPr="00DC49A5" w:rsidRDefault="00DC49A5" w:rsidP="00DC49A5">
            <w:pPr>
              <w:spacing w:before="40" w:after="0"/>
              <w:jc w:val="right"/>
              <w:rPr>
                <w:rFonts w:ascii="Arial" w:hAnsi="Arial" w:cs="Arial"/>
                <w:b/>
                <w:bCs/>
                <w:color w:val="auto"/>
                <w:sz w:val="16"/>
                <w:szCs w:val="16"/>
              </w:rPr>
            </w:pPr>
            <w:r w:rsidRPr="00DC49A5">
              <w:rPr>
                <w:rFonts w:ascii="Arial" w:hAnsi="Arial" w:cs="Arial"/>
                <w:b/>
                <w:bCs/>
                <w:color w:val="auto"/>
                <w:sz w:val="16"/>
                <w:szCs w:val="16"/>
              </w:rPr>
              <w:t>2025–26 Forward estimate</w:t>
            </w:r>
            <w:r w:rsidRPr="00DC49A5">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27499D07" w14:textId="77777777" w:rsidR="00DC49A5" w:rsidRPr="00DC49A5" w:rsidRDefault="00DC49A5" w:rsidP="00DC49A5">
            <w:pPr>
              <w:spacing w:before="40" w:after="0"/>
              <w:jc w:val="right"/>
              <w:rPr>
                <w:rFonts w:ascii="Arial" w:hAnsi="Arial" w:cs="Arial"/>
                <w:b/>
                <w:bCs/>
                <w:color w:val="auto"/>
                <w:sz w:val="16"/>
                <w:szCs w:val="16"/>
              </w:rPr>
            </w:pPr>
            <w:r w:rsidRPr="00DC49A5">
              <w:rPr>
                <w:rFonts w:ascii="Arial" w:hAnsi="Arial" w:cs="Arial"/>
                <w:b/>
                <w:bCs/>
                <w:color w:val="auto"/>
                <w:sz w:val="16"/>
                <w:szCs w:val="16"/>
              </w:rPr>
              <w:t>2026–27 Forward estimate</w:t>
            </w:r>
            <w:r w:rsidRPr="00DC49A5">
              <w:rPr>
                <w:rFonts w:ascii="Arial" w:hAnsi="Arial" w:cs="Arial"/>
                <w:b/>
                <w:bCs/>
                <w:color w:val="auto"/>
                <w:sz w:val="16"/>
                <w:szCs w:val="16"/>
              </w:rPr>
              <w:br/>
              <w:t>$'000</w:t>
            </w:r>
          </w:p>
        </w:tc>
      </w:tr>
      <w:tr w:rsidR="00DC49A5" w:rsidRPr="00DC49A5" w14:paraId="40F4A848" w14:textId="77777777" w:rsidTr="00DC49A5">
        <w:trPr>
          <w:trHeight w:val="525"/>
        </w:trPr>
        <w:tc>
          <w:tcPr>
            <w:tcW w:w="2880" w:type="dxa"/>
            <w:tcBorders>
              <w:top w:val="nil"/>
              <w:left w:val="nil"/>
              <w:bottom w:val="nil"/>
              <w:right w:val="nil"/>
            </w:tcBorders>
            <w:shd w:val="clear" w:color="auto" w:fill="auto"/>
            <w:vAlign w:val="bottom"/>
            <w:hideMark/>
          </w:tcPr>
          <w:p w14:paraId="50863C5D" w14:textId="77777777" w:rsidR="00DC49A5" w:rsidRPr="00DC49A5" w:rsidRDefault="00DC49A5" w:rsidP="00DC49A5">
            <w:pPr>
              <w:spacing w:after="0"/>
              <w:rPr>
                <w:rFonts w:ascii="Arial" w:hAnsi="Arial" w:cs="Arial"/>
                <w:b/>
                <w:bCs/>
                <w:sz w:val="16"/>
                <w:szCs w:val="16"/>
              </w:rPr>
            </w:pPr>
            <w:r w:rsidRPr="00DC49A5">
              <w:rPr>
                <w:rFonts w:ascii="Arial" w:hAnsi="Arial" w:cs="Arial"/>
                <w:b/>
                <w:bCs/>
                <w:sz w:val="16"/>
                <w:szCs w:val="16"/>
              </w:rPr>
              <w:t>ASSETS ADMINISTERED ON BEHALF OF GOVERNMENT</w:t>
            </w:r>
          </w:p>
        </w:tc>
        <w:tc>
          <w:tcPr>
            <w:tcW w:w="900" w:type="dxa"/>
            <w:tcBorders>
              <w:top w:val="single" w:sz="4" w:space="0" w:color="auto"/>
              <w:left w:val="nil"/>
              <w:bottom w:val="nil"/>
              <w:right w:val="nil"/>
            </w:tcBorders>
            <w:shd w:val="clear" w:color="auto" w:fill="auto"/>
            <w:noWrap/>
            <w:vAlign w:val="bottom"/>
            <w:hideMark/>
          </w:tcPr>
          <w:p w14:paraId="48C6A0B7"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 </w:t>
            </w:r>
          </w:p>
        </w:tc>
        <w:tc>
          <w:tcPr>
            <w:tcW w:w="900" w:type="dxa"/>
            <w:tcBorders>
              <w:top w:val="single" w:sz="4" w:space="0" w:color="auto"/>
              <w:left w:val="nil"/>
              <w:bottom w:val="nil"/>
              <w:right w:val="nil"/>
            </w:tcBorders>
            <w:shd w:val="clear" w:color="000000" w:fill="D9D9D9"/>
            <w:noWrap/>
            <w:vAlign w:val="bottom"/>
            <w:hideMark/>
          </w:tcPr>
          <w:p w14:paraId="071059A9"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194C5F52"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21F185BD"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49A458EF"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 </w:t>
            </w:r>
          </w:p>
        </w:tc>
      </w:tr>
      <w:tr w:rsidR="00DC49A5" w:rsidRPr="00DC49A5" w14:paraId="3C17F4CA" w14:textId="77777777" w:rsidTr="00DC49A5">
        <w:trPr>
          <w:trHeight w:val="225"/>
        </w:trPr>
        <w:tc>
          <w:tcPr>
            <w:tcW w:w="2880" w:type="dxa"/>
            <w:tcBorders>
              <w:top w:val="nil"/>
              <w:left w:val="nil"/>
              <w:bottom w:val="nil"/>
              <w:right w:val="nil"/>
            </w:tcBorders>
            <w:shd w:val="clear" w:color="auto" w:fill="auto"/>
            <w:noWrap/>
            <w:vAlign w:val="bottom"/>
            <w:hideMark/>
          </w:tcPr>
          <w:p w14:paraId="04E8BBBC" w14:textId="77777777" w:rsidR="00DC49A5" w:rsidRPr="00DC49A5" w:rsidRDefault="00DC49A5" w:rsidP="00DC49A5">
            <w:pPr>
              <w:spacing w:after="0"/>
              <w:ind w:firstLineChars="100" w:firstLine="160"/>
              <w:rPr>
                <w:rFonts w:ascii="Arial" w:hAnsi="Arial" w:cs="Arial"/>
                <w:b/>
                <w:bCs/>
                <w:sz w:val="16"/>
                <w:szCs w:val="16"/>
              </w:rPr>
            </w:pPr>
            <w:r w:rsidRPr="00DC49A5">
              <w:rPr>
                <w:rFonts w:ascii="Arial" w:hAnsi="Arial" w:cs="Arial"/>
                <w:b/>
                <w:bCs/>
                <w:sz w:val="16"/>
                <w:szCs w:val="16"/>
              </w:rPr>
              <w:t>Financial assets</w:t>
            </w:r>
          </w:p>
        </w:tc>
        <w:tc>
          <w:tcPr>
            <w:tcW w:w="900" w:type="dxa"/>
            <w:tcBorders>
              <w:top w:val="nil"/>
              <w:left w:val="nil"/>
              <w:bottom w:val="nil"/>
              <w:right w:val="nil"/>
            </w:tcBorders>
            <w:shd w:val="clear" w:color="auto" w:fill="auto"/>
            <w:noWrap/>
            <w:vAlign w:val="bottom"/>
            <w:hideMark/>
          </w:tcPr>
          <w:p w14:paraId="6F76CC26" w14:textId="77777777" w:rsidR="00DC49A5" w:rsidRPr="00DC49A5" w:rsidRDefault="00DC49A5" w:rsidP="00DC49A5">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3B82B821"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20DE9A3D" w14:textId="77777777" w:rsidR="00DC49A5" w:rsidRPr="00DC49A5" w:rsidRDefault="00DC49A5" w:rsidP="00DC49A5">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16CFDE3E" w14:textId="77777777" w:rsidR="00DC49A5" w:rsidRPr="00DC49A5" w:rsidRDefault="00DC49A5" w:rsidP="00DC49A5">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F8DC053" w14:textId="77777777" w:rsidR="00DC49A5" w:rsidRPr="00DC49A5" w:rsidRDefault="00DC49A5" w:rsidP="00DC49A5">
            <w:pPr>
              <w:spacing w:after="0"/>
              <w:jc w:val="right"/>
              <w:rPr>
                <w:rFonts w:ascii="Times New Roman" w:hAnsi="Times New Roman"/>
                <w:color w:val="auto"/>
                <w:sz w:val="20"/>
              </w:rPr>
            </w:pPr>
          </w:p>
        </w:tc>
      </w:tr>
      <w:tr w:rsidR="00DC49A5" w:rsidRPr="00DC49A5" w14:paraId="72EBE6BD" w14:textId="77777777" w:rsidTr="00DC49A5">
        <w:trPr>
          <w:trHeight w:val="225"/>
        </w:trPr>
        <w:tc>
          <w:tcPr>
            <w:tcW w:w="2880" w:type="dxa"/>
            <w:tcBorders>
              <w:top w:val="nil"/>
              <w:left w:val="nil"/>
              <w:bottom w:val="nil"/>
              <w:right w:val="nil"/>
            </w:tcBorders>
            <w:shd w:val="clear" w:color="auto" w:fill="auto"/>
            <w:noWrap/>
            <w:vAlign w:val="bottom"/>
            <w:hideMark/>
          </w:tcPr>
          <w:p w14:paraId="7E16AB8B" w14:textId="77777777" w:rsidR="00DC49A5" w:rsidRPr="00DC49A5" w:rsidRDefault="00DC49A5" w:rsidP="00DC49A5">
            <w:pPr>
              <w:spacing w:after="0"/>
              <w:ind w:firstLineChars="200" w:firstLine="320"/>
              <w:rPr>
                <w:rFonts w:ascii="Arial" w:hAnsi="Arial" w:cs="Arial"/>
                <w:color w:val="auto"/>
                <w:sz w:val="16"/>
                <w:szCs w:val="16"/>
              </w:rPr>
            </w:pPr>
            <w:r w:rsidRPr="00DC49A5">
              <w:rPr>
                <w:rFonts w:ascii="Arial" w:hAnsi="Arial" w:cs="Arial"/>
                <w:color w:val="auto"/>
                <w:sz w:val="16"/>
                <w:szCs w:val="16"/>
              </w:rPr>
              <w:t>Cash and cash equivalents</w:t>
            </w:r>
          </w:p>
        </w:tc>
        <w:tc>
          <w:tcPr>
            <w:tcW w:w="900" w:type="dxa"/>
            <w:tcBorders>
              <w:top w:val="nil"/>
              <w:left w:val="nil"/>
              <w:bottom w:val="nil"/>
              <w:right w:val="nil"/>
            </w:tcBorders>
            <w:shd w:val="clear" w:color="auto" w:fill="auto"/>
            <w:noWrap/>
            <w:vAlign w:val="bottom"/>
            <w:hideMark/>
          </w:tcPr>
          <w:p w14:paraId="46BFDC3F"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263,853</w:t>
            </w:r>
          </w:p>
        </w:tc>
        <w:tc>
          <w:tcPr>
            <w:tcW w:w="900" w:type="dxa"/>
            <w:tcBorders>
              <w:top w:val="nil"/>
              <w:left w:val="nil"/>
              <w:bottom w:val="nil"/>
              <w:right w:val="nil"/>
            </w:tcBorders>
            <w:shd w:val="clear" w:color="000000" w:fill="D9D9D9"/>
            <w:noWrap/>
            <w:vAlign w:val="bottom"/>
            <w:hideMark/>
          </w:tcPr>
          <w:p w14:paraId="49713454"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238,625</w:t>
            </w:r>
          </w:p>
        </w:tc>
        <w:tc>
          <w:tcPr>
            <w:tcW w:w="900" w:type="dxa"/>
            <w:tcBorders>
              <w:top w:val="nil"/>
              <w:left w:val="nil"/>
              <w:bottom w:val="nil"/>
              <w:right w:val="nil"/>
            </w:tcBorders>
            <w:shd w:val="clear" w:color="auto" w:fill="auto"/>
            <w:noWrap/>
            <w:vAlign w:val="bottom"/>
            <w:hideMark/>
          </w:tcPr>
          <w:p w14:paraId="16F15362"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205,905</w:t>
            </w:r>
          </w:p>
        </w:tc>
        <w:tc>
          <w:tcPr>
            <w:tcW w:w="900" w:type="dxa"/>
            <w:tcBorders>
              <w:top w:val="nil"/>
              <w:left w:val="nil"/>
              <w:bottom w:val="nil"/>
              <w:right w:val="nil"/>
            </w:tcBorders>
            <w:shd w:val="clear" w:color="auto" w:fill="auto"/>
            <w:noWrap/>
            <w:vAlign w:val="bottom"/>
            <w:hideMark/>
          </w:tcPr>
          <w:p w14:paraId="43189A69"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182,383</w:t>
            </w:r>
          </w:p>
        </w:tc>
        <w:tc>
          <w:tcPr>
            <w:tcW w:w="900" w:type="dxa"/>
            <w:tcBorders>
              <w:top w:val="nil"/>
              <w:left w:val="nil"/>
              <w:bottom w:val="nil"/>
              <w:right w:val="nil"/>
            </w:tcBorders>
            <w:shd w:val="clear" w:color="auto" w:fill="auto"/>
            <w:noWrap/>
            <w:vAlign w:val="bottom"/>
            <w:hideMark/>
          </w:tcPr>
          <w:p w14:paraId="21E896BF"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182,734</w:t>
            </w:r>
          </w:p>
        </w:tc>
      </w:tr>
      <w:tr w:rsidR="00DC49A5" w:rsidRPr="00DC49A5" w14:paraId="0EEA5CE6" w14:textId="77777777" w:rsidTr="00DC49A5">
        <w:trPr>
          <w:trHeight w:val="225"/>
        </w:trPr>
        <w:tc>
          <w:tcPr>
            <w:tcW w:w="2880" w:type="dxa"/>
            <w:tcBorders>
              <w:top w:val="nil"/>
              <w:left w:val="nil"/>
              <w:bottom w:val="nil"/>
              <w:right w:val="nil"/>
            </w:tcBorders>
            <w:shd w:val="clear" w:color="auto" w:fill="auto"/>
            <w:noWrap/>
            <w:vAlign w:val="bottom"/>
            <w:hideMark/>
          </w:tcPr>
          <w:p w14:paraId="5EFFDA31" w14:textId="77777777" w:rsidR="00DC49A5" w:rsidRPr="00DC49A5" w:rsidRDefault="00DC49A5" w:rsidP="00DC49A5">
            <w:pPr>
              <w:spacing w:after="0"/>
              <w:ind w:firstLineChars="200" w:firstLine="320"/>
              <w:rPr>
                <w:rFonts w:ascii="Arial" w:hAnsi="Arial" w:cs="Arial"/>
                <w:sz w:val="16"/>
                <w:szCs w:val="16"/>
              </w:rPr>
            </w:pPr>
            <w:r w:rsidRPr="00DC49A5">
              <w:rPr>
                <w:rFonts w:ascii="Arial" w:hAnsi="Arial" w:cs="Arial"/>
                <w:sz w:val="16"/>
                <w:szCs w:val="16"/>
              </w:rPr>
              <w:t>Receivables</w:t>
            </w:r>
          </w:p>
        </w:tc>
        <w:tc>
          <w:tcPr>
            <w:tcW w:w="900" w:type="dxa"/>
            <w:tcBorders>
              <w:top w:val="nil"/>
              <w:left w:val="nil"/>
              <w:bottom w:val="nil"/>
              <w:right w:val="nil"/>
            </w:tcBorders>
            <w:shd w:val="clear" w:color="auto" w:fill="auto"/>
            <w:noWrap/>
            <w:vAlign w:val="bottom"/>
            <w:hideMark/>
          </w:tcPr>
          <w:p w14:paraId="18627B9F"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1,209</w:t>
            </w:r>
          </w:p>
        </w:tc>
        <w:tc>
          <w:tcPr>
            <w:tcW w:w="900" w:type="dxa"/>
            <w:tcBorders>
              <w:top w:val="nil"/>
              <w:left w:val="nil"/>
              <w:bottom w:val="nil"/>
              <w:right w:val="nil"/>
            </w:tcBorders>
            <w:shd w:val="clear" w:color="000000" w:fill="D9D9D9"/>
            <w:noWrap/>
            <w:vAlign w:val="bottom"/>
            <w:hideMark/>
          </w:tcPr>
          <w:p w14:paraId="152D32DE"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1,209</w:t>
            </w:r>
          </w:p>
        </w:tc>
        <w:tc>
          <w:tcPr>
            <w:tcW w:w="900" w:type="dxa"/>
            <w:tcBorders>
              <w:top w:val="nil"/>
              <w:left w:val="nil"/>
              <w:bottom w:val="nil"/>
              <w:right w:val="nil"/>
            </w:tcBorders>
            <w:shd w:val="clear" w:color="auto" w:fill="auto"/>
            <w:noWrap/>
            <w:vAlign w:val="bottom"/>
            <w:hideMark/>
          </w:tcPr>
          <w:p w14:paraId="020539A8"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1,209</w:t>
            </w:r>
          </w:p>
        </w:tc>
        <w:tc>
          <w:tcPr>
            <w:tcW w:w="900" w:type="dxa"/>
            <w:tcBorders>
              <w:top w:val="nil"/>
              <w:left w:val="nil"/>
              <w:bottom w:val="nil"/>
              <w:right w:val="nil"/>
            </w:tcBorders>
            <w:shd w:val="clear" w:color="auto" w:fill="auto"/>
            <w:noWrap/>
            <w:vAlign w:val="bottom"/>
            <w:hideMark/>
          </w:tcPr>
          <w:p w14:paraId="1D818EB1"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1,209</w:t>
            </w:r>
          </w:p>
        </w:tc>
        <w:tc>
          <w:tcPr>
            <w:tcW w:w="900" w:type="dxa"/>
            <w:tcBorders>
              <w:top w:val="nil"/>
              <w:left w:val="nil"/>
              <w:bottom w:val="nil"/>
              <w:right w:val="nil"/>
            </w:tcBorders>
            <w:shd w:val="clear" w:color="auto" w:fill="auto"/>
            <w:noWrap/>
            <w:vAlign w:val="bottom"/>
            <w:hideMark/>
          </w:tcPr>
          <w:p w14:paraId="0E4BD9AC"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1,209</w:t>
            </w:r>
          </w:p>
        </w:tc>
      </w:tr>
      <w:tr w:rsidR="00DC49A5" w:rsidRPr="00DC49A5" w14:paraId="4BEA355B" w14:textId="77777777" w:rsidTr="00DC49A5">
        <w:trPr>
          <w:trHeight w:val="225"/>
        </w:trPr>
        <w:tc>
          <w:tcPr>
            <w:tcW w:w="2880" w:type="dxa"/>
            <w:tcBorders>
              <w:top w:val="nil"/>
              <w:left w:val="nil"/>
              <w:bottom w:val="nil"/>
              <w:right w:val="nil"/>
            </w:tcBorders>
            <w:shd w:val="clear" w:color="auto" w:fill="auto"/>
            <w:noWrap/>
            <w:vAlign w:val="bottom"/>
            <w:hideMark/>
          </w:tcPr>
          <w:p w14:paraId="4FFAACFC" w14:textId="77777777" w:rsidR="00DC49A5" w:rsidRPr="00DC49A5" w:rsidRDefault="00DC49A5" w:rsidP="00DC49A5">
            <w:pPr>
              <w:spacing w:after="0"/>
              <w:ind w:firstLineChars="200" w:firstLine="320"/>
              <w:rPr>
                <w:rFonts w:ascii="Arial" w:hAnsi="Arial" w:cs="Arial"/>
                <w:b/>
                <w:bCs/>
                <w:sz w:val="16"/>
                <w:szCs w:val="16"/>
              </w:rPr>
            </w:pPr>
            <w:r w:rsidRPr="00DC49A5">
              <w:rPr>
                <w:rFonts w:ascii="Arial" w:hAnsi="Arial" w:cs="Arial"/>
                <w:b/>
                <w:bCs/>
                <w:sz w:val="16"/>
                <w:szCs w:val="16"/>
              </w:rPr>
              <w:t>Total financial assets</w:t>
            </w:r>
          </w:p>
        </w:tc>
        <w:tc>
          <w:tcPr>
            <w:tcW w:w="900" w:type="dxa"/>
            <w:tcBorders>
              <w:top w:val="nil"/>
              <w:left w:val="nil"/>
              <w:bottom w:val="single" w:sz="4" w:space="0" w:color="auto"/>
              <w:right w:val="nil"/>
            </w:tcBorders>
            <w:shd w:val="clear" w:color="auto" w:fill="auto"/>
            <w:noWrap/>
            <w:vAlign w:val="bottom"/>
            <w:hideMark/>
          </w:tcPr>
          <w:p w14:paraId="5ECB19AF" w14:textId="77777777" w:rsidR="00DC49A5" w:rsidRPr="00DC49A5" w:rsidRDefault="00DC49A5" w:rsidP="00DC49A5">
            <w:pPr>
              <w:spacing w:after="0"/>
              <w:jc w:val="right"/>
              <w:rPr>
                <w:rFonts w:ascii="Arial" w:hAnsi="Arial" w:cs="Arial"/>
                <w:b/>
                <w:bCs/>
                <w:sz w:val="16"/>
                <w:szCs w:val="16"/>
              </w:rPr>
            </w:pPr>
            <w:r w:rsidRPr="00DC49A5">
              <w:rPr>
                <w:rFonts w:ascii="Arial" w:hAnsi="Arial" w:cs="Arial"/>
                <w:b/>
                <w:bCs/>
                <w:sz w:val="16"/>
                <w:szCs w:val="16"/>
              </w:rPr>
              <w:t>265,062</w:t>
            </w:r>
          </w:p>
        </w:tc>
        <w:tc>
          <w:tcPr>
            <w:tcW w:w="900" w:type="dxa"/>
            <w:tcBorders>
              <w:top w:val="nil"/>
              <w:left w:val="nil"/>
              <w:bottom w:val="single" w:sz="4" w:space="0" w:color="auto"/>
              <w:right w:val="nil"/>
            </w:tcBorders>
            <w:shd w:val="clear" w:color="000000" w:fill="D9D9D9"/>
            <w:noWrap/>
            <w:vAlign w:val="bottom"/>
            <w:hideMark/>
          </w:tcPr>
          <w:p w14:paraId="30A53C1F" w14:textId="77777777" w:rsidR="00DC49A5" w:rsidRPr="00DC49A5" w:rsidRDefault="00DC49A5" w:rsidP="00DC49A5">
            <w:pPr>
              <w:spacing w:after="0"/>
              <w:jc w:val="right"/>
              <w:rPr>
                <w:rFonts w:ascii="Arial" w:hAnsi="Arial" w:cs="Arial"/>
                <w:b/>
                <w:bCs/>
                <w:sz w:val="16"/>
                <w:szCs w:val="16"/>
              </w:rPr>
            </w:pPr>
            <w:r w:rsidRPr="00DC49A5">
              <w:rPr>
                <w:rFonts w:ascii="Arial" w:hAnsi="Arial" w:cs="Arial"/>
                <w:b/>
                <w:bCs/>
                <w:sz w:val="16"/>
                <w:szCs w:val="16"/>
              </w:rPr>
              <w:t>239,834</w:t>
            </w:r>
          </w:p>
        </w:tc>
        <w:tc>
          <w:tcPr>
            <w:tcW w:w="900" w:type="dxa"/>
            <w:tcBorders>
              <w:top w:val="nil"/>
              <w:left w:val="nil"/>
              <w:bottom w:val="single" w:sz="4" w:space="0" w:color="auto"/>
              <w:right w:val="nil"/>
            </w:tcBorders>
            <w:shd w:val="clear" w:color="auto" w:fill="auto"/>
            <w:noWrap/>
            <w:vAlign w:val="bottom"/>
            <w:hideMark/>
          </w:tcPr>
          <w:p w14:paraId="4E003A2B" w14:textId="77777777" w:rsidR="00DC49A5" w:rsidRPr="00DC49A5" w:rsidRDefault="00DC49A5" w:rsidP="00DC49A5">
            <w:pPr>
              <w:spacing w:after="0"/>
              <w:jc w:val="right"/>
              <w:rPr>
                <w:rFonts w:ascii="Arial" w:hAnsi="Arial" w:cs="Arial"/>
                <w:b/>
                <w:bCs/>
                <w:sz w:val="16"/>
                <w:szCs w:val="16"/>
              </w:rPr>
            </w:pPr>
            <w:r w:rsidRPr="00DC49A5">
              <w:rPr>
                <w:rFonts w:ascii="Arial" w:hAnsi="Arial" w:cs="Arial"/>
                <w:b/>
                <w:bCs/>
                <w:sz w:val="16"/>
                <w:szCs w:val="16"/>
              </w:rPr>
              <w:t>207,114</w:t>
            </w:r>
          </w:p>
        </w:tc>
        <w:tc>
          <w:tcPr>
            <w:tcW w:w="900" w:type="dxa"/>
            <w:tcBorders>
              <w:top w:val="nil"/>
              <w:left w:val="nil"/>
              <w:bottom w:val="single" w:sz="4" w:space="0" w:color="auto"/>
              <w:right w:val="nil"/>
            </w:tcBorders>
            <w:shd w:val="clear" w:color="auto" w:fill="auto"/>
            <w:noWrap/>
            <w:vAlign w:val="bottom"/>
            <w:hideMark/>
          </w:tcPr>
          <w:p w14:paraId="79C45357" w14:textId="77777777" w:rsidR="00DC49A5" w:rsidRPr="00DC49A5" w:rsidRDefault="00DC49A5" w:rsidP="00DC49A5">
            <w:pPr>
              <w:spacing w:after="0"/>
              <w:jc w:val="right"/>
              <w:rPr>
                <w:rFonts w:ascii="Arial" w:hAnsi="Arial" w:cs="Arial"/>
                <w:b/>
                <w:bCs/>
                <w:sz w:val="16"/>
                <w:szCs w:val="16"/>
              </w:rPr>
            </w:pPr>
            <w:r w:rsidRPr="00DC49A5">
              <w:rPr>
                <w:rFonts w:ascii="Arial" w:hAnsi="Arial" w:cs="Arial"/>
                <w:b/>
                <w:bCs/>
                <w:sz w:val="16"/>
                <w:szCs w:val="16"/>
              </w:rPr>
              <w:t>183,592</w:t>
            </w:r>
          </w:p>
        </w:tc>
        <w:tc>
          <w:tcPr>
            <w:tcW w:w="900" w:type="dxa"/>
            <w:tcBorders>
              <w:top w:val="nil"/>
              <w:left w:val="nil"/>
              <w:bottom w:val="single" w:sz="4" w:space="0" w:color="auto"/>
              <w:right w:val="nil"/>
            </w:tcBorders>
            <w:shd w:val="clear" w:color="auto" w:fill="auto"/>
            <w:noWrap/>
            <w:vAlign w:val="bottom"/>
            <w:hideMark/>
          </w:tcPr>
          <w:p w14:paraId="7BBE3AFF" w14:textId="77777777" w:rsidR="00DC49A5" w:rsidRPr="00DC49A5" w:rsidRDefault="00DC49A5" w:rsidP="00DC49A5">
            <w:pPr>
              <w:spacing w:after="0"/>
              <w:jc w:val="right"/>
              <w:rPr>
                <w:rFonts w:ascii="Arial" w:hAnsi="Arial" w:cs="Arial"/>
                <w:b/>
                <w:bCs/>
                <w:sz w:val="16"/>
                <w:szCs w:val="16"/>
              </w:rPr>
            </w:pPr>
            <w:r w:rsidRPr="00DC49A5">
              <w:rPr>
                <w:rFonts w:ascii="Arial" w:hAnsi="Arial" w:cs="Arial"/>
                <w:b/>
                <w:bCs/>
                <w:sz w:val="16"/>
                <w:szCs w:val="16"/>
              </w:rPr>
              <w:t>183,943</w:t>
            </w:r>
          </w:p>
        </w:tc>
      </w:tr>
      <w:tr w:rsidR="00DC49A5" w:rsidRPr="00DC49A5" w14:paraId="0AD99F22" w14:textId="77777777" w:rsidTr="00DC49A5">
        <w:trPr>
          <w:trHeight w:val="525"/>
        </w:trPr>
        <w:tc>
          <w:tcPr>
            <w:tcW w:w="2880" w:type="dxa"/>
            <w:tcBorders>
              <w:top w:val="nil"/>
              <w:left w:val="nil"/>
              <w:bottom w:val="nil"/>
              <w:right w:val="nil"/>
            </w:tcBorders>
            <w:shd w:val="clear" w:color="auto" w:fill="auto"/>
            <w:vAlign w:val="bottom"/>
            <w:hideMark/>
          </w:tcPr>
          <w:p w14:paraId="730DD379" w14:textId="77777777" w:rsidR="00DC49A5" w:rsidRPr="00DC49A5" w:rsidRDefault="00DC49A5" w:rsidP="00DC49A5">
            <w:pPr>
              <w:spacing w:after="0"/>
              <w:ind w:leftChars="75" w:left="143"/>
              <w:rPr>
                <w:rFonts w:ascii="Arial" w:hAnsi="Arial" w:cs="Arial"/>
                <w:b/>
                <w:bCs/>
                <w:sz w:val="16"/>
                <w:szCs w:val="16"/>
              </w:rPr>
            </w:pPr>
            <w:r w:rsidRPr="00DC49A5">
              <w:rPr>
                <w:rFonts w:ascii="Arial" w:hAnsi="Arial" w:cs="Arial"/>
                <w:b/>
                <w:bCs/>
                <w:sz w:val="16"/>
                <w:szCs w:val="16"/>
              </w:rPr>
              <w:t>Total assets administered on behalf of Government</w:t>
            </w:r>
          </w:p>
        </w:tc>
        <w:tc>
          <w:tcPr>
            <w:tcW w:w="900" w:type="dxa"/>
            <w:tcBorders>
              <w:top w:val="nil"/>
              <w:left w:val="nil"/>
              <w:bottom w:val="single" w:sz="4" w:space="0" w:color="auto"/>
              <w:right w:val="nil"/>
            </w:tcBorders>
            <w:shd w:val="clear" w:color="auto" w:fill="auto"/>
            <w:noWrap/>
            <w:vAlign w:val="bottom"/>
            <w:hideMark/>
          </w:tcPr>
          <w:p w14:paraId="7476CCFA" w14:textId="77777777" w:rsidR="00DC49A5" w:rsidRPr="00DC49A5" w:rsidRDefault="00DC49A5" w:rsidP="00DC49A5">
            <w:pPr>
              <w:spacing w:after="0"/>
              <w:jc w:val="right"/>
              <w:rPr>
                <w:rFonts w:ascii="Arial" w:hAnsi="Arial" w:cs="Arial"/>
                <w:b/>
                <w:bCs/>
                <w:sz w:val="16"/>
                <w:szCs w:val="16"/>
              </w:rPr>
            </w:pPr>
            <w:r w:rsidRPr="00DC49A5">
              <w:rPr>
                <w:rFonts w:ascii="Arial" w:hAnsi="Arial" w:cs="Arial"/>
                <w:b/>
                <w:bCs/>
                <w:sz w:val="16"/>
                <w:szCs w:val="16"/>
              </w:rPr>
              <w:t>265,062</w:t>
            </w:r>
          </w:p>
        </w:tc>
        <w:tc>
          <w:tcPr>
            <w:tcW w:w="900" w:type="dxa"/>
            <w:tcBorders>
              <w:top w:val="nil"/>
              <w:left w:val="nil"/>
              <w:bottom w:val="single" w:sz="4" w:space="0" w:color="auto"/>
              <w:right w:val="nil"/>
            </w:tcBorders>
            <w:shd w:val="clear" w:color="000000" w:fill="D9D9D9"/>
            <w:noWrap/>
            <w:vAlign w:val="bottom"/>
            <w:hideMark/>
          </w:tcPr>
          <w:p w14:paraId="0CA29520" w14:textId="77777777" w:rsidR="00DC49A5" w:rsidRPr="00DC49A5" w:rsidRDefault="00DC49A5" w:rsidP="00DC49A5">
            <w:pPr>
              <w:spacing w:after="0"/>
              <w:jc w:val="right"/>
              <w:rPr>
                <w:rFonts w:ascii="Arial" w:hAnsi="Arial" w:cs="Arial"/>
                <w:b/>
                <w:bCs/>
                <w:sz w:val="16"/>
                <w:szCs w:val="16"/>
              </w:rPr>
            </w:pPr>
            <w:r w:rsidRPr="00DC49A5">
              <w:rPr>
                <w:rFonts w:ascii="Arial" w:hAnsi="Arial" w:cs="Arial"/>
                <w:b/>
                <w:bCs/>
                <w:sz w:val="16"/>
                <w:szCs w:val="16"/>
              </w:rPr>
              <w:t>239,834</w:t>
            </w:r>
          </w:p>
        </w:tc>
        <w:tc>
          <w:tcPr>
            <w:tcW w:w="900" w:type="dxa"/>
            <w:tcBorders>
              <w:top w:val="nil"/>
              <w:left w:val="nil"/>
              <w:bottom w:val="single" w:sz="4" w:space="0" w:color="auto"/>
              <w:right w:val="nil"/>
            </w:tcBorders>
            <w:shd w:val="clear" w:color="auto" w:fill="auto"/>
            <w:noWrap/>
            <w:vAlign w:val="bottom"/>
            <w:hideMark/>
          </w:tcPr>
          <w:p w14:paraId="543F9B4E" w14:textId="77777777" w:rsidR="00DC49A5" w:rsidRPr="00DC49A5" w:rsidRDefault="00DC49A5" w:rsidP="00DC49A5">
            <w:pPr>
              <w:spacing w:after="0"/>
              <w:jc w:val="right"/>
              <w:rPr>
                <w:rFonts w:ascii="Arial" w:hAnsi="Arial" w:cs="Arial"/>
                <w:b/>
                <w:bCs/>
                <w:sz w:val="16"/>
                <w:szCs w:val="16"/>
              </w:rPr>
            </w:pPr>
            <w:r w:rsidRPr="00DC49A5">
              <w:rPr>
                <w:rFonts w:ascii="Arial" w:hAnsi="Arial" w:cs="Arial"/>
                <w:b/>
                <w:bCs/>
                <w:sz w:val="16"/>
                <w:szCs w:val="16"/>
              </w:rPr>
              <w:t>207,114</w:t>
            </w:r>
          </w:p>
        </w:tc>
        <w:tc>
          <w:tcPr>
            <w:tcW w:w="900" w:type="dxa"/>
            <w:tcBorders>
              <w:top w:val="nil"/>
              <w:left w:val="nil"/>
              <w:bottom w:val="single" w:sz="4" w:space="0" w:color="auto"/>
              <w:right w:val="nil"/>
            </w:tcBorders>
            <w:shd w:val="clear" w:color="auto" w:fill="auto"/>
            <w:noWrap/>
            <w:vAlign w:val="bottom"/>
            <w:hideMark/>
          </w:tcPr>
          <w:p w14:paraId="2735DF65" w14:textId="77777777" w:rsidR="00DC49A5" w:rsidRPr="00DC49A5" w:rsidRDefault="00DC49A5" w:rsidP="00DC49A5">
            <w:pPr>
              <w:spacing w:after="0"/>
              <w:jc w:val="right"/>
              <w:rPr>
                <w:rFonts w:ascii="Arial" w:hAnsi="Arial" w:cs="Arial"/>
                <w:b/>
                <w:bCs/>
                <w:sz w:val="16"/>
                <w:szCs w:val="16"/>
              </w:rPr>
            </w:pPr>
            <w:r w:rsidRPr="00DC49A5">
              <w:rPr>
                <w:rFonts w:ascii="Arial" w:hAnsi="Arial" w:cs="Arial"/>
                <w:b/>
                <w:bCs/>
                <w:sz w:val="16"/>
                <w:szCs w:val="16"/>
              </w:rPr>
              <w:t>183,592</w:t>
            </w:r>
          </w:p>
        </w:tc>
        <w:tc>
          <w:tcPr>
            <w:tcW w:w="900" w:type="dxa"/>
            <w:tcBorders>
              <w:top w:val="nil"/>
              <w:left w:val="nil"/>
              <w:bottom w:val="single" w:sz="4" w:space="0" w:color="auto"/>
              <w:right w:val="nil"/>
            </w:tcBorders>
            <w:shd w:val="clear" w:color="auto" w:fill="auto"/>
            <w:noWrap/>
            <w:vAlign w:val="bottom"/>
            <w:hideMark/>
          </w:tcPr>
          <w:p w14:paraId="58C7FA49" w14:textId="77777777" w:rsidR="00DC49A5" w:rsidRPr="00DC49A5" w:rsidRDefault="00DC49A5" w:rsidP="00DC49A5">
            <w:pPr>
              <w:spacing w:after="0"/>
              <w:jc w:val="right"/>
              <w:rPr>
                <w:rFonts w:ascii="Arial" w:hAnsi="Arial" w:cs="Arial"/>
                <w:b/>
                <w:bCs/>
                <w:sz w:val="16"/>
                <w:szCs w:val="16"/>
              </w:rPr>
            </w:pPr>
            <w:r w:rsidRPr="00DC49A5">
              <w:rPr>
                <w:rFonts w:ascii="Arial" w:hAnsi="Arial" w:cs="Arial"/>
                <w:b/>
                <w:bCs/>
                <w:sz w:val="16"/>
                <w:szCs w:val="16"/>
              </w:rPr>
              <w:t>183,943</w:t>
            </w:r>
          </w:p>
        </w:tc>
      </w:tr>
      <w:tr w:rsidR="00DC49A5" w:rsidRPr="00DC49A5" w14:paraId="284E631C" w14:textId="77777777" w:rsidTr="00DC49A5">
        <w:trPr>
          <w:trHeight w:val="525"/>
        </w:trPr>
        <w:tc>
          <w:tcPr>
            <w:tcW w:w="2880" w:type="dxa"/>
            <w:tcBorders>
              <w:top w:val="nil"/>
              <w:left w:val="nil"/>
              <w:bottom w:val="nil"/>
              <w:right w:val="nil"/>
            </w:tcBorders>
            <w:shd w:val="clear" w:color="auto" w:fill="auto"/>
            <w:vAlign w:val="bottom"/>
            <w:hideMark/>
          </w:tcPr>
          <w:p w14:paraId="59BAA24F" w14:textId="77777777" w:rsidR="00DC49A5" w:rsidRPr="00DC49A5" w:rsidRDefault="00DC49A5" w:rsidP="00DC49A5">
            <w:pPr>
              <w:spacing w:after="0"/>
              <w:rPr>
                <w:rFonts w:ascii="Arial" w:hAnsi="Arial" w:cs="Arial"/>
                <w:b/>
                <w:bCs/>
                <w:sz w:val="16"/>
                <w:szCs w:val="16"/>
              </w:rPr>
            </w:pPr>
            <w:r w:rsidRPr="00DC49A5">
              <w:rPr>
                <w:rFonts w:ascii="Arial" w:hAnsi="Arial" w:cs="Arial"/>
                <w:b/>
                <w:bCs/>
                <w:sz w:val="16"/>
                <w:szCs w:val="16"/>
              </w:rPr>
              <w:t>LIABILITIES ADMINISTERED ON BEHALF OF GOVERNMENT</w:t>
            </w:r>
          </w:p>
        </w:tc>
        <w:tc>
          <w:tcPr>
            <w:tcW w:w="900" w:type="dxa"/>
            <w:tcBorders>
              <w:top w:val="nil"/>
              <w:left w:val="nil"/>
              <w:bottom w:val="nil"/>
              <w:right w:val="nil"/>
            </w:tcBorders>
            <w:shd w:val="clear" w:color="auto" w:fill="auto"/>
            <w:noWrap/>
            <w:vAlign w:val="bottom"/>
            <w:hideMark/>
          </w:tcPr>
          <w:p w14:paraId="67F18B10" w14:textId="77777777" w:rsidR="00DC49A5" w:rsidRPr="00DC49A5" w:rsidRDefault="00DC49A5" w:rsidP="00DC49A5">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3870C0E6"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58A51A75" w14:textId="77777777" w:rsidR="00DC49A5" w:rsidRPr="00DC49A5" w:rsidRDefault="00DC49A5" w:rsidP="00DC49A5">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50F4F1B7" w14:textId="77777777" w:rsidR="00DC49A5" w:rsidRPr="00DC49A5" w:rsidRDefault="00DC49A5" w:rsidP="00DC49A5">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5FE9D2F1" w14:textId="77777777" w:rsidR="00DC49A5" w:rsidRPr="00DC49A5" w:rsidRDefault="00DC49A5" w:rsidP="00DC49A5">
            <w:pPr>
              <w:spacing w:after="0"/>
              <w:jc w:val="right"/>
              <w:rPr>
                <w:rFonts w:ascii="Times New Roman" w:hAnsi="Times New Roman"/>
                <w:color w:val="auto"/>
                <w:sz w:val="20"/>
              </w:rPr>
            </w:pPr>
          </w:p>
        </w:tc>
      </w:tr>
      <w:tr w:rsidR="00DC49A5" w:rsidRPr="00DC49A5" w14:paraId="76175E01" w14:textId="77777777" w:rsidTr="00DC49A5">
        <w:trPr>
          <w:trHeight w:val="225"/>
        </w:trPr>
        <w:tc>
          <w:tcPr>
            <w:tcW w:w="2880" w:type="dxa"/>
            <w:tcBorders>
              <w:top w:val="nil"/>
              <w:left w:val="nil"/>
              <w:bottom w:val="nil"/>
              <w:right w:val="nil"/>
            </w:tcBorders>
            <w:shd w:val="clear" w:color="auto" w:fill="auto"/>
            <w:noWrap/>
            <w:vAlign w:val="bottom"/>
            <w:hideMark/>
          </w:tcPr>
          <w:p w14:paraId="623CF0CD" w14:textId="77777777" w:rsidR="00DC49A5" w:rsidRPr="00DC49A5" w:rsidRDefault="00DC49A5" w:rsidP="00DC49A5">
            <w:pPr>
              <w:spacing w:after="0"/>
              <w:ind w:firstLineChars="100" w:firstLine="160"/>
              <w:rPr>
                <w:rFonts w:ascii="Arial" w:hAnsi="Arial" w:cs="Arial"/>
                <w:b/>
                <w:bCs/>
                <w:sz w:val="16"/>
                <w:szCs w:val="16"/>
              </w:rPr>
            </w:pPr>
            <w:r w:rsidRPr="00DC49A5">
              <w:rPr>
                <w:rFonts w:ascii="Arial" w:hAnsi="Arial" w:cs="Arial"/>
                <w:b/>
                <w:bCs/>
                <w:sz w:val="16"/>
                <w:szCs w:val="16"/>
              </w:rPr>
              <w:t>Payables</w:t>
            </w:r>
          </w:p>
        </w:tc>
        <w:tc>
          <w:tcPr>
            <w:tcW w:w="900" w:type="dxa"/>
            <w:tcBorders>
              <w:top w:val="nil"/>
              <w:left w:val="nil"/>
              <w:bottom w:val="nil"/>
              <w:right w:val="nil"/>
            </w:tcBorders>
            <w:shd w:val="clear" w:color="auto" w:fill="auto"/>
            <w:noWrap/>
            <w:vAlign w:val="bottom"/>
            <w:hideMark/>
          </w:tcPr>
          <w:p w14:paraId="56EEDB30" w14:textId="77777777" w:rsidR="00DC49A5" w:rsidRPr="00DC49A5" w:rsidRDefault="00DC49A5" w:rsidP="00DC49A5">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245B9DCD"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69C18162" w14:textId="77777777" w:rsidR="00DC49A5" w:rsidRPr="00DC49A5" w:rsidRDefault="00DC49A5" w:rsidP="00DC49A5">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3F8D8A7B" w14:textId="77777777" w:rsidR="00DC49A5" w:rsidRPr="00DC49A5" w:rsidRDefault="00DC49A5" w:rsidP="00DC49A5">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4067085" w14:textId="77777777" w:rsidR="00DC49A5" w:rsidRPr="00DC49A5" w:rsidRDefault="00DC49A5" w:rsidP="00DC49A5">
            <w:pPr>
              <w:spacing w:after="0"/>
              <w:jc w:val="right"/>
              <w:rPr>
                <w:rFonts w:ascii="Times New Roman" w:hAnsi="Times New Roman"/>
                <w:color w:val="auto"/>
                <w:sz w:val="20"/>
              </w:rPr>
            </w:pPr>
          </w:p>
        </w:tc>
      </w:tr>
      <w:tr w:rsidR="00DC49A5" w:rsidRPr="00DC49A5" w14:paraId="41E60D14" w14:textId="77777777" w:rsidTr="00DC49A5">
        <w:trPr>
          <w:trHeight w:val="225"/>
        </w:trPr>
        <w:tc>
          <w:tcPr>
            <w:tcW w:w="2880" w:type="dxa"/>
            <w:tcBorders>
              <w:top w:val="nil"/>
              <w:left w:val="nil"/>
              <w:bottom w:val="nil"/>
              <w:right w:val="nil"/>
            </w:tcBorders>
            <w:shd w:val="clear" w:color="auto" w:fill="auto"/>
            <w:noWrap/>
            <w:vAlign w:val="bottom"/>
            <w:hideMark/>
          </w:tcPr>
          <w:p w14:paraId="797E3556" w14:textId="77777777" w:rsidR="00DC49A5" w:rsidRPr="00DC49A5" w:rsidRDefault="00DC49A5" w:rsidP="00DC49A5">
            <w:pPr>
              <w:spacing w:after="0"/>
              <w:ind w:firstLineChars="200" w:firstLine="320"/>
              <w:rPr>
                <w:rFonts w:ascii="Arial" w:hAnsi="Arial" w:cs="Arial"/>
                <w:color w:val="auto"/>
                <w:sz w:val="16"/>
                <w:szCs w:val="16"/>
              </w:rPr>
            </w:pPr>
            <w:r w:rsidRPr="00DC49A5">
              <w:rPr>
                <w:rFonts w:ascii="Arial" w:hAnsi="Arial" w:cs="Arial"/>
                <w:color w:val="auto"/>
                <w:sz w:val="16"/>
                <w:szCs w:val="16"/>
              </w:rPr>
              <w:t>Grants</w:t>
            </w:r>
          </w:p>
        </w:tc>
        <w:tc>
          <w:tcPr>
            <w:tcW w:w="900" w:type="dxa"/>
            <w:tcBorders>
              <w:top w:val="nil"/>
              <w:left w:val="nil"/>
              <w:bottom w:val="nil"/>
              <w:right w:val="nil"/>
            </w:tcBorders>
            <w:shd w:val="clear" w:color="auto" w:fill="auto"/>
            <w:noWrap/>
            <w:vAlign w:val="bottom"/>
            <w:hideMark/>
          </w:tcPr>
          <w:p w14:paraId="79D11083"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7,596</w:t>
            </w:r>
          </w:p>
        </w:tc>
        <w:tc>
          <w:tcPr>
            <w:tcW w:w="900" w:type="dxa"/>
            <w:tcBorders>
              <w:top w:val="nil"/>
              <w:left w:val="nil"/>
              <w:bottom w:val="nil"/>
              <w:right w:val="nil"/>
            </w:tcBorders>
            <w:shd w:val="clear" w:color="000000" w:fill="D9D9D9"/>
            <w:noWrap/>
            <w:vAlign w:val="bottom"/>
            <w:hideMark/>
          </w:tcPr>
          <w:p w14:paraId="64735D8F"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7,596</w:t>
            </w:r>
          </w:p>
        </w:tc>
        <w:tc>
          <w:tcPr>
            <w:tcW w:w="900" w:type="dxa"/>
            <w:tcBorders>
              <w:top w:val="nil"/>
              <w:left w:val="nil"/>
              <w:bottom w:val="nil"/>
              <w:right w:val="nil"/>
            </w:tcBorders>
            <w:shd w:val="clear" w:color="auto" w:fill="auto"/>
            <w:noWrap/>
            <w:vAlign w:val="bottom"/>
            <w:hideMark/>
          </w:tcPr>
          <w:p w14:paraId="38D92D69"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7,596</w:t>
            </w:r>
          </w:p>
        </w:tc>
        <w:tc>
          <w:tcPr>
            <w:tcW w:w="900" w:type="dxa"/>
            <w:tcBorders>
              <w:top w:val="nil"/>
              <w:left w:val="nil"/>
              <w:bottom w:val="nil"/>
              <w:right w:val="nil"/>
            </w:tcBorders>
            <w:shd w:val="clear" w:color="auto" w:fill="auto"/>
            <w:noWrap/>
            <w:vAlign w:val="bottom"/>
            <w:hideMark/>
          </w:tcPr>
          <w:p w14:paraId="7EAFF5A6"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7,596</w:t>
            </w:r>
          </w:p>
        </w:tc>
        <w:tc>
          <w:tcPr>
            <w:tcW w:w="900" w:type="dxa"/>
            <w:tcBorders>
              <w:top w:val="nil"/>
              <w:left w:val="nil"/>
              <w:bottom w:val="nil"/>
              <w:right w:val="nil"/>
            </w:tcBorders>
            <w:shd w:val="clear" w:color="auto" w:fill="auto"/>
            <w:noWrap/>
            <w:vAlign w:val="bottom"/>
            <w:hideMark/>
          </w:tcPr>
          <w:p w14:paraId="3F6FDFB6"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7,596</w:t>
            </w:r>
          </w:p>
        </w:tc>
      </w:tr>
      <w:tr w:rsidR="00DC49A5" w:rsidRPr="00DC49A5" w14:paraId="4E7FD2D9" w14:textId="77777777" w:rsidTr="00DC49A5">
        <w:trPr>
          <w:trHeight w:val="225"/>
        </w:trPr>
        <w:tc>
          <w:tcPr>
            <w:tcW w:w="2880" w:type="dxa"/>
            <w:tcBorders>
              <w:top w:val="nil"/>
              <w:left w:val="nil"/>
              <w:bottom w:val="nil"/>
              <w:right w:val="nil"/>
            </w:tcBorders>
            <w:shd w:val="clear" w:color="auto" w:fill="auto"/>
            <w:noWrap/>
            <w:vAlign w:val="bottom"/>
            <w:hideMark/>
          </w:tcPr>
          <w:p w14:paraId="31908871" w14:textId="77777777" w:rsidR="00DC49A5" w:rsidRPr="00DC49A5" w:rsidRDefault="00DC49A5" w:rsidP="00DC49A5">
            <w:pPr>
              <w:spacing w:after="0"/>
              <w:ind w:firstLineChars="200" w:firstLine="320"/>
              <w:rPr>
                <w:rFonts w:ascii="Arial" w:hAnsi="Arial" w:cs="Arial"/>
                <w:sz w:val="16"/>
                <w:szCs w:val="16"/>
              </w:rPr>
            </w:pPr>
            <w:r w:rsidRPr="00DC49A5">
              <w:rPr>
                <w:rFonts w:ascii="Arial" w:hAnsi="Arial" w:cs="Arial"/>
                <w:sz w:val="16"/>
                <w:szCs w:val="16"/>
              </w:rPr>
              <w:t>Suppliers</w:t>
            </w:r>
          </w:p>
        </w:tc>
        <w:tc>
          <w:tcPr>
            <w:tcW w:w="900" w:type="dxa"/>
            <w:tcBorders>
              <w:top w:val="nil"/>
              <w:left w:val="nil"/>
              <w:bottom w:val="nil"/>
              <w:right w:val="nil"/>
            </w:tcBorders>
            <w:shd w:val="clear" w:color="auto" w:fill="auto"/>
            <w:noWrap/>
            <w:vAlign w:val="bottom"/>
            <w:hideMark/>
          </w:tcPr>
          <w:p w14:paraId="10CF182B"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11,606</w:t>
            </w:r>
          </w:p>
        </w:tc>
        <w:tc>
          <w:tcPr>
            <w:tcW w:w="900" w:type="dxa"/>
            <w:tcBorders>
              <w:top w:val="nil"/>
              <w:left w:val="nil"/>
              <w:bottom w:val="nil"/>
              <w:right w:val="nil"/>
            </w:tcBorders>
            <w:shd w:val="clear" w:color="000000" w:fill="D9D9D9"/>
            <w:noWrap/>
            <w:vAlign w:val="bottom"/>
            <w:hideMark/>
          </w:tcPr>
          <w:p w14:paraId="73DED72D"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11,606</w:t>
            </w:r>
          </w:p>
        </w:tc>
        <w:tc>
          <w:tcPr>
            <w:tcW w:w="900" w:type="dxa"/>
            <w:tcBorders>
              <w:top w:val="nil"/>
              <w:left w:val="nil"/>
              <w:bottom w:val="nil"/>
              <w:right w:val="nil"/>
            </w:tcBorders>
            <w:shd w:val="clear" w:color="auto" w:fill="auto"/>
            <w:noWrap/>
            <w:vAlign w:val="bottom"/>
            <w:hideMark/>
          </w:tcPr>
          <w:p w14:paraId="46F1C3F8"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11,606</w:t>
            </w:r>
          </w:p>
        </w:tc>
        <w:tc>
          <w:tcPr>
            <w:tcW w:w="900" w:type="dxa"/>
            <w:tcBorders>
              <w:top w:val="nil"/>
              <w:left w:val="nil"/>
              <w:bottom w:val="nil"/>
              <w:right w:val="nil"/>
            </w:tcBorders>
            <w:shd w:val="clear" w:color="auto" w:fill="auto"/>
            <w:noWrap/>
            <w:vAlign w:val="bottom"/>
            <w:hideMark/>
          </w:tcPr>
          <w:p w14:paraId="43F7ED37"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11,606</w:t>
            </w:r>
          </w:p>
        </w:tc>
        <w:tc>
          <w:tcPr>
            <w:tcW w:w="900" w:type="dxa"/>
            <w:tcBorders>
              <w:top w:val="nil"/>
              <w:left w:val="nil"/>
              <w:bottom w:val="nil"/>
              <w:right w:val="nil"/>
            </w:tcBorders>
            <w:shd w:val="clear" w:color="auto" w:fill="auto"/>
            <w:noWrap/>
            <w:vAlign w:val="bottom"/>
            <w:hideMark/>
          </w:tcPr>
          <w:p w14:paraId="195434F1"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11,606</w:t>
            </w:r>
          </w:p>
        </w:tc>
      </w:tr>
      <w:tr w:rsidR="00DC49A5" w:rsidRPr="00DC49A5" w14:paraId="08260761" w14:textId="77777777" w:rsidTr="00DC49A5">
        <w:trPr>
          <w:trHeight w:val="225"/>
        </w:trPr>
        <w:tc>
          <w:tcPr>
            <w:tcW w:w="2880" w:type="dxa"/>
            <w:tcBorders>
              <w:top w:val="nil"/>
              <w:left w:val="nil"/>
              <w:bottom w:val="nil"/>
              <w:right w:val="nil"/>
            </w:tcBorders>
            <w:shd w:val="clear" w:color="auto" w:fill="auto"/>
            <w:noWrap/>
            <w:vAlign w:val="bottom"/>
            <w:hideMark/>
          </w:tcPr>
          <w:p w14:paraId="18C8ABBF" w14:textId="77777777" w:rsidR="00DC49A5" w:rsidRPr="00DC49A5" w:rsidRDefault="00DC49A5" w:rsidP="00DC49A5">
            <w:pPr>
              <w:spacing w:after="0"/>
              <w:ind w:firstLineChars="200" w:firstLine="320"/>
              <w:rPr>
                <w:rFonts w:ascii="Arial" w:hAnsi="Arial" w:cs="Arial"/>
                <w:color w:val="auto"/>
                <w:sz w:val="16"/>
                <w:szCs w:val="16"/>
              </w:rPr>
            </w:pPr>
            <w:r w:rsidRPr="00DC49A5">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65717ADA"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205</w:t>
            </w:r>
          </w:p>
        </w:tc>
        <w:tc>
          <w:tcPr>
            <w:tcW w:w="900" w:type="dxa"/>
            <w:tcBorders>
              <w:top w:val="nil"/>
              <w:left w:val="nil"/>
              <w:bottom w:val="nil"/>
              <w:right w:val="nil"/>
            </w:tcBorders>
            <w:shd w:val="clear" w:color="000000" w:fill="D9D9D9"/>
            <w:noWrap/>
            <w:vAlign w:val="bottom"/>
            <w:hideMark/>
          </w:tcPr>
          <w:p w14:paraId="4D82ED70"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205</w:t>
            </w:r>
          </w:p>
        </w:tc>
        <w:tc>
          <w:tcPr>
            <w:tcW w:w="900" w:type="dxa"/>
            <w:tcBorders>
              <w:top w:val="nil"/>
              <w:left w:val="nil"/>
              <w:bottom w:val="nil"/>
              <w:right w:val="nil"/>
            </w:tcBorders>
            <w:shd w:val="clear" w:color="auto" w:fill="auto"/>
            <w:noWrap/>
            <w:vAlign w:val="bottom"/>
            <w:hideMark/>
          </w:tcPr>
          <w:p w14:paraId="32DBBF46"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205</w:t>
            </w:r>
          </w:p>
        </w:tc>
        <w:tc>
          <w:tcPr>
            <w:tcW w:w="900" w:type="dxa"/>
            <w:tcBorders>
              <w:top w:val="nil"/>
              <w:left w:val="nil"/>
              <w:bottom w:val="nil"/>
              <w:right w:val="nil"/>
            </w:tcBorders>
            <w:shd w:val="clear" w:color="auto" w:fill="auto"/>
            <w:noWrap/>
            <w:vAlign w:val="bottom"/>
            <w:hideMark/>
          </w:tcPr>
          <w:p w14:paraId="3345B540"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205</w:t>
            </w:r>
          </w:p>
        </w:tc>
        <w:tc>
          <w:tcPr>
            <w:tcW w:w="900" w:type="dxa"/>
            <w:tcBorders>
              <w:top w:val="nil"/>
              <w:left w:val="nil"/>
              <w:bottom w:val="nil"/>
              <w:right w:val="nil"/>
            </w:tcBorders>
            <w:shd w:val="clear" w:color="auto" w:fill="auto"/>
            <w:noWrap/>
            <w:vAlign w:val="bottom"/>
            <w:hideMark/>
          </w:tcPr>
          <w:p w14:paraId="14472368" w14:textId="77777777" w:rsidR="00DC49A5" w:rsidRPr="00DC49A5" w:rsidRDefault="00DC49A5" w:rsidP="00DC49A5">
            <w:pPr>
              <w:spacing w:after="0"/>
              <w:jc w:val="right"/>
              <w:rPr>
                <w:rFonts w:ascii="Arial" w:hAnsi="Arial" w:cs="Arial"/>
                <w:sz w:val="16"/>
                <w:szCs w:val="16"/>
              </w:rPr>
            </w:pPr>
            <w:r w:rsidRPr="00DC49A5">
              <w:rPr>
                <w:rFonts w:ascii="Arial" w:hAnsi="Arial" w:cs="Arial"/>
                <w:sz w:val="16"/>
                <w:szCs w:val="16"/>
              </w:rPr>
              <w:t>205</w:t>
            </w:r>
          </w:p>
        </w:tc>
      </w:tr>
      <w:tr w:rsidR="00DC49A5" w:rsidRPr="00DC49A5" w14:paraId="4CF3BC84" w14:textId="77777777" w:rsidTr="00DC49A5">
        <w:trPr>
          <w:trHeight w:val="225"/>
        </w:trPr>
        <w:tc>
          <w:tcPr>
            <w:tcW w:w="2880" w:type="dxa"/>
            <w:tcBorders>
              <w:top w:val="nil"/>
              <w:left w:val="nil"/>
              <w:bottom w:val="nil"/>
              <w:right w:val="nil"/>
            </w:tcBorders>
            <w:shd w:val="clear" w:color="auto" w:fill="auto"/>
            <w:noWrap/>
            <w:vAlign w:val="bottom"/>
            <w:hideMark/>
          </w:tcPr>
          <w:p w14:paraId="35F5C95D" w14:textId="77777777" w:rsidR="00DC49A5" w:rsidRPr="00DC49A5" w:rsidRDefault="00DC49A5" w:rsidP="00DC49A5">
            <w:pPr>
              <w:spacing w:after="0"/>
              <w:ind w:firstLineChars="200" w:firstLine="320"/>
              <w:rPr>
                <w:rFonts w:ascii="Arial" w:hAnsi="Arial" w:cs="Arial"/>
                <w:b/>
                <w:bCs/>
                <w:sz w:val="16"/>
                <w:szCs w:val="16"/>
              </w:rPr>
            </w:pPr>
            <w:r w:rsidRPr="00DC49A5">
              <w:rPr>
                <w:rFonts w:ascii="Arial" w:hAnsi="Arial" w:cs="Arial"/>
                <w:b/>
                <w:bCs/>
                <w:sz w:val="16"/>
                <w:szCs w:val="16"/>
              </w:rPr>
              <w:t>Total payables</w:t>
            </w:r>
          </w:p>
        </w:tc>
        <w:tc>
          <w:tcPr>
            <w:tcW w:w="900" w:type="dxa"/>
            <w:tcBorders>
              <w:top w:val="nil"/>
              <w:left w:val="nil"/>
              <w:bottom w:val="single" w:sz="4" w:space="0" w:color="auto"/>
              <w:right w:val="nil"/>
            </w:tcBorders>
            <w:shd w:val="clear" w:color="auto" w:fill="auto"/>
            <w:noWrap/>
            <w:vAlign w:val="bottom"/>
            <w:hideMark/>
          </w:tcPr>
          <w:p w14:paraId="313AC64F" w14:textId="77777777" w:rsidR="00DC49A5" w:rsidRPr="00DC49A5" w:rsidRDefault="00DC49A5" w:rsidP="00DC49A5">
            <w:pPr>
              <w:spacing w:after="0"/>
              <w:jc w:val="right"/>
              <w:rPr>
                <w:rFonts w:ascii="Arial" w:hAnsi="Arial" w:cs="Arial"/>
                <w:b/>
                <w:bCs/>
                <w:sz w:val="16"/>
                <w:szCs w:val="16"/>
              </w:rPr>
            </w:pPr>
            <w:r w:rsidRPr="00DC49A5">
              <w:rPr>
                <w:rFonts w:ascii="Arial" w:hAnsi="Arial" w:cs="Arial"/>
                <w:b/>
                <w:bCs/>
                <w:sz w:val="16"/>
                <w:szCs w:val="16"/>
              </w:rPr>
              <w:t>19,407</w:t>
            </w:r>
          </w:p>
        </w:tc>
        <w:tc>
          <w:tcPr>
            <w:tcW w:w="900" w:type="dxa"/>
            <w:tcBorders>
              <w:top w:val="nil"/>
              <w:left w:val="nil"/>
              <w:bottom w:val="single" w:sz="4" w:space="0" w:color="auto"/>
              <w:right w:val="nil"/>
            </w:tcBorders>
            <w:shd w:val="clear" w:color="000000" w:fill="D9D9D9"/>
            <w:noWrap/>
            <w:vAlign w:val="bottom"/>
            <w:hideMark/>
          </w:tcPr>
          <w:p w14:paraId="36D69027" w14:textId="77777777" w:rsidR="00DC49A5" w:rsidRPr="00DC49A5" w:rsidRDefault="00DC49A5" w:rsidP="00DC49A5">
            <w:pPr>
              <w:spacing w:after="0"/>
              <w:jc w:val="right"/>
              <w:rPr>
                <w:rFonts w:ascii="Arial" w:hAnsi="Arial" w:cs="Arial"/>
                <w:b/>
                <w:bCs/>
                <w:sz w:val="16"/>
                <w:szCs w:val="16"/>
              </w:rPr>
            </w:pPr>
            <w:r w:rsidRPr="00DC49A5">
              <w:rPr>
                <w:rFonts w:ascii="Arial" w:hAnsi="Arial" w:cs="Arial"/>
                <w:b/>
                <w:bCs/>
                <w:sz w:val="16"/>
                <w:szCs w:val="16"/>
              </w:rPr>
              <w:t>19,407</w:t>
            </w:r>
          </w:p>
        </w:tc>
        <w:tc>
          <w:tcPr>
            <w:tcW w:w="900" w:type="dxa"/>
            <w:tcBorders>
              <w:top w:val="nil"/>
              <w:left w:val="nil"/>
              <w:bottom w:val="single" w:sz="4" w:space="0" w:color="auto"/>
              <w:right w:val="nil"/>
            </w:tcBorders>
            <w:shd w:val="clear" w:color="auto" w:fill="auto"/>
            <w:noWrap/>
            <w:vAlign w:val="bottom"/>
            <w:hideMark/>
          </w:tcPr>
          <w:p w14:paraId="6064FEA2" w14:textId="77777777" w:rsidR="00DC49A5" w:rsidRPr="00DC49A5" w:rsidRDefault="00DC49A5" w:rsidP="00DC49A5">
            <w:pPr>
              <w:spacing w:after="0"/>
              <w:jc w:val="right"/>
              <w:rPr>
                <w:rFonts w:ascii="Arial" w:hAnsi="Arial" w:cs="Arial"/>
                <w:b/>
                <w:bCs/>
                <w:sz w:val="16"/>
                <w:szCs w:val="16"/>
              </w:rPr>
            </w:pPr>
            <w:r w:rsidRPr="00DC49A5">
              <w:rPr>
                <w:rFonts w:ascii="Arial" w:hAnsi="Arial" w:cs="Arial"/>
                <w:b/>
                <w:bCs/>
                <w:sz w:val="16"/>
                <w:szCs w:val="16"/>
              </w:rPr>
              <w:t>19,407</w:t>
            </w:r>
          </w:p>
        </w:tc>
        <w:tc>
          <w:tcPr>
            <w:tcW w:w="900" w:type="dxa"/>
            <w:tcBorders>
              <w:top w:val="nil"/>
              <w:left w:val="nil"/>
              <w:bottom w:val="single" w:sz="4" w:space="0" w:color="auto"/>
              <w:right w:val="nil"/>
            </w:tcBorders>
            <w:shd w:val="clear" w:color="auto" w:fill="auto"/>
            <w:noWrap/>
            <w:vAlign w:val="bottom"/>
            <w:hideMark/>
          </w:tcPr>
          <w:p w14:paraId="1D897E38" w14:textId="77777777" w:rsidR="00DC49A5" w:rsidRPr="00DC49A5" w:rsidRDefault="00DC49A5" w:rsidP="00DC49A5">
            <w:pPr>
              <w:spacing w:after="0"/>
              <w:jc w:val="right"/>
              <w:rPr>
                <w:rFonts w:ascii="Arial" w:hAnsi="Arial" w:cs="Arial"/>
                <w:b/>
                <w:bCs/>
                <w:sz w:val="16"/>
                <w:szCs w:val="16"/>
              </w:rPr>
            </w:pPr>
            <w:r w:rsidRPr="00DC49A5">
              <w:rPr>
                <w:rFonts w:ascii="Arial" w:hAnsi="Arial" w:cs="Arial"/>
                <w:b/>
                <w:bCs/>
                <w:sz w:val="16"/>
                <w:szCs w:val="16"/>
              </w:rPr>
              <w:t>19,407</w:t>
            </w:r>
          </w:p>
        </w:tc>
        <w:tc>
          <w:tcPr>
            <w:tcW w:w="900" w:type="dxa"/>
            <w:tcBorders>
              <w:top w:val="nil"/>
              <w:left w:val="nil"/>
              <w:bottom w:val="single" w:sz="4" w:space="0" w:color="auto"/>
              <w:right w:val="nil"/>
            </w:tcBorders>
            <w:shd w:val="clear" w:color="auto" w:fill="auto"/>
            <w:noWrap/>
            <w:vAlign w:val="bottom"/>
            <w:hideMark/>
          </w:tcPr>
          <w:p w14:paraId="3EBBFD5D" w14:textId="77777777" w:rsidR="00DC49A5" w:rsidRPr="00DC49A5" w:rsidRDefault="00DC49A5" w:rsidP="00DC49A5">
            <w:pPr>
              <w:spacing w:after="0"/>
              <w:jc w:val="right"/>
              <w:rPr>
                <w:rFonts w:ascii="Arial" w:hAnsi="Arial" w:cs="Arial"/>
                <w:b/>
                <w:bCs/>
                <w:sz w:val="16"/>
                <w:szCs w:val="16"/>
              </w:rPr>
            </w:pPr>
            <w:r w:rsidRPr="00DC49A5">
              <w:rPr>
                <w:rFonts w:ascii="Arial" w:hAnsi="Arial" w:cs="Arial"/>
                <w:b/>
                <w:bCs/>
                <w:sz w:val="16"/>
                <w:szCs w:val="16"/>
              </w:rPr>
              <w:t>19,407</w:t>
            </w:r>
          </w:p>
        </w:tc>
      </w:tr>
      <w:tr w:rsidR="00DC49A5" w:rsidRPr="00DC49A5" w14:paraId="02225E76" w14:textId="77777777" w:rsidTr="00DC49A5">
        <w:trPr>
          <w:trHeight w:val="525"/>
        </w:trPr>
        <w:tc>
          <w:tcPr>
            <w:tcW w:w="2880" w:type="dxa"/>
            <w:tcBorders>
              <w:top w:val="nil"/>
              <w:left w:val="nil"/>
              <w:bottom w:val="single" w:sz="4" w:space="0" w:color="auto"/>
              <w:right w:val="nil"/>
            </w:tcBorders>
            <w:shd w:val="clear" w:color="auto" w:fill="auto"/>
            <w:vAlign w:val="bottom"/>
            <w:hideMark/>
          </w:tcPr>
          <w:p w14:paraId="3D93E4BA" w14:textId="77777777" w:rsidR="00DC49A5" w:rsidRPr="00DC49A5" w:rsidRDefault="00DC49A5" w:rsidP="00DC49A5">
            <w:pPr>
              <w:spacing w:after="0"/>
              <w:ind w:leftChars="75" w:left="143"/>
              <w:rPr>
                <w:rFonts w:ascii="Arial" w:hAnsi="Arial" w:cs="Arial"/>
                <w:b/>
                <w:bCs/>
                <w:sz w:val="16"/>
                <w:szCs w:val="16"/>
              </w:rPr>
            </w:pPr>
            <w:r w:rsidRPr="00DC49A5">
              <w:rPr>
                <w:rFonts w:ascii="Arial" w:hAnsi="Arial" w:cs="Arial"/>
                <w:b/>
                <w:bCs/>
                <w:sz w:val="16"/>
                <w:szCs w:val="16"/>
              </w:rPr>
              <w:t>Total liabilities administered on behalf of Government</w:t>
            </w:r>
          </w:p>
        </w:tc>
        <w:tc>
          <w:tcPr>
            <w:tcW w:w="900" w:type="dxa"/>
            <w:tcBorders>
              <w:top w:val="nil"/>
              <w:left w:val="nil"/>
              <w:bottom w:val="single" w:sz="4" w:space="0" w:color="auto"/>
              <w:right w:val="nil"/>
            </w:tcBorders>
            <w:shd w:val="clear" w:color="auto" w:fill="auto"/>
            <w:noWrap/>
            <w:vAlign w:val="bottom"/>
            <w:hideMark/>
          </w:tcPr>
          <w:p w14:paraId="6DBA8610" w14:textId="77777777" w:rsidR="00DC49A5" w:rsidRPr="00DC49A5" w:rsidRDefault="00DC49A5" w:rsidP="00DC49A5">
            <w:pPr>
              <w:spacing w:after="0"/>
              <w:jc w:val="right"/>
              <w:rPr>
                <w:rFonts w:ascii="Arial" w:hAnsi="Arial" w:cs="Arial"/>
                <w:b/>
                <w:bCs/>
                <w:sz w:val="16"/>
                <w:szCs w:val="16"/>
              </w:rPr>
            </w:pPr>
            <w:r w:rsidRPr="00DC49A5">
              <w:rPr>
                <w:rFonts w:ascii="Arial" w:hAnsi="Arial" w:cs="Arial"/>
                <w:b/>
                <w:bCs/>
                <w:sz w:val="16"/>
                <w:szCs w:val="16"/>
              </w:rPr>
              <w:t>19,407</w:t>
            </w:r>
          </w:p>
        </w:tc>
        <w:tc>
          <w:tcPr>
            <w:tcW w:w="900" w:type="dxa"/>
            <w:tcBorders>
              <w:top w:val="nil"/>
              <w:left w:val="nil"/>
              <w:bottom w:val="single" w:sz="4" w:space="0" w:color="auto"/>
              <w:right w:val="nil"/>
            </w:tcBorders>
            <w:shd w:val="clear" w:color="000000" w:fill="D9D9D9"/>
            <w:noWrap/>
            <w:vAlign w:val="bottom"/>
            <w:hideMark/>
          </w:tcPr>
          <w:p w14:paraId="27B6137E" w14:textId="77777777" w:rsidR="00DC49A5" w:rsidRPr="00DC49A5" w:rsidRDefault="00DC49A5" w:rsidP="00DC49A5">
            <w:pPr>
              <w:spacing w:after="0"/>
              <w:jc w:val="right"/>
              <w:rPr>
                <w:rFonts w:ascii="Arial" w:hAnsi="Arial" w:cs="Arial"/>
                <w:b/>
                <w:bCs/>
                <w:sz w:val="16"/>
                <w:szCs w:val="16"/>
              </w:rPr>
            </w:pPr>
            <w:r w:rsidRPr="00DC49A5">
              <w:rPr>
                <w:rFonts w:ascii="Arial" w:hAnsi="Arial" w:cs="Arial"/>
                <w:b/>
                <w:bCs/>
                <w:sz w:val="16"/>
                <w:szCs w:val="16"/>
              </w:rPr>
              <w:t>19,407</w:t>
            </w:r>
          </w:p>
        </w:tc>
        <w:tc>
          <w:tcPr>
            <w:tcW w:w="900" w:type="dxa"/>
            <w:tcBorders>
              <w:top w:val="nil"/>
              <w:left w:val="nil"/>
              <w:bottom w:val="single" w:sz="4" w:space="0" w:color="auto"/>
              <w:right w:val="nil"/>
            </w:tcBorders>
            <w:shd w:val="clear" w:color="auto" w:fill="auto"/>
            <w:noWrap/>
            <w:vAlign w:val="bottom"/>
            <w:hideMark/>
          </w:tcPr>
          <w:p w14:paraId="0F169009" w14:textId="77777777" w:rsidR="00DC49A5" w:rsidRPr="00DC49A5" w:rsidRDefault="00DC49A5" w:rsidP="00DC49A5">
            <w:pPr>
              <w:spacing w:after="0"/>
              <w:jc w:val="right"/>
              <w:rPr>
                <w:rFonts w:ascii="Arial" w:hAnsi="Arial" w:cs="Arial"/>
                <w:b/>
                <w:bCs/>
                <w:sz w:val="16"/>
                <w:szCs w:val="16"/>
              </w:rPr>
            </w:pPr>
            <w:r w:rsidRPr="00DC49A5">
              <w:rPr>
                <w:rFonts w:ascii="Arial" w:hAnsi="Arial" w:cs="Arial"/>
                <w:b/>
                <w:bCs/>
                <w:sz w:val="16"/>
                <w:szCs w:val="16"/>
              </w:rPr>
              <w:t>19,407</w:t>
            </w:r>
          </w:p>
        </w:tc>
        <w:tc>
          <w:tcPr>
            <w:tcW w:w="900" w:type="dxa"/>
            <w:tcBorders>
              <w:top w:val="nil"/>
              <w:left w:val="nil"/>
              <w:bottom w:val="single" w:sz="4" w:space="0" w:color="auto"/>
              <w:right w:val="nil"/>
            </w:tcBorders>
            <w:shd w:val="clear" w:color="auto" w:fill="auto"/>
            <w:noWrap/>
            <w:vAlign w:val="bottom"/>
            <w:hideMark/>
          </w:tcPr>
          <w:p w14:paraId="6FA052C7" w14:textId="77777777" w:rsidR="00DC49A5" w:rsidRPr="00DC49A5" w:rsidRDefault="00DC49A5" w:rsidP="00DC49A5">
            <w:pPr>
              <w:spacing w:after="0"/>
              <w:jc w:val="right"/>
              <w:rPr>
                <w:rFonts w:ascii="Arial" w:hAnsi="Arial" w:cs="Arial"/>
                <w:b/>
                <w:bCs/>
                <w:sz w:val="16"/>
                <w:szCs w:val="16"/>
              </w:rPr>
            </w:pPr>
            <w:r w:rsidRPr="00DC49A5">
              <w:rPr>
                <w:rFonts w:ascii="Arial" w:hAnsi="Arial" w:cs="Arial"/>
                <w:b/>
                <w:bCs/>
                <w:sz w:val="16"/>
                <w:szCs w:val="16"/>
              </w:rPr>
              <w:t>19,407</w:t>
            </w:r>
          </w:p>
        </w:tc>
        <w:tc>
          <w:tcPr>
            <w:tcW w:w="900" w:type="dxa"/>
            <w:tcBorders>
              <w:top w:val="nil"/>
              <w:left w:val="nil"/>
              <w:bottom w:val="single" w:sz="4" w:space="0" w:color="auto"/>
              <w:right w:val="nil"/>
            </w:tcBorders>
            <w:shd w:val="clear" w:color="auto" w:fill="auto"/>
            <w:noWrap/>
            <w:vAlign w:val="bottom"/>
            <w:hideMark/>
          </w:tcPr>
          <w:p w14:paraId="74948E42" w14:textId="77777777" w:rsidR="00DC49A5" w:rsidRPr="00DC49A5" w:rsidRDefault="00DC49A5" w:rsidP="00DC49A5">
            <w:pPr>
              <w:spacing w:after="0"/>
              <w:jc w:val="right"/>
              <w:rPr>
                <w:rFonts w:ascii="Arial" w:hAnsi="Arial" w:cs="Arial"/>
                <w:b/>
                <w:bCs/>
                <w:sz w:val="16"/>
                <w:szCs w:val="16"/>
              </w:rPr>
            </w:pPr>
            <w:r w:rsidRPr="00DC49A5">
              <w:rPr>
                <w:rFonts w:ascii="Arial" w:hAnsi="Arial" w:cs="Arial"/>
                <w:b/>
                <w:bCs/>
                <w:sz w:val="16"/>
                <w:szCs w:val="16"/>
              </w:rPr>
              <w:t>19,407</w:t>
            </w:r>
          </w:p>
        </w:tc>
      </w:tr>
    </w:tbl>
    <w:p w14:paraId="49C14DDB" w14:textId="6F3E76B7" w:rsidR="00765576" w:rsidRDefault="00765576" w:rsidP="00765576">
      <w:pPr>
        <w:pStyle w:val="FootnoteText"/>
        <w:spacing w:before="120"/>
      </w:pPr>
      <w:r w:rsidRPr="00765576">
        <w:t>Prepared on Austral</w:t>
      </w:r>
      <w:r>
        <w:t>ian Accounting Standards basis.</w:t>
      </w:r>
    </w:p>
    <w:p w14:paraId="169E607F" w14:textId="5D6012E2" w:rsidR="000A380F" w:rsidRDefault="000A380F">
      <w:pPr>
        <w:spacing w:after="160" w:line="259" w:lineRule="auto"/>
        <w:rPr>
          <w:rFonts w:ascii="Arial" w:hAnsi="Arial"/>
          <w:b/>
          <w:color w:val="auto"/>
          <w:sz w:val="20"/>
        </w:rPr>
      </w:pPr>
      <w:r>
        <w:rPr>
          <w:rFonts w:ascii="Arial" w:hAnsi="Arial"/>
          <w:b/>
          <w:color w:val="auto"/>
          <w:sz w:val="20"/>
        </w:rPr>
        <w:br w:type="page"/>
      </w:r>
    </w:p>
    <w:p w14:paraId="432D83E5" w14:textId="52EAD947" w:rsidR="00A52B29" w:rsidRPr="00A52B29" w:rsidRDefault="00A52B29" w:rsidP="00185E10">
      <w:pPr>
        <w:keepNext/>
        <w:spacing w:before="120"/>
        <w:rPr>
          <w:rFonts w:ascii="Arial" w:hAnsi="Arial"/>
          <w:b/>
          <w:color w:val="auto"/>
          <w:sz w:val="20"/>
        </w:rPr>
      </w:pPr>
      <w:r w:rsidRPr="00A52B29">
        <w:rPr>
          <w:rFonts w:ascii="Arial" w:hAnsi="Arial"/>
          <w:b/>
          <w:color w:val="auto"/>
          <w:sz w:val="20"/>
        </w:rPr>
        <w:lastRenderedPageBreak/>
        <w:t>Table 3.9: Schedule of budgeted administered cash flows (for the period ended 30 June)</w:t>
      </w:r>
    </w:p>
    <w:tbl>
      <w:tblPr>
        <w:tblW w:w="7380" w:type="dxa"/>
        <w:tblLayout w:type="fixed"/>
        <w:tblLook w:val="04A0" w:firstRow="1" w:lastRow="0" w:firstColumn="1" w:lastColumn="0" w:noHBand="0" w:noVBand="1"/>
      </w:tblPr>
      <w:tblGrid>
        <w:gridCol w:w="2995"/>
        <w:gridCol w:w="877"/>
        <w:gridCol w:w="877"/>
        <w:gridCol w:w="877"/>
        <w:gridCol w:w="877"/>
        <w:gridCol w:w="877"/>
      </w:tblGrid>
      <w:tr w:rsidR="00AB3BAD" w:rsidRPr="00AB3BAD" w14:paraId="2F578D1B" w14:textId="77777777" w:rsidTr="0008295D">
        <w:trPr>
          <w:trHeight w:val="765"/>
        </w:trPr>
        <w:tc>
          <w:tcPr>
            <w:tcW w:w="3062" w:type="dxa"/>
            <w:tcBorders>
              <w:top w:val="single" w:sz="4" w:space="0" w:color="auto"/>
              <w:left w:val="nil"/>
              <w:bottom w:val="nil"/>
              <w:right w:val="nil"/>
            </w:tcBorders>
            <w:shd w:val="clear" w:color="auto" w:fill="auto"/>
            <w:hideMark/>
          </w:tcPr>
          <w:p w14:paraId="7C0F582A" w14:textId="77777777" w:rsidR="00AB3BAD" w:rsidRPr="00AB3BAD" w:rsidRDefault="00AB3BAD" w:rsidP="00AB3BAD">
            <w:pPr>
              <w:spacing w:before="40" w:after="0"/>
              <w:jc w:val="right"/>
              <w:rPr>
                <w:rFonts w:ascii="Arial" w:hAnsi="Arial" w:cs="Arial"/>
                <w:b/>
                <w:bCs/>
                <w:color w:val="auto"/>
                <w:sz w:val="16"/>
                <w:szCs w:val="16"/>
              </w:rPr>
            </w:pPr>
            <w:r w:rsidRPr="00AB3BAD">
              <w:rPr>
                <w:rFonts w:ascii="Arial" w:hAnsi="Arial" w:cs="Arial"/>
                <w:b/>
                <w:bCs/>
                <w:color w:val="auto"/>
                <w:sz w:val="16"/>
                <w:szCs w:val="16"/>
              </w:rPr>
              <w:t> </w:t>
            </w:r>
          </w:p>
        </w:tc>
        <w:tc>
          <w:tcPr>
            <w:tcW w:w="892" w:type="dxa"/>
            <w:tcBorders>
              <w:top w:val="single" w:sz="4" w:space="0" w:color="auto"/>
              <w:left w:val="nil"/>
              <w:bottom w:val="single" w:sz="4" w:space="0" w:color="auto"/>
              <w:right w:val="nil"/>
            </w:tcBorders>
            <w:shd w:val="clear" w:color="auto" w:fill="auto"/>
            <w:tcMar>
              <w:left w:w="0" w:type="dxa"/>
            </w:tcMar>
            <w:hideMark/>
          </w:tcPr>
          <w:p w14:paraId="73B642EF" w14:textId="77777777" w:rsidR="00AB3BAD" w:rsidRPr="00AB3BAD" w:rsidRDefault="00AB3BAD" w:rsidP="00AB3BAD">
            <w:pPr>
              <w:spacing w:before="40" w:after="0"/>
              <w:jc w:val="right"/>
              <w:rPr>
                <w:rFonts w:ascii="Arial" w:hAnsi="Arial" w:cs="Arial"/>
                <w:b/>
                <w:bCs/>
                <w:color w:val="auto"/>
                <w:sz w:val="16"/>
                <w:szCs w:val="16"/>
              </w:rPr>
            </w:pPr>
            <w:r w:rsidRPr="00AB3BAD">
              <w:rPr>
                <w:rFonts w:ascii="Arial" w:hAnsi="Arial" w:cs="Arial"/>
                <w:b/>
                <w:bCs/>
                <w:color w:val="auto"/>
                <w:sz w:val="16"/>
                <w:szCs w:val="16"/>
              </w:rPr>
              <w:t>2022–23 Estimated actual</w:t>
            </w:r>
            <w:r w:rsidRPr="00AB3BAD">
              <w:rPr>
                <w:rFonts w:ascii="Arial" w:hAnsi="Arial" w:cs="Arial"/>
                <w:b/>
                <w:bCs/>
                <w:color w:val="auto"/>
                <w:sz w:val="16"/>
                <w:szCs w:val="16"/>
              </w:rPr>
              <w:br/>
              <w:t>$'000</w:t>
            </w:r>
          </w:p>
        </w:tc>
        <w:tc>
          <w:tcPr>
            <w:tcW w:w="893" w:type="dxa"/>
            <w:tcBorders>
              <w:top w:val="single" w:sz="4" w:space="0" w:color="auto"/>
              <w:left w:val="nil"/>
              <w:bottom w:val="single" w:sz="4" w:space="0" w:color="auto"/>
              <w:right w:val="nil"/>
            </w:tcBorders>
            <w:shd w:val="clear" w:color="000000" w:fill="D9D9D9"/>
            <w:hideMark/>
          </w:tcPr>
          <w:p w14:paraId="3232B872" w14:textId="77777777" w:rsidR="00AB3BAD" w:rsidRPr="00AB3BAD" w:rsidRDefault="00AB3BAD" w:rsidP="00AB3BAD">
            <w:pPr>
              <w:spacing w:before="40" w:after="0"/>
              <w:jc w:val="right"/>
              <w:rPr>
                <w:rFonts w:ascii="Arial" w:hAnsi="Arial" w:cs="Arial"/>
                <w:b/>
                <w:bCs/>
                <w:color w:val="auto"/>
                <w:sz w:val="16"/>
                <w:szCs w:val="16"/>
              </w:rPr>
            </w:pPr>
            <w:r w:rsidRPr="00AB3BAD">
              <w:rPr>
                <w:rFonts w:ascii="Arial" w:hAnsi="Arial" w:cs="Arial"/>
                <w:b/>
                <w:bCs/>
                <w:color w:val="auto"/>
                <w:sz w:val="16"/>
                <w:szCs w:val="16"/>
              </w:rPr>
              <w:t xml:space="preserve">2023–24 Budget </w:t>
            </w:r>
            <w:r w:rsidRPr="00AB3BAD">
              <w:rPr>
                <w:rFonts w:ascii="Arial" w:hAnsi="Arial" w:cs="Arial"/>
                <w:b/>
                <w:bCs/>
                <w:color w:val="auto"/>
                <w:sz w:val="16"/>
                <w:szCs w:val="16"/>
              </w:rPr>
              <w:br/>
            </w:r>
            <w:r w:rsidRPr="00AB3BAD">
              <w:rPr>
                <w:rFonts w:ascii="Arial" w:hAnsi="Arial" w:cs="Arial"/>
                <w:b/>
                <w:bCs/>
                <w:color w:val="auto"/>
                <w:sz w:val="16"/>
                <w:szCs w:val="16"/>
              </w:rPr>
              <w:br/>
              <w:t>$'000</w:t>
            </w:r>
          </w:p>
        </w:tc>
        <w:tc>
          <w:tcPr>
            <w:tcW w:w="893" w:type="dxa"/>
            <w:tcBorders>
              <w:top w:val="single" w:sz="4" w:space="0" w:color="auto"/>
              <w:left w:val="nil"/>
              <w:bottom w:val="single" w:sz="4" w:space="0" w:color="auto"/>
              <w:right w:val="nil"/>
            </w:tcBorders>
            <w:shd w:val="clear" w:color="auto" w:fill="auto"/>
            <w:hideMark/>
          </w:tcPr>
          <w:p w14:paraId="5EDABD5C" w14:textId="77777777" w:rsidR="00AB3BAD" w:rsidRPr="00AB3BAD" w:rsidRDefault="00AB3BAD" w:rsidP="00AB3BAD">
            <w:pPr>
              <w:spacing w:before="40" w:after="0"/>
              <w:jc w:val="right"/>
              <w:rPr>
                <w:rFonts w:ascii="Arial" w:hAnsi="Arial" w:cs="Arial"/>
                <w:b/>
                <w:bCs/>
                <w:color w:val="auto"/>
                <w:sz w:val="16"/>
                <w:szCs w:val="16"/>
              </w:rPr>
            </w:pPr>
            <w:r w:rsidRPr="00AB3BAD">
              <w:rPr>
                <w:rFonts w:ascii="Arial" w:hAnsi="Arial" w:cs="Arial"/>
                <w:b/>
                <w:bCs/>
                <w:color w:val="auto"/>
                <w:sz w:val="16"/>
                <w:szCs w:val="16"/>
              </w:rPr>
              <w:t>2024–25 Forward estimate</w:t>
            </w:r>
            <w:r w:rsidRPr="00AB3BAD">
              <w:rPr>
                <w:rFonts w:ascii="Arial" w:hAnsi="Arial" w:cs="Arial"/>
                <w:b/>
                <w:bCs/>
                <w:color w:val="auto"/>
                <w:sz w:val="16"/>
                <w:szCs w:val="16"/>
              </w:rPr>
              <w:br/>
              <w:t>$'000</w:t>
            </w:r>
          </w:p>
        </w:tc>
        <w:tc>
          <w:tcPr>
            <w:tcW w:w="893" w:type="dxa"/>
            <w:tcBorders>
              <w:top w:val="single" w:sz="4" w:space="0" w:color="auto"/>
              <w:left w:val="nil"/>
              <w:bottom w:val="single" w:sz="4" w:space="0" w:color="auto"/>
              <w:right w:val="nil"/>
            </w:tcBorders>
            <w:shd w:val="clear" w:color="auto" w:fill="auto"/>
            <w:hideMark/>
          </w:tcPr>
          <w:p w14:paraId="089F6B5C" w14:textId="77777777" w:rsidR="00AB3BAD" w:rsidRPr="00AB3BAD" w:rsidRDefault="00AB3BAD" w:rsidP="00AB3BAD">
            <w:pPr>
              <w:spacing w:before="40" w:after="0"/>
              <w:jc w:val="right"/>
              <w:rPr>
                <w:rFonts w:ascii="Arial" w:hAnsi="Arial" w:cs="Arial"/>
                <w:b/>
                <w:bCs/>
                <w:color w:val="auto"/>
                <w:sz w:val="16"/>
                <w:szCs w:val="16"/>
              </w:rPr>
            </w:pPr>
            <w:r w:rsidRPr="00AB3BAD">
              <w:rPr>
                <w:rFonts w:ascii="Arial" w:hAnsi="Arial" w:cs="Arial"/>
                <w:b/>
                <w:bCs/>
                <w:color w:val="auto"/>
                <w:sz w:val="16"/>
                <w:szCs w:val="16"/>
              </w:rPr>
              <w:t>2025–26 Forward estimate</w:t>
            </w:r>
            <w:r w:rsidRPr="00AB3BAD">
              <w:rPr>
                <w:rFonts w:ascii="Arial" w:hAnsi="Arial" w:cs="Arial"/>
                <w:b/>
                <w:bCs/>
                <w:color w:val="auto"/>
                <w:sz w:val="16"/>
                <w:szCs w:val="16"/>
              </w:rPr>
              <w:br/>
              <w:t>$'000</w:t>
            </w:r>
          </w:p>
        </w:tc>
        <w:tc>
          <w:tcPr>
            <w:tcW w:w="893" w:type="dxa"/>
            <w:tcBorders>
              <w:top w:val="single" w:sz="4" w:space="0" w:color="auto"/>
              <w:left w:val="nil"/>
              <w:bottom w:val="single" w:sz="4" w:space="0" w:color="auto"/>
              <w:right w:val="nil"/>
            </w:tcBorders>
            <w:shd w:val="clear" w:color="auto" w:fill="auto"/>
            <w:hideMark/>
          </w:tcPr>
          <w:p w14:paraId="66E66257" w14:textId="77777777" w:rsidR="00AB3BAD" w:rsidRPr="00AB3BAD" w:rsidRDefault="00AB3BAD" w:rsidP="00AB3BAD">
            <w:pPr>
              <w:spacing w:before="40" w:after="0"/>
              <w:jc w:val="right"/>
              <w:rPr>
                <w:rFonts w:ascii="Arial" w:hAnsi="Arial" w:cs="Arial"/>
                <w:b/>
                <w:bCs/>
                <w:color w:val="auto"/>
                <w:sz w:val="16"/>
                <w:szCs w:val="16"/>
              </w:rPr>
            </w:pPr>
            <w:r w:rsidRPr="00AB3BAD">
              <w:rPr>
                <w:rFonts w:ascii="Arial" w:hAnsi="Arial" w:cs="Arial"/>
                <w:b/>
                <w:bCs/>
                <w:color w:val="auto"/>
                <w:sz w:val="16"/>
                <w:szCs w:val="16"/>
              </w:rPr>
              <w:t>2026–27 Forward estimate</w:t>
            </w:r>
            <w:r w:rsidRPr="00AB3BAD">
              <w:rPr>
                <w:rFonts w:ascii="Arial" w:hAnsi="Arial" w:cs="Arial"/>
                <w:b/>
                <w:bCs/>
                <w:color w:val="auto"/>
                <w:sz w:val="16"/>
                <w:szCs w:val="16"/>
              </w:rPr>
              <w:br/>
              <w:t>$'000</w:t>
            </w:r>
          </w:p>
        </w:tc>
      </w:tr>
      <w:tr w:rsidR="00AB3BAD" w:rsidRPr="00AB3BAD" w14:paraId="01EC22E5" w14:textId="77777777" w:rsidTr="0008295D">
        <w:trPr>
          <w:trHeight w:val="225"/>
        </w:trPr>
        <w:tc>
          <w:tcPr>
            <w:tcW w:w="3062" w:type="dxa"/>
            <w:tcBorders>
              <w:top w:val="nil"/>
              <w:left w:val="nil"/>
              <w:bottom w:val="nil"/>
              <w:right w:val="nil"/>
            </w:tcBorders>
            <w:shd w:val="clear" w:color="auto" w:fill="auto"/>
            <w:noWrap/>
            <w:vAlign w:val="bottom"/>
            <w:hideMark/>
          </w:tcPr>
          <w:p w14:paraId="4CCD150E" w14:textId="77777777" w:rsidR="00AB3BAD" w:rsidRPr="00AB3BAD" w:rsidRDefault="00AB3BAD" w:rsidP="00AB3BAD">
            <w:pPr>
              <w:spacing w:after="0"/>
              <w:rPr>
                <w:rFonts w:ascii="Arial" w:hAnsi="Arial" w:cs="Arial"/>
                <w:b/>
                <w:bCs/>
                <w:sz w:val="16"/>
                <w:szCs w:val="16"/>
              </w:rPr>
            </w:pPr>
            <w:r w:rsidRPr="00AB3BAD">
              <w:rPr>
                <w:rFonts w:ascii="Arial" w:hAnsi="Arial" w:cs="Arial"/>
                <w:b/>
                <w:bCs/>
                <w:sz w:val="16"/>
                <w:szCs w:val="16"/>
              </w:rPr>
              <w:t>OPERATING ACTIVITIES</w:t>
            </w:r>
          </w:p>
        </w:tc>
        <w:tc>
          <w:tcPr>
            <w:tcW w:w="892" w:type="dxa"/>
            <w:tcBorders>
              <w:top w:val="single" w:sz="4" w:space="0" w:color="auto"/>
              <w:left w:val="nil"/>
              <w:bottom w:val="nil"/>
              <w:right w:val="nil"/>
            </w:tcBorders>
            <w:shd w:val="clear" w:color="auto" w:fill="auto"/>
            <w:noWrap/>
            <w:vAlign w:val="bottom"/>
            <w:hideMark/>
          </w:tcPr>
          <w:p w14:paraId="72ADA887"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 </w:t>
            </w:r>
          </w:p>
        </w:tc>
        <w:tc>
          <w:tcPr>
            <w:tcW w:w="893" w:type="dxa"/>
            <w:tcBorders>
              <w:top w:val="single" w:sz="4" w:space="0" w:color="auto"/>
              <w:left w:val="nil"/>
              <w:bottom w:val="nil"/>
              <w:right w:val="nil"/>
            </w:tcBorders>
            <w:shd w:val="clear" w:color="000000" w:fill="D9D9D9"/>
            <w:noWrap/>
            <w:vAlign w:val="bottom"/>
            <w:hideMark/>
          </w:tcPr>
          <w:p w14:paraId="0B273935"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 </w:t>
            </w:r>
          </w:p>
        </w:tc>
        <w:tc>
          <w:tcPr>
            <w:tcW w:w="893" w:type="dxa"/>
            <w:tcBorders>
              <w:top w:val="single" w:sz="4" w:space="0" w:color="auto"/>
              <w:left w:val="nil"/>
              <w:bottom w:val="nil"/>
              <w:right w:val="nil"/>
            </w:tcBorders>
            <w:shd w:val="clear" w:color="auto" w:fill="auto"/>
            <w:noWrap/>
            <w:vAlign w:val="bottom"/>
            <w:hideMark/>
          </w:tcPr>
          <w:p w14:paraId="7ACA6AF6"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 </w:t>
            </w:r>
          </w:p>
        </w:tc>
        <w:tc>
          <w:tcPr>
            <w:tcW w:w="893" w:type="dxa"/>
            <w:tcBorders>
              <w:top w:val="single" w:sz="4" w:space="0" w:color="auto"/>
              <w:left w:val="nil"/>
              <w:bottom w:val="nil"/>
              <w:right w:val="nil"/>
            </w:tcBorders>
            <w:shd w:val="clear" w:color="auto" w:fill="auto"/>
            <w:noWrap/>
            <w:vAlign w:val="bottom"/>
            <w:hideMark/>
          </w:tcPr>
          <w:p w14:paraId="42764EDC"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 </w:t>
            </w:r>
          </w:p>
        </w:tc>
        <w:tc>
          <w:tcPr>
            <w:tcW w:w="893" w:type="dxa"/>
            <w:tcBorders>
              <w:top w:val="single" w:sz="4" w:space="0" w:color="auto"/>
              <w:left w:val="nil"/>
              <w:bottom w:val="nil"/>
              <w:right w:val="nil"/>
            </w:tcBorders>
            <w:shd w:val="clear" w:color="auto" w:fill="auto"/>
            <w:noWrap/>
            <w:vAlign w:val="bottom"/>
            <w:hideMark/>
          </w:tcPr>
          <w:p w14:paraId="4FBC328D"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 </w:t>
            </w:r>
          </w:p>
        </w:tc>
      </w:tr>
      <w:tr w:rsidR="00AB3BAD" w:rsidRPr="00AB3BAD" w14:paraId="6BDAD73A" w14:textId="77777777" w:rsidTr="0008295D">
        <w:trPr>
          <w:trHeight w:val="225"/>
        </w:trPr>
        <w:tc>
          <w:tcPr>
            <w:tcW w:w="3062" w:type="dxa"/>
            <w:tcBorders>
              <w:top w:val="nil"/>
              <w:left w:val="nil"/>
              <w:bottom w:val="nil"/>
              <w:right w:val="nil"/>
            </w:tcBorders>
            <w:shd w:val="clear" w:color="auto" w:fill="auto"/>
            <w:noWrap/>
            <w:vAlign w:val="bottom"/>
            <w:hideMark/>
          </w:tcPr>
          <w:p w14:paraId="5B034C3C" w14:textId="77777777" w:rsidR="00AB3BAD" w:rsidRPr="00AB3BAD" w:rsidRDefault="00AB3BAD" w:rsidP="00AB3BAD">
            <w:pPr>
              <w:spacing w:after="0"/>
              <w:ind w:firstLineChars="100" w:firstLine="160"/>
              <w:rPr>
                <w:rFonts w:ascii="Arial" w:hAnsi="Arial" w:cs="Arial"/>
                <w:b/>
                <w:bCs/>
                <w:sz w:val="16"/>
                <w:szCs w:val="16"/>
              </w:rPr>
            </w:pPr>
            <w:r w:rsidRPr="00AB3BAD">
              <w:rPr>
                <w:rFonts w:ascii="Arial" w:hAnsi="Arial" w:cs="Arial"/>
                <w:b/>
                <w:bCs/>
                <w:sz w:val="16"/>
                <w:szCs w:val="16"/>
              </w:rPr>
              <w:t>Cash received</w:t>
            </w:r>
          </w:p>
        </w:tc>
        <w:tc>
          <w:tcPr>
            <w:tcW w:w="892" w:type="dxa"/>
            <w:tcBorders>
              <w:top w:val="nil"/>
              <w:left w:val="nil"/>
              <w:bottom w:val="nil"/>
              <w:right w:val="nil"/>
            </w:tcBorders>
            <w:shd w:val="clear" w:color="auto" w:fill="auto"/>
            <w:noWrap/>
            <w:vAlign w:val="bottom"/>
            <w:hideMark/>
          </w:tcPr>
          <w:p w14:paraId="2890779C" w14:textId="77777777" w:rsidR="00AB3BAD" w:rsidRPr="00AB3BAD" w:rsidRDefault="00AB3BAD" w:rsidP="00AB3BAD">
            <w:pPr>
              <w:spacing w:after="0"/>
              <w:ind w:firstLineChars="100" w:firstLine="160"/>
              <w:rPr>
                <w:rFonts w:ascii="Arial" w:hAnsi="Arial" w:cs="Arial"/>
                <w:b/>
                <w:bCs/>
                <w:sz w:val="16"/>
                <w:szCs w:val="16"/>
              </w:rPr>
            </w:pPr>
          </w:p>
        </w:tc>
        <w:tc>
          <w:tcPr>
            <w:tcW w:w="893" w:type="dxa"/>
            <w:tcBorders>
              <w:top w:val="nil"/>
              <w:left w:val="nil"/>
              <w:bottom w:val="nil"/>
              <w:right w:val="nil"/>
            </w:tcBorders>
            <w:shd w:val="clear" w:color="000000" w:fill="D9D9D9"/>
            <w:noWrap/>
            <w:vAlign w:val="bottom"/>
            <w:hideMark/>
          </w:tcPr>
          <w:p w14:paraId="49497609"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 </w:t>
            </w:r>
          </w:p>
        </w:tc>
        <w:tc>
          <w:tcPr>
            <w:tcW w:w="893" w:type="dxa"/>
            <w:tcBorders>
              <w:top w:val="nil"/>
              <w:left w:val="nil"/>
              <w:bottom w:val="nil"/>
              <w:right w:val="nil"/>
            </w:tcBorders>
            <w:shd w:val="clear" w:color="auto" w:fill="auto"/>
            <w:noWrap/>
            <w:vAlign w:val="bottom"/>
            <w:hideMark/>
          </w:tcPr>
          <w:p w14:paraId="2242135C" w14:textId="77777777" w:rsidR="00AB3BAD" w:rsidRPr="00AB3BAD" w:rsidRDefault="00AB3BAD" w:rsidP="00AB3BAD">
            <w:pPr>
              <w:spacing w:after="0"/>
              <w:jc w:val="right"/>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14:paraId="5BED6CF6" w14:textId="77777777" w:rsidR="00AB3BAD" w:rsidRPr="00AB3BAD" w:rsidRDefault="00AB3BAD" w:rsidP="00AB3BAD">
            <w:pPr>
              <w:spacing w:after="0"/>
              <w:jc w:val="right"/>
              <w:rPr>
                <w:rFonts w:ascii="Times New Roman" w:hAnsi="Times New Roman"/>
                <w:color w:val="auto"/>
                <w:sz w:val="20"/>
              </w:rPr>
            </w:pPr>
          </w:p>
        </w:tc>
        <w:tc>
          <w:tcPr>
            <w:tcW w:w="893" w:type="dxa"/>
            <w:tcBorders>
              <w:top w:val="nil"/>
              <w:left w:val="nil"/>
              <w:bottom w:val="nil"/>
              <w:right w:val="nil"/>
            </w:tcBorders>
            <w:shd w:val="clear" w:color="auto" w:fill="auto"/>
            <w:noWrap/>
            <w:vAlign w:val="bottom"/>
            <w:hideMark/>
          </w:tcPr>
          <w:p w14:paraId="3E7A1094" w14:textId="77777777" w:rsidR="00AB3BAD" w:rsidRPr="00AB3BAD" w:rsidRDefault="00AB3BAD" w:rsidP="00AB3BAD">
            <w:pPr>
              <w:spacing w:after="0"/>
              <w:jc w:val="right"/>
              <w:rPr>
                <w:rFonts w:ascii="Times New Roman" w:hAnsi="Times New Roman"/>
                <w:color w:val="auto"/>
                <w:sz w:val="20"/>
              </w:rPr>
            </w:pPr>
          </w:p>
        </w:tc>
      </w:tr>
      <w:tr w:rsidR="00AB3BAD" w:rsidRPr="00AB3BAD" w14:paraId="2D04947D" w14:textId="77777777" w:rsidTr="0008295D">
        <w:trPr>
          <w:trHeight w:val="225"/>
        </w:trPr>
        <w:tc>
          <w:tcPr>
            <w:tcW w:w="3062" w:type="dxa"/>
            <w:tcBorders>
              <w:top w:val="nil"/>
              <w:left w:val="nil"/>
              <w:bottom w:val="nil"/>
              <w:right w:val="nil"/>
            </w:tcBorders>
            <w:shd w:val="clear" w:color="auto" w:fill="auto"/>
            <w:noWrap/>
            <w:vAlign w:val="bottom"/>
            <w:hideMark/>
          </w:tcPr>
          <w:p w14:paraId="457FC7A1" w14:textId="77777777" w:rsidR="00AB3BAD" w:rsidRPr="00AB3BAD" w:rsidRDefault="00AB3BAD" w:rsidP="00AB3BAD">
            <w:pPr>
              <w:spacing w:after="0"/>
              <w:ind w:firstLineChars="200" w:firstLine="320"/>
              <w:rPr>
                <w:rFonts w:ascii="Arial" w:hAnsi="Arial" w:cs="Arial"/>
                <w:color w:val="auto"/>
                <w:sz w:val="16"/>
                <w:szCs w:val="16"/>
              </w:rPr>
            </w:pPr>
            <w:r w:rsidRPr="00AB3BAD">
              <w:rPr>
                <w:rFonts w:ascii="Arial" w:hAnsi="Arial" w:cs="Arial"/>
                <w:color w:val="auto"/>
                <w:sz w:val="16"/>
                <w:szCs w:val="16"/>
              </w:rPr>
              <w:t>Cash received - other</w:t>
            </w:r>
          </w:p>
        </w:tc>
        <w:tc>
          <w:tcPr>
            <w:tcW w:w="892" w:type="dxa"/>
            <w:tcBorders>
              <w:top w:val="nil"/>
              <w:left w:val="nil"/>
              <w:bottom w:val="nil"/>
              <w:right w:val="nil"/>
            </w:tcBorders>
            <w:shd w:val="clear" w:color="auto" w:fill="auto"/>
            <w:noWrap/>
            <w:vAlign w:val="bottom"/>
            <w:hideMark/>
          </w:tcPr>
          <w:p w14:paraId="521A3332"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10,000</w:t>
            </w:r>
          </w:p>
        </w:tc>
        <w:tc>
          <w:tcPr>
            <w:tcW w:w="893" w:type="dxa"/>
            <w:tcBorders>
              <w:top w:val="nil"/>
              <w:left w:val="nil"/>
              <w:bottom w:val="nil"/>
              <w:right w:val="nil"/>
            </w:tcBorders>
            <w:shd w:val="clear" w:color="000000" w:fill="D9D9D9"/>
            <w:noWrap/>
            <w:vAlign w:val="bottom"/>
            <w:hideMark/>
          </w:tcPr>
          <w:p w14:paraId="522AD87C"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10,000</w:t>
            </w:r>
          </w:p>
        </w:tc>
        <w:tc>
          <w:tcPr>
            <w:tcW w:w="893" w:type="dxa"/>
            <w:tcBorders>
              <w:top w:val="nil"/>
              <w:left w:val="nil"/>
              <w:bottom w:val="nil"/>
              <w:right w:val="nil"/>
            </w:tcBorders>
            <w:shd w:val="clear" w:color="auto" w:fill="auto"/>
            <w:noWrap/>
            <w:vAlign w:val="bottom"/>
            <w:hideMark/>
          </w:tcPr>
          <w:p w14:paraId="50BFE649"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10,000</w:t>
            </w:r>
          </w:p>
        </w:tc>
        <w:tc>
          <w:tcPr>
            <w:tcW w:w="893" w:type="dxa"/>
            <w:tcBorders>
              <w:top w:val="nil"/>
              <w:left w:val="nil"/>
              <w:bottom w:val="nil"/>
              <w:right w:val="nil"/>
            </w:tcBorders>
            <w:shd w:val="clear" w:color="auto" w:fill="auto"/>
            <w:noWrap/>
            <w:vAlign w:val="bottom"/>
            <w:hideMark/>
          </w:tcPr>
          <w:p w14:paraId="6CF2652B"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10,000</w:t>
            </w:r>
          </w:p>
        </w:tc>
        <w:tc>
          <w:tcPr>
            <w:tcW w:w="893" w:type="dxa"/>
            <w:tcBorders>
              <w:top w:val="nil"/>
              <w:left w:val="nil"/>
              <w:bottom w:val="nil"/>
              <w:right w:val="nil"/>
            </w:tcBorders>
            <w:shd w:val="clear" w:color="auto" w:fill="auto"/>
            <w:noWrap/>
            <w:vAlign w:val="bottom"/>
            <w:hideMark/>
          </w:tcPr>
          <w:p w14:paraId="2A201CFB"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10,000</w:t>
            </w:r>
          </w:p>
        </w:tc>
      </w:tr>
      <w:tr w:rsidR="00AB3BAD" w:rsidRPr="00AB3BAD" w14:paraId="7F05C5B4" w14:textId="77777777" w:rsidTr="0008295D">
        <w:trPr>
          <w:trHeight w:val="225"/>
        </w:trPr>
        <w:tc>
          <w:tcPr>
            <w:tcW w:w="3062" w:type="dxa"/>
            <w:tcBorders>
              <w:top w:val="nil"/>
              <w:left w:val="nil"/>
              <w:bottom w:val="nil"/>
              <w:right w:val="nil"/>
            </w:tcBorders>
            <w:shd w:val="clear" w:color="auto" w:fill="auto"/>
            <w:noWrap/>
            <w:vAlign w:val="bottom"/>
            <w:hideMark/>
          </w:tcPr>
          <w:p w14:paraId="23C147F1" w14:textId="77777777" w:rsidR="00AB3BAD" w:rsidRPr="00AB3BAD" w:rsidRDefault="00AB3BAD" w:rsidP="00AB3BAD">
            <w:pPr>
              <w:spacing w:after="0"/>
              <w:ind w:firstLineChars="200" w:firstLine="320"/>
              <w:rPr>
                <w:rFonts w:ascii="Arial" w:hAnsi="Arial" w:cs="Arial"/>
                <w:color w:val="auto"/>
                <w:sz w:val="16"/>
                <w:szCs w:val="16"/>
              </w:rPr>
            </w:pPr>
            <w:r w:rsidRPr="00AB3BAD">
              <w:rPr>
                <w:rFonts w:ascii="Arial" w:hAnsi="Arial" w:cs="Arial"/>
                <w:color w:val="auto"/>
                <w:sz w:val="16"/>
                <w:szCs w:val="16"/>
              </w:rPr>
              <w:t>Net GST received</w:t>
            </w:r>
          </w:p>
        </w:tc>
        <w:tc>
          <w:tcPr>
            <w:tcW w:w="892" w:type="dxa"/>
            <w:tcBorders>
              <w:top w:val="nil"/>
              <w:left w:val="nil"/>
              <w:bottom w:val="nil"/>
              <w:right w:val="nil"/>
            </w:tcBorders>
            <w:shd w:val="clear" w:color="auto" w:fill="auto"/>
            <w:noWrap/>
            <w:vAlign w:val="bottom"/>
            <w:hideMark/>
          </w:tcPr>
          <w:p w14:paraId="48F1BBCC"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26,000</w:t>
            </w:r>
          </w:p>
        </w:tc>
        <w:tc>
          <w:tcPr>
            <w:tcW w:w="893" w:type="dxa"/>
            <w:tcBorders>
              <w:top w:val="nil"/>
              <w:left w:val="nil"/>
              <w:bottom w:val="nil"/>
              <w:right w:val="nil"/>
            </w:tcBorders>
            <w:shd w:val="clear" w:color="000000" w:fill="D9D9D9"/>
            <w:noWrap/>
            <w:vAlign w:val="bottom"/>
            <w:hideMark/>
          </w:tcPr>
          <w:p w14:paraId="7CBE5361"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26,000</w:t>
            </w:r>
          </w:p>
        </w:tc>
        <w:tc>
          <w:tcPr>
            <w:tcW w:w="893" w:type="dxa"/>
            <w:tcBorders>
              <w:top w:val="nil"/>
              <w:left w:val="nil"/>
              <w:bottom w:val="nil"/>
              <w:right w:val="nil"/>
            </w:tcBorders>
            <w:shd w:val="clear" w:color="auto" w:fill="auto"/>
            <w:noWrap/>
            <w:vAlign w:val="bottom"/>
            <w:hideMark/>
          </w:tcPr>
          <w:p w14:paraId="2C919B03"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26,000</w:t>
            </w:r>
          </w:p>
        </w:tc>
        <w:tc>
          <w:tcPr>
            <w:tcW w:w="893" w:type="dxa"/>
            <w:tcBorders>
              <w:top w:val="nil"/>
              <w:left w:val="nil"/>
              <w:bottom w:val="nil"/>
              <w:right w:val="nil"/>
            </w:tcBorders>
            <w:shd w:val="clear" w:color="auto" w:fill="auto"/>
            <w:noWrap/>
            <w:vAlign w:val="bottom"/>
            <w:hideMark/>
          </w:tcPr>
          <w:p w14:paraId="68F495C8"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26,000</w:t>
            </w:r>
          </w:p>
        </w:tc>
        <w:tc>
          <w:tcPr>
            <w:tcW w:w="893" w:type="dxa"/>
            <w:tcBorders>
              <w:top w:val="nil"/>
              <w:left w:val="nil"/>
              <w:bottom w:val="nil"/>
              <w:right w:val="nil"/>
            </w:tcBorders>
            <w:shd w:val="clear" w:color="auto" w:fill="auto"/>
            <w:noWrap/>
            <w:vAlign w:val="bottom"/>
            <w:hideMark/>
          </w:tcPr>
          <w:p w14:paraId="0A2315BE"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26,000</w:t>
            </w:r>
          </w:p>
        </w:tc>
      </w:tr>
      <w:tr w:rsidR="00AB3BAD" w:rsidRPr="00AB3BAD" w14:paraId="6242CEB7" w14:textId="77777777" w:rsidTr="0008295D">
        <w:trPr>
          <w:trHeight w:val="225"/>
        </w:trPr>
        <w:tc>
          <w:tcPr>
            <w:tcW w:w="3062" w:type="dxa"/>
            <w:tcBorders>
              <w:top w:val="nil"/>
              <w:left w:val="nil"/>
              <w:bottom w:val="nil"/>
              <w:right w:val="nil"/>
            </w:tcBorders>
            <w:shd w:val="clear" w:color="auto" w:fill="auto"/>
            <w:noWrap/>
            <w:vAlign w:val="bottom"/>
            <w:hideMark/>
          </w:tcPr>
          <w:p w14:paraId="1B7E86A0" w14:textId="77777777" w:rsidR="00AB3BAD" w:rsidRPr="00AB3BAD" w:rsidRDefault="00AB3BAD" w:rsidP="00AB3BAD">
            <w:pPr>
              <w:spacing w:after="0"/>
              <w:ind w:firstLineChars="200" w:firstLine="320"/>
              <w:rPr>
                <w:rFonts w:ascii="Arial" w:hAnsi="Arial" w:cs="Arial"/>
                <w:b/>
                <w:bCs/>
                <w:sz w:val="16"/>
                <w:szCs w:val="16"/>
              </w:rPr>
            </w:pPr>
            <w:r w:rsidRPr="00AB3BAD">
              <w:rPr>
                <w:rFonts w:ascii="Arial" w:hAnsi="Arial" w:cs="Arial"/>
                <w:b/>
                <w:bCs/>
                <w:sz w:val="16"/>
                <w:szCs w:val="16"/>
              </w:rPr>
              <w:t>Total cash received</w:t>
            </w:r>
          </w:p>
        </w:tc>
        <w:tc>
          <w:tcPr>
            <w:tcW w:w="892" w:type="dxa"/>
            <w:tcBorders>
              <w:top w:val="nil"/>
              <w:left w:val="nil"/>
              <w:bottom w:val="single" w:sz="4" w:space="0" w:color="auto"/>
              <w:right w:val="nil"/>
            </w:tcBorders>
            <w:shd w:val="clear" w:color="auto" w:fill="auto"/>
            <w:noWrap/>
            <w:vAlign w:val="bottom"/>
            <w:hideMark/>
          </w:tcPr>
          <w:p w14:paraId="5FFF61E5" w14:textId="77777777" w:rsidR="00AB3BAD" w:rsidRPr="00AB3BAD" w:rsidRDefault="00AB3BAD" w:rsidP="00AB3BAD">
            <w:pPr>
              <w:spacing w:after="0"/>
              <w:jc w:val="right"/>
              <w:rPr>
                <w:rFonts w:ascii="Arial" w:hAnsi="Arial" w:cs="Arial"/>
                <w:b/>
                <w:bCs/>
                <w:sz w:val="16"/>
                <w:szCs w:val="16"/>
              </w:rPr>
            </w:pPr>
            <w:r w:rsidRPr="00AB3BAD">
              <w:rPr>
                <w:rFonts w:ascii="Arial" w:hAnsi="Arial" w:cs="Arial"/>
                <w:b/>
                <w:bCs/>
                <w:sz w:val="16"/>
                <w:szCs w:val="16"/>
              </w:rPr>
              <w:t>36,000</w:t>
            </w:r>
          </w:p>
        </w:tc>
        <w:tc>
          <w:tcPr>
            <w:tcW w:w="893" w:type="dxa"/>
            <w:tcBorders>
              <w:top w:val="nil"/>
              <w:left w:val="nil"/>
              <w:bottom w:val="single" w:sz="4" w:space="0" w:color="auto"/>
              <w:right w:val="nil"/>
            </w:tcBorders>
            <w:shd w:val="clear" w:color="000000" w:fill="D9D9D9"/>
            <w:noWrap/>
            <w:vAlign w:val="bottom"/>
            <w:hideMark/>
          </w:tcPr>
          <w:p w14:paraId="635B69C0" w14:textId="77777777" w:rsidR="00AB3BAD" w:rsidRPr="00AB3BAD" w:rsidRDefault="00AB3BAD" w:rsidP="00AB3BAD">
            <w:pPr>
              <w:spacing w:after="0"/>
              <w:jc w:val="right"/>
              <w:rPr>
                <w:rFonts w:ascii="Arial" w:hAnsi="Arial" w:cs="Arial"/>
                <w:b/>
                <w:bCs/>
                <w:sz w:val="16"/>
                <w:szCs w:val="16"/>
              </w:rPr>
            </w:pPr>
            <w:r w:rsidRPr="00AB3BAD">
              <w:rPr>
                <w:rFonts w:ascii="Arial" w:hAnsi="Arial" w:cs="Arial"/>
                <w:b/>
                <w:bCs/>
                <w:sz w:val="16"/>
                <w:szCs w:val="16"/>
              </w:rPr>
              <w:t>36,000</w:t>
            </w:r>
          </w:p>
        </w:tc>
        <w:tc>
          <w:tcPr>
            <w:tcW w:w="893" w:type="dxa"/>
            <w:tcBorders>
              <w:top w:val="nil"/>
              <w:left w:val="nil"/>
              <w:bottom w:val="single" w:sz="4" w:space="0" w:color="auto"/>
              <w:right w:val="nil"/>
            </w:tcBorders>
            <w:shd w:val="clear" w:color="auto" w:fill="auto"/>
            <w:noWrap/>
            <w:vAlign w:val="bottom"/>
            <w:hideMark/>
          </w:tcPr>
          <w:p w14:paraId="44F4E99B" w14:textId="77777777" w:rsidR="00AB3BAD" w:rsidRPr="00AB3BAD" w:rsidRDefault="00AB3BAD" w:rsidP="00AB3BAD">
            <w:pPr>
              <w:spacing w:after="0"/>
              <w:jc w:val="right"/>
              <w:rPr>
                <w:rFonts w:ascii="Arial" w:hAnsi="Arial" w:cs="Arial"/>
                <w:b/>
                <w:bCs/>
                <w:sz w:val="16"/>
                <w:szCs w:val="16"/>
              </w:rPr>
            </w:pPr>
            <w:r w:rsidRPr="00AB3BAD">
              <w:rPr>
                <w:rFonts w:ascii="Arial" w:hAnsi="Arial" w:cs="Arial"/>
                <w:b/>
                <w:bCs/>
                <w:sz w:val="16"/>
                <w:szCs w:val="16"/>
              </w:rPr>
              <w:t>36,000</w:t>
            </w:r>
          </w:p>
        </w:tc>
        <w:tc>
          <w:tcPr>
            <w:tcW w:w="893" w:type="dxa"/>
            <w:tcBorders>
              <w:top w:val="nil"/>
              <w:left w:val="nil"/>
              <w:bottom w:val="single" w:sz="4" w:space="0" w:color="auto"/>
              <w:right w:val="nil"/>
            </w:tcBorders>
            <w:shd w:val="clear" w:color="auto" w:fill="auto"/>
            <w:noWrap/>
            <w:vAlign w:val="bottom"/>
            <w:hideMark/>
          </w:tcPr>
          <w:p w14:paraId="02B2A6A5" w14:textId="77777777" w:rsidR="00AB3BAD" w:rsidRPr="00AB3BAD" w:rsidRDefault="00AB3BAD" w:rsidP="00AB3BAD">
            <w:pPr>
              <w:spacing w:after="0"/>
              <w:jc w:val="right"/>
              <w:rPr>
                <w:rFonts w:ascii="Arial" w:hAnsi="Arial" w:cs="Arial"/>
                <w:b/>
                <w:bCs/>
                <w:sz w:val="16"/>
                <w:szCs w:val="16"/>
              </w:rPr>
            </w:pPr>
            <w:r w:rsidRPr="00AB3BAD">
              <w:rPr>
                <w:rFonts w:ascii="Arial" w:hAnsi="Arial" w:cs="Arial"/>
                <w:b/>
                <w:bCs/>
                <w:sz w:val="16"/>
                <w:szCs w:val="16"/>
              </w:rPr>
              <w:t>36,000</w:t>
            </w:r>
          </w:p>
        </w:tc>
        <w:tc>
          <w:tcPr>
            <w:tcW w:w="893" w:type="dxa"/>
            <w:tcBorders>
              <w:top w:val="nil"/>
              <w:left w:val="nil"/>
              <w:bottom w:val="single" w:sz="4" w:space="0" w:color="auto"/>
              <w:right w:val="nil"/>
            </w:tcBorders>
            <w:shd w:val="clear" w:color="auto" w:fill="auto"/>
            <w:noWrap/>
            <w:vAlign w:val="bottom"/>
            <w:hideMark/>
          </w:tcPr>
          <w:p w14:paraId="1AAFB86C" w14:textId="77777777" w:rsidR="00AB3BAD" w:rsidRPr="00AB3BAD" w:rsidRDefault="00AB3BAD" w:rsidP="00AB3BAD">
            <w:pPr>
              <w:spacing w:after="0"/>
              <w:jc w:val="right"/>
              <w:rPr>
                <w:rFonts w:ascii="Arial" w:hAnsi="Arial" w:cs="Arial"/>
                <w:b/>
                <w:bCs/>
                <w:sz w:val="16"/>
                <w:szCs w:val="16"/>
              </w:rPr>
            </w:pPr>
            <w:r w:rsidRPr="00AB3BAD">
              <w:rPr>
                <w:rFonts w:ascii="Arial" w:hAnsi="Arial" w:cs="Arial"/>
                <w:b/>
                <w:bCs/>
                <w:sz w:val="16"/>
                <w:szCs w:val="16"/>
              </w:rPr>
              <w:t>36,000</w:t>
            </w:r>
          </w:p>
        </w:tc>
      </w:tr>
      <w:tr w:rsidR="00AB3BAD" w:rsidRPr="00AB3BAD" w14:paraId="5389DC1D" w14:textId="77777777" w:rsidTr="0008295D">
        <w:trPr>
          <w:trHeight w:val="300"/>
        </w:trPr>
        <w:tc>
          <w:tcPr>
            <w:tcW w:w="3062" w:type="dxa"/>
            <w:tcBorders>
              <w:top w:val="nil"/>
              <w:left w:val="nil"/>
              <w:bottom w:val="nil"/>
              <w:right w:val="nil"/>
            </w:tcBorders>
            <w:shd w:val="clear" w:color="auto" w:fill="auto"/>
            <w:noWrap/>
            <w:vAlign w:val="bottom"/>
            <w:hideMark/>
          </w:tcPr>
          <w:p w14:paraId="38013E43" w14:textId="77777777" w:rsidR="00AB3BAD" w:rsidRPr="00AB3BAD" w:rsidRDefault="00AB3BAD" w:rsidP="00AB3BAD">
            <w:pPr>
              <w:spacing w:after="0"/>
              <w:ind w:firstLineChars="100" w:firstLine="160"/>
              <w:rPr>
                <w:rFonts w:ascii="Arial" w:hAnsi="Arial" w:cs="Arial"/>
                <w:b/>
                <w:bCs/>
                <w:sz w:val="16"/>
                <w:szCs w:val="16"/>
              </w:rPr>
            </w:pPr>
            <w:r w:rsidRPr="00AB3BAD">
              <w:rPr>
                <w:rFonts w:ascii="Arial" w:hAnsi="Arial" w:cs="Arial"/>
                <w:b/>
                <w:bCs/>
                <w:sz w:val="16"/>
                <w:szCs w:val="16"/>
              </w:rPr>
              <w:t>Cash used</w:t>
            </w:r>
          </w:p>
        </w:tc>
        <w:tc>
          <w:tcPr>
            <w:tcW w:w="892" w:type="dxa"/>
            <w:tcBorders>
              <w:top w:val="nil"/>
              <w:left w:val="nil"/>
              <w:bottom w:val="nil"/>
              <w:right w:val="nil"/>
            </w:tcBorders>
            <w:shd w:val="clear" w:color="auto" w:fill="auto"/>
            <w:noWrap/>
            <w:vAlign w:val="bottom"/>
            <w:hideMark/>
          </w:tcPr>
          <w:p w14:paraId="22BE6CE1" w14:textId="77777777" w:rsidR="00AB3BAD" w:rsidRPr="00AB3BAD" w:rsidRDefault="00AB3BAD" w:rsidP="00AB3BAD">
            <w:pPr>
              <w:spacing w:after="0"/>
              <w:ind w:firstLineChars="100" w:firstLine="160"/>
              <w:rPr>
                <w:rFonts w:ascii="Arial" w:hAnsi="Arial" w:cs="Arial"/>
                <w:b/>
                <w:bCs/>
                <w:sz w:val="16"/>
                <w:szCs w:val="16"/>
              </w:rPr>
            </w:pPr>
          </w:p>
        </w:tc>
        <w:tc>
          <w:tcPr>
            <w:tcW w:w="893" w:type="dxa"/>
            <w:tcBorders>
              <w:top w:val="nil"/>
              <w:left w:val="nil"/>
              <w:bottom w:val="nil"/>
              <w:right w:val="nil"/>
            </w:tcBorders>
            <w:shd w:val="clear" w:color="000000" w:fill="D9D9D9"/>
            <w:noWrap/>
            <w:vAlign w:val="bottom"/>
            <w:hideMark/>
          </w:tcPr>
          <w:p w14:paraId="7E63B3B9"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 </w:t>
            </w:r>
          </w:p>
        </w:tc>
        <w:tc>
          <w:tcPr>
            <w:tcW w:w="893" w:type="dxa"/>
            <w:tcBorders>
              <w:top w:val="nil"/>
              <w:left w:val="nil"/>
              <w:bottom w:val="nil"/>
              <w:right w:val="nil"/>
            </w:tcBorders>
            <w:shd w:val="clear" w:color="auto" w:fill="auto"/>
            <w:noWrap/>
            <w:vAlign w:val="bottom"/>
            <w:hideMark/>
          </w:tcPr>
          <w:p w14:paraId="51F2C50E" w14:textId="77777777" w:rsidR="00AB3BAD" w:rsidRPr="00AB3BAD" w:rsidRDefault="00AB3BAD" w:rsidP="00AB3BAD">
            <w:pPr>
              <w:spacing w:after="0"/>
              <w:jc w:val="right"/>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14:paraId="697E85DF" w14:textId="77777777" w:rsidR="00AB3BAD" w:rsidRPr="00AB3BAD" w:rsidRDefault="00AB3BAD" w:rsidP="00AB3BAD">
            <w:pPr>
              <w:spacing w:after="0"/>
              <w:jc w:val="right"/>
              <w:rPr>
                <w:rFonts w:ascii="Times New Roman" w:hAnsi="Times New Roman"/>
                <w:color w:val="auto"/>
                <w:sz w:val="20"/>
              </w:rPr>
            </w:pPr>
          </w:p>
        </w:tc>
        <w:tc>
          <w:tcPr>
            <w:tcW w:w="893" w:type="dxa"/>
            <w:tcBorders>
              <w:top w:val="nil"/>
              <w:left w:val="nil"/>
              <w:bottom w:val="nil"/>
              <w:right w:val="nil"/>
            </w:tcBorders>
            <w:shd w:val="clear" w:color="auto" w:fill="auto"/>
            <w:noWrap/>
            <w:vAlign w:val="bottom"/>
            <w:hideMark/>
          </w:tcPr>
          <w:p w14:paraId="35E2A968" w14:textId="77777777" w:rsidR="00AB3BAD" w:rsidRPr="00AB3BAD" w:rsidRDefault="00AB3BAD" w:rsidP="00AB3BAD">
            <w:pPr>
              <w:spacing w:after="0"/>
              <w:jc w:val="right"/>
              <w:rPr>
                <w:rFonts w:ascii="Times New Roman" w:hAnsi="Times New Roman"/>
                <w:color w:val="auto"/>
                <w:sz w:val="20"/>
              </w:rPr>
            </w:pPr>
          </w:p>
        </w:tc>
      </w:tr>
      <w:tr w:rsidR="00AB3BAD" w:rsidRPr="00AB3BAD" w14:paraId="10EB7E23" w14:textId="77777777" w:rsidTr="0008295D">
        <w:trPr>
          <w:trHeight w:val="225"/>
        </w:trPr>
        <w:tc>
          <w:tcPr>
            <w:tcW w:w="3062" w:type="dxa"/>
            <w:tcBorders>
              <w:top w:val="nil"/>
              <w:left w:val="nil"/>
              <w:bottom w:val="nil"/>
              <w:right w:val="nil"/>
            </w:tcBorders>
            <w:shd w:val="clear" w:color="auto" w:fill="auto"/>
            <w:noWrap/>
            <w:vAlign w:val="bottom"/>
            <w:hideMark/>
          </w:tcPr>
          <w:p w14:paraId="6ACE1C80" w14:textId="77777777" w:rsidR="00AB3BAD" w:rsidRPr="00AB3BAD" w:rsidRDefault="00AB3BAD" w:rsidP="00AB3BAD">
            <w:pPr>
              <w:spacing w:after="0"/>
              <w:ind w:firstLineChars="200" w:firstLine="320"/>
              <w:rPr>
                <w:rFonts w:ascii="Arial" w:hAnsi="Arial" w:cs="Arial"/>
                <w:color w:val="auto"/>
                <w:sz w:val="16"/>
                <w:szCs w:val="16"/>
              </w:rPr>
            </w:pPr>
            <w:r w:rsidRPr="00AB3BAD">
              <w:rPr>
                <w:rFonts w:ascii="Arial" w:hAnsi="Arial" w:cs="Arial"/>
                <w:color w:val="auto"/>
                <w:sz w:val="16"/>
                <w:szCs w:val="16"/>
              </w:rPr>
              <w:t xml:space="preserve">Grant payments </w:t>
            </w:r>
          </w:p>
        </w:tc>
        <w:tc>
          <w:tcPr>
            <w:tcW w:w="892" w:type="dxa"/>
            <w:tcBorders>
              <w:top w:val="nil"/>
              <w:left w:val="nil"/>
              <w:bottom w:val="nil"/>
              <w:right w:val="nil"/>
            </w:tcBorders>
            <w:shd w:val="clear" w:color="auto" w:fill="auto"/>
            <w:noWrap/>
            <w:tcMar>
              <w:left w:w="0" w:type="dxa"/>
            </w:tcMar>
            <w:vAlign w:val="bottom"/>
            <w:hideMark/>
          </w:tcPr>
          <w:p w14:paraId="00283DC9"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898,337</w:t>
            </w:r>
          </w:p>
        </w:tc>
        <w:tc>
          <w:tcPr>
            <w:tcW w:w="893" w:type="dxa"/>
            <w:tcBorders>
              <w:top w:val="nil"/>
              <w:left w:val="nil"/>
              <w:bottom w:val="nil"/>
              <w:right w:val="nil"/>
            </w:tcBorders>
            <w:shd w:val="clear" w:color="000000" w:fill="D9D9D9"/>
            <w:noWrap/>
            <w:tcMar>
              <w:left w:w="0" w:type="dxa"/>
            </w:tcMar>
            <w:vAlign w:val="bottom"/>
            <w:hideMark/>
          </w:tcPr>
          <w:p w14:paraId="22D6EF0F"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945,880</w:t>
            </w:r>
          </w:p>
        </w:tc>
        <w:tc>
          <w:tcPr>
            <w:tcW w:w="893" w:type="dxa"/>
            <w:tcBorders>
              <w:top w:val="nil"/>
              <w:left w:val="nil"/>
              <w:bottom w:val="nil"/>
              <w:right w:val="nil"/>
            </w:tcBorders>
            <w:shd w:val="clear" w:color="auto" w:fill="auto"/>
            <w:noWrap/>
            <w:tcMar>
              <w:left w:w="0" w:type="dxa"/>
            </w:tcMar>
            <w:vAlign w:val="bottom"/>
            <w:hideMark/>
          </w:tcPr>
          <w:p w14:paraId="2A9DDE48"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983,050</w:t>
            </w:r>
          </w:p>
        </w:tc>
        <w:tc>
          <w:tcPr>
            <w:tcW w:w="893" w:type="dxa"/>
            <w:tcBorders>
              <w:top w:val="nil"/>
              <w:left w:val="nil"/>
              <w:bottom w:val="nil"/>
              <w:right w:val="nil"/>
            </w:tcBorders>
            <w:shd w:val="clear" w:color="auto" w:fill="auto"/>
            <w:noWrap/>
            <w:tcMar>
              <w:left w:w="0" w:type="dxa"/>
            </w:tcMar>
            <w:vAlign w:val="bottom"/>
            <w:hideMark/>
          </w:tcPr>
          <w:p w14:paraId="05652B21"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995,561</w:t>
            </w:r>
          </w:p>
        </w:tc>
        <w:tc>
          <w:tcPr>
            <w:tcW w:w="893" w:type="dxa"/>
            <w:tcBorders>
              <w:top w:val="nil"/>
              <w:left w:val="nil"/>
              <w:bottom w:val="nil"/>
              <w:right w:val="nil"/>
            </w:tcBorders>
            <w:shd w:val="clear" w:color="auto" w:fill="auto"/>
            <w:noWrap/>
            <w:tcMar>
              <w:left w:w="0" w:type="dxa"/>
            </w:tcMar>
            <w:vAlign w:val="bottom"/>
            <w:hideMark/>
          </w:tcPr>
          <w:p w14:paraId="15344298"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989,396</w:t>
            </w:r>
          </w:p>
        </w:tc>
      </w:tr>
      <w:tr w:rsidR="00AB3BAD" w:rsidRPr="00AB3BAD" w14:paraId="32FACA52" w14:textId="77777777" w:rsidTr="0008295D">
        <w:trPr>
          <w:trHeight w:val="225"/>
        </w:trPr>
        <w:tc>
          <w:tcPr>
            <w:tcW w:w="3062" w:type="dxa"/>
            <w:tcBorders>
              <w:top w:val="nil"/>
              <w:left w:val="nil"/>
              <w:bottom w:val="nil"/>
              <w:right w:val="nil"/>
            </w:tcBorders>
            <w:shd w:val="clear" w:color="auto" w:fill="auto"/>
            <w:noWrap/>
            <w:vAlign w:val="bottom"/>
            <w:hideMark/>
          </w:tcPr>
          <w:p w14:paraId="3552D20B" w14:textId="77777777" w:rsidR="00AB3BAD" w:rsidRPr="00AB3BAD" w:rsidRDefault="00AB3BAD" w:rsidP="00AB3BAD">
            <w:pPr>
              <w:spacing w:after="0"/>
              <w:ind w:firstLineChars="200" w:firstLine="320"/>
              <w:rPr>
                <w:rFonts w:ascii="Arial" w:hAnsi="Arial" w:cs="Arial"/>
                <w:color w:val="auto"/>
                <w:sz w:val="16"/>
                <w:szCs w:val="16"/>
              </w:rPr>
            </w:pPr>
            <w:r w:rsidRPr="00AB3BAD">
              <w:rPr>
                <w:rFonts w:ascii="Arial" w:hAnsi="Arial" w:cs="Arial"/>
                <w:color w:val="auto"/>
                <w:sz w:val="16"/>
                <w:szCs w:val="16"/>
              </w:rPr>
              <w:t>Suppliers</w:t>
            </w:r>
          </w:p>
        </w:tc>
        <w:tc>
          <w:tcPr>
            <w:tcW w:w="892" w:type="dxa"/>
            <w:tcBorders>
              <w:top w:val="nil"/>
              <w:left w:val="nil"/>
              <w:bottom w:val="nil"/>
              <w:right w:val="nil"/>
            </w:tcBorders>
            <w:shd w:val="clear" w:color="auto" w:fill="auto"/>
            <w:noWrap/>
            <w:tcMar>
              <w:left w:w="0" w:type="dxa"/>
            </w:tcMar>
            <w:vAlign w:val="bottom"/>
            <w:hideMark/>
          </w:tcPr>
          <w:p w14:paraId="4550B4DB"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15,097</w:t>
            </w:r>
          </w:p>
        </w:tc>
        <w:tc>
          <w:tcPr>
            <w:tcW w:w="893" w:type="dxa"/>
            <w:tcBorders>
              <w:top w:val="nil"/>
              <w:left w:val="nil"/>
              <w:bottom w:val="nil"/>
              <w:right w:val="nil"/>
            </w:tcBorders>
            <w:shd w:val="clear" w:color="000000" w:fill="D9D9D9"/>
            <w:noWrap/>
            <w:tcMar>
              <w:left w:w="0" w:type="dxa"/>
            </w:tcMar>
            <w:vAlign w:val="bottom"/>
            <w:hideMark/>
          </w:tcPr>
          <w:p w14:paraId="44370CA0"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13,128</w:t>
            </w:r>
          </w:p>
        </w:tc>
        <w:tc>
          <w:tcPr>
            <w:tcW w:w="893" w:type="dxa"/>
            <w:tcBorders>
              <w:top w:val="nil"/>
              <w:left w:val="nil"/>
              <w:bottom w:val="nil"/>
              <w:right w:val="nil"/>
            </w:tcBorders>
            <w:shd w:val="clear" w:color="auto" w:fill="auto"/>
            <w:noWrap/>
            <w:tcMar>
              <w:left w:w="0" w:type="dxa"/>
            </w:tcMar>
            <w:vAlign w:val="bottom"/>
            <w:hideMark/>
          </w:tcPr>
          <w:p w14:paraId="0EEC3284"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13,542</w:t>
            </w:r>
          </w:p>
        </w:tc>
        <w:tc>
          <w:tcPr>
            <w:tcW w:w="893" w:type="dxa"/>
            <w:tcBorders>
              <w:top w:val="nil"/>
              <w:left w:val="nil"/>
              <w:bottom w:val="nil"/>
              <w:right w:val="nil"/>
            </w:tcBorders>
            <w:shd w:val="clear" w:color="auto" w:fill="auto"/>
            <w:noWrap/>
            <w:tcMar>
              <w:left w:w="0" w:type="dxa"/>
            </w:tcMar>
            <w:vAlign w:val="bottom"/>
            <w:hideMark/>
          </w:tcPr>
          <w:p w14:paraId="165AA402"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13,803</w:t>
            </w:r>
          </w:p>
        </w:tc>
        <w:tc>
          <w:tcPr>
            <w:tcW w:w="893" w:type="dxa"/>
            <w:tcBorders>
              <w:top w:val="nil"/>
              <w:left w:val="nil"/>
              <w:bottom w:val="nil"/>
              <w:right w:val="nil"/>
            </w:tcBorders>
            <w:shd w:val="clear" w:color="auto" w:fill="auto"/>
            <w:noWrap/>
            <w:tcMar>
              <w:left w:w="0" w:type="dxa"/>
            </w:tcMar>
            <w:vAlign w:val="bottom"/>
            <w:hideMark/>
          </w:tcPr>
          <w:p w14:paraId="2E52A117"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14,036</w:t>
            </w:r>
          </w:p>
        </w:tc>
      </w:tr>
      <w:tr w:rsidR="00AB3BAD" w:rsidRPr="00AB3BAD" w14:paraId="6D871E4C" w14:textId="77777777" w:rsidTr="0008295D">
        <w:trPr>
          <w:trHeight w:val="225"/>
        </w:trPr>
        <w:tc>
          <w:tcPr>
            <w:tcW w:w="3062" w:type="dxa"/>
            <w:tcBorders>
              <w:top w:val="nil"/>
              <w:left w:val="nil"/>
              <w:bottom w:val="nil"/>
              <w:right w:val="nil"/>
            </w:tcBorders>
            <w:shd w:val="clear" w:color="auto" w:fill="auto"/>
            <w:noWrap/>
            <w:vAlign w:val="bottom"/>
            <w:hideMark/>
          </w:tcPr>
          <w:p w14:paraId="5A3072E5" w14:textId="77777777" w:rsidR="00AB3BAD" w:rsidRPr="00AB3BAD" w:rsidRDefault="00AB3BAD" w:rsidP="00AB3BAD">
            <w:pPr>
              <w:spacing w:after="0"/>
              <w:ind w:firstLineChars="200" w:firstLine="320"/>
              <w:rPr>
                <w:rFonts w:ascii="Arial" w:hAnsi="Arial" w:cs="Arial"/>
                <w:color w:val="auto"/>
                <w:sz w:val="16"/>
                <w:szCs w:val="16"/>
              </w:rPr>
            </w:pPr>
            <w:r w:rsidRPr="00AB3BAD">
              <w:rPr>
                <w:rFonts w:ascii="Arial" w:hAnsi="Arial" w:cs="Arial"/>
                <w:color w:val="auto"/>
                <w:sz w:val="16"/>
                <w:szCs w:val="16"/>
              </w:rPr>
              <w:t>Net GST paid</w:t>
            </w:r>
          </w:p>
        </w:tc>
        <w:tc>
          <w:tcPr>
            <w:tcW w:w="892" w:type="dxa"/>
            <w:tcBorders>
              <w:top w:val="nil"/>
              <w:left w:val="nil"/>
              <w:bottom w:val="nil"/>
              <w:right w:val="nil"/>
            </w:tcBorders>
            <w:shd w:val="clear" w:color="auto" w:fill="auto"/>
            <w:noWrap/>
            <w:tcMar>
              <w:left w:w="0" w:type="dxa"/>
            </w:tcMar>
            <w:vAlign w:val="bottom"/>
            <w:hideMark/>
          </w:tcPr>
          <w:p w14:paraId="0FB4A37F"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26,000</w:t>
            </w:r>
          </w:p>
        </w:tc>
        <w:tc>
          <w:tcPr>
            <w:tcW w:w="893" w:type="dxa"/>
            <w:tcBorders>
              <w:top w:val="nil"/>
              <w:left w:val="nil"/>
              <w:bottom w:val="nil"/>
              <w:right w:val="nil"/>
            </w:tcBorders>
            <w:shd w:val="clear" w:color="000000" w:fill="D9D9D9"/>
            <w:noWrap/>
            <w:tcMar>
              <w:left w:w="0" w:type="dxa"/>
            </w:tcMar>
            <w:vAlign w:val="bottom"/>
            <w:hideMark/>
          </w:tcPr>
          <w:p w14:paraId="1FF0EC9F"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26,000</w:t>
            </w:r>
          </w:p>
        </w:tc>
        <w:tc>
          <w:tcPr>
            <w:tcW w:w="893" w:type="dxa"/>
            <w:tcBorders>
              <w:top w:val="nil"/>
              <w:left w:val="nil"/>
              <w:bottom w:val="nil"/>
              <w:right w:val="nil"/>
            </w:tcBorders>
            <w:shd w:val="clear" w:color="auto" w:fill="auto"/>
            <w:noWrap/>
            <w:tcMar>
              <w:left w:w="0" w:type="dxa"/>
            </w:tcMar>
            <w:vAlign w:val="bottom"/>
            <w:hideMark/>
          </w:tcPr>
          <w:p w14:paraId="78B24D0D"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26,000</w:t>
            </w:r>
          </w:p>
        </w:tc>
        <w:tc>
          <w:tcPr>
            <w:tcW w:w="893" w:type="dxa"/>
            <w:tcBorders>
              <w:top w:val="nil"/>
              <w:left w:val="nil"/>
              <w:bottom w:val="nil"/>
              <w:right w:val="nil"/>
            </w:tcBorders>
            <w:shd w:val="clear" w:color="auto" w:fill="auto"/>
            <w:noWrap/>
            <w:tcMar>
              <w:left w:w="0" w:type="dxa"/>
            </w:tcMar>
            <w:vAlign w:val="bottom"/>
            <w:hideMark/>
          </w:tcPr>
          <w:p w14:paraId="6B42DBE3"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26,000</w:t>
            </w:r>
          </w:p>
        </w:tc>
        <w:tc>
          <w:tcPr>
            <w:tcW w:w="893" w:type="dxa"/>
            <w:tcBorders>
              <w:top w:val="nil"/>
              <w:left w:val="nil"/>
              <w:bottom w:val="nil"/>
              <w:right w:val="nil"/>
            </w:tcBorders>
            <w:shd w:val="clear" w:color="auto" w:fill="auto"/>
            <w:noWrap/>
            <w:tcMar>
              <w:left w:w="0" w:type="dxa"/>
            </w:tcMar>
            <w:vAlign w:val="bottom"/>
            <w:hideMark/>
          </w:tcPr>
          <w:p w14:paraId="7EFA9084"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26,000</w:t>
            </w:r>
          </w:p>
        </w:tc>
      </w:tr>
      <w:tr w:rsidR="00AB3BAD" w:rsidRPr="00AB3BAD" w14:paraId="579ABECF" w14:textId="77777777" w:rsidTr="0008295D">
        <w:trPr>
          <w:trHeight w:val="225"/>
        </w:trPr>
        <w:tc>
          <w:tcPr>
            <w:tcW w:w="3062" w:type="dxa"/>
            <w:tcBorders>
              <w:top w:val="nil"/>
              <w:left w:val="nil"/>
              <w:bottom w:val="nil"/>
              <w:right w:val="nil"/>
            </w:tcBorders>
            <w:shd w:val="clear" w:color="auto" w:fill="auto"/>
            <w:noWrap/>
            <w:vAlign w:val="bottom"/>
            <w:hideMark/>
          </w:tcPr>
          <w:p w14:paraId="73A23DAC" w14:textId="77777777" w:rsidR="00AB3BAD" w:rsidRPr="00AB3BAD" w:rsidRDefault="00AB3BAD" w:rsidP="00AB3BAD">
            <w:pPr>
              <w:spacing w:after="0"/>
              <w:ind w:firstLineChars="200" w:firstLine="320"/>
              <w:rPr>
                <w:rFonts w:ascii="Arial" w:hAnsi="Arial" w:cs="Arial"/>
                <w:b/>
                <w:bCs/>
                <w:sz w:val="16"/>
                <w:szCs w:val="16"/>
              </w:rPr>
            </w:pPr>
            <w:r w:rsidRPr="00AB3BAD">
              <w:rPr>
                <w:rFonts w:ascii="Arial" w:hAnsi="Arial" w:cs="Arial"/>
                <w:b/>
                <w:bCs/>
                <w:sz w:val="16"/>
                <w:szCs w:val="16"/>
              </w:rPr>
              <w:t>Total cash used</w:t>
            </w:r>
          </w:p>
        </w:tc>
        <w:tc>
          <w:tcPr>
            <w:tcW w:w="892" w:type="dxa"/>
            <w:tcBorders>
              <w:top w:val="nil"/>
              <w:left w:val="nil"/>
              <w:bottom w:val="single" w:sz="4" w:space="0" w:color="auto"/>
              <w:right w:val="nil"/>
            </w:tcBorders>
            <w:shd w:val="clear" w:color="auto" w:fill="auto"/>
            <w:noWrap/>
            <w:tcMar>
              <w:left w:w="0" w:type="dxa"/>
            </w:tcMar>
            <w:vAlign w:val="bottom"/>
            <w:hideMark/>
          </w:tcPr>
          <w:p w14:paraId="3224D743" w14:textId="77777777" w:rsidR="00AB3BAD" w:rsidRPr="00AB3BAD" w:rsidRDefault="00AB3BAD" w:rsidP="00AB3BAD">
            <w:pPr>
              <w:spacing w:after="0"/>
              <w:jc w:val="right"/>
              <w:rPr>
                <w:rFonts w:ascii="Arial" w:hAnsi="Arial" w:cs="Arial"/>
                <w:b/>
                <w:bCs/>
                <w:sz w:val="16"/>
                <w:szCs w:val="16"/>
              </w:rPr>
            </w:pPr>
            <w:r w:rsidRPr="00AB3BAD">
              <w:rPr>
                <w:rFonts w:ascii="Arial" w:hAnsi="Arial" w:cs="Arial"/>
                <w:b/>
                <w:bCs/>
                <w:sz w:val="16"/>
                <w:szCs w:val="16"/>
              </w:rPr>
              <w:t>939,434</w:t>
            </w:r>
          </w:p>
        </w:tc>
        <w:tc>
          <w:tcPr>
            <w:tcW w:w="893" w:type="dxa"/>
            <w:tcBorders>
              <w:top w:val="nil"/>
              <w:left w:val="nil"/>
              <w:bottom w:val="single" w:sz="4" w:space="0" w:color="auto"/>
              <w:right w:val="nil"/>
            </w:tcBorders>
            <w:shd w:val="clear" w:color="000000" w:fill="D9D9D9"/>
            <w:noWrap/>
            <w:tcMar>
              <w:left w:w="0" w:type="dxa"/>
            </w:tcMar>
            <w:vAlign w:val="bottom"/>
            <w:hideMark/>
          </w:tcPr>
          <w:p w14:paraId="4A62EED8" w14:textId="77777777" w:rsidR="00AB3BAD" w:rsidRPr="00AB3BAD" w:rsidRDefault="00AB3BAD" w:rsidP="00AB3BAD">
            <w:pPr>
              <w:spacing w:after="0"/>
              <w:jc w:val="right"/>
              <w:rPr>
                <w:rFonts w:ascii="Arial" w:hAnsi="Arial" w:cs="Arial"/>
                <w:b/>
                <w:bCs/>
                <w:sz w:val="16"/>
                <w:szCs w:val="16"/>
              </w:rPr>
            </w:pPr>
            <w:r w:rsidRPr="00AB3BAD">
              <w:rPr>
                <w:rFonts w:ascii="Arial" w:hAnsi="Arial" w:cs="Arial"/>
                <w:b/>
                <w:bCs/>
                <w:sz w:val="16"/>
                <w:szCs w:val="16"/>
              </w:rPr>
              <w:t>985,008</w:t>
            </w:r>
          </w:p>
        </w:tc>
        <w:tc>
          <w:tcPr>
            <w:tcW w:w="893" w:type="dxa"/>
            <w:tcBorders>
              <w:top w:val="nil"/>
              <w:left w:val="nil"/>
              <w:bottom w:val="single" w:sz="4" w:space="0" w:color="auto"/>
              <w:right w:val="nil"/>
            </w:tcBorders>
            <w:shd w:val="clear" w:color="auto" w:fill="auto"/>
            <w:noWrap/>
            <w:tcMar>
              <w:left w:w="0" w:type="dxa"/>
            </w:tcMar>
            <w:vAlign w:val="bottom"/>
            <w:hideMark/>
          </w:tcPr>
          <w:p w14:paraId="5071B593" w14:textId="77777777" w:rsidR="00AB3BAD" w:rsidRPr="00AB3BAD" w:rsidRDefault="00AB3BAD" w:rsidP="00AB3BAD">
            <w:pPr>
              <w:spacing w:after="0"/>
              <w:jc w:val="right"/>
              <w:rPr>
                <w:rFonts w:ascii="Arial" w:hAnsi="Arial" w:cs="Arial"/>
                <w:b/>
                <w:bCs/>
                <w:sz w:val="16"/>
                <w:szCs w:val="16"/>
              </w:rPr>
            </w:pPr>
            <w:r w:rsidRPr="00AB3BAD">
              <w:rPr>
                <w:rFonts w:ascii="Arial" w:hAnsi="Arial" w:cs="Arial"/>
                <w:b/>
                <w:bCs/>
                <w:sz w:val="16"/>
                <w:szCs w:val="16"/>
              </w:rPr>
              <w:t>1,022,592</w:t>
            </w:r>
          </w:p>
        </w:tc>
        <w:tc>
          <w:tcPr>
            <w:tcW w:w="893" w:type="dxa"/>
            <w:tcBorders>
              <w:top w:val="nil"/>
              <w:left w:val="nil"/>
              <w:bottom w:val="single" w:sz="4" w:space="0" w:color="auto"/>
              <w:right w:val="nil"/>
            </w:tcBorders>
            <w:shd w:val="clear" w:color="auto" w:fill="auto"/>
            <w:noWrap/>
            <w:tcMar>
              <w:left w:w="0" w:type="dxa"/>
            </w:tcMar>
            <w:vAlign w:val="bottom"/>
            <w:hideMark/>
          </w:tcPr>
          <w:p w14:paraId="354FB1D4" w14:textId="77777777" w:rsidR="00AB3BAD" w:rsidRPr="00AB3BAD" w:rsidRDefault="00AB3BAD" w:rsidP="00AB3BAD">
            <w:pPr>
              <w:spacing w:after="0"/>
              <w:jc w:val="right"/>
              <w:rPr>
                <w:rFonts w:ascii="Arial" w:hAnsi="Arial" w:cs="Arial"/>
                <w:b/>
                <w:bCs/>
                <w:sz w:val="16"/>
                <w:szCs w:val="16"/>
              </w:rPr>
            </w:pPr>
            <w:r w:rsidRPr="00AB3BAD">
              <w:rPr>
                <w:rFonts w:ascii="Arial" w:hAnsi="Arial" w:cs="Arial"/>
                <w:b/>
                <w:bCs/>
                <w:sz w:val="16"/>
                <w:szCs w:val="16"/>
              </w:rPr>
              <w:t>1,035,364</w:t>
            </w:r>
          </w:p>
        </w:tc>
        <w:tc>
          <w:tcPr>
            <w:tcW w:w="893" w:type="dxa"/>
            <w:tcBorders>
              <w:top w:val="nil"/>
              <w:left w:val="nil"/>
              <w:bottom w:val="single" w:sz="4" w:space="0" w:color="auto"/>
              <w:right w:val="nil"/>
            </w:tcBorders>
            <w:shd w:val="clear" w:color="auto" w:fill="auto"/>
            <w:noWrap/>
            <w:tcMar>
              <w:left w:w="0" w:type="dxa"/>
            </w:tcMar>
            <w:vAlign w:val="bottom"/>
            <w:hideMark/>
          </w:tcPr>
          <w:p w14:paraId="4D65DB4C" w14:textId="77777777" w:rsidR="00AB3BAD" w:rsidRPr="00AB3BAD" w:rsidRDefault="00AB3BAD" w:rsidP="00AB3BAD">
            <w:pPr>
              <w:spacing w:after="0"/>
              <w:jc w:val="right"/>
              <w:rPr>
                <w:rFonts w:ascii="Arial" w:hAnsi="Arial" w:cs="Arial"/>
                <w:b/>
                <w:bCs/>
                <w:sz w:val="16"/>
                <w:szCs w:val="16"/>
              </w:rPr>
            </w:pPr>
            <w:r w:rsidRPr="00AB3BAD">
              <w:rPr>
                <w:rFonts w:ascii="Arial" w:hAnsi="Arial" w:cs="Arial"/>
                <w:b/>
                <w:bCs/>
                <w:sz w:val="16"/>
                <w:szCs w:val="16"/>
              </w:rPr>
              <w:t>1,029,432</w:t>
            </w:r>
          </w:p>
        </w:tc>
      </w:tr>
      <w:tr w:rsidR="00AB3BAD" w:rsidRPr="00AB3BAD" w14:paraId="16157FD6" w14:textId="77777777" w:rsidTr="0008295D">
        <w:trPr>
          <w:trHeight w:val="525"/>
        </w:trPr>
        <w:tc>
          <w:tcPr>
            <w:tcW w:w="3062" w:type="dxa"/>
            <w:tcBorders>
              <w:top w:val="nil"/>
              <w:left w:val="nil"/>
              <w:bottom w:val="nil"/>
              <w:right w:val="nil"/>
            </w:tcBorders>
            <w:shd w:val="clear" w:color="auto" w:fill="auto"/>
            <w:vAlign w:val="bottom"/>
            <w:hideMark/>
          </w:tcPr>
          <w:p w14:paraId="669700FC" w14:textId="77777777" w:rsidR="00AB3BAD" w:rsidRPr="00AB3BAD" w:rsidRDefault="00AB3BAD" w:rsidP="00AB3BAD">
            <w:pPr>
              <w:spacing w:after="0"/>
              <w:rPr>
                <w:rFonts w:ascii="Arial" w:hAnsi="Arial" w:cs="Arial"/>
                <w:b/>
                <w:bCs/>
                <w:sz w:val="16"/>
                <w:szCs w:val="16"/>
              </w:rPr>
            </w:pPr>
            <w:r w:rsidRPr="00AB3BAD">
              <w:rPr>
                <w:rFonts w:ascii="Arial" w:hAnsi="Arial" w:cs="Arial"/>
                <w:b/>
                <w:bCs/>
                <w:sz w:val="16"/>
                <w:szCs w:val="16"/>
              </w:rPr>
              <w:t>Net cash from (or used by) operating activities</w:t>
            </w:r>
          </w:p>
        </w:tc>
        <w:tc>
          <w:tcPr>
            <w:tcW w:w="892" w:type="dxa"/>
            <w:tcBorders>
              <w:top w:val="nil"/>
              <w:left w:val="nil"/>
              <w:bottom w:val="single" w:sz="4" w:space="0" w:color="auto"/>
              <w:right w:val="nil"/>
            </w:tcBorders>
            <w:shd w:val="clear" w:color="auto" w:fill="auto"/>
            <w:noWrap/>
            <w:tcMar>
              <w:left w:w="0" w:type="dxa"/>
            </w:tcMar>
            <w:vAlign w:val="bottom"/>
            <w:hideMark/>
          </w:tcPr>
          <w:p w14:paraId="4A0DB211" w14:textId="77777777" w:rsidR="00AB3BAD" w:rsidRPr="00AB3BAD" w:rsidRDefault="00AB3BAD" w:rsidP="00AB3BAD">
            <w:pPr>
              <w:spacing w:after="0"/>
              <w:jc w:val="right"/>
              <w:rPr>
                <w:rFonts w:ascii="Arial" w:hAnsi="Arial" w:cs="Arial"/>
                <w:b/>
                <w:bCs/>
                <w:sz w:val="16"/>
                <w:szCs w:val="16"/>
              </w:rPr>
            </w:pPr>
            <w:r w:rsidRPr="00AB3BAD">
              <w:rPr>
                <w:rFonts w:ascii="Arial" w:hAnsi="Arial" w:cs="Arial"/>
                <w:b/>
                <w:bCs/>
                <w:sz w:val="16"/>
                <w:szCs w:val="16"/>
              </w:rPr>
              <w:t>(903,434)</w:t>
            </w:r>
          </w:p>
        </w:tc>
        <w:tc>
          <w:tcPr>
            <w:tcW w:w="893" w:type="dxa"/>
            <w:tcBorders>
              <w:top w:val="nil"/>
              <w:left w:val="nil"/>
              <w:bottom w:val="single" w:sz="4" w:space="0" w:color="auto"/>
              <w:right w:val="nil"/>
            </w:tcBorders>
            <w:shd w:val="clear" w:color="000000" w:fill="D9D9D9"/>
            <w:noWrap/>
            <w:tcMar>
              <w:left w:w="0" w:type="dxa"/>
            </w:tcMar>
            <w:vAlign w:val="bottom"/>
            <w:hideMark/>
          </w:tcPr>
          <w:p w14:paraId="0A750CF2" w14:textId="77777777" w:rsidR="00AB3BAD" w:rsidRPr="00AB3BAD" w:rsidRDefault="00AB3BAD" w:rsidP="00AB3BAD">
            <w:pPr>
              <w:spacing w:after="0"/>
              <w:jc w:val="right"/>
              <w:rPr>
                <w:rFonts w:ascii="Arial" w:hAnsi="Arial" w:cs="Arial"/>
                <w:b/>
                <w:bCs/>
                <w:sz w:val="16"/>
                <w:szCs w:val="16"/>
              </w:rPr>
            </w:pPr>
            <w:r w:rsidRPr="00AB3BAD">
              <w:rPr>
                <w:rFonts w:ascii="Arial" w:hAnsi="Arial" w:cs="Arial"/>
                <w:b/>
                <w:bCs/>
                <w:sz w:val="16"/>
                <w:szCs w:val="16"/>
              </w:rPr>
              <w:t>(949,008)</w:t>
            </w:r>
          </w:p>
        </w:tc>
        <w:tc>
          <w:tcPr>
            <w:tcW w:w="893" w:type="dxa"/>
            <w:tcBorders>
              <w:top w:val="nil"/>
              <w:left w:val="nil"/>
              <w:bottom w:val="single" w:sz="4" w:space="0" w:color="auto"/>
              <w:right w:val="nil"/>
            </w:tcBorders>
            <w:shd w:val="clear" w:color="auto" w:fill="auto"/>
            <w:noWrap/>
            <w:tcMar>
              <w:left w:w="0" w:type="dxa"/>
            </w:tcMar>
            <w:vAlign w:val="bottom"/>
            <w:hideMark/>
          </w:tcPr>
          <w:p w14:paraId="477E606D" w14:textId="77777777" w:rsidR="00AB3BAD" w:rsidRPr="00AB3BAD" w:rsidRDefault="00AB3BAD" w:rsidP="00AB3BAD">
            <w:pPr>
              <w:spacing w:after="0"/>
              <w:jc w:val="right"/>
              <w:rPr>
                <w:rFonts w:ascii="Arial" w:hAnsi="Arial" w:cs="Arial"/>
                <w:b/>
                <w:bCs/>
                <w:sz w:val="16"/>
                <w:szCs w:val="16"/>
              </w:rPr>
            </w:pPr>
            <w:r w:rsidRPr="00AB3BAD">
              <w:rPr>
                <w:rFonts w:ascii="Arial" w:hAnsi="Arial" w:cs="Arial"/>
                <w:b/>
                <w:bCs/>
                <w:sz w:val="16"/>
                <w:szCs w:val="16"/>
              </w:rPr>
              <w:t>(986,592)</w:t>
            </w:r>
          </w:p>
        </w:tc>
        <w:tc>
          <w:tcPr>
            <w:tcW w:w="893" w:type="dxa"/>
            <w:tcBorders>
              <w:top w:val="nil"/>
              <w:left w:val="nil"/>
              <w:bottom w:val="single" w:sz="4" w:space="0" w:color="auto"/>
              <w:right w:val="nil"/>
            </w:tcBorders>
            <w:shd w:val="clear" w:color="auto" w:fill="auto"/>
            <w:noWrap/>
            <w:tcMar>
              <w:left w:w="0" w:type="dxa"/>
            </w:tcMar>
            <w:vAlign w:val="bottom"/>
            <w:hideMark/>
          </w:tcPr>
          <w:p w14:paraId="56461E7F" w14:textId="77777777" w:rsidR="00AB3BAD" w:rsidRPr="00AB3BAD" w:rsidRDefault="00AB3BAD" w:rsidP="00AB3BAD">
            <w:pPr>
              <w:spacing w:after="0"/>
              <w:jc w:val="right"/>
              <w:rPr>
                <w:rFonts w:ascii="Arial" w:hAnsi="Arial" w:cs="Arial"/>
                <w:b/>
                <w:bCs/>
                <w:sz w:val="16"/>
                <w:szCs w:val="16"/>
              </w:rPr>
            </w:pPr>
            <w:r w:rsidRPr="00AB3BAD">
              <w:rPr>
                <w:rFonts w:ascii="Arial" w:hAnsi="Arial" w:cs="Arial"/>
                <w:b/>
                <w:bCs/>
                <w:sz w:val="16"/>
                <w:szCs w:val="16"/>
              </w:rPr>
              <w:t>(999,364)</w:t>
            </w:r>
          </w:p>
        </w:tc>
        <w:tc>
          <w:tcPr>
            <w:tcW w:w="893" w:type="dxa"/>
            <w:tcBorders>
              <w:top w:val="nil"/>
              <w:left w:val="nil"/>
              <w:bottom w:val="single" w:sz="4" w:space="0" w:color="auto"/>
              <w:right w:val="nil"/>
            </w:tcBorders>
            <w:shd w:val="clear" w:color="auto" w:fill="auto"/>
            <w:noWrap/>
            <w:tcMar>
              <w:left w:w="0" w:type="dxa"/>
            </w:tcMar>
            <w:vAlign w:val="bottom"/>
            <w:hideMark/>
          </w:tcPr>
          <w:p w14:paraId="5B0CD35D" w14:textId="77777777" w:rsidR="00AB3BAD" w:rsidRPr="00AB3BAD" w:rsidRDefault="00AB3BAD" w:rsidP="00AB3BAD">
            <w:pPr>
              <w:spacing w:after="0"/>
              <w:jc w:val="right"/>
              <w:rPr>
                <w:rFonts w:ascii="Arial" w:hAnsi="Arial" w:cs="Arial"/>
                <w:b/>
                <w:bCs/>
                <w:sz w:val="16"/>
                <w:szCs w:val="16"/>
              </w:rPr>
            </w:pPr>
            <w:r w:rsidRPr="00AB3BAD">
              <w:rPr>
                <w:rFonts w:ascii="Arial" w:hAnsi="Arial" w:cs="Arial"/>
                <w:b/>
                <w:bCs/>
                <w:sz w:val="16"/>
                <w:szCs w:val="16"/>
              </w:rPr>
              <w:t>(993,432)</w:t>
            </w:r>
          </w:p>
        </w:tc>
      </w:tr>
      <w:tr w:rsidR="00AB3BAD" w:rsidRPr="00AB3BAD" w14:paraId="19719D93" w14:textId="77777777" w:rsidTr="0008295D">
        <w:trPr>
          <w:trHeight w:val="525"/>
        </w:trPr>
        <w:tc>
          <w:tcPr>
            <w:tcW w:w="3062" w:type="dxa"/>
            <w:tcBorders>
              <w:top w:val="nil"/>
              <w:left w:val="nil"/>
              <w:bottom w:val="nil"/>
              <w:right w:val="nil"/>
            </w:tcBorders>
            <w:shd w:val="clear" w:color="auto" w:fill="auto"/>
            <w:vAlign w:val="bottom"/>
            <w:hideMark/>
          </w:tcPr>
          <w:p w14:paraId="51D6018B" w14:textId="77777777" w:rsidR="00AB3BAD" w:rsidRPr="00AB3BAD" w:rsidRDefault="00AB3BAD" w:rsidP="00AB3BAD">
            <w:pPr>
              <w:spacing w:after="0"/>
              <w:rPr>
                <w:rFonts w:ascii="Arial" w:hAnsi="Arial" w:cs="Arial"/>
                <w:b/>
                <w:bCs/>
                <w:sz w:val="16"/>
                <w:szCs w:val="16"/>
              </w:rPr>
            </w:pPr>
            <w:r w:rsidRPr="00AB3BAD">
              <w:rPr>
                <w:rFonts w:ascii="Arial" w:hAnsi="Arial" w:cs="Arial"/>
                <w:b/>
                <w:bCs/>
                <w:sz w:val="16"/>
                <w:szCs w:val="16"/>
              </w:rPr>
              <w:t>Net increase (or decrease) in cash held</w:t>
            </w:r>
          </w:p>
        </w:tc>
        <w:tc>
          <w:tcPr>
            <w:tcW w:w="892" w:type="dxa"/>
            <w:tcBorders>
              <w:top w:val="nil"/>
              <w:left w:val="nil"/>
              <w:bottom w:val="single" w:sz="4" w:space="0" w:color="auto"/>
              <w:right w:val="nil"/>
            </w:tcBorders>
            <w:shd w:val="clear" w:color="auto" w:fill="auto"/>
            <w:noWrap/>
            <w:tcMar>
              <w:left w:w="0" w:type="dxa"/>
            </w:tcMar>
            <w:vAlign w:val="bottom"/>
            <w:hideMark/>
          </w:tcPr>
          <w:p w14:paraId="1A06124E" w14:textId="77777777" w:rsidR="00AB3BAD" w:rsidRPr="00AB3BAD" w:rsidRDefault="00AB3BAD" w:rsidP="00AB3BAD">
            <w:pPr>
              <w:spacing w:after="0"/>
              <w:jc w:val="right"/>
              <w:rPr>
                <w:rFonts w:ascii="Arial" w:hAnsi="Arial" w:cs="Arial"/>
                <w:b/>
                <w:bCs/>
                <w:sz w:val="16"/>
                <w:szCs w:val="16"/>
              </w:rPr>
            </w:pPr>
            <w:r w:rsidRPr="00AB3BAD">
              <w:rPr>
                <w:rFonts w:ascii="Arial" w:hAnsi="Arial" w:cs="Arial"/>
                <w:b/>
                <w:bCs/>
                <w:sz w:val="16"/>
                <w:szCs w:val="16"/>
              </w:rPr>
              <w:t>(903,434)</w:t>
            </w:r>
          </w:p>
        </w:tc>
        <w:tc>
          <w:tcPr>
            <w:tcW w:w="893" w:type="dxa"/>
            <w:tcBorders>
              <w:top w:val="nil"/>
              <w:left w:val="nil"/>
              <w:bottom w:val="single" w:sz="4" w:space="0" w:color="auto"/>
              <w:right w:val="nil"/>
            </w:tcBorders>
            <w:shd w:val="clear" w:color="000000" w:fill="D9D9D9"/>
            <w:noWrap/>
            <w:tcMar>
              <w:left w:w="0" w:type="dxa"/>
            </w:tcMar>
            <w:vAlign w:val="bottom"/>
            <w:hideMark/>
          </w:tcPr>
          <w:p w14:paraId="75F907E2" w14:textId="77777777" w:rsidR="00AB3BAD" w:rsidRPr="00AB3BAD" w:rsidRDefault="00AB3BAD" w:rsidP="00AB3BAD">
            <w:pPr>
              <w:spacing w:after="0"/>
              <w:jc w:val="right"/>
              <w:rPr>
                <w:rFonts w:ascii="Arial" w:hAnsi="Arial" w:cs="Arial"/>
                <w:b/>
                <w:bCs/>
                <w:sz w:val="16"/>
                <w:szCs w:val="16"/>
              </w:rPr>
            </w:pPr>
            <w:r w:rsidRPr="00AB3BAD">
              <w:rPr>
                <w:rFonts w:ascii="Arial" w:hAnsi="Arial" w:cs="Arial"/>
                <w:b/>
                <w:bCs/>
                <w:sz w:val="16"/>
                <w:szCs w:val="16"/>
              </w:rPr>
              <w:t>(949,008)</w:t>
            </w:r>
          </w:p>
        </w:tc>
        <w:tc>
          <w:tcPr>
            <w:tcW w:w="893" w:type="dxa"/>
            <w:tcBorders>
              <w:top w:val="nil"/>
              <w:left w:val="nil"/>
              <w:bottom w:val="single" w:sz="4" w:space="0" w:color="auto"/>
              <w:right w:val="nil"/>
            </w:tcBorders>
            <w:shd w:val="clear" w:color="auto" w:fill="auto"/>
            <w:noWrap/>
            <w:tcMar>
              <w:left w:w="0" w:type="dxa"/>
            </w:tcMar>
            <w:vAlign w:val="bottom"/>
            <w:hideMark/>
          </w:tcPr>
          <w:p w14:paraId="6DB0693A" w14:textId="77777777" w:rsidR="00AB3BAD" w:rsidRPr="00AB3BAD" w:rsidRDefault="00AB3BAD" w:rsidP="00AB3BAD">
            <w:pPr>
              <w:spacing w:after="0"/>
              <w:jc w:val="right"/>
              <w:rPr>
                <w:rFonts w:ascii="Arial" w:hAnsi="Arial" w:cs="Arial"/>
                <w:b/>
                <w:bCs/>
                <w:sz w:val="16"/>
                <w:szCs w:val="16"/>
              </w:rPr>
            </w:pPr>
            <w:r w:rsidRPr="00AB3BAD">
              <w:rPr>
                <w:rFonts w:ascii="Arial" w:hAnsi="Arial" w:cs="Arial"/>
                <w:b/>
                <w:bCs/>
                <w:sz w:val="16"/>
                <w:szCs w:val="16"/>
              </w:rPr>
              <w:t>(986,592)</w:t>
            </w:r>
          </w:p>
        </w:tc>
        <w:tc>
          <w:tcPr>
            <w:tcW w:w="893" w:type="dxa"/>
            <w:tcBorders>
              <w:top w:val="nil"/>
              <w:left w:val="nil"/>
              <w:bottom w:val="single" w:sz="4" w:space="0" w:color="auto"/>
              <w:right w:val="nil"/>
            </w:tcBorders>
            <w:shd w:val="clear" w:color="auto" w:fill="auto"/>
            <w:noWrap/>
            <w:tcMar>
              <w:left w:w="0" w:type="dxa"/>
            </w:tcMar>
            <w:vAlign w:val="bottom"/>
            <w:hideMark/>
          </w:tcPr>
          <w:p w14:paraId="23C1C74A" w14:textId="77777777" w:rsidR="00AB3BAD" w:rsidRPr="00AB3BAD" w:rsidRDefault="00AB3BAD" w:rsidP="00AB3BAD">
            <w:pPr>
              <w:spacing w:after="0"/>
              <w:jc w:val="right"/>
              <w:rPr>
                <w:rFonts w:ascii="Arial" w:hAnsi="Arial" w:cs="Arial"/>
                <w:b/>
                <w:bCs/>
                <w:sz w:val="16"/>
                <w:szCs w:val="16"/>
              </w:rPr>
            </w:pPr>
            <w:r w:rsidRPr="00AB3BAD">
              <w:rPr>
                <w:rFonts w:ascii="Arial" w:hAnsi="Arial" w:cs="Arial"/>
                <w:b/>
                <w:bCs/>
                <w:sz w:val="16"/>
                <w:szCs w:val="16"/>
              </w:rPr>
              <w:t>(999,364)</w:t>
            </w:r>
          </w:p>
        </w:tc>
        <w:tc>
          <w:tcPr>
            <w:tcW w:w="893" w:type="dxa"/>
            <w:tcBorders>
              <w:top w:val="nil"/>
              <w:left w:val="nil"/>
              <w:bottom w:val="single" w:sz="4" w:space="0" w:color="auto"/>
              <w:right w:val="nil"/>
            </w:tcBorders>
            <w:shd w:val="clear" w:color="auto" w:fill="auto"/>
            <w:noWrap/>
            <w:tcMar>
              <w:left w:w="0" w:type="dxa"/>
            </w:tcMar>
            <w:vAlign w:val="bottom"/>
            <w:hideMark/>
          </w:tcPr>
          <w:p w14:paraId="5C07270A" w14:textId="77777777" w:rsidR="00AB3BAD" w:rsidRPr="00AB3BAD" w:rsidRDefault="00AB3BAD" w:rsidP="00AB3BAD">
            <w:pPr>
              <w:spacing w:after="0"/>
              <w:jc w:val="right"/>
              <w:rPr>
                <w:rFonts w:ascii="Arial" w:hAnsi="Arial" w:cs="Arial"/>
                <w:b/>
                <w:bCs/>
                <w:sz w:val="16"/>
                <w:szCs w:val="16"/>
              </w:rPr>
            </w:pPr>
            <w:r w:rsidRPr="00AB3BAD">
              <w:rPr>
                <w:rFonts w:ascii="Arial" w:hAnsi="Arial" w:cs="Arial"/>
                <w:b/>
                <w:bCs/>
                <w:sz w:val="16"/>
                <w:szCs w:val="16"/>
              </w:rPr>
              <w:t>(993,432)</w:t>
            </w:r>
          </w:p>
        </w:tc>
      </w:tr>
      <w:tr w:rsidR="00AB3BAD" w:rsidRPr="00AB3BAD" w14:paraId="4F24AB92" w14:textId="77777777" w:rsidTr="0008295D">
        <w:trPr>
          <w:trHeight w:val="375"/>
        </w:trPr>
        <w:tc>
          <w:tcPr>
            <w:tcW w:w="3062" w:type="dxa"/>
            <w:tcBorders>
              <w:top w:val="nil"/>
              <w:left w:val="nil"/>
              <w:bottom w:val="nil"/>
              <w:right w:val="nil"/>
            </w:tcBorders>
            <w:shd w:val="clear" w:color="auto" w:fill="auto"/>
            <w:vAlign w:val="bottom"/>
            <w:hideMark/>
          </w:tcPr>
          <w:p w14:paraId="36B6DC4E" w14:textId="77777777" w:rsidR="00AB3BAD" w:rsidRPr="00AB3BAD" w:rsidRDefault="00AB3BAD" w:rsidP="00AB3BAD">
            <w:pPr>
              <w:spacing w:after="0"/>
              <w:ind w:leftChars="75" w:left="143"/>
              <w:rPr>
                <w:rFonts w:ascii="Arial" w:hAnsi="Arial" w:cs="Arial"/>
                <w:sz w:val="16"/>
                <w:szCs w:val="16"/>
              </w:rPr>
            </w:pPr>
            <w:r w:rsidRPr="00AB3BAD">
              <w:rPr>
                <w:rFonts w:ascii="Arial" w:hAnsi="Arial" w:cs="Arial"/>
                <w:sz w:val="16"/>
                <w:szCs w:val="16"/>
              </w:rPr>
              <w:t>Cash at beginning of reporting period</w:t>
            </w:r>
          </w:p>
        </w:tc>
        <w:tc>
          <w:tcPr>
            <w:tcW w:w="892" w:type="dxa"/>
            <w:tcBorders>
              <w:top w:val="nil"/>
              <w:left w:val="nil"/>
              <w:bottom w:val="nil"/>
              <w:right w:val="nil"/>
            </w:tcBorders>
            <w:shd w:val="clear" w:color="auto" w:fill="auto"/>
            <w:noWrap/>
            <w:vAlign w:val="bottom"/>
            <w:hideMark/>
          </w:tcPr>
          <w:p w14:paraId="202E7641"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274,238</w:t>
            </w:r>
          </w:p>
        </w:tc>
        <w:tc>
          <w:tcPr>
            <w:tcW w:w="893" w:type="dxa"/>
            <w:tcBorders>
              <w:top w:val="nil"/>
              <w:left w:val="nil"/>
              <w:bottom w:val="nil"/>
              <w:right w:val="nil"/>
            </w:tcBorders>
            <w:shd w:val="clear" w:color="000000" w:fill="D9D9D9"/>
            <w:noWrap/>
            <w:vAlign w:val="bottom"/>
            <w:hideMark/>
          </w:tcPr>
          <w:p w14:paraId="317B4DE4"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263,853</w:t>
            </w:r>
          </w:p>
        </w:tc>
        <w:tc>
          <w:tcPr>
            <w:tcW w:w="893" w:type="dxa"/>
            <w:tcBorders>
              <w:top w:val="nil"/>
              <w:left w:val="nil"/>
              <w:bottom w:val="nil"/>
              <w:right w:val="nil"/>
            </w:tcBorders>
            <w:shd w:val="clear" w:color="auto" w:fill="auto"/>
            <w:noWrap/>
            <w:vAlign w:val="bottom"/>
            <w:hideMark/>
          </w:tcPr>
          <w:p w14:paraId="6267F918"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238,625</w:t>
            </w:r>
          </w:p>
        </w:tc>
        <w:tc>
          <w:tcPr>
            <w:tcW w:w="893" w:type="dxa"/>
            <w:tcBorders>
              <w:top w:val="nil"/>
              <w:left w:val="nil"/>
              <w:bottom w:val="nil"/>
              <w:right w:val="nil"/>
            </w:tcBorders>
            <w:shd w:val="clear" w:color="auto" w:fill="auto"/>
            <w:noWrap/>
            <w:vAlign w:val="bottom"/>
            <w:hideMark/>
          </w:tcPr>
          <w:p w14:paraId="49CC02AE"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205,905</w:t>
            </w:r>
          </w:p>
        </w:tc>
        <w:tc>
          <w:tcPr>
            <w:tcW w:w="893" w:type="dxa"/>
            <w:tcBorders>
              <w:top w:val="nil"/>
              <w:left w:val="nil"/>
              <w:bottom w:val="nil"/>
              <w:right w:val="nil"/>
            </w:tcBorders>
            <w:shd w:val="clear" w:color="auto" w:fill="auto"/>
            <w:noWrap/>
            <w:vAlign w:val="bottom"/>
            <w:hideMark/>
          </w:tcPr>
          <w:p w14:paraId="328FBBCE"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182,383</w:t>
            </w:r>
          </w:p>
        </w:tc>
      </w:tr>
      <w:tr w:rsidR="00AB3BAD" w:rsidRPr="00AB3BAD" w14:paraId="60A5DB7D" w14:textId="77777777" w:rsidTr="0008295D">
        <w:trPr>
          <w:trHeight w:val="300"/>
        </w:trPr>
        <w:tc>
          <w:tcPr>
            <w:tcW w:w="3062" w:type="dxa"/>
            <w:tcBorders>
              <w:top w:val="nil"/>
              <w:left w:val="nil"/>
              <w:bottom w:val="nil"/>
              <w:right w:val="nil"/>
            </w:tcBorders>
            <w:shd w:val="clear" w:color="auto" w:fill="auto"/>
            <w:noWrap/>
            <w:vAlign w:val="bottom"/>
            <w:hideMark/>
          </w:tcPr>
          <w:p w14:paraId="4CD6E2CB" w14:textId="77777777" w:rsidR="00AB3BAD" w:rsidRPr="00AB3BAD" w:rsidRDefault="00AB3BAD" w:rsidP="00AB3BAD">
            <w:pPr>
              <w:spacing w:after="0"/>
              <w:ind w:firstLineChars="100" w:firstLine="160"/>
              <w:rPr>
                <w:rFonts w:ascii="Arial" w:hAnsi="Arial" w:cs="Arial"/>
                <w:sz w:val="16"/>
                <w:szCs w:val="16"/>
              </w:rPr>
            </w:pPr>
            <w:r w:rsidRPr="00AB3BAD">
              <w:rPr>
                <w:rFonts w:ascii="Arial" w:hAnsi="Arial" w:cs="Arial"/>
                <w:sz w:val="16"/>
                <w:szCs w:val="16"/>
              </w:rPr>
              <w:t>Cash from the OPA for:</w:t>
            </w:r>
          </w:p>
        </w:tc>
        <w:tc>
          <w:tcPr>
            <w:tcW w:w="892" w:type="dxa"/>
            <w:tcBorders>
              <w:top w:val="nil"/>
              <w:left w:val="nil"/>
              <w:bottom w:val="nil"/>
              <w:right w:val="nil"/>
            </w:tcBorders>
            <w:shd w:val="clear" w:color="auto" w:fill="auto"/>
            <w:noWrap/>
            <w:vAlign w:val="bottom"/>
            <w:hideMark/>
          </w:tcPr>
          <w:p w14:paraId="6AC76F05" w14:textId="77777777" w:rsidR="00AB3BAD" w:rsidRPr="00AB3BAD" w:rsidRDefault="00AB3BAD" w:rsidP="00AB3BAD">
            <w:pPr>
              <w:spacing w:after="0"/>
              <w:ind w:firstLineChars="100" w:firstLine="160"/>
              <w:rPr>
                <w:rFonts w:ascii="Arial" w:hAnsi="Arial" w:cs="Arial"/>
                <w:sz w:val="16"/>
                <w:szCs w:val="16"/>
              </w:rPr>
            </w:pPr>
          </w:p>
        </w:tc>
        <w:tc>
          <w:tcPr>
            <w:tcW w:w="893" w:type="dxa"/>
            <w:tcBorders>
              <w:top w:val="nil"/>
              <w:left w:val="nil"/>
              <w:bottom w:val="nil"/>
              <w:right w:val="nil"/>
            </w:tcBorders>
            <w:shd w:val="clear" w:color="000000" w:fill="D9D9D9"/>
            <w:noWrap/>
            <w:vAlign w:val="bottom"/>
            <w:hideMark/>
          </w:tcPr>
          <w:p w14:paraId="7FFAF485"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 </w:t>
            </w:r>
          </w:p>
        </w:tc>
        <w:tc>
          <w:tcPr>
            <w:tcW w:w="893" w:type="dxa"/>
            <w:tcBorders>
              <w:top w:val="nil"/>
              <w:left w:val="nil"/>
              <w:bottom w:val="nil"/>
              <w:right w:val="nil"/>
            </w:tcBorders>
            <w:shd w:val="clear" w:color="auto" w:fill="auto"/>
            <w:noWrap/>
            <w:vAlign w:val="bottom"/>
            <w:hideMark/>
          </w:tcPr>
          <w:p w14:paraId="59838D1F" w14:textId="77777777" w:rsidR="00AB3BAD" w:rsidRPr="00AB3BAD" w:rsidRDefault="00AB3BAD" w:rsidP="00AB3BAD">
            <w:pPr>
              <w:spacing w:after="0"/>
              <w:jc w:val="right"/>
              <w:rPr>
                <w:rFonts w:ascii="Arial" w:hAnsi="Arial" w:cs="Arial"/>
                <w:sz w:val="16"/>
                <w:szCs w:val="16"/>
              </w:rPr>
            </w:pPr>
          </w:p>
        </w:tc>
        <w:tc>
          <w:tcPr>
            <w:tcW w:w="893" w:type="dxa"/>
            <w:tcBorders>
              <w:top w:val="nil"/>
              <w:left w:val="nil"/>
              <w:bottom w:val="nil"/>
              <w:right w:val="nil"/>
            </w:tcBorders>
            <w:shd w:val="clear" w:color="auto" w:fill="auto"/>
            <w:noWrap/>
            <w:vAlign w:val="bottom"/>
            <w:hideMark/>
          </w:tcPr>
          <w:p w14:paraId="26C9D360" w14:textId="77777777" w:rsidR="00AB3BAD" w:rsidRPr="00AB3BAD" w:rsidRDefault="00AB3BAD" w:rsidP="00AB3BAD">
            <w:pPr>
              <w:spacing w:after="0"/>
              <w:jc w:val="right"/>
              <w:rPr>
                <w:rFonts w:ascii="Times New Roman" w:hAnsi="Times New Roman"/>
                <w:color w:val="auto"/>
                <w:sz w:val="20"/>
              </w:rPr>
            </w:pPr>
          </w:p>
        </w:tc>
        <w:tc>
          <w:tcPr>
            <w:tcW w:w="893" w:type="dxa"/>
            <w:tcBorders>
              <w:top w:val="nil"/>
              <w:left w:val="nil"/>
              <w:bottom w:val="nil"/>
              <w:right w:val="nil"/>
            </w:tcBorders>
            <w:shd w:val="clear" w:color="auto" w:fill="auto"/>
            <w:noWrap/>
            <w:vAlign w:val="bottom"/>
            <w:hideMark/>
          </w:tcPr>
          <w:p w14:paraId="27BEE00B" w14:textId="77777777" w:rsidR="00AB3BAD" w:rsidRPr="00AB3BAD" w:rsidRDefault="00AB3BAD" w:rsidP="00AB3BAD">
            <w:pPr>
              <w:spacing w:after="0"/>
              <w:jc w:val="right"/>
              <w:rPr>
                <w:rFonts w:ascii="Times New Roman" w:hAnsi="Times New Roman"/>
                <w:color w:val="auto"/>
                <w:sz w:val="20"/>
              </w:rPr>
            </w:pPr>
          </w:p>
        </w:tc>
      </w:tr>
      <w:tr w:rsidR="00AB3BAD" w:rsidRPr="00AB3BAD" w14:paraId="2711666C" w14:textId="77777777" w:rsidTr="0008295D">
        <w:trPr>
          <w:trHeight w:val="225"/>
        </w:trPr>
        <w:tc>
          <w:tcPr>
            <w:tcW w:w="3062" w:type="dxa"/>
            <w:tcBorders>
              <w:top w:val="nil"/>
              <w:left w:val="nil"/>
              <w:bottom w:val="nil"/>
              <w:right w:val="nil"/>
            </w:tcBorders>
            <w:shd w:val="clear" w:color="auto" w:fill="auto"/>
            <w:noWrap/>
            <w:vAlign w:val="bottom"/>
            <w:hideMark/>
          </w:tcPr>
          <w:p w14:paraId="55E22DEA" w14:textId="77777777" w:rsidR="00AB3BAD" w:rsidRPr="00AB3BAD" w:rsidRDefault="00AB3BAD" w:rsidP="00AB3BAD">
            <w:pPr>
              <w:spacing w:after="0"/>
              <w:ind w:firstLineChars="200" w:firstLine="320"/>
              <w:rPr>
                <w:rFonts w:ascii="Arial" w:hAnsi="Arial" w:cs="Arial"/>
                <w:sz w:val="16"/>
                <w:szCs w:val="16"/>
              </w:rPr>
            </w:pPr>
            <w:r w:rsidRPr="00AB3BAD">
              <w:rPr>
                <w:rFonts w:ascii="Arial" w:hAnsi="Arial" w:cs="Arial"/>
                <w:sz w:val="16"/>
                <w:szCs w:val="16"/>
              </w:rPr>
              <w:t>- appropriations</w:t>
            </w:r>
          </w:p>
        </w:tc>
        <w:tc>
          <w:tcPr>
            <w:tcW w:w="892" w:type="dxa"/>
            <w:tcBorders>
              <w:top w:val="nil"/>
              <w:left w:val="nil"/>
              <w:bottom w:val="nil"/>
              <w:right w:val="nil"/>
            </w:tcBorders>
            <w:shd w:val="clear" w:color="auto" w:fill="auto"/>
            <w:noWrap/>
            <w:vAlign w:val="bottom"/>
            <w:hideMark/>
          </w:tcPr>
          <w:p w14:paraId="61084C3D"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893,049</w:t>
            </w:r>
          </w:p>
        </w:tc>
        <w:tc>
          <w:tcPr>
            <w:tcW w:w="893" w:type="dxa"/>
            <w:tcBorders>
              <w:top w:val="nil"/>
              <w:left w:val="nil"/>
              <w:bottom w:val="nil"/>
              <w:right w:val="nil"/>
            </w:tcBorders>
            <w:shd w:val="clear" w:color="000000" w:fill="D9D9D9"/>
            <w:noWrap/>
            <w:vAlign w:val="bottom"/>
            <w:hideMark/>
          </w:tcPr>
          <w:p w14:paraId="16619F06"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923,780</w:t>
            </w:r>
          </w:p>
        </w:tc>
        <w:tc>
          <w:tcPr>
            <w:tcW w:w="893" w:type="dxa"/>
            <w:tcBorders>
              <w:top w:val="nil"/>
              <w:left w:val="nil"/>
              <w:bottom w:val="nil"/>
              <w:right w:val="nil"/>
            </w:tcBorders>
            <w:shd w:val="clear" w:color="auto" w:fill="auto"/>
            <w:noWrap/>
            <w:vAlign w:val="bottom"/>
            <w:hideMark/>
          </w:tcPr>
          <w:p w14:paraId="3A1E5B02"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953,872</w:t>
            </w:r>
          </w:p>
        </w:tc>
        <w:tc>
          <w:tcPr>
            <w:tcW w:w="893" w:type="dxa"/>
            <w:tcBorders>
              <w:top w:val="nil"/>
              <w:left w:val="nil"/>
              <w:bottom w:val="nil"/>
              <w:right w:val="nil"/>
            </w:tcBorders>
            <w:shd w:val="clear" w:color="auto" w:fill="auto"/>
            <w:noWrap/>
            <w:vAlign w:val="bottom"/>
            <w:hideMark/>
          </w:tcPr>
          <w:p w14:paraId="39962D8D"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975,842</w:t>
            </w:r>
          </w:p>
        </w:tc>
        <w:tc>
          <w:tcPr>
            <w:tcW w:w="893" w:type="dxa"/>
            <w:tcBorders>
              <w:top w:val="nil"/>
              <w:left w:val="nil"/>
              <w:bottom w:val="nil"/>
              <w:right w:val="nil"/>
            </w:tcBorders>
            <w:shd w:val="clear" w:color="auto" w:fill="auto"/>
            <w:noWrap/>
            <w:vAlign w:val="bottom"/>
            <w:hideMark/>
          </w:tcPr>
          <w:p w14:paraId="515E3B2F" w14:textId="77777777" w:rsidR="00AB3BAD" w:rsidRPr="00AB3BAD" w:rsidRDefault="00AB3BAD" w:rsidP="00AB3BAD">
            <w:pPr>
              <w:spacing w:after="0"/>
              <w:jc w:val="right"/>
              <w:rPr>
                <w:rFonts w:ascii="Arial" w:hAnsi="Arial" w:cs="Arial"/>
                <w:sz w:val="16"/>
                <w:szCs w:val="16"/>
              </w:rPr>
            </w:pPr>
            <w:r w:rsidRPr="00AB3BAD">
              <w:rPr>
                <w:rFonts w:ascii="Arial" w:hAnsi="Arial" w:cs="Arial"/>
                <w:sz w:val="16"/>
                <w:szCs w:val="16"/>
              </w:rPr>
              <w:t>993,783</w:t>
            </w:r>
          </w:p>
        </w:tc>
      </w:tr>
      <w:tr w:rsidR="00AB3BAD" w:rsidRPr="00AB3BAD" w14:paraId="1EEDF164" w14:textId="77777777" w:rsidTr="0008295D">
        <w:trPr>
          <w:trHeight w:val="300"/>
        </w:trPr>
        <w:tc>
          <w:tcPr>
            <w:tcW w:w="3062" w:type="dxa"/>
            <w:tcBorders>
              <w:top w:val="nil"/>
              <w:left w:val="nil"/>
              <w:bottom w:val="single" w:sz="4" w:space="0" w:color="auto"/>
              <w:right w:val="nil"/>
            </w:tcBorders>
            <w:shd w:val="clear" w:color="auto" w:fill="auto"/>
            <w:noWrap/>
            <w:vAlign w:val="bottom"/>
            <w:hideMark/>
          </w:tcPr>
          <w:p w14:paraId="619309BC" w14:textId="77777777" w:rsidR="00AB3BAD" w:rsidRPr="00AB3BAD" w:rsidRDefault="00AB3BAD" w:rsidP="00AB3BAD">
            <w:pPr>
              <w:spacing w:after="0"/>
              <w:rPr>
                <w:rFonts w:ascii="Arial" w:hAnsi="Arial" w:cs="Arial"/>
                <w:b/>
                <w:bCs/>
                <w:sz w:val="16"/>
                <w:szCs w:val="16"/>
              </w:rPr>
            </w:pPr>
            <w:r w:rsidRPr="00AB3BAD">
              <w:rPr>
                <w:rFonts w:ascii="Arial" w:hAnsi="Arial" w:cs="Arial"/>
                <w:b/>
                <w:bCs/>
                <w:sz w:val="16"/>
                <w:szCs w:val="16"/>
              </w:rPr>
              <w:t>Cash at end of reporting period</w:t>
            </w:r>
          </w:p>
        </w:tc>
        <w:tc>
          <w:tcPr>
            <w:tcW w:w="892" w:type="dxa"/>
            <w:tcBorders>
              <w:top w:val="nil"/>
              <w:left w:val="nil"/>
              <w:bottom w:val="single" w:sz="4" w:space="0" w:color="auto"/>
              <w:right w:val="nil"/>
            </w:tcBorders>
            <w:shd w:val="clear" w:color="auto" w:fill="auto"/>
            <w:noWrap/>
            <w:vAlign w:val="bottom"/>
            <w:hideMark/>
          </w:tcPr>
          <w:p w14:paraId="60E95C98" w14:textId="77777777" w:rsidR="00AB3BAD" w:rsidRPr="00AB3BAD" w:rsidRDefault="00AB3BAD" w:rsidP="00AB3BAD">
            <w:pPr>
              <w:spacing w:after="0"/>
              <w:jc w:val="right"/>
              <w:rPr>
                <w:rFonts w:ascii="Arial" w:hAnsi="Arial" w:cs="Arial"/>
                <w:b/>
                <w:bCs/>
                <w:sz w:val="16"/>
                <w:szCs w:val="16"/>
              </w:rPr>
            </w:pPr>
            <w:r w:rsidRPr="00AB3BAD">
              <w:rPr>
                <w:rFonts w:ascii="Arial" w:hAnsi="Arial" w:cs="Arial"/>
                <w:b/>
                <w:bCs/>
                <w:sz w:val="16"/>
                <w:szCs w:val="16"/>
              </w:rPr>
              <w:t>263,853</w:t>
            </w:r>
          </w:p>
        </w:tc>
        <w:tc>
          <w:tcPr>
            <w:tcW w:w="893" w:type="dxa"/>
            <w:tcBorders>
              <w:top w:val="nil"/>
              <w:left w:val="nil"/>
              <w:bottom w:val="single" w:sz="4" w:space="0" w:color="auto"/>
              <w:right w:val="nil"/>
            </w:tcBorders>
            <w:shd w:val="clear" w:color="000000" w:fill="D9D9D9"/>
            <w:noWrap/>
            <w:vAlign w:val="bottom"/>
            <w:hideMark/>
          </w:tcPr>
          <w:p w14:paraId="73921140" w14:textId="77777777" w:rsidR="00AB3BAD" w:rsidRPr="00AB3BAD" w:rsidRDefault="00AB3BAD" w:rsidP="00AB3BAD">
            <w:pPr>
              <w:spacing w:after="0"/>
              <w:jc w:val="right"/>
              <w:rPr>
                <w:rFonts w:ascii="Arial" w:hAnsi="Arial" w:cs="Arial"/>
                <w:b/>
                <w:bCs/>
                <w:sz w:val="16"/>
                <w:szCs w:val="16"/>
              </w:rPr>
            </w:pPr>
            <w:r w:rsidRPr="00AB3BAD">
              <w:rPr>
                <w:rFonts w:ascii="Arial" w:hAnsi="Arial" w:cs="Arial"/>
                <w:b/>
                <w:bCs/>
                <w:sz w:val="16"/>
                <w:szCs w:val="16"/>
              </w:rPr>
              <w:t>238,625</w:t>
            </w:r>
          </w:p>
        </w:tc>
        <w:tc>
          <w:tcPr>
            <w:tcW w:w="893" w:type="dxa"/>
            <w:tcBorders>
              <w:top w:val="nil"/>
              <w:left w:val="nil"/>
              <w:bottom w:val="single" w:sz="4" w:space="0" w:color="auto"/>
              <w:right w:val="nil"/>
            </w:tcBorders>
            <w:shd w:val="clear" w:color="auto" w:fill="auto"/>
            <w:noWrap/>
            <w:vAlign w:val="bottom"/>
            <w:hideMark/>
          </w:tcPr>
          <w:p w14:paraId="45ACC2E1" w14:textId="77777777" w:rsidR="00AB3BAD" w:rsidRPr="00AB3BAD" w:rsidRDefault="00AB3BAD" w:rsidP="00AB3BAD">
            <w:pPr>
              <w:spacing w:after="0"/>
              <w:jc w:val="right"/>
              <w:rPr>
                <w:rFonts w:ascii="Arial" w:hAnsi="Arial" w:cs="Arial"/>
                <w:b/>
                <w:bCs/>
                <w:sz w:val="16"/>
                <w:szCs w:val="16"/>
              </w:rPr>
            </w:pPr>
            <w:r w:rsidRPr="00AB3BAD">
              <w:rPr>
                <w:rFonts w:ascii="Arial" w:hAnsi="Arial" w:cs="Arial"/>
                <w:b/>
                <w:bCs/>
                <w:sz w:val="16"/>
                <w:szCs w:val="16"/>
              </w:rPr>
              <w:t>205,905</w:t>
            </w:r>
          </w:p>
        </w:tc>
        <w:tc>
          <w:tcPr>
            <w:tcW w:w="893" w:type="dxa"/>
            <w:tcBorders>
              <w:top w:val="nil"/>
              <w:left w:val="nil"/>
              <w:bottom w:val="single" w:sz="4" w:space="0" w:color="auto"/>
              <w:right w:val="nil"/>
            </w:tcBorders>
            <w:shd w:val="clear" w:color="auto" w:fill="auto"/>
            <w:noWrap/>
            <w:vAlign w:val="bottom"/>
            <w:hideMark/>
          </w:tcPr>
          <w:p w14:paraId="0FBD0AAE" w14:textId="77777777" w:rsidR="00AB3BAD" w:rsidRPr="00AB3BAD" w:rsidRDefault="00AB3BAD" w:rsidP="00AB3BAD">
            <w:pPr>
              <w:spacing w:after="0"/>
              <w:jc w:val="right"/>
              <w:rPr>
                <w:rFonts w:ascii="Arial" w:hAnsi="Arial" w:cs="Arial"/>
                <w:b/>
                <w:bCs/>
                <w:sz w:val="16"/>
                <w:szCs w:val="16"/>
              </w:rPr>
            </w:pPr>
            <w:r w:rsidRPr="00AB3BAD">
              <w:rPr>
                <w:rFonts w:ascii="Arial" w:hAnsi="Arial" w:cs="Arial"/>
                <w:b/>
                <w:bCs/>
                <w:sz w:val="16"/>
                <w:szCs w:val="16"/>
              </w:rPr>
              <w:t>182,383</w:t>
            </w:r>
          </w:p>
        </w:tc>
        <w:tc>
          <w:tcPr>
            <w:tcW w:w="893" w:type="dxa"/>
            <w:tcBorders>
              <w:top w:val="nil"/>
              <w:left w:val="nil"/>
              <w:bottom w:val="single" w:sz="4" w:space="0" w:color="auto"/>
              <w:right w:val="nil"/>
            </w:tcBorders>
            <w:shd w:val="clear" w:color="auto" w:fill="auto"/>
            <w:noWrap/>
            <w:vAlign w:val="bottom"/>
            <w:hideMark/>
          </w:tcPr>
          <w:p w14:paraId="624F7FFD" w14:textId="77777777" w:rsidR="00AB3BAD" w:rsidRPr="00AB3BAD" w:rsidRDefault="00AB3BAD" w:rsidP="00AB3BAD">
            <w:pPr>
              <w:spacing w:after="0"/>
              <w:jc w:val="right"/>
              <w:rPr>
                <w:rFonts w:ascii="Arial" w:hAnsi="Arial" w:cs="Arial"/>
                <w:b/>
                <w:bCs/>
                <w:sz w:val="16"/>
                <w:szCs w:val="16"/>
              </w:rPr>
            </w:pPr>
            <w:r w:rsidRPr="00AB3BAD">
              <w:rPr>
                <w:rFonts w:ascii="Arial" w:hAnsi="Arial" w:cs="Arial"/>
                <w:b/>
                <w:bCs/>
                <w:sz w:val="16"/>
                <w:szCs w:val="16"/>
              </w:rPr>
              <w:t>182,734</w:t>
            </w:r>
          </w:p>
        </w:tc>
      </w:tr>
    </w:tbl>
    <w:p w14:paraId="056ED001" w14:textId="694BE674" w:rsidR="00F321FB" w:rsidRDefault="00F321FB" w:rsidP="00F321FB">
      <w:pPr>
        <w:pStyle w:val="FootnoteText"/>
        <w:spacing w:before="120" w:after="40"/>
      </w:pPr>
      <w:r>
        <w:t xml:space="preserve">Prepared on Australian Accounting Standards basis. </w:t>
      </w:r>
    </w:p>
    <w:p w14:paraId="72CBFBFD" w14:textId="5B377673" w:rsidR="00253434" w:rsidRPr="00981ECF" w:rsidRDefault="00F321FB" w:rsidP="00F321FB">
      <w:pPr>
        <w:pStyle w:val="FootnoteText"/>
      </w:pPr>
      <w:r>
        <w:t>OPA = Official Public Account</w:t>
      </w:r>
    </w:p>
    <w:sectPr w:rsidR="00253434" w:rsidRPr="00981ECF" w:rsidSect="00357948">
      <w:headerReference w:type="even" r:id="rId21"/>
      <w:headerReference w:type="default" r:id="rId22"/>
      <w:footerReference w:type="even" r:id="rId23"/>
      <w:headerReference w:type="first" r:id="rId24"/>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662A1" w14:textId="77777777" w:rsidR="009F748C" w:rsidRDefault="009F748C" w:rsidP="00913388">
      <w:pPr>
        <w:spacing w:after="0"/>
      </w:pPr>
      <w:r>
        <w:separator/>
      </w:r>
    </w:p>
  </w:endnote>
  <w:endnote w:type="continuationSeparator" w:id="0">
    <w:p w14:paraId="0A623FE8" w14:textId="77777777" w:rsidR="009F748C" w:rsidRDefault="009F748C"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E3869" w14:textId="50DBDEF0" w:rsidR="009F748C" w:rsidRPr="00913388" w:rsidRDefault="009F748C" w:rsidP="00214382">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8C077A">
      <w:rPr>
        <w:rStyle w:val="PageNumber"/>
        <w:b/>
        <w:bCs/>
        <w:noProof/>
        <w:color w:val="000000"/>
      </w:rPr>
      <w:t>370</w:t>
    </w:r>
    <w:r w:rsidRPr="001C6402">
      <w:rPr>
        <w:rStyle w:val="PageNumber"/>
        <w:b/>
        <w:bCs/>
        <w:color w:val="000000"/>
      </w:rPr>
      <w:fldChar w:fldCharType="end"/>
    </w:r>
    <w:r w:rsidRPr="001C6402">
      <w:rPr>
        <w:rStyle w:val="PageNumber"/>
        <w:color w:val="000000"/>
      </w:rPr>
      <w:t xml:space="preserve">  |  </w:t>
    </w:r>
    <w:r w:rsidRPr="001C6402">
      <w:rPr>
        <w:rStyle w:val="PageNumber"/>
        <w:color w:val="000000"/>
      </w:rPr>
      <w:fldChar w:fldCharType="begin"/>
    </w:r>
    <w:r w:rsidRPr="001C6402">
      <w:rPr>
        <w:rStyle w:val="PageNumber"/>
        <w:color w:val="000000"/>
      </w:rPr>
      <w:instrText xml:space="preserve"> STYLEREF  "Heading 1"  \* MERGEFORMAT </w:instrText>
    </w:r>
    <w:r w:rsidRPr="001C6402">
      <w:rPr>
        <w:rStyle w:val="PageNumber"/>
        <w:color w:val="000000"/>
      </w:rPr>
      <w:fldChar w:fldCharType="separate"/>
    </w:r>
    <w:r w:rsidR="008C077A" w:rsidRPr="008C077A">
      <w:rPr>
        <w:rStyle w:val="PageNumber"/>
        <w:bCs/>
        <w:noProof/>
        <w:color w:val="000000"/>
        <w:lang w:val="en-US"/>
      </w:rPr>
      <w:t>National Health and</w:t>
    </w:r>
    <w:r w:rsidR="008C077A">
      <w:rPr>
        <w:rStyle w:val="PageNumber"/>
        <w:noProof/>
        <w:color w:val="000000"/>
      </w:rPr>
      <w:t xml:space="preserve"> Medical Research Council</w:t>
    </w:r>
    <w:r w:rsidRPr="001C6402">
      <w:rPr>
        <w:rStyle w:val="PageNumber"/>
        <w:color w:val="000000"/>
      </w:rPr>
      <w:fldChar w:fldCharType="end"/>
    </w:r>
    <w:r w:rsidRPr="001C6402">
      <w:rPr>
        <w:rStyle w:val="PageNumbe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13"/>
      <w:docPartObj>
        <w:docPartGallery w:val="Page Numbers (Bottom of Page)"/>
        <w:docPartUnique/>
      </w:docPartObj>
    </w:sdtPr>
    <w:sdtEndPr>
      <w:rPr>
        <w:noProof/>
      </w:rPr>
    </w:sdtEndPr>
    <w:sdtContent>
      <w:p w14:paraId="5FB6A648" w14:textId="73221E5C" w:rsidR="009F748C" w:rsidRDefault="009F748C" w:rsidP="00214382">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8C077A" w:rsidRPr="008C077A">
          <w:rPr>
            <w:rStyle w:val="PageNumber"/>
            <w:bCs/>
            <w:noProof/>
            <w:lang w:val="en-US"/>
          </w:rPr>
          <w:t>National Health and</w:t>
        </w:r>
        <w:r w:rsidR="008C077A">
          <w:rPr>
            <w:rStyle w:val="PageNumber"/>
            <w:noProof/>
          </w:rPr>
          <w:t xml:space="preserve"> Medical Research Council</w:t>
        </w:r>
        <w:r w:rsidRPr="00B24417">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8C077A">
          <w:rPr>
            <w:rStyle w:val="PageNumber"/>
            <w:b/>
            <w:bCs/>
            <w:noProof/>
          </w:rPr>
          <w:t>359</w:t>
        </w:r>
        <w:r w:rsidRPr="00B628E8">
          <w:rPr>
            <w:rStyle w:val="PageNumbe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B57AC" w14:textId="77777777" w:rsidR="009F748C" w:rsidRPr="00D6268E" w:rsidRDefault="009F748C" w:rsidP="000A4EB7">
    <w:pPr>
      <w:framePr w:w="851" w:h="1701" w:hRule="exact" w:wrap="around" w:vAnchor="page" w:hAnchor="margin" w:x="7939" w:y="6918"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8"/>
      </w:rPr>
      <w:t xml:space="preserve"> </w:t>
    </w:r>
    <w:r>
      <w:rPr>
        <w:rFonts w:ascii="Arial" w:hAnsi="Arial" w:cs="Arial"/>
        <w:b/>
        <w:color w:val="FFFFFF" w:themeColor="background1"/>
        <w:spacing w:val="10"/>
        <w:sz w:val="24"/>
      </w:rPr>
      <w:t xml:space="preserve">  </w:t>
    </w:r>
    <w:r w:rsidRPr="00D6268E">
      <w:rPr>
        <w:rFonts w:ascii="Arial" w:hAnsi="Arial" w:cs="Arial"/>
        <w:b/>
        <w:color w:val="FFFFFF" w:themeColor="background1"/>
        <w:spacing w:val="10"/>
        <w:sz w:val="24"/>
      </w:rPr>
      <w:t>NHMRC</w:t>
    </w:r>
  </w:p>
  <w:sdt>
    <w:sdtPr>
      <w:id w:val="-664703318"/>
      <w:docPartObj>
        <w:docPartGallery w:val="Page Numbers (Bottom of Page)"/>
        <w:docPartUnique/>
      </w:docPartObj>
    </w:sdtPr>
    <w:sdtEndPr>
      <w:rPr>
        <w:noProof/>
      </w:rPr>
    </w:sdtEndPr>
    <w:sdtContent>
      <w:p w14:paraId="08BA2895" w14:textId="0C05BBCB" w:rsidR="009F748C" w:rsidRDefault="009F748C" w:rsidP="00214382">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8C077A" w:rsidRPr="008C077A">
          <w:rPr>
            <w:rStyle w:val="PageNumber"/>
            <w:bCs/>
            <w:noProof/>
            <w:lang w:val="en-US"/>
          </w:rPr>
          <w:t>National Health and</w:t>
        </w:r>
        <w:r w:rsidR="008C077A">
          <w:rPr>
            <w:rStyle w:val="PageNumber"/>
            <w:noProof/>
          </w:rPr>
          <w:t xml:space="preserve"> Medical Research Council</w:t>
        </w:r>
        <w:r w:rsidRPr="00B24417">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8C077A">
          <w:rPr>
            <w:rStyle w:val="PageNumber"/>
            <w:b/>
            <w:bCs/>
            <w:noProof/>
          </w:rPr>
          <w:t>379</w:t>
        </w:r>
        <w:r w:rsidRPr="00B628E8">
          <w:rPr>
            <w:rStyle w:val="PageNumber"/>
            <w:b/>
            <w:bCs/>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EA5D6" w14:textId="7861B1F2" w:rsidR="00185E10" w:rsidRPr="00913388" w:rsidRDefault="00185E10" w:rsidP="00214382">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8C077A">
      <w:rPr>
        <w:rStyle w:val="PageNumber"/>
        <w:b/>
        <w:bCs/>
        <w:noProof/>
        <w:color w:val="000000"/>
      </w:rPr>
      <w:t>378</w:t>
    </w:r>
    <w:r w:rsidRPr="001C6402">
      <w:rPr>
        <w:rStyle w:val="PageNumber"/>
        <w:b/>
        <w:bCs/>
        <w:color w:val="000000"/>
      </w:rPr>
      <w:fldChar w:fldCharType="end"/>
    </w:r>
    <w:r w:rsidR="00202919" w:rsidRPr="00A81B58">
      <w:rPr>
        <w:rStyle w:val="PageNumber"/>
        <w:bCs/>
        <w:color w:val="000000"/>
      </w:rPr>
      <w:t xml:space="preserve">  </w:t>
    </w:r>
    <w:r w:rsidR="00202919" w:rsidRPr="001C6402">
      <w:rPr>
        <w:rStyle w:val="PageNumber"/>
        <w:color w:val="000000"/>
      </w:rPr>
      <w:t xml:space="preserve">|  </w:t>
    </w:r>
    <w:r w:rsidR="00202919" w:rsidRPr="001C6402">
      <w:rPr>
        <w:rStyle w:val="PageNumber"/>
        <w:color w:val="000000"/>
      </w:rPr>
      <w:fldChar w:fldCharType="begin"/>
    </w:r>
    <w:r w:rsidR="00202919" w:rsidRPr="001C6402">
      <w:rPr>
        <w:rStyle w:val="PageNumber"/>
        <w:color w:val="000000"/>
      </w:rPr>
      <w:instrText xml:space="preserve"> STYLEREF  "Heading 1"  \* MERGEFORMAT </w:instrText>
    </w:r>
    <w:r w:rsidR="00202919" w:rsidRPr="001C6402">
      <w:rPr>
        <w:rStyle w:val="PageNumber"/>
        <w:color w:val="000000"/>
      </w:rPr>
      <w:fldChar w:fldCharType="separate"/>
    </w:r>
    <w:r w:rsidR="008C077A" w:rsidRPr="008C077A">
      <w:rPr>
        <w:rStyle w:val="PageNumber"/>
        <w:bCs/>
        <w:noProof/>
        <w:color w:val="000000"/>
        <w:lang w:val="en-US"/>
      </w:rPr>
      <w:t>National Health and</w:t>
    </w:r>
    <w:r w:rsidR="008C077A">
      <w:rPr>
        <w:rStyle w:val="PageNumber"/>
        <w:noProof/>
        <w:color w:val="000000"/>
      </w:rPr>
      <w:t xml:space="preserve"> Medical Research Council</w:t>
    </w:r>
    <w:r w:rsidR="00202919" w:rsidRPr="001C6402">
      <w:rPr>
        <w:rStyle w:val="PageNumbe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B2949" w14:textId="77777777" w:rsidR="009F748C" w:rsidRDefault="009F748C" w:rsidP="00913388">
      <w:pPr>
        <w:spacing w:after="0"/>
      </w:pPr>
      <w:r>
        <w:separator/>
      </w:r>
    </w:p>
  </w:footnote>
  <w:footnote w:type="continuationSeparator" w:id="0">
    <w:p w14:paraId="779428C0" w14:textId="77777777" w:rsidR="009F748C" w:rsidRDefault="009F748C" w:rsidP="00913388">
      <w:pPr>
        <w:spacing w:after="0"/>
      </w:pPr>
      <w:r>
        <w:continuationSeparator/>
      </w:r>
    </w:p>
  </w:footnote>
  <w:footnote w:id="1">
    <w:p w14:paraId="02D98795" w14:textId="1092E643" w:rsidR="009F748C" w:rsidRPr="00FB544A" w:rsidRDefault="009F748C" w:rsidP="00FB544A">
      <w:pPr>
        <w:pStyle w:val="FootnoteText"/>
      </w:pPr>
      <w:r>
        <w:rPr>
          <w:rStyle w:val="FootnoteReference"/>
        </w:rPr>
        <w:footnoteRef/>
      </w:r>
      <w:r>
        <w:tab/>
      </w:r>
      <w:r w:rsidRPr="00AE0682">
        <w:t xml:space="preserve">For more information about the </w:t>
      </w:r>
      <w:r>
        <w:t>strategic direction of NHMRC</w:t>
      </w:r>
      <w:r w:rsidRPr="00AE0682">
        <w:t xml:space="preserve">, refer to the current Corporate Plan, available at: </w:t>
      </w:r>
      <w:r w:rsidRPr="004B5D06">
        <w:rPr>
          <w:color w:val="auto"/>
        </w:rPr>
        <w:t>www.nhmrc.gov.au/about-us/publications</w:t>
      </w:r>
    </w:p>
  </w:footnote>
  <w:footnote w:id="2">
    <w:p w14:paraId="3181C612" w14:textId="7083631C" w:rsidR="00205E35" w:rsidRDefault="00205E35">
      <w:pPr>
        <w:pStyle w:val="FootnoteText"/>
      </w:pPr>
      <w:r w:rsidRPr="00183A8A">
        <w:rPr>
          <w:rStyle w:val="FootnoteReference"/>
        </w:rPr>
        <w:footnoteRef/>
      </w:r>
      <w:r w:rsidRPr="00183A8A">
        <w:t xml:space="preserve"> </w:t>
      </w:r>
      <w:r w:rsidRPr="00183A8A">
        <w:tab/>
        <w:t>Total expenditure as to 30 June 2023 will be reported in NHMRC’s 2022–23 Annual Report.</w:t>
      </w:r>
    </w:p>
  </w:footnote>
  <w:footnote w:id="3">
    <w:p w14:paraId="287F5BCF" w14:textId="77777777" w:rsidR="00C01755" w:rsidRDefault="00C01755" w:rsidP="00C01755">
      <w:pPr>
        <w:pStyle w:val="FootnoteText"/>
        <w:spacing w:before="30"/>
      </w:pPr>
      <w:r w:rsidRPr="00EE57CE">
        <w:rPr>
          <w:rStyle w:val="FootnoteReference"/>
        </w:rPr>
        <w:footnoteRef/>
      </w:r>
      <w:r>
        <w:tab/>
      </w:r>
      <w:r w:rsidRPr="00EE57CE">
        <w:t>This target assesses the distribution of NHMRC grant expenditure and of new grants awarded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45351" w14:textId="519F61A4" w:rsidR="009F748C" w:rsidRPr="00D6268E" w:rsidRDefault="009F748C" w:rsidP="0025604C">
    <w:pPr>
      <w:framePr w:w="851" w:h="1701" w:hRule="exact" w:wrap="around" w:vAnchor="page" w:hAnchor="margin" w:x="7939" w:y="6918"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8"/>
      </w:rPr>
      <w:t xml:space="preserve"> </w:t>
    </w:r>
    <w:r>
      <w:rPr>
        <w:rFonts w:ascii="Arial" w:hAnsi="Arial" w:cs="Arial"/>
        <w:b/>
        <w:color w:val="FFFFFF" w:themeColor="background1"/>
        <w:spacing w:val="10"/>
        <w:sz w:val="24"/>
      </w:rPr>
      <w:t xml:space="preserve">  </w:t>
    </w:r>
    <w:r w:rsidRPr="00D6268E">
      <w:rPr>
        <w:rFonts w:ascii="Arial" w:hAnsi="Arial" w:cs="Arial"/>
        <w:b/>
        <w:color w:val="FFFFFF" w:themeColor="background1"/>
        <w:spacing w:val="10"/>
        <w:sz w:val="24"/>
      </w:rPr>
      <w:t>NHMRC</w:t>
    </w:r>
  </w:p>
  <w:p w14:paraId="340AAAC1" w14:textId="3AFD291D" w:rsidR="009F748C" w:rsidRPr="00262CA3" w:rsidRDefault="009F748C" w:rsidP="0026716D">
    <w:pPr>
      <w:pStyle w:val="Header"/>
      <w:tabs>
        <w:tab w:val="clear" w:pos="4513"/>
        <w:tab w:val="clear" w:pos="9026"/>
        <w:tab w:val="left" w:pos="1851"/>
      </w:tabs>
      <w:jc w:val="center"/>
      <w:rPr>
        <w:b/>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D4683" w14:textId="3FBD2C36" w:rsidR="009F748C" w:rsidRDefault="009F748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BA814" w14:textId="1FC149EF" w:rsidR="00185E10" w:rsidRPr="00185E10" w:rsidRDefault="00A81B58" w:rsidP="00A81B58">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 </w:t>
    </w:r>
    <w:r w:rsidRPr="00B24417">
      <w:rPr>
        <w:rFonts w:ascii="Arial" w:hAnsi="Arial" w:cs="Arial"/>
        <w:sz w:val="18"/>
        <w:szCs w:val="18"/>
      </w:rPr>
      <w:t xml:space="preserve"> |  Portfolio Budget Statements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B529B" w14:textId="3FC483EB" w:rsidR="00677F00" w:rsidRDefault="00A81B58" w:rsidP="00A81B58">
    <w:pPr>
      <w:tabs>
        <w:tab w:val="center" w:pos="4150"/>
        <w:tab w:val="right" w:pos="8306"/>
      </w:tabs>
      <w:spacing w:after="0"/>
      <w:jc w:val="right"/>
    </w:pPr>
    <w:r w:rsidRPr="00C6413A">
      <w:rPr>
        <w:rFonts w:ascii="Arial" w:hAnsi="Arial" w:cs="Arial"/>
        <w:sz w:val="18"/>
        <w:szCs w:val="18"/>
      </w:rPr>
      <w:t>Portfolio Budget Statements</w:t>
    </w:r>
    <w:r w:rsidRPr="00C6413A">
      <w:t xml:space="preserve">  |  </w:t>
    </w:r>
    <w:r>
      <w:rPr>
        <w:rFonts w:ascii="Arial" w:hAnsi="Arial" w:cs="Arial"/>
        <w:b/>
        <w:sz w:val="18"/>
        <w:szCs w:val="18"/>
      </w:rPr>
      <w:t>Budget</w:t>
    </w:r>
    <w:r>
      <w:rPr>
        <w:rFonts w:ascii="Arial" w:hAnsi="Arial" w:cs="Arial"/>
        <w:sz w:val="18"/>
        <w:szCs w:val="18"/>
      </w:rPr>
      <w:t xml:space="preserve"> 2023–24</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C20F0" w14:textId="2EA45324" w:rsidR="00677F00" w:rsidRDefault="00677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75B7F" w14:textId="15DEDFFC" w:rsidR="009F748C" w:rsidRDefault="009F74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3925B" w14:textId="22439320" w:rsidR="009F748C" w:rsidRPr="001B583F" w:rsidRDefault="009F748C" w:rsidP="001B58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84083" w14:textId="68AED2EE" w:rsidR="009F748C" w:rsidRDefault="009F74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FFA9D" w14:textId="78EAA3A0" w:rsidR="009F748C" w:rsidRPr="00B24417" w:rsidRDefault="00CD02FF" w:rsidP="00214382">
    <w:pPr>
      <w:tabs>
        <w:tab w:val="center" w:pos="4513"/>
        <w:tab w:val="right" w:pos="9026"/>
      </w:tabs>
      <w:spacing w:before="40" w:after="0"/>
      <w:rPr>
        <w:rFonts w:ascii="Arial" w:hAnsi="Arial" w:cs="Arial"/>
        <w:sz w:val="18"/>
        <w:szCs w:val="18"/>
      </w:rPr>
    </w:pPr>
    <w:r>
      <w:rPr>
        <w:rFonts w:ascii="Arial" w:hAnsi="Arial" w:cs="Arial"/>
        <w:b/>
        <w:sz w:val="18"/>
        <w:szCs w:val="18"/>
      </w:rPr>
      <w:t>Budget</w:t>
    </w:r>
    <w:r>
      <w:rPr>
        <w:rFonts w:ascii="Arial" w:hAnsi="Arial" w:cs="Arial"/>
        <w:sz w:val="18"/>
        <w:szCs w:val="18"/>
      </w:rPr>
      <w:t xml:space="preserve"> 2023–24 </w:t>
    </w:r>
    <w:r w:rsidR="009F748C" w:rsidRPr="00B24417">
      <w:rPr>
        <w:rFonts w:ascii="Arial" w:hAnsi="Arial" w:cs="Arial"/>
        <w:sz w:val="18"/>
        <w:szCs w:val="18"/>
      </w:rPr>
      <w:t xml:space="preserve"> |  Portfolio Budget Statements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B08A4" w14:textId="189FEE50" w:rsidR="009F748C" w:rsidRPr="00C6413A" w:rsidRDefault="009F748C" w:rsidP="00A81B58">
    <w:pPr>
      <w:tabs>
        <w:tab w:val="center" w:pos="4150"/>
        <w:tab w:val="right" w:pos="8306"/>
      </w:tabs>
      <w:spacing w:after="0"/>
      <w:jc w:val="right"/>
    </w:pPr>
    <w:r w:rsidRPr="00C6413A">
      <w:rPr>
        <w:rFonts w:ascii="Arial" w:hAnsi="Arial" w:cs="Arial"/>
        <w:sz w:val="18"/>
        <w:szCs w:val="18"/>
      </w:rPr>
      <w:t>Portfolio Budget Statements</w:t>
    </w:r>
    <w:r w:rsidRPr="00C6413A">
      <w:t xml:space="preserve">  |  </w:t>
    </w:r>
    <w:r w:rsidR="00CD02FF">
      <w:rPr>
        <w:rFonts w:ascii="Arial" w:hAnsi="Arial" w:cs="Arial"/>
        <w:b/>
        <w:sz w:val="18"/>
        <w:szCs w:val="18"/>
      </w:rPr>
      <w:t>Budget</w:t>
    </w:r>
    <w:r w:rsidR="00CD02FF">
      <w:rPr>
        <w:rFonts w:ascii="Arial" w:hAnsi="Arial" w:cs="Arial"/>
        <w:sz w:val="18"/>
        <w:szCs w:val="18"/>
      </w:rPr>
      <w:t xml:space="preserve"> 2023–24</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8A9FC" w14:textId="156FFE88" w:rsidR="009F748C" w:rsidRDefault="009F748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17BFE" w14:textId="4AF2438A" w:rsidR="009F748C" w:rsidRPr="00B24417" w:rsidRDefault="00CD02FF" w:rsidP="00214382">
    <w:pPr>
      <w:tabs>
        <w:tab w:val="center" w:pos="4513"/>
        <w:tab w:val="right" w:pos="9026"/>
      </w:tabs>
      <w:spacing w:before="40" w:after="0"/>
      <w:rPr>
        <w:rFonts w:ascii="Arial" w:hAnsi="Arial" w:cs="Arial"/>
        <w:sz w:val="18"/>
        <w:szCs w:val="18"/>
      </w:rPr>
    </w:pPr>
    <w:r>
      <w:rPr>
        <w:rFonts w:ascii="Arial" w:hAnsi="Arial" w:cs="Arial"/>
        <w:b/>
        <w:sz w:val="18"/>
        <w:szCs w:val="18"/>
      </w:rPr>
      <w:t>Budget</w:t>
    </w:r>
    <w:r>
      <w:rPr>
        <w:rFonts w:ascii="Arial" w:hAnsi="Arial" w:cs="Arial"/>
        <w:sz w:val="18"/>
        <w:szCs w:val="18"/>
      </w:rPr>
      <w:t xml:space="preserve"> 2023–24 </w:t>
    </w:r>
    <w:r w:rsidR="009F748C" w:rsidRPr="00B24417">
      <w:rPr>
        <w:rFonts w:ascii="Arial" w:hAnsi="Arial" w:cs="Arial"/>
        <w:sz w:val="18"/>
        <w:szCs w:val="18"/>
      </w:rPr>
      <w:t xml:space="preserve"> |  Portfolio Budget Statements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07617" w14:textId="6EEC8F50" w:rsidR="009F748C" w:rsidRPr="00C6413A" w:rsidRDefault="009F748C" w:rsidP="00C6413A">
    <w:pPr>
      <w:tabs>
        <w:tab w:val="center" w:pos="4150"/>
        <w:tab w:val="right" w:pos="8306"/>
      </w:tabs>
      <w:spacing w:after="0"/>
      <w:jc w:val="right"/>
    </w:pPr>
    <w:r w:rsidRPr="00C6413A">
      <w:rPr>
        <w:rFonts w:ascii="Arial" w:hAnsi="Arial" w:cs="Arial"/>
        <w:sz w:val="18"/>
        <w:szCs w:val="18"/>
      </w:rPr>
      <w:t>Portfolio Budget Statements</w:t>
    </w:r>
    <w:r w:rsidRPr="00C6413A">
      <w:t xml:space="preserve">  |  </w:t>
    </w:r>
    <w:r w:rsidR="00CD02FF">
      <w:rPr>
        <w:rFonts w:ascii="Arial" w:hAnsi="Arial" w:cs="Arial"/>
        <w:b/>
        <w:sz w:val="18"/>
        <w:szCs w:val="18"/>
      </w:rPr>
      <w:t>Budget</w:t>
    </w:r>
    <w:r w:rsidR="00CD02FF">
      <w:rPr>
        <w:rFonts w:ascii="Arial" w:hAnsi="Arial" w:cs="Arial"/>
        <w:sz w:val="18"/>
        <w:szCs w:val="18"/>
      </w:rPr>
      <w:t xml:space="preserve"> 2023–24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3B62"/>
    <w:multiLevelType w:val="hybridMultilevel"/>
    <w:tmpl w:val="A1420BD0"/>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A1540"/>
    <w:multiLevelType w:val="hybridMultilevel"/>
    <w:tmpl w:val="DEE6D0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646302A"/>
    <w:multiLevelType w:val="hybridMultilevel"/>
    <w:tmpl w:val="EDD48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9E3A8C"/>
    <w:multiLevelType w:val="hybridMultilevel"/>
    <w:tmpl w:val="D8B06A98"/>
    <w:lvl w:ilvl="0" w:tplc="BC441C5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F77595F"/>
    <w:multiLevelType w:val="hybridMultilevel"/>
    <w:tmpl w:val="99CA3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330434"/>
    <w:multiLevelType w:val="hybridMultilevel"/>
    <w:tmpl w:val="46660280"/>
    <w:lvl w:ilvl="0" w:tplc="76ECD804">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8782ECB"/>
    <w:multiLevelType w:val="hybridMultilevel"/>
    <w:tmpl w:val="AD4227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C717026"/>
    <w:multiLevelType w:val="hybridMultilevel"/>
    <w:tmpl w:val="018CB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741EF4"/>
    <w:multiLevelType w:val="hybridMultilevel"/>
    <w:tmpl w:val="586EED9C"/>
    <w:lvl w:ilvl="0" w:tplc="0C090001">
      <w:start w:val="1"/>
      <w:numFmt w:val="bullet"/>
      <w:lvlText w:val=""/>
      <w:lvlJc w:val="left"/>
      <w:pPr>
        <w:ind w:left="4187"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950841"/>
    <w:multiLevelType w:val="hybridMultilevel"/>
    <w:tmpl w:val="C2E0A0A8"/>
    <w:lvl w:ilvl="0" w:tplc="C614AA4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F467BEA"/>
    <w:multiLevelType w:val="hybridMultilevel"/>
    <w:tmpl w:val="4AEE1ABA"/>
    <w:lvl w:ilvl="0" w:tplc="7D12B408">
      <w:start w:val="2018"/>
      <w:numFmt w:val="bullet"/>
      <w:lvlText w:val=""/>
      <w:lvlJc w:val="left"/>
      <w:pPr>
        <w:ind w:left="360" w:hanging="360"/>
      </w:pPr>
      <w:rPr>
        <w:rFonts w:ascii="Symbol" w:eastAsia="Times New Roman"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B243B60"/>
    <w:multiLevelType w:val="hybridMultilevel"/>
    <w:tmpl w:val="23B8B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5" w15:restartNumberingAfterBreak="0">
    <w:nsid w:val="63615BBC"/>
    <w:multiLevelType w:val="hybridMultilevel"/>
    <w:tmpl w:val="96DE58B4"/>
    <w:lvl w:ilvl="0" w:tplc="C614AA4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554326"/>
    <w:multiLevelType w:val="hybridMultilevel"/>
    <w:tmpl w:val="9B684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8C7F64"/>
    <w:multiLevelType w:val="hybridMultilevel"/>
    <w:tmpl w:val="0D7CC238"/>
    <w:lvl w:ilvl="0" w:tplc="7D12B408">
      <w:start w:val="2018"/>
      <w:numFmt w:val="bullet"/>
      <w:lvlText w:val=""/>
      <w:lvlJc w:val="left"/>
      <w:pPr>
        <w:ind w:left="360" w:hanging="360"/>
      </w:pPr>
      <w:rPr>
        <w:rFonts w:ascii="Symbol" w:eastAsia="Times New Roman"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8634E99"/>
    <w:multiLevelType w:val="hybridMultilevel"/>
    <w:tmpl w:val="11DA25C0"/>
    <w:lvl w:ilvl="0" w:tplc="C614AA4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6"/>
  </w:num>
  <w:num w:numId="3">
    <w:abstractNumId w:val="17"/>
  </w:num>
  <w:num w:numId="4">
    <w:abstractNumId w:val="10"/>
  </w:num>
  <w:num w:numId="5">
    <w:abstractNumId w:val="14"/>
  </w:num>
  <w:num w:numId="6">
    <w:abstractNumId w:val="9"/>
  </w:num>
  <w:num w:numId="7">
    <w:abstractNumId w:val="7"/>
  </w:num>
  <w:num w:numId="8">
    <w:abstractNumId w:val="15"/>
  </w:num>
  <w:num w:numId="9">
    <w:abstractNumId w:val="20"/>
  </w:num>
  <w:num w:numId="10">
    <w:abstractNumId w:val="11"/>
  </w:num>
  <w:num w:numId="11">
    <w:abstractNumId w:val="0"/>
  </w:num>
  <w:num w:numId="12">
    <w:abstractNumId w:val="19"/>
  </w:num>
  <w:num w:numId="13">
    <w:abstractNumId w:val="12"/>
  </w:num>
  <w:num w:numId="14">
    <w:abstractNumId w:val="18"/>
  </w:num>
  <w:num w:numId="15">
    <w:abstractNumId w:val="1"/>
  </w:num>
  <w:num w:numId="16">
    <w:abstractNumId w:val="6"/>
  </w:num>
  <w:num w:numId="17">
    <w:abstractNumId w:val="3"/>
  </w:num>
  <w:num w:numId="18">
    <w:abstractNumId w:val="8"/>
  </w:num>
  <w:num w:numId="19">
    <w:abstractNumId w:val="5"/>
  </w:num>
  <w:num w:numId="20">
    <w:abstractNumId w:val="4"/>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evenAndOddHeaders/>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516B"/>
    <w:rsid w:val="00022345"/>
    <w:rsid w:val="0003353F"/>
    <w:rsid w:val="00040B90"/>
    <w:rsid w:val="00040C3D"/>
    <w:rsid w:val="00040CEE"/>
    <w:rsid w:val="0004324B"/>
    <w:rsid w:val="00043FB9"/>
    <w:rsid w:val="000518F6"/>
    <w:rsid w:val="000530BE"/>
    <w:rsid w:val="000540E0"/>
    <w:rsid w:val="0005755E"/>
    <w:rsid w:val="00063444"/>
    <w:rsid w:val="00063587"/>
    <w:rsid w:val="00064783"/>
    <w:rsid w:val="00076C36"/>
    <w:rsid w:val="0008295D"/>
    <w:rsid w:val="00086C46"/>
    <w:rsid w:val="0009367B"/>
    <w:rsid w:val="00096D1C"/>
    <w:rsid w:val="000A380F"/>
    <w:rsid w:val="000A4EB7"/>
    <w:rsid w:val="000B09E6"/>
    <w:rsid w:val="000B5A3D"/>
    <w:rsid w:val="000B79F5"/>
    <w:rsid w:val="000C0B1F"/>
    <w:rsid w:val="000C6D48"/>
    <w:rsid w:val="000D204A"/>
    <w:rsid w:val="000D5753"/>
    <w:rsid w:val="000E1F00"/>
    <w:rsid w:val="000E57DD"/>
    <w:rsid w:val="000E76CD"/>
    <w:rsid w:val="000F21BF"/>
    <w:rsid w:val="000F2837"/>
    <w:rsid w:val="001101F7"/>
    <w:rsid w:val="00111940"/>
    <w:rsid w:val="0011797D"/>
    <w:rsid w:val="00121645"/>
    <w:rsid w:val="00127628"/>
    <w:rsid w:val="001312EF"/>
    <w:rsid w:val="00131B05"/>
    <w:rsid w:val="00132174"/>
    <w:rsid w:val="00153A0C"/>
    <w:rsid w:val="001607D1"/>
    <w:rsid w:val="00175038"/>
    <w:rsid w:val="001761A7"/>
    <w:rsid w:val="00183A8A"/>
    <w:rsid w:val="00185E10"/>
    <w:rsid w:val="0019042F"/>
    <w:rsid w:val="001938C0"/>
    <w:rsid w:val="001A25CE"/>
    <w:rsid w:val="001B583F"/>
    <w:rsid w:val="001B6AE7"/>
    <w:rsid w:val="001C19BF"/>
    <w:rsid w:val="001D498A"/>
    <w:rsid w:val="001D7040"/>
    <w:rsid w:val="001E16CB"/>
    <w:rsid w:val="001E260B"/>
    <w:rsid w:val="001E3DAE"/>
    <w:rsid w:val="001E6562"/>
    <w:rsid w:val="001F2338"/>
    <w:rsid w:val="001F3157"/>
    <w:rsid w:val="00202919"/>
    <w:rsid w:val="00204660"/>
    <w:rsid w:val="00205DCE"/>
    <w:rsid w:val="00205E35"/>
    <w:rsid w:val="002068EB"/>
    <w:rsid w:val="00214382"/>
    <w:rsid w:val="00214D87"/>
    <w:rsid w:val="002205C0"/>
    <w:rsid w:val="002211A6"/>
    <w:rsid w:val="00221C8D"/>
    <w:rsid w:val="0022319A"/>
    <w:rsid w:val="0023170A"/>
    <w:rsid w:val="00241A7E"/>
    <w:rsid w:val="00241DEE"/>
    <w:rsid w:val="0024539A"/>
    <w:rsid w:val="00247542"/>
    <w:rsid w:val="00252584"/>
    <w:rsid w:val="00253434"/>
    <w:rsid w:val="0025604C"/>
    <w:rsid w:val="00256BC8"/>
    <w:rsid w:val="00260A26"/>
    <w:rsid w:val="00262CA3"/>
    <w:rsid w:val="00262FD6"/>
    <w:rsid w:val="0026716D"/>
    <w:rsid w:val="0027211A"/>
    <w:rsid w:val="00274A3D"/>
    <w:rsid w:val="00280050"/>
    <w:rsid w:val="00286E03"/>
    <w:rsid w:val="0029200D"/>
    <w:rsid w:val="002B3EE7"/>
    <w:rsid w:val="002B5911"/>
    <w:rsid w:val="002C4E6A"/>
    <w:rsid w:val="002D687B"/>
    <w:rsid w:val="002E0591"/>
    <w:rsid w:val="002E1D5A"/>
    <w:rsid w:val="002E706E"/>
    <w:rsid w:val="002F323F"/>
    <w:rsid w:val="00305715"/>
    <w:rsid w:val="00313173"/>
    <w:rsid w:val="0032233F"/>
    <w:rsid w:val="00322965"/>
    <w:rsid w:val="0032429A"/>
    <w:rsid w:val="0032536D"/>
    <w:rsid w:val="003253F2"/>
    <w:rsid w:val="00333F18"/>
    <w:rsid w:val="0033500E"/>
    <w:rsid w:val="00346079"/>
    <w:rsid w:val="00347C3F"/>
    <w:rsid w:val="00353F7F"/>
    <w:rsid w:val="00357948"/>
    <w:rsid w:val="00360BCD"/>
    <w:rsid w:val="00363088"/>
    <w:rsid w:val="00365E69"/>
    <w:rsid w:val="0037037F"/>
    <w:rsid w:val="00374538"/>
    <w:rsid w:val="003748F2"/>
    <w:rsid w:val="003763E3"/>
    <w:rsid w:val="00381BA0"/>
    <w:rsid w:val="00390F60"/>
    <w:rsid w:val="00396667"/>
    <w:rsid w:val="00396FF1"/>
    <w:rsid w:val="003A0420"/>
    <w:rsid w:val="003A2980"/>
    <w:rsid w:val="003A2FB5"/>
    <w:rsid w:val="003A51C1"/>
    <w:rsid w:val="003C7C6D"/>
    <w:rsid w:val="003C7D3D"/>
    <w:rsid w:val="003D2033"/>
    <w:rsid w:val="003D51D8"/>
    <w:rsid w:val="003E038E"/>
    <w:rsid w:val="003E1223"/>
    <w:rsid w:val="003F09E5"/>
    <w:rsid w:val="00404588"/>
    <w:rsid w:val="00405212"/>
    <w:rsid w:val="00417A33"/>
    <w:rsid w:val="00422920"/>
    <w:rsid w:val="00430169"/>
    <w:rsid w:val="00430914"/>
    <w:rsid w:val="00431218"/>
    <w:rsid w:val="004345D3"/>
    <w:rsid w:val="00442F84"/>
    <w:rsid w:val="00446F71"/>
    <w:rsid w:val="004540BF"/>
    <w:rsid w:val="00455186"/>
    <w:rsid w:val="004624B3"/>
    <w:rsid w:val="004869C4"/>
    <w:rsid w:val="004A1479"/>
    <w:rsid w:val="004A2C32"/>
    <w:rsid w:val="004A3FF3"/>
    <w:rsid w:val="004A62D0"/>
    <w:rsid w:val="004B17D5"/>
    <w:rsid w:val="004B5D06"/>
    <w:rsid w:val="004C533D"/>
    <w:rsid w:val="004C6969"/>
    <w:rsid w:val="004E5D1D"/>
    <w:rsid w:val="00513500"/>
    <w:rsid w:val="00513966"/>
    <w:rsid w:val="00514917"/>
    <w:rsid w:val="00514A7C"/>
    <w:rsid w:val="00515D69"/>
    <w:rsid w:val="005250BB"/>
    <w:rsid w:val="00530763"/>
    <w:rsid w:val="005407C4"/>
    <w:rsid w:val="0056778F"/>
    <w:rsid w:val="005741D5"/>
    <w:rsid w:val="00576F98"/>
    <w:rsid w:val="00577275"/>
    <w:rsid w:val="00592D67"/>
    <w:rsid w:val="005A2830"/>
    <w:rsid w:val="005A76C1"/>
    <w:rsid w:val="005B0A9B"/>
    <w:rsid w:val="005B2384"/>
    <w:rsid w:val="005B4058"/>
    <w:rsid w:val="005B798E"/>
    <w:rsid w:val="005D099D"/>
    <w:rsid w:val="005D52B5"/>
    <w:rsid w:val="005F5856"/>
    <w:rsid w:val="00600C9F"/>
    <w:rsid w:val="00603FA6"/>
    <w:rsid w:val="0061246B"/>
    <w:rsid w:val="00613B72"/>
    <w:rsid w:val="00614439"/>
    <w:rsid w:val="00615FFF"/>
    <w:rsid w:val="006221DE"/>
    <w:rsid w:val="0062380D"/>
    <w:rsid w:val="00623D0A"/>
    <w:rsid w:val="00652C15"/>
    <w:rsid w:val="0065652B"/>
    <w:rsid w:val="00657EB8"/>
    <w:rsid w:val="00664791"/>
    <w:rsid w:val="006666D4"/>
    <w:rsid w:val="00677F00"/>
    <w:rsid w:val="00680E96"/>
    <w:rsid w:val="00684F20"/>
    <w:rsid w:val="006916AA"/>
    <w:rsid w:val="0069211D"/>
    <w:rsid w:val="00693201"/>
    <w:rsid w:val="006A19E3"/>
    <w:rsid w:val="006B1FA7"/>
    <w:rsid w:val="006B396E"/>
    <w:rsid w:val="006B6E05"/>
    <w:rsid w:val="006C1C56"/>
    <w:rsid w:val="006D09F7"/>
    <w:rsid w:val="006D32E9"/>
    <w:rsid w:val="006E42DA"/>
    <w:rsid w:val="006E5185"/>
    <w:rsid w:val="006E5904"/>
    <w:rsid w:val="007075D5"/>
    <w:rsid w:val="007222BB"/>
    <w:rsid w:val="00724036"/>
    <w:rsid w:val="00730CA3"/>
    <w:rsid w:val="00737160"/>
    <w:rsid w:val="00737F4E"/>
    <w:rsid w:val="007431FE"/>
    <w:rsid w:val="00760D56"/>
    <w:rsid w:val="00765576"/>
    <w:rsid w:val="00765655"/>
    <w:rsid w:val="0077542C"/>
    <w:rsid w:val="007776B2"/>
    <w:rsid w:val="00777DDE"/>
    <w:rsid w:val="007870E1"/>
    <w:rsid w:val="007B7244"/>
    <w:rsid w:val="007C58BA"/>
    <w:rsid w:val="007C65CF"/>
    <w:rsid w:val="007D05FD"/>
    <w:rsid w:val="007E1086"/>
    <w:rsid w:val="007F007E"/>
    <w:rsid w:val="007F1B55"/>
    <w:rsid w:val="008022D8"/>
    <w:rsid w:val="00811957"/>
    <w:rsid w:val="008135AB"/>
    <w:rsid w:val="00833D7C"/>
    <w:rsid w:val="00843B98"/>
    <w:rsid w:val="00873F67"/>
    <w:rsid w:val="00876FFC"/>
    <w:rsid w:val="00883D88"/>
    <w:rsid w:val="008855AD"/>
    <w:rsid w:val="00892FCD"/>
    <w:rsid w:val="00896C9C"/>
    <w:rsid w:val="008A1D45"/>
    <w:rsid w:val="008A3529"/>
    <w:rsid w:val="008A35CC"/>
    <w:rsid w:val="008A622E"/>
    <w:rsid w:val="008B3E83"/>
    <w:rsid w:val="008B3F90"/>
    <w:rsid w:val="008C077A"/>
    <w:rsid w:val="008C4356"/>
    <w:rsid w:val="008D3FF0"/>
    <w:rsid w:val="008D6B59"/>
    <w:rsid w:val="008E5EF4"/>
    <w:rsid w:val="008E7D7C"/>
    <w:rsid w:val="00913202"/>
    <w:rsid w:val="00913388"/>
    <w:rsid w:val="0091614D"/>
    <w:rsid w:val="009247D5"/>
    <w:rsid w:val="00930A58"/>
    <w:rsid w:val="00933A13"/>
    <w:rsid w:val="00934786"/>
    <w:rsid w:val="00936085"/>
    <w:rsid w:val="0095297B"/>
    <w:rsid w:val="00954988"/>
    <w:rsid w:val="00954A96"/>
    <w:rsid w:val="0095657D"/>
    <w:rsid w:val="009647A8"/>
    <w:rsid w:val="00967B0C"/>
    <w:rsid w:val="0097234D"/>
    <w:rsid w:val="00975C97"/>
    <w:rsid w:val="0098163E"/>
    <w:rsid w:val="00981ECF"/>
    <w:rsid w:val="009846B7"/>
    <w:rsid w:val="00986D8E"/>
    <w:rsid w:val="0099178D"/>
    <w:rsid w:val="00995BD4"/>
    <w:rsid w:val="009A1A0A"/>
    <w:rsid w:val="009A227E"/>
    <w:rsid w:val="009C3BF5"/>
    <w:rsid w:val="009C5117"/>
    <w:rsid w:val="009C77F0"/>
    <w:rsid w:val="009E789F"/>
    <w:rsid w:val="009F675D"/>
    <w:rsid w:val="009F6D98"/>
    <w:rsid w:val="009F748C"/>
    <w:rsid w:val="00A07D8A"/>
    <w:rsid w:val="00A22DE1"/>
    <w:rsid w:val="00A26359"/>
    <w:rsid w:val="00A34B5D"/>
    <w:rsid w:val="00A467C5"/>
    <w:rsid w:val="00A4746E"/>
    <w:rsid w:val="00A51F67"/>
    <w:rsid w:val="00A52B29"/>
    <w:rsid w:val="00A52B6C"/>
    <w:rsid w:val="00A54836"/>
    <w:rsid w:val="00A668BF"/>
    <w:rsid w:val="00A66B9A"/>
    <w:rsid w:val="00A67BF9"/>
    <w:rsid w:val="00A81B58"/>
    <w:rsid w:val="00A917F6"/>
    <w:rsid w:val="00A91C05"/>
    <w:rsid w:val="00A963FD"/>
    <w:rsid w:val="00A96EBC"/>
    <w:rsid w:val="00AA2BC0"/>
    <w:rsid w:val="00AA384D"/>
    <w:rsid w:val="00AA4A27"/>
    <w:rsid w:val="00AA4D1C"/>
    <w:rsid w:val="00AA7CEE"/>
    <w:rsid w:val="00AB3BAD"/>
    <w:rsid w:val="00AB59FF"/>
    <w:rsid w:val="00AB7208"/>
    <w:rsid w:val="00AC10DE"/>
    <w:rsid w:val="00AD010B"/>
    <w:rsid w:val="00AD44FA"/>
    <w:rsid w:val="00AD4C76"/>
    <w:rsid w:val="00AD697C"/>
    <w:rsid w:val="00AD6A28"/>
    <w:rsid w:val="00AE26E2"/>
    <w:rsid w:val="00AE700F"/>
    <w:rsid w:val="00AF4A43"/>
    <w:rsid w:val="00B020E9"/>
    <w:rsid w:val="00B02B44"/>
    <w:rsid w:val="00B05953"/>
    <w:rsid w:val="00B14B44"/>
    <w:rsid w:val="00B2588E"/>
    <w:rsid w:val="00B2680C"/>
    <w:rsid w:val="00B32450"/>
    <w:rsid w:val="00B4496F"/>
    <w:rsid w:val="00B4550F"/>
    <w:rsid w:val="00B47702"/>
    <w:rsid w:val="00B525CC"/>
    <w:rsid w:val="00B529BE"/>
    <w:rsid w:val="00B6076C"/>
    <w:rsid w:val="00B64804"/>
    <w:rsid w:val="00B66415"/>
    <w:rsid w:val="00B66E4D"/>
    <w:rsid w:val="00B72493"/>
    <w:rsid w:val="00B8616D"/>
    <w:rsid w:val="00B8768E"/>
    <w:rsid w:val="00B87B5E"/>
    <w:rsid w:val="00B961AC"/>
    <w:rsid w:val="00B96B40"/>
    <w:rsid w:val="00BA733D"/>
    <w:rsid w:val="00BB47AA"/>
    <w:rsid w:val="00BB4CB7"/>
    <w:rsid w:val="00BC0659"/>
    <w:rsid w:val="00BD13C2"/>
    <w:rsid w:val="00BD2155"/>
    <w:rsid w:val="00BE3A90"/>
    <w:rsid w:val="00BF333D"/>
    <w:rsid w:val="00BF3390"/>
    <w:rsid w:val="00BF4E91"/>
    <w:rsid w:val="00C01755"/>
    <w:rsid w:val="00C12AD8"/>
    <w:rsid w:val="00C162CF"/>
    <w:rsid w:val="00C25F6C"/>
    <w:rsid w:val="00C32CB8"/>
    <w:rsid w:val="00C332EF"/>
    <w:rsid w:val="00C407A3"/>
    <w:rsid w:val="00C429C0"/>
    <w:rsid w:val="00C47216"/>
    <w:rsid w:val="00C63BFA"/>
    <w:rsid w:val="00C6413A"/>
    <w:rsid w:val="00C661B4"/>
    <w:rsid w:val="00C744B3"/>
    <w:rsid w:val="00CA08C5"/>
    <w:rsid w:val="00CA0DE7"/>
    <w:rsid w:val="00CB6B50"/>
    <w:rsid w:val="00CD02FF"/>
    <w:rsid w:val="00CD3E1E"/>
    <w:rsid w:val="00CE2F67"/>
    <w:rsid w:val="00CF40C3"/>
    <w:rsid w:val="00D201B7"/>
    <w:rsid w:val="00D42431"/>
    <w:rsid w:val="00D436F9"/>
    <w:rsid w:val="00D44E13"/>
    <w:rsid w:val="00D45C92"/>
    <w:rsid w:val="00D520DC"/>
    <w:rsid w:val="00D6064E"/>
    <w:rsid w:val="00D80CD3"/>
    <w:rsid w:val="00D82317"/>
    <w:rsid w:val="00D95650"/>
    <w:rsid w:val="00D95736"/>
    <w:rsid w:val="00DA6CC2"/>
    <w:rsid w:val="00DB134D"/>
    <w:rsid w:val="00DB7BD8"/>
    <w:rsid w:val="00DC038F"/>
    <w:rsid w:val="00DC05AA"/>
    <w:rsid w:val="00DC1067"/>
    <w:rsid w:val="00DC49A5"/>
    <w:rsid w:val="00DC5E99"/>
    <w:rsid w:val="00DE0235"/>
    <w:rsid w:val="00DE573B"/>
    <w:rsid w:val="00DF6204"/>
    <w:rsid w:val="00E02174"/>
    <w:rsid w:val="00E034EC"/>
    <w:rsid w:val="00E10F79"/>
    <w:rsid w:val="00E33B5D"/>
    <w:rsid w:val="00E4303D"/>
    <w:rsid w:val="00E4312D"/>
    <w:rsid w:val="00E502F2"/>
    <w:rsid w:val="00E6318D"/>
    <w:rsid w:val="00E71C45"/>
    <w:rsid w:val="00E80439"/>
    <w:rsid w:val="00E81192"/>
    <w:rsid w:val="00E86610"/>
    <w:rsid w:val="00E95AA8"/>
    <w:rsid w:val="00EA065E"/>
    <w:rsid w:val="00EB57C1"/>
    <w:rsid w:val="00EB69BA"/>
    <w:rsid w:val="00ED57C2"/>
    <w:rsid w:val="00ED6AD6"/>
    <w:rsid w:val="00EE09D8"/>
    <w:rsid w:val="00EE4D7A"/>
    <w:rsid w:val="00EE72BA"/>
    <w:rsid w:val="00EF7595"/>
    <w:rsid w:val="00F14D6C"/>
    <w:rsid w:val="00F1786E"/>
    <w:rsid w:val="00F321FB"/>
    <w:rsid w:val="00F364BA"/>
    <w:rsid w:val="00F51814"/>
    <w:rsid w:val="00F51ADF"/>
    <w:rsid w:val="00F528CB"/>
    <w:rsid w:val="00F67D6E"/>
    <w:rsid w:val="00F713F7"/>
    <w:rsid w:val="00F91759"/>
    <w:rsid w:val="00F9192D"/>
    <w:rsid w:val="00F95907"/>
    <w:rsid w:val="00FA06C5"/>
    <w:rsid w:val="00FA38FA"/>
    <w:rsid w:val="00FB544A"/>
    <w:rsid w:val="00FB72E1"/>
    <w:rsid w:val="00FC2C6D"/>
    <w:rsid w:val="00FC4239"/>
    <w:rsid w:val="00FD3CF5"/>
    <w:rsid w:val="00FD6A71"/>
    <w:rsid w:val="00FE7784"/>
    <w:rsid w:val="00FE7E0F"/>
    <w:rsid w:val="00FE7EF6"/>
    <w:rsid w:val="00FF4A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19BFA4E3"/>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7A8"/>
    <w:pPr>
      <w:spacing w:after="120" w:line="240" w:lineRule="auto"/>
    </w:pPr>
    <w:rPr>
      <w:rFonts w:ascii="Book Antiqua" w:eastAsia="Times New Roman" w:hAnsi="Book Antiqua"/>
      <w:color w:val="000000"/>
      <w:sz w:val="19"/>
      <w:szCs w:val="20"/>
      <w:lang w:eastAsia="en-AU"/>
    </w:rPr>
  </w:style>
  <w:style w:type="paragraph" w:styleId="Heading1">
    <w:name w:val="heading 1"/>
    <w:basedOn w:val="Normal"/>
    <w:next w:val="Normal"/>
    <w:link w:val="Heading1Char"/>
    <w:qFormat/>
    <w:rsid w:val="009647A8"/>
    <w:pPr>
      <w:keepNext/>
      <w:spacing w:after="720"/>
      <w:outlineLvl w:val="0"/>
    </w:pPr>
    <w:rPr>
      <w:rFonts w:ascii="Arial" w:hAnsi="Arial"/>
      <w:b/>
      <w:bCs/>
      <w:snapToGrid w:val="0"/>
      <w:color w:val="auto"/>
      <w:sz w:val="36"/>
    </w:rPr>
  </w:style>
  <w:style w:type="paragraph" w:styleId="Heading2">
    <w:name w:val="heading 2"/>
    <w:basedOn w:val="Normal"/>
    <w:next w:val="Normal"/>
    <w:link w:val="Heading2Char"/>
    <w:uiPriority w:val="9"/>
    <w:unhideWhenUsed/>
    <w:qFormat/>
    <w:rsid w:val="009647A8"/>
    <w:pPr>
      <w:keepNext/>
      <w:keepLines/>
      <w:spacing w:after="240"/>
      <w:outlineLvl w:val="1"/>
    </w:pPr>
    <w:rPr>
      <w:rFonts w:ascii="Arial" w:hAnsi="Arial" w:cs="Arial"/>
      <w:b/>
      <w:iCs/>
      <w:sz w:val="26"/>
      <w:szCs w:val="26"/>
    </w:rPr>
  </w:style>
  <w:style w:type="paragraph" w:styleId="Heading3">
    <w:name w:val="heading 3"/>
    <w:basedOn w:val="Normal"/>
    <w:next w:val="Normal"/>
    <w:link w:val="Heading3Char"/>
    <w:unhideWhenUsed/>
    <w:qFormat/>
    <w:rsid w:val="009647A8"/>
    <w:pPr>
      <w:keepNext/>
      <w:spacing w:before="120"/>
      <w:outlineLvl w:val="2"/>
    </w:pPr>
    <w:rPr>
      <w:rFonts w:ascii="Arial Bold" w:hAnsi="Arial Bold"/>
      <w:b/>
      <w:color w:val="auto"/>
      <w:sz w:val="22"/>
    </w:rPr>
  </w:style>
  <w:style w:type="paragraph" w:styleId="Heading4">
    <w:name w:val="heading 4"/>
    <w:basedOn w:val="Normal"/>
    <w:next w:val="Normal"/>
    <w:link w:val="Heading4Char"/>
    <w:unhideWhenUsed/>
    <w:qFormat/>
    <w:rsid w:val="00BC0659"/>
    <w:pPr>
      <w:keepNext/>
      <w:keepLines/>
      <w:spacing w:before="240"/>
      <w:outlineLvl w:val="3"/>
    </w:pPr>
    <w:rPr>
      <w:rFonts w:ascii="Arial" w:hAnsi="Arial"/>
      <w:b/>
      <w:sz w:val="22"/>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7A8"/>
    <w:rPr>
      <w:rFonts w:ascii="Arial" w:eastAsia="Times New Roman" w:hAnsi="Arial"/>
      <w:b/>
      <w:bCs/>
      <w:snapToGrid w:val="0"/>
      <w:sz w:val="36"/>
      <w:szCs w:val="20"/>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9647A8"/>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9647A8"/>
    <w:rPr>
      <w:rFonts w:ascii="Arial Bold" w:eastAsia="Times New Roman" w:hAnsi="Arial Bold"/>
      <w:b/>
      <w:sz w:val="22"/>
      <w:szCs w:val="20"/>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C0659"/>
    <w:rPr>
      <w:rFonts w:ascii="Arial" w:eastAsia="Times New Roman" w:hAnsi="Arial"/>
      <w:b/>
      <w:color w:val="000000"/>
      <w:sz w:val="22"/>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TOCHeading1">
    <w:name w:val="TOC Heading1"/>
    <w:basedOn w:val="Normal"/>
    <w:link w:val="ToCHeadingChar"/>
    <w:rsid w:val="00365E69"/>
    <w:pPr>
      <w:tabs>
        <w:tab w:val="left" w:leader="dot" w:pos="567"/>
        <w:tab w:val="left" w:pos="709"/>
        <w:tab w:val="right" w:leader="dot" w:pos="7371"/>
      </w:tabs>
      <w:spacing w:before="960"/>
      <w:outlineLvl w:val="1"/>
    </w:pPr>
    <w:rPr>
      <w:rFonts w:ascii="Arial" w:hAnsi="Arial" w:cs="Arial"/>
      <w:b/>
    </w:rPr>
  </w:style>
  <w:style w:type="character" w:customStyle="1" w:styleId="ToCHeadingChar">
    <w:name w:val="ToC Heading Char"/>
    <w:basedOn w:val="DefaultParagraphFont"/>
    <w:link w:val="TOCHeading1"/>
    <w:rsid w:val="00365E69"/>
    <w:rPr>
      <w:rFonts w:ascii="Arial" w:eastAsia="Times New Roman" w:hAnsi="Arial" w:cs="Arial"/>
      <w:b/>
      <w:color w:val="000000"/>
      <w:sz w:val="20"/>
      <w:szCs w:val="20"/>
      <w:lang w:eastAsia="en-AU"/>
    </w:rPr>
  </w:style>
  <w:style w:type="paragraph" w:styleId="BalloonText">
    <w:name w:val="Balloon Text"/>
    <w:basedOn w:val="Normal"/>
    <w:link w:val="BalloonTextChar"/>
    <w:uiPriority w:val="99"/>
    <w:semiHidden/>
    <w:unhideWhenUsed/>
    <w:rsid w:val="00615FF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FFF"/>
    <w:rPr>
      <w:rFonts w:ascii="Segoe UI" w:eastAsia="Times New Roman" w:hAnsi="Segoe UI" w:cs="Segoe UI"/>
      <w:color w:val="000000"/>
      <w:sz w:val="18"/>
      <w:szCs w:val="18"/>
      <w:lang w:eastAsia="en-AU"/>
    </w:rPr>
  </w:style>
  <w:style w:type="character" w:styleId="CommentReference">
    <w:name w:val="annotation reference"/>
    <w:basedOn w:val="DefaultParagraphFont"/>
    <w:uiPriority w:val="99"/>
    <w:semiHidden/>
    <w:unhideWhenUsed/>
    <w:rsid w:val="003C7C6D"/>
    <w:rPr>
      <w:sz w:val="16"/>
      <w:szCs w:val="16"/>
    </w:rPr>
  </w:style>
  <w:style w:type="paragraph" w:styleId="CommentText">
    <w:name w:val="annotation text"/>
    <w:basedOn w:val="Normal"/>
    <w:link w:val="CommentTextChar"/>
    <w:uiPriority w:val="99"/>
    <w:semiHidden/>
    <w:unhideWhenUsed/>
    <w:rsid w:val="003C7C6D"/>
  </w:style>
  <w:style w:type="character" w:customStyle="1" w:styleId="CommentTextChar">
    <w:name w:val="Comment Text Char"/>
    <w:basedOn w:val="DefaultParagraphFont"/>
    <w:link w:val="CommentText"/>
    <w:uiPriority w:val="99"/>
    <w:semiHidden/>
    <w:rsid w:val="003C7C6D"/>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3C7C6D"/>
    <w:rPr>
      <w:b/>
      <w:bCs/>
    </w:rPr>
  </w:style>
  <w:style w:type="character" w:customStyle="1" w:styleId="CommentSubjectChar">
    <w:name w:val="Comment Subject Char"/>
    <w:basedOn w:val="CommentTextChar"/>
    <w:link w:val="CommentSubject"/>
    <w:uiPriority w:val="99"/>
    <w:semiHidden/>
    <w:rsid w:val="003C7C6D"/>
    <w:rPr>
      <w:rFonts w:ascii="Book Antiqua" w:eastAsia="Times New Roman" w:hAnsi="Book Antiqua"/>
      <w:b/>
      <w:bCs/>
      <w:color w:val="000000"/>
      <w:sz w:val="20"/>
      <w:szCs w:val="20"/>
      <w:lang w:eastAsia="en-AU"/>
    </w:rPr>
  </w:style>
  <w:style w:type="paragraph" w:styleId="NormalWeb">
    <w:name w:val="Normal (Web)"/>
    <w:basedOn w:val="Normal"/>
    <w:uiPriority w:val="99"/>
    <w:semiHidden/>
    <w:unhideWhenUsed/>
    <w:rsid w:val="00262CA3"/>
    <w:rPr>
      <w:rFonts w:ascii="Times New Roman" w:hAnsi="Times New Roman"/>
      <w:sz w:val="24"/>
      <w:szCs w:val="24"/>
    </w:rPr>
  </w:style>
  <w:style w:type="paragraph" w:styleId="Revision">
    <w:name w:val="Revision"/>
    <w:hidden/>
    <w:uiPriority w:val="99"/>
    <w:semiHidden/>
    <w:rsid w:val="00FA38FA"/>
    <w:pPr>
      <w:spacing w:after="0" w:line="240" w:lineRule="auto"/>
    </w:pPr>
    <w:rPr>
      <w:rFonts w:ascii="Book Antiqua" w:eastAsia="Times New Roman" w:hAnsi="Book Antiqua"/>
      <w:color w:val="000000"/>
      <w:sz w:val="20"/>
      <w:szCs w:val="20"/>
      <w:lang w:eastAsia="en-AU"/>
    </w:rPr>
  </w:style>
  <w:style w:type="paragraph" w:customStyle="1" w:styleId="TableBullet">
    <w:name w:val="Table Bullet"/>
    <w:basedOn w:val="Tabletextnormal9pt"/>
    <w:qFormat/>
    <w:rsid w:val="00CB6B50"/>
    <w:pPr>
      <w:tabs>
        <w:tab w:val="left" w:pos="357"/>
      </w:tabs>
      <w:contextualSpacing/>
    </w:pPr>
  </w:style>
  <w:style w:type="character" w:customStyle="1" w:styleId="Header1-Right-OddChar">
    <w:name w:val="Header 1 - Right - Odd Char"/>
    <w:basedOn w:val="DefaultParagraphFont"/>
    <w:link w:val="Header1-Right-Odd"/>
    <w:locked/>
    <w:rsid w:val="000E76CD"/>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0E76CD"/>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styleId="PageNumber">
    <w:name w:val="page number"/>
    <w:rsid w:val="00214382"/>
    <w:rPr>
      <w:rFonts w:ascii="Arial" w:hAnsi="Arial" w:cs="Arial"/>
      <w:color w:val="auto"/>
    </w:rPr>
  </w:style>
  <w:style w:type="paragraph" w:customStyle="1" w:styleId="FooterOdd">
    <w:name w:val="Footer Odd"/>
    <w:basedOn w:val="Footer"/>
    <w:qFormat/>
    <w:rsid w:val="00214382"/>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FooterEven">
    <w:name w:val="Footer Even"/>
    <w:basedOn w:val="Footer"/>
    <w:qFormat/>
    <w:rsid w:val="00214382"/>
    <w:pPr>
      <w:pBdr>
        <w:top w:val="single" w:sz="4" w:space="10" w:color="000000"/>
      </w:pBdr>
      <w:tabs>
        <w:tab w:val="clear" w:pos="4513"/>
        <w:tab w:val="clear" w:pos="9026"/>
        <w:tab w:val="center" w:pos="4153"/>
        <w:tab w:val="right" w:pos="8306"/>
      </w:tabs>
    </w:pPr>
    <w:rPr>
      <w:rFonts w:ascii="Arial" w:hAnsi="Arial"/>
      <w:color w:val="auto"/>
      <w:sz w:val="18"/>
    </w:rPr>
  </w:style>
  <w:style w:type="paragraph" w:customStyle="1" w:styleId="PartHeading-TOC">
    <w:name w:val="Part Heading - TOC"/>
    <w:basedOn w:val="Normal"/>
    <w:rsid w:val="00214382"/>
    <w:pPr>
      <w:spacing w:before="240" w:after="480"/>
      <w:jc w:val="center"/>
    </w:pPr>
    <w:rPr>
      <w:rFonts w:ascii="Arial Bold" w:hAnsi="Arial Bold" w:cs="Arial"/>
      <w:b/>
      <w:bCs/>
      <w:color w:val="auto"/>
      <w:kern w:val="28"/>
      <w:sz w:val="52"/>
      <w:szCs w:val="32"/>
    </w:rPr>
  </w:style>
  <w:style w:type="paragraph" w:customStyle="1" w:styleId="TableGraphic">
    <w:name w:val="Table Graphic"/>
    <w:basedOn w:val="Normal"/>
    <w:next w:val="Normal"/>
    <w:rsid w:val="00B32450"/>
    <w:pPr>
      <w:ind w:right="-113"/>
    </w:pPr>
    <w:rPr>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295">
      <w:bodyDiv w:val="1"/>
      <w:marLeft w:val="0"/>
      <w:marRight w:val="0"/>
      <w:marTop w:val="0"/>
      <w:marBottom w:val="0"/>
      <w:divBdr>
        <w:top w:val="none" w:sz="0" w:space="0" w:color="auto"/>
        <w:left w:val="none" w:sz="0" w:space="0" w:color="auto"/>
        <w:bottom w:val="none" w:sz="0" w:space="0" w:color="auto"/>
        <w:right w:val="none" w:sz="0" w:space="0" w:color="auto"/>
      </w:divBdr>
    </w:div>
    <w:div w:id="25911614">
      <w:bodyDiv w:val="1"/>
      <w:marLeft w:val="0"/>
      <w:marRight w:val="0"/>
      <w:marTop w:val="0"/>
      <w:marBottom w:val="0"/>
      <w:divBdr>
        <w:top w:val="none" w:sz="0" w:space="0" w:color="auto"/>
        <w:left w:val="none" w:sz="0" w:space="0" w:color="auto"/>
        <w:bottom w:val="none" w:sz="0" w:space="0" w:color="auto"/>
        <w:right w:val="none" w:sz="0" w:space="0" w:color="auto"/>
      </w:divBdr>
    </w:div>
    <w:div w:id="42677620">
      <w:bodyDiv w:val="1"/>
      <w:marLeft w:val="0"/>
      <w:marRight w:val="0"/>
      <w:marTop w:val="0"/>
      <w:marBottom w:val="0"/>
      <w:divBdr>
        <w:top w:val="none" w:sz="0" w:space="0" w:color="auto"/>
        <w:left w:val="none" w:sz="0" w:space="0" w:color="auto"/>
        <w:bottom w:val="none" w:sz="0" w:space="0" w:color="auto"/>
        <w:right w:val="none" w:sz="0" w:space="0" w:color="auto"/>
      </w:divBdr>
    </w:div>
    <w:div w:id="49889709">
      <w:bodyDiv w:val="1"/>
      <w:marLeft w:val="0"/>
      <w:marRight w:val="0"/>
      <w:marTop w:val="0"/>
      <w:marBottom w:val="0"/>
      <w:divBdr>
        <w:top w:val="none" w:sz="0" w:space="0" w:color="auto"/>
        <w:left w:val="none" w:sz="0" w:space="0" w:color="auto"/>
        <w:bottom w:val="none" w:sz="0" w:space="0" w:color="auto"/>
        <w:right w:val="none" w:sz="0" w:space="0" w:color="auto"/>
      </w:divBdr>
    </w:div>
    <w:div w:id="82997590">
      <w:bodyDiv w:val="1"/>
      <w:marLeft w:val="0"/>
      <w:marRight w:val="0"/>
      <w:marTop w:val="0"/>
      <w:marBottom w:val="0"/>
      <w:divBdr>
        <w:top w:val="none" w:sz="0" w:space="0" w:color="auto"/>
        <w:left w:val="none" w:sz="0" w:space="0" w:color="auto"/>
        <w:bottom w:val="none" w:sz="0" w:space="0" w:color="auto"/>
        <w:right w:val="none" w:sz="0" w:space="0" w:color="auto"/>
      </w:divBdr>
    </w:div>
    <w:div w:id="109591882">
      <w:bodyDiv w:val="1"/>
      <w:marLeft w:val="0"/>
      <w:marRight w:val="0"/>
      <w:marTop w:val="0"/>
      <w:marBottom w:val="0"/>
      <w:divBdr>
        <w:top w:val="none" w:sz="0" w:space="0" w:color="auto"/>
        <w:left w:val="none" w:sz="0" w:space="0" w:color="auto"/>
        <w:bottom w:val="none" w:sz="0" w:space="0" w:color="auto"/>
        <w:right w:val="none" w:sz="0" w:space="0" w:color="auto"/>
      </w:divBdr>
    </w:div>
    <w:div w:id="148793362">
      <w:bodyDiv w:val="1"/>
      <w:marLeft w:val="0"/>
      <w:marRight w:val="0"/>
      <w:marTop w:val="0"/>
      <w:marBottom w:val="0"/>
      <w:divBdr>
        <w:top w:val="none" w:sz="0" w:space="0" w:color="auto"/>
        <w:left w:val="none" w:sz="0" w:space="0" w:color="auto"/>
        <w:bottom w:val="none" w:sz="0" w:space="0" w:color="auto"/>
        <w:right w:val="none" w:sz="0" w:space="0" w:color="auto"/>
      </w:divBdr>
    </w:div>
    <w:div w:id="150486382">
      <w:bodyDiv w:val="1"/>
      <w:marLeft w:val="0"/>
      <w:marRight w:val="0"/>
      <w:marTop w:val="0"/>
      <w:marBottom w:val="0"/>
      <w:divBdr>
        <w:top w:val="none" w:sz="0" w:space="0" w:color="auto"/>
        <w:left w:val="none" w:sz="0" w:space="0" w:color="auto"/>
        <w:bottom w:val="none" w:sz="0" w:space="0" w:color="auto"/>
        <w:right w:val="none" w:sz="0" w:space="0" w:color="auto"/>
      </w:divBdr>
    </w:div>
    <w:div w:id="165750092">
      <w:bodyDiv w:val="1"/>
      <w:marLeft w:val="0"/>
      <w:marRight w:val="0"/>
      <w:marTop w:val="0"/>
      <w:marBottom w:val="0"/>
      <w:divBdr>
        <w:top w:val="none" w:sz="0" w:space="0" w:color="auto"/>
        <w:left w:val="none" w:sz="0" w:space="0" w:color="auto"/>
        <w:bottom w:val="none" w:sz="0" w:space="0" w:color="auto"/>
        <w:right w:val="none" w:sz="0" w:space="0" w:color="auto"/>
      </w:divBdr>
    </w:div>
    <w:div w:id="196893511">
      <w:bodyDiv w:val="1"/>
      <w:marLeft w:val="0"/>
      <w:marRight w:val="0"/>
      <w:marTop w:val="0"/>
      <w:marBottom w:val="0"/>
      <w:divBdr>
        <w:top w:val="none" w:sz="0" w:space="0" w:color="auto"/>
        <w:left w:val="none" w:sz="0" w:space="0" w:color="auto"/>
        <w:bottom w:val="none" w:sz="0" w:space="0" w:color="auto"/>
        <w:right w:val="none" w:sz="0" w:space="0" w:color="auto"/>
      </w:divBdr>
    </w:div>
    <w:div w:id="198471562">
      <w:bodyDiv w:val="1"/>
      <w:marLeft w:val="0"/>
      <w:marRight w:val="0"/>
      <w:marTop w:val="0"/>
      <w:marBottom w:val="0"/>
      <w:divBdr>
        <w:top w:val="none" w:sz="0" w:space="0" w:color="auto"/>
        <w:left w:val="none" w:sz="0" w:space="0" w:color="auto"/>
        <w:bottom w:val="none" w:sz="0" w:space="0" w:color="auto"/>
        <w:right w:val="none" w:sz="0" w:space="0" w:color="auto"/>
      </w:divBdr>
    </w:div>
    <w:div w:id="247037456">
      <w:bodyDiv w:val="1"/>
      <w:marLeft w:val="0"/>
      <w:marRight w:val="0"/>
      <w:marTop w:val="0"/>
      <w:marBottom w:val="0"/>
      <w:divBdr>
        <w:top w:val="none" w:sz="0" w:space="0" w:color="auto"/>
        <w:left w:val="none" w:sz="0" w:space="0" w:color="auto"/>
        <w:bottom w:val="none" w:sz="0" w:space="0" w:color="auto"/>
        <w:right w:val="none" w:sz="0" w:space="0" w:color="auto"/>
      </w:divBdr>
    </w:div>
    <w:div w:id="280888145">
      <w:bodyDiv w:val="1"/>
      <w:marLeft w:val="0"/>
      <w:marRight w:val="0"/>
      <w:marTop w:val="0"/>
      <w:marBottom w:val="0"/>
      <w:divBdr>
        <w:top w:val="none" w:sz="0" w:space="0" w:color="auto"/>
        <w:left w:val="none" w:sz="0" w:space="0" w:color="auto"/>
        <w:bottom w:val="none" w:sz="0" w:space="0" w:color="auto"/>
        <w:right w:val="none" w:sz="0" w:space="0" w:color="auto"/>
      </w:divBdr>
    </w:div>
    <w:div w:id="286856468">
      <w:bodyDiv w:val="1"/>
      <w:marLeft w:val="0"/>
      <w:marRight w:val="0"/>
      <w:marTop w:val="0"/>
      <w:marBottom w:val="0"/>
      <w:divBdr>
        <w:top w:val="none" w:sz="0" w:space="0" w:color="auto"/>
        <w:left w:val="none" w:sz="0" w:space="0" w:color="auto"/>
        <w:bottom w:val="none" w:sz="0" w:space="0" w:color="auto"/>
        <w:right w:val="none" w:sz="0" w:space="0" w:color="auto"/>
      </w:divBdr>
    </w:div>
    <w:div w:id="290213279">
      <w:bodyDiv w:val="1"/>
      <w:marLeft w:val="0"/>
      <w:marRight w:val="0"/>
      <w:marTop w:val="0"/>
      <w:marBottom w:val="0"/>
      <w:divBdr>
        <w:top w:val="none" w:sz="0" w:space="0" w:color="auto"/>
        <w:left w:val="none" w:sz="0" w:space="0" w:color="auto"/>
        <w:bottom w:val="none" w:sz="0" w:space="0" w:color="auto"/>
        <w:right w:val="none" w:sz="0" w:space="0" w:color="auto"/>
      </w:divBdr>
    </w:div>
    <w:div w:id="293563904">
      <w:bodyDiv w:val="1"/>
      <w:marLeft w:val="0"/>
      <w:marRight w:val="0"/>
      <w:marTop w:val="0"/>
      <w:marBottom w:val="0"/>
      <w:divBdr>
        <w:top w:val="none" w:sz="0" w:space="0" w:color="auto"/>
        <w:left w:val="none" w:sz="0" w:space="0" w:color="auto"/>
        <w:bottom w:val="none" w:sz="0" w:space="0" w:color="auto"/>
        <w:right w:val="none" w:sz="0" w:space="0" w:color="auto"/>
      </w:divBdr>
    </w:div>
    <w:div w:id="312636149">
      <w:bodyDiv w:val="1"/>
      <w:marLeft w:val="0"/>
      <w:marRight w:val="0"/>
      <w:marTop w:val="0"/>
      <w:marBottom w:val="0"/>
      <w:divBdr>
        <w:top w:val="none" w:sz="0" w:space="0" w:color="auto"/>
        <w:left w:val="none" w:sz="0" w:space="0" w:color="auto"/>
        <w:bottom w:val="none" w:sz="0" w:space="0" w:color="auto"/>
        <w:right w:val="none" w:sz="0" w:space="0" w:color="auto"/>
      </w:divBdr>
    </w:div>
    <w:div w:id="338430447">
      <w:bodyDiv w:val="1"/>
      <w:marLeft w:val="0"/>
      <w:marRight w:val="0"/>
      <w:marTop w:val="0"/>
      <w:marBottom w:val="0"/>
      <w:divBdr>
        <w:top w:val="none" w:sz="0" w:space="0" w:color="auto"/>
        <w:left w:val="none" w:sz="0" w:space="0" w:color="auto"/>
        <w:bottom w:val="none" w:sz="0" w:space="0" w:color="auto"/>
        <w:right w:val="none" w:sz="0" w:space="0" w:color="auto"/>
      </w:divBdr>
    </w:div>
    <w:div w:id="345983637">
      <w:bodyDiv w:val="1"/>
      <w:marLeft w:val="0"/>
      <w:marRight w:val="0"/>
      <w:marTop w:val="0"/>
      <w:marBottom w:val="0"/>
      <w:divBdr>
        <w:top w:val="none" w:sz="0" w:space="0" w:color="auto"/>
        <w:left w:val="none" w:sz="0" w:space="0" w:color="auto"/>
        <w:bottom w:val="none" w:sz="0" w:space="0" w:color="auto"/>
        <w:right w:val="none" w:sz="0" w:space="0" w:color="auto"/>
      </w:divBdr>
    </w:div>
    <w:div w:id="372657291">
      <w:bodyDiv w:val="1"/>
      <w:marLeft w:val="0"/>
      <w:marRight w:val="0"/>
      <w:marTop w:val="0"/>
      <w:marBottom w:val="0"/>
      <w:divBdr>
        <w:top w:val="none" w:sz="0" w:space="0" w:color="auto"/>
        <w:left w:val="none" w:sz="0" w:space="0" w:color="auto"/>
        <w:bottom w:val="none" w:sz="0" w:space="0" w:color="auto"/>
        <w:right w:val="none" w:sz="0" w:space="0" w:color="auto"/>
      </w:divBdr>
    </w:div>
    <w:div w:id="397174460">
      <w:bodyDiv w:val="1"/>
      <w:marLeft w:val="0"/>
      <w:marRight w:val="0"/>
      <w:marTop w:val="0"/>
      <w:marBottom w:val="0"/>
      <w:divBdr>
        <w:top w:val="none" w:sz="0" w:space="0" w:color="auto"/>
        <w:left w:val="none" w:sz="0" w:space="0" w:color="auto"/>
        <w:bottom w:val="none" w:sz="0" w:space="0" w:color="auto"/>
        <w:right w:val="none" w:sz="0" w:space="0" w:color="auto"/>
      </w:divBdr>
    </w:div>
    <w:div w:id="407775063">
      <w:bodyDiv w:val="1"/>
      <w:marLeft w:val="0"/>
      <w:marRight w:val="0"/>
      <w:marTop w:val="0"/>
      <w:marBottom w:val="0"/>
      <w:divBdr>
        <w:top w:val="none" w:sz="0" w:space="0" w:color="auto"/>
        <w:left w:val="none" w:sz="0" w:space="0" w:color="auto"/>
        <w:bottom w:val="none" w:sz="0" w:space="0" w:color="auto"/>
        <w:right w:val="none" w:sz="0" w:space="0" w:color="auto"/>
      </w:divBdr>
    </w:div>
    <w:div w:id="410153070">
      <w:bodyDiv w:val="1"/>
      <w:marLeft w:val="0"/>
      <w:marRight w:val="0"/>
      <w:marTop w:val="0"/>
      <w:marBottom w:val="0"/>
      <w:divBdr>
        <w:top w:val="none" w:sz="0" w:space="0" w:color="auto"/>
        <w:left w:val="none" w:sz="0" w:space="0" w:color="auto"/>
        <w:bottom w:val="none" w:sz="0" w:space="0" w:color="auto"/>
        <w:right w:val="none" w:sz="0" w:space="0" w:color="auto"/>
      </w:divBdr>
    </w:div>
    <w:div w:id="459493737">
      <w:bodyDiv w:val="1"/>
      <w:marLeft w:val="0"/>
      <w:marRight w:val="0"/>
      <w:marTop w:val="0"/>
      <w:marBottom w:val="0"/>
      <w:divBdr>
        <w:top w:val="none" w:sz="0" w:space="0" w:color="auto"/>
        <w:left w:val="none" w:sz="0" w:space="0" w:color="auto"/>
        <w:bottom w:val="none" w:sz="0" w:space="0" w:color="auto"/>
        <w:right w:val="none" w:sz="0" w:space="0" w:color="auto"/>
      </w:divBdr>
    </w:div>
    <w:div w:id="511839885">
      <w:bodyDiv w:val="1"/>
      <w:marLeft w:val="0"/>
      <w:marRight w:val="0"/>
      <w:marTop w:val="0"/>
      <w:marBottom w:val="0"/>
      <w:divBdr>
        <w:top w:val="none" w:sz="0" w:space="0" w:color="auto"/>
        <w:left w:val="none" w:sz="0" w:space="0" w:color="auto"/>
        <w:bottom w:val="none" w:sz="0" w:space="0" w:color="auto"/>
        <w:right w:val="none" w:sz="0" w:space="0" w:color="auto"/>
      </w:divBdr>
    </w:div>
    <w:div w:id="549920674">
      <w:bodyDiv w:val="1"/>
      <w:marLeft w:val="0"/>
      <w:marRight w:val="0"/>
      <w:marTop w:val="0"/>
      <w:marBottom w:val="0"/>
      <w:divBdr>
        <w:top w:val="none" w:sz="0" w:space="0" w:color="auto"/>
        <w:left w:val="none" w:sz="0" w:space="0" w:color="auto"/>
        <w:bottom w:val="none" w:sz="0" w:space="0" w:color="auto"/>
        <w:right w:val="none" w:sz="0" w:space="0" w:color="auto"/>
      </w:divBdr>
    </w:div>
    <w:div w:id="571627120">
      <w:bodyDiv w:val="1"/>
      <w:marLeft w:val="0"/>
      <w:marRight w:val="0"/>
      <w:marTop w:val="0"/>
      <w:marBottom w:val="0"/>
      <w:divBdr>
        <w:top w:val="none" w:sz="0" w:space="0" w:color="auto"/>
        <w:left w:val="none" w:sz="0" w:space="0" w:color="auto"/>
        <w:bottom w:val="none" w:sz="0" w:space="0" w:color="auto"/>
        <w:right w:val="none" w:sz="0" w:space="0" w:color="auto"/>
      </w:divBdr>
    </w:div>
    <w:div w:id="585459575">
      <w:bodyDiv w:val="1"/>
      <w:marLeft w:val="0"/>
      <w:marRight w:val="0"/>
      <w:marTop w:val="0"/>
      <w:marBottom w:val="0"/>
      <w:divBdr>
        <w:top w:val="none" w:sz="0" w:space="0" w:color="auto"/>
        <w:left w:val="none" w:sz="0" w:space="0" w:color="auto"/>
        <w:bottom w:val="none" w:sz="0" w:space="0" w:color="auto"/>
        <w:right w:val="none" w:sz="0" w:space="0" w:color="auto"/>
      </w:divBdr>
    </w:div>
    <w:div w:id="628822512">
      <w:bodyDiv w:val="1"/>
      <w:marLeft w:val="0"/>
      <w:marRight w:val="0"/>
      <w:marTop w:val="0"/>
      <w:marBottom w:val="0"/>
      <w:divBdr>
        <w:top w:val="none" w:sz="0" w:space="0" w:color="auto"/>
        <w:left w:val="none" w:sz="0" w:space="0" w:color="auto"/>
        <w:bottom w:val="none" w:sz="0" w:space="0" w:color="auto"/>
        <w:right w:val="none" w:sz="0" w:space="0" w:color="auto"/>
      </w:divBdr>
    </w:div>
    <w:div w:id="690451574">
      <w:bodyDiv w:val="1"/>
      <w:marLeft w:val="0"/>
      <w:marRight w:val="0"/>
      <w:marTop w:val="0"/>
      <w:marBottom w:val="0"/>
      <w:divBdr>
        <w:top w:val="none" w:sz="0" w:space="0" w:color="auto"/>
        <w:left w:val="none" w:sz="0" w:space="0" w:color="auto"/>
        <w:bottom w:val="none" w:sz="0" w:space="0" w:color="auto"/>
        <w:right w:val="none" w:sz="0" w:space="0" w:color="auto"/>
      </w:divBdr>
    </w:div>
    <w:div w:id="700086420">
      <w:bodyDiv w:val="1"/>
      <w:marLeft w:val="0"/>
      <w:marRight w:val="0"/>
      <w:marTop w:val="0"/>
      <w:marBottom w:val="0"/>
      <w:divBdr>
        <w:top w:val="none" w:sz="0" w:space="0" w:color="auto"/>
        <w:left w:val="none" w:sz="0" w:space="0" w:color="auto"/>
        <w:bottom w:val="none" w:sz="0" w:space="0" w:color="auto"/>
        <w:right w:val="none" w:sz="0" w:space="0" w:color="auto"/>
      </w:divBdr>
    </w:div>
    <w:div w:id="741370178">
      <w:bodyDiv w:val="1"/>
      <w:marLeft w:val="0"/>
      <w:marRight w:val="0"/>
      <w:marTop w:val="0"/>
      <w:marBottom w:val="0"/>
      <w:divBdr>
        <w:top w:val="none" w:sz="0" w:space="0" w:color="auto"/>
        <w:left w:val="none" w:sz="0" w:space="0" w:color="auto"/>
        <w:bottom w:val="none" w:sz="0" w:space="0" w:color="auto"/>
        <w:right w:val="none" w:sz="0" w:space="0" w:color="auto"/>
      </w:divBdr>
    </w:div>
    <w:div w:id="756442889">
      <w:bodyDiv w:val="1"/>
      <w:marLeft w:val="0"/>
      <w:marRight w:val="0"/>
      <w:marTop w:val="0"/>
      <w:marBottom w:val="0"/>
      <w:divBdr>
        <w:top w:val="none" w:sz="0" w:space="0" w:color="auto"/>
        <w:left w:val="none" w:sz="0" w:space="0" w:color="auto"/>
        <w:bottom w:val="none" w:sz="0" w:space="0" w:color="auto"/>
        <w:right w:val="none" w:sz="0" w:space="0" w:color="auto"/>
      </w:divBdr>
    </w:div>
    <w:div w:id="866916450">
      <w:bodyDiv w:val="1"/>
      <w:marLeft w:val="0"/>
      <w:marRight w:val="0"/>
      <w:marTop w:val="0"/>
      <w:marBottom w:val="0"/>
      <w:divBdr>
        <w:top w:val="none" w:sz="0" w:space="0" w:color="auto"/>
        <w:left w:val="none" w:sz="0" w:space="0" w:color="auto"/>
        <w:bottom w:val="none" w:sz="0" w:space="0" w:color="auto"/>
        <w:right w:val="none" w:sz="0" w:space="0" w:color="auto"/>
      </w:divBdr>
    </w:div>
    <w:div w:id="892734606">
      <w:bodyDiv w:val="1"/>
      <w:marLeft w:val="0"/>
      <w:marRight w:val="0"/>
      <w:marTop w:val="0"/>
      <w:marBottom w:val="0"/>
      <w:divBdr>
        <w:top w:val="none" w:sz="0" w:space="0" w:color="auto"/>
        <w:left w:val="none" w:sz="0" w:space="0" w:color="auto"/>
        <w:bottom w:val="none" w:sz="0" w:space="0" w:color="auto"/>
        <w:right w:val="none" w:sz="0" w:space="0" w:color="auto"/>
      </w:divBdr>
    </w:div>
    <w:div w:id="909729895">
      <w:bodyDiv w:val="1"/>
      <w:marLeft w:val="0"/>
      <w:marRight w:val="0"/>
      <w:marTop w:val="0"/>
      <w:marBottom w:val="0"/>
      <w:divBdr>
        <w:top w:val="none" w:sz="0" w:space="0" w:color="auto"/>
        <w:left w:val="none" w:sz="0" w:space="0" w:color="auto"/>
        <w:bottom w:val="none" w:sz="0" w:space="0" w:color="auto"/>
        <w:right w:val="none" w:sz="0" w:space="0" w:color="auto"/>
      </w:divBdr>
    </w:div>
    <w:div w:id="1015569574">
      <w:bodyDiv w:val="1"/>
      <w:marLeft w:val="0"/>
      <w:marRight w:val="0"/>
      <w:marTop w:val="0"/>
      <w:marBottom w:val="0"/>
      <w:divBdr>
        <w:top w:val="none" w:sz="0" w:space="0" w:color="auto"/>
        <w:left w:val="none" w:sz="0" w:space="0" w:color="auto"/>
        <w:bottom w:val="none" w:sz="0" w:space="0" w:color="auto"/>
        <w:right w:val="none" w:sz="0" w:space="0" w:color="auto"/>
      </w:divBdr>
    </w:div>
    <w:div w:id="1029649353">
      <w:bodyDiv w:val="1"/>
      <w:marLeft w:val="0"/>
      <w:marRight w:val="0"/>
      <w:marTop w:val="0"/>
      <w:marBottom w:val="0"/>
      <w:divBdr>
        <w:top w:val="none" w:sz="0" w:space="0" w:color="auto"/>
        <w:left w:val="none" w:sz="0" w:space="0" w:color="auto"/>
        <w:bottom w:val="none" w:sz="0" w:space="0" w:color="auto"/>
        <w:right w:val="none" w:sz="0" w:space="0" w:color="auto"/>
      </w:divBdr>
    </w:div>
    <w:div w:id="1059328293">
      <w:bodyDiv w:val="1"/>
      <w:marLeft w:val="0"/>
      <w:marRight w:val="0"/>
      <w:marTop w:val="0"/>
      <w:marBottom w:val="0"/>
      <w:divBdr>
        <w:top w:val="none" w:sz="0" w:space="0" w:color="auto"/>
        <w:left w:val="none" w:sz="0" w:space="0" w:color="auto"/>
        <w:bottom w:val="none" w:sz="0" w:space="0" w:color="auto"/>
        <w:right w:val="none" w:sz="0" w:space="0" w:color="auto"/>
      </w:divBdr>
    </w:div>
    <w:div w:id="1074471974">
      <w:bodyDiv w:val="1"/>
      <w:marLeft w:val="0"/>
      <w:marRight w:val="0"/>
      <w:marTop w:val="0"/>
      <w:marBottom w:val="0"/>
      <w:divBdr>
        <w:top w:val="none" w:sz="0" w:space="0" w:color="auto"/>
        <w:left w:val="none" w:sz="0" w:space="0" w:color="auto"/>
        <w:bottom w:val="none" w:sz="0" w:space="0" w:color="auto"/>
        <w:right w:val="none" w:sz="0" w:space="0" w:color="auto"/>
      </w:divBdr>
    </w:div>
    <w:div w:id="1078403544">
      <w:bodyDiv w:val="1"/>
      <w:marLeft w:val="0"/>
      <w:marRight w:val="0"/>
      <w:marTop w:val="0"/>
      <w:marBottom w:val="0"/>
      <w:divBdr>
        <w:top w:val="none" w:sz="0" w:space="0" w:color="auto"/>
        <w:left w:val="none" w:sz="0" w:space="0" w:color="auto"/>
        <w:bottom w:val="none" w:sz="0" w:space="0" w:color="auto"/>
        <w:right w:val="none" w:sz="0" w:space="0" w:color="auto"/>
      </w:divBdr>
    </w:div>
    <w:div w:id="1093742963">
      <w:bodyDiv w:val="1"/>
      <w:marLeft w:val="0"/>
      <w:marRight w:val="0"/>
      <w:marTop w:val="0"/>
      <w:marBottom w:val="0"/>
      <w:divBdr>
        <w:top w:val="none" w:sz="0" w:space="0" w:color="auto"/>
        <w:left w:val="none" w:sz="0" w:space="0" w:color="auto"/>
        <w:bottom w:val="none" w:sz="0" w:space="0" w:color="auto"/>
        <w:right w:val="none" w:sz="0" w:space="0" w:color="auto"/>
      </w:divBdr>
    </w:div>
    <w:div w:id="1097140889">
      <w:bodyDiv w:val="1"/>
      <w:marLeft w:val="0"/>
      <w:marRight w:val="0"/>
      <w:marTop w:val="0"/>
      <w:marBottom w:val="0"/>
      <w:divBdr>
        <w:top w:val="none" w:sz="0" w:space="0" w:color="auto"/>
        <w:left w:val="none" w:sz="0" w:space="0" w:color="auto"/>
        <w:bottom w:val="none" w:sz="0" w:space="0" w:color="auto"/>
        <w:right w:val="none" w:sz="0" w:space="0" w:color="auto"/>
      </w:divBdr>
    </w:div>
    <w:div w:id="1100295728">
      <w:bodyDiv w:val="1"/>
      <w:marLeft w:val="0"/>
      <w:marRight w:val="0"/>
      <w:marTop w:val="0"/>
      <w:marBottom w:val="0"/>
      <w:divBdr>
        <w:top w:val="none" w:sz="0" w:space="0" w:color="auto"/>
        <w:left w:val="none" w:sz="0" w:space="0" w:color="auto"/>
        <w:bottom w:val="none" w:sz="0" w:space="0" w:color="auto"/>
        <w:right w:val="none" w:sz="0" w:space="0" w:color="auto"/>
      </w:divBdr>
    </w:div>
    <w:div w:id="1136802824">
      <w:bodyDiv w:val="1"/>
      <w:marLeft w:val="0"/>
      <w:marRight w:val="0"/>
      <w:marTop w:val="0"/>
      <w:marBottom w:val="0"/>
      <w:divBdr>
        <w:top w:val="none" w:sz="0" w:space="0" w:color="auto"/>
        <w:left w:val="none" w:sz="0" w:space="0" w:color="auto"/>
        <w:bottom w:val="none" w:sz="0" w:space="0" w:color="auto"/>
        <w:right w:val="none" w:sz="0" w:space="0" w:color="auto"/>
      </w:divBdr>
    </w:div>
    <w:div w:id="1208643025">
      <w:bodyDiv w:val="1"/>
      <w:marLeft w:val="0"/>
      <w:marRight w:val="0"/>
      <w:marTop w:val="0"/>
      <w:marBottom w:val="0"/>
      <w:divBdr>
        <w:top w:val="none" w:sz="0" w:space="0" w:color="auto"/>
        <w:left w:val="none" w:sz="0" w:space="0" w:color="auto"/>
        <w:bottom w:val="none" w:sz="0" w:space="0" w:color="auto"/>
        <w:right w:val="none" w:sz="0" w:space="0" w:color="auto"/>
      </w:divBdr>
    </w:div>
    <w:div w:id="1211039828">
      <w:bodyDiv w:val="1"/>
      <w:marLeft w:val="0"/>
      <w:marRight w:val="0"/>
      <w:marTop w:val="0"/>
      <w:marBottom w:val="0"/>
      <w:divBdr>
        <w:top w:val="none" w:sz="0" w:space="0" w:color="auto"/>
        <w:left w:val="none" w:sz="0" w:space="0" w:color="auto"/>
        <w:bottom w:val="none" w:sz="0" w:space="0" w:color="auto"/>
        <w:right w:val="none" w:sz="0" w:space="0" w:color="auto"/>
      </w:divBdr>
    </w:div>
    <w:div w:id="1213342522">
      <w:bodyDiv w:val="1"/>
      <w:marLeft w:val="0"/>
      <w:marRight w:val="0"/>
      <w:marTop w:val="0"/>
      <w:marBottom w:val="0"/>
      <w:divBdr>
        <w:top w:val="none" w:sz="0" w:space="0" w:color="auto"/>
        <w:left w:val="none" w:sz="0" w:space="0" w:color="auto"/>
        <w:bottom w:val="none" w:sz="0" w:space="0" w:color="auto"/>
        <w:right w:val="none" w:sz="0" w:space="0" w:color="auto"/>
      </w:divBdr>
    </w:div>
    <w:div w:id="1256550130">
      <w:bodyDiv w:val="1"/>
      <w:marLeft w:val="0"/>
      <w:marRight w:val="0"/>
      <w:marTop w:val="0"/>
      <w:marBottom w:val="0"/>
      <w:divBdr>
        <w:top w:val="none" w:sz="0" w:space="0" w:color="auto"/>
        <w:left w:val="none" w:sz="0" w:space="0" w:color="auto"/>
        <w:bottom w:val="none" w:sz="0" w:space="0" w:color="auto"/>
        <w:right w:val="none" w:sz="0" w:space="0" w:color="auto"/>
      </w:divBdr>
    </w:div>
    <w:div w:id="1303392274">
      <w:bodyDiv w:val="1"/>
      <w:marLeft w:val="0"/>
      <w:marRight w:val="0"/>
      <w:marTop w:val="0"/>
      <w:marBottom w:val="0"/>
      <w:divBdr>
        <w:top w:val="none" w:sz="0" w:space="0" w:color="auto"/>
        <w:left w:val="none" w:sz="0" w:space="0" w:color="auto"/>
        <w:bottom w:val="none" w:sz="0" w:space="0" w:color="auto"/>
        <w:right w:val="none" w:sz="0" w:space="0" w:color="auto"/>
      </w:divBdr>
    </w:div>
    <w:div w:id="1321815289">
      <w:bodyDiv w:val="1"/>
      <w:marLeft w:val="0"/>
      <w:marRight w:val="0"/>
      <w:marTop w:val="0"/>
      <w:marBottom w:val="0"/>
      <w:divBdr>
        <w:top w:val="none" w:sz="0" w:space="0" w:color="auto"/>
        <w:left w:val="none" w:sz="0" w:space="0" w:color="auto"/>
        <w:bottom w:val="none" w:sz="0" w:space="0" w:color="auto"/>
        <w:right w:val="none" w:sz="0" w:space="0" w:color="auto"/>
      </w:divBdr>
    </w:div>
    <w:div w:id="1332873319">
      <w:bodyDiv w:val="1"/>
      <w:marLeft w:val="0"/>
      <w:marRight w:val="0"/>
      <w:marTop w:val="0"/>
      <w:marBottom w:val="0"/>
      <w:divBdr>
        <w:top w:val="none" w:sz="0" w:space="0" w:color="auto"/>
        <w:left w:val="none" w:sz="0" w:space="0" w:color="auto"/>
        <w:bottom w:val="none" w:sz="0" w:space="0" w:color="auto"/>
        <w:right w:val="none" w:sz="0" w:space="0" w:color="auto"/>
      </w:divBdr>
    </w:div>
    <w:div w:id="1340279766">
      <w:bodyDiv w:val="1"/>
      <w:marLeft w:val="0"/>
      <w:marRight w:val="0"/>
      <w:marTop w:val="0"/>
      <w:marBottom w:val="0"/>
      <w:divBdr>
        <w:top w:val="none" w:sz="0" w:space="0" w:color="auto"/>
        <w:left w:val="none" w:sz="0" w:space="0" w:color="auto"/>
        <w:bottom w:val="none" w:sz="0" w:space="0" w:color="auto"/>
        <w:right w:val="none" w:sz="0" w:space="0" w:color="auto"/>
      </w:divBdr>
    </w:div>
    <w:div w:id="1341851173">
      <w:bodyDiv w:val="1"/>
      <w:marLeft w:val="0"/>
      <w:marRight w:val="0"/>
      <w:marTop w:val="0"/>
      <w:marBottom w:val="0"/>
      <w:divBdr>
        <w:top w:val="none" w:sz="0" w:space="0" w:color="auto"/>
        <w:left w:val="none" w:sz="0" w:space="0" w:color="auto"/>
        <w:bottom w:val="none" w:sz="0" w:space="0" w:color="auto"/>
        <w:right w:val="none" w:sz="0" w:space="0" w:color="auto"/>
      </w:divBdr>
    </w:div>
    <w:div w:id="1353072758">
      <w:bodyDiv w:val="1"/>
      <w:marLeft w:val="0"/>
      <w:marRight w:val="0"/>
      <w:marTop w:val="0"/>
      <w:marBottom w:val="0"/>
      <w:divBdr>
        <w:top w:val="none" w:sz="0" w:space="0" w:color="auto"/>
        <w:left w:val="none" w:sz="0" w:space="0" w:color="auto"/>
        <w:bottom w:val="none" w:sz="0" w:space="0" w:color="auto"/>
        <w:right w:val="none" w:sz="0" w:space="0" w:color="auto"/>
      </w:divBdr>
    </w:div>
    <w:div w:id="1453592399">
      <w:bodyDiv w:val="1"/>
      <w:marLeft w:val="0"/>
      <w:marRight w:val="0"/>
      <w:marTop w:val="0"/>
      <w:marBottom w:val="0"/>
      <w:divBdr>
        <w:top w:val="none" w:sz="0" w:space="0" w:color="auto"/>
        <w:left w:val="none" w:sz="0" w:space="0" w:color="auto"/>
        <w:bottom w:val="none" w:sz="0" w:space="0" w:color="auto"/>
        <w:right w:val="none" w:sz="0" w:space="0" w:color="auto"/>
      </w:divBdr>
    </w:div>
    <w:div w:id="1494953306">
      <w:bodyDiv w:val="1"/>
      <w:marLeft w:val="0"/>
      <w:marRight w:val="0"/>
      <w:marTop w:val="0"/>
      <w:marBottom w:val="0"/>
      <w:divBdr>
        <w:top w:val="none" w:sz="0" w:space="0" w:color="auto"/>
        <w:left w:val="none" w:sz="0" w:space="0" w:color="auto"/>
        <w:bottom w:val="none" w:sz="0" w:space="0" w:color="auto"/>
        <w:right w:val="none" w:sz="0" w:space="0" w:color="auto"/>
      </w:divBdr>
    </w:div>
    <w:div w:id="1508472494">
      <w:bodyDiv w:val="1"/>
      <w:marLeft w:val="0"/>
      <w:marRight w:val="0"/>
      <w:marTop w:val="0"/>
      <w:marBottom w:val="0"/>
      <w:divBdr>
        <w:top w:val="none" w:sz="0" w:space="0" w:color="auto"/>
        <w:left w:val="none" w:sz="0" w:space="0" w:color="auto"/>
        <w:bottom w:val="none" w:sz="0" w:space="0" w:color="auto"/>
        <w:right w:val="none" w:sz="0" w:space="0" w:color="auto"/>
      </w:divBdr>
    </w:div>
    <w:div w:id="1522475479">
      <w:bodyDiv w:val="1"/>
      <w:marLeft w:val="0"/>
      <w:marRight w:val="0"/>
      <w:marTop w:val="0"/>
      <w:marBottom w:val="0"/>
      <w:divBdr>
        <w:top w:val="none" w:sz="0" w:space="0" w:color="auto"/>
        <w:left w:val="none" w:sz="0" w:space="0" w:color="auto"/>
        <w:bottom w:val="none" w:sz="0" w:space="0" w:color="auto"/>
        <w:right w:val="none" w:sz="0" w:space="0" w:color="auto"/>
      </w:divBdr>
    </w:div>
    <w:div w:id="1524394710">
      <w:bodyDiv w:val="1"/>
      <w:marLeft w:val="0"/>
      <w:marRight w:val="0"/>
      <w:marTop w:val="0"/>
      <w:marBottom w:val="0"/>
      <w:divBdr>
        <w:top w:val="none" w:sz="0" w:space="0" w:color="auto"/>
        <w:left w:val="none" w:sz="0" w:space="0" w:color="auto"/>
        <w:bottom w:val="none" w:sz="0" w:space="0" w:color="auto"/>
        <w:right w:val="none" w:sz="0" w:space="0" w:color="auto"/>
      </w:divBdr>
    </w:div>
    <w:div w:id="1574512368">
      <w:bodyDiv w:val="1"/>
      <w:marLeft w:val="0"/>
      <w:marRight w:val="0"/>
      <w:marTop w:val="0"/>
      <w:marBottom w:val="0"/>
      <w:divBdr>
        <w:top w:val="none" w:sz="0" w:space="0" w:color="auto"/>
        <w:left w:val="none" w:sz="0" w:space="0" w:color="auto"/>
        <w:bottom w:val="none" w:sz="0" w:space="0" w:color="auto"/>
        <w:right w:val="none" w:sz="0" w:space="0" w:color="auto"/>
      </w:divBdr>
    </w:div>
    <w:div w:id="1612739164">
      <w:bodyDiv w:val="1"/>
      <w:marLeft w:val="0"/>
      <w:marRight w:val="0"/>
      <w:marTop w:val="0"/>
      <w:marBottom w:val="0"/>
      <w:divBdr>
        <w:top w:val="none" w:sz="0" w:space="0" w:color="auto"/>
        <w:left w:val="none" w:sz="0" w:space="0" w:color="auto"/>
        <w:bottom w:val="none" w:sz="0" w:space="0" w:color="auto"/>
        <w:right w:val="none" w:sz="0" w:space="0" w:color="auto"/>
      </w:divBdr>
    </w:div>
    <w:div w:id="1619020827">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54212129">
      <w:bodyDiv w:val="1"/>
      <w:marLeft w:val="0"/>
      <w:marRight w:val="0"/>
      <w:marTop w:val="0"/>
      <w:marBottom w:val="0"/>
      <w:divBdr>
        <w:top w:val="none" w:sz="0" w:space="0" w:color="auto"/>
        <w:left w:val="none" w:sz="0" w:space="0" w:color="auto"/>
        <w:bottom w:val="none" w:sz="0" w:space="0" w:color="auto"/>
        <w:right w:val="none" w:sz="0" w:space="0" w:color="auto"/>
      </w:divBdr>
    </w:div>
    <w:div w:id="1657102011">
      <w:bodyDiv w:val="1"/>
      <w:marLeft w:val="0"/>
      <w:marRight w:val="0"/>
      <w:marTop w:val="0"/>
      <w:marBottom w:val="0"/>
      <w:divBdr>
        <w:top w:val="none" w:sz="0" w:space="0" w:color="auto"/>
        <w:left w:val="none" w:sz="0" w:space="0" w:color="auto"/>
        <w:bottom w:val="none" w:sz="0" w:space="0" w:color="auto"/>
        <w:right w:val="none" w:sz="0" w:space="0" w:color="auto"/>
      </w:divBdr>
    </w:div>
    <w:div w:id="1657757459">
      <w:bodyDiv w:val="1"/>
      <w:marLeft w:val="0"/>
      <w:marRight w:val="0"/>
      <w:marTop w:val="0"/>
      <w:marBottom w:val="0"/>
      <w:divBdr>
        <w:top w:val="none" w:sz="0" w:space="0" w:color="auto"/>
        <w:left w:val="none" w:sz="0" w:space="0" w:color="auto"/>
        <w:bottom w:val="none" w:sz="0" w:space="0" w:color="auto"/>
        <w:right w:val="none" w:sz="0" w:space="0" w:color="auto"/>
      </w:divBdr>
    </w:div>
    <w:div w:id="1710569925">
      <w:bodyDiv w:val="1"/>
      <w:marLeft w:val="0"/>
      <w:marRight w:val="0"/>
      <w:marTop w:val="0"/>
      <w:marBottom w:val="0"/>
      <w:divBdr>
        <w:top w:val="none" w:sz="0" w:space="0" w:color="auto"/>
        <w:left w:val="none" w:sz="0" w:space="0" w:color="auto"/>
        <w:bottom w:val="none" w:sz="0" w:space="0" w:color="auto"/>
        <w:right w:val="none" w:sz="0" w:space="0" w:color="auto"/>
      </w:divBdr>
    </w:div>
    <w:div w:id="1753891257">
      <w:bodyDiv w:val="1"/>
      <w:marLeft w:val="0"/>
      <w:marRight w:val="0"/>
      <w:marTop w:val="0"/>
      <w:marBottom w:val="0"/>
      <w:divBdr>
        <w:top w:val="none" w:sz="0" w:space="0" w:color="auto"/>
        <w:left w:val="none" w:sz="0" w:space="0" w:color="auto"/>
        <w:bottom w:val="none" w:sz="0" w:space="0" w:color="auto"/>
        <w:right w:val="none" w:sz="0" w:space="0" w:color="auto"/>
      </w:divBdr>
    </w:div>
    <w:div w:id="1755858425">
      <w:bodyDiv w:val="1"/>
      <w:marLeft w:val="0"/>
      <w:marRight w:val="0"/>
      <w:marTop w:val="0"/>
      <w:marBottom w:val="0"/>
      <w:divBdr>
        <w:top w:val="none" w:sz="0" w:space="0" w:color="auto"/>
        <w:left w:val="none" w:sz="0" w:space="0" w:color="auto"/>
        <w:bottom w:val="none" w:sz="0" w:space="0" w:color="auto"/>
        <w:right w:val="none" w:sz="0" w:space="0" w:color="auto"/>
      </w:divBdr>
    </w:div>
    <w:div w:id="1795246165">
      <w:bodyDiv w:val="1"/>
      <w:marLeft w:val="0"/>
      <w:marRight w:val="0"/>
      <w:marTop w:val="0"/>
      <w:marBottom w:val="0"/>
      <w:divBdr>
        <w:top w:val="none" w:sz="0" w:space="0" w:color="auto"/>
        <w:left w:val="none" w:sz="0" w:space="0" w:color="auto"/>
        <w:bottom w:val="none" w:sz="0" w:space="0" w:color="auto"/>
        <w:right w:val="none" w:sz="0" w:space="0" w:color="auto"/>
      </w:divBdr>
    </w:div>
    <w:div w:id="1795515589">
      <w:bodyDiv w:val="1"/>
      <w:marLeft w:val="0"/>
      <w:marRight w:val="0"/>
      <w:marTop w:val="0"/>
      <w:marBottom w:val="0"/>
      <w:divBdr>
        <w:top w:val="none" w:sz="0" w:space="0" w:color="auto"/>
        <w:left w:val="none" w:sz="0" w:space="0" w:color="auto"/>
        <w:bottom w:val="none" w:sz="0" w:space="0" w:color="auto"/>
        <w:right w:val="none" w:sz="0" w:space="0" w:color="auto"/>
      </w:divBdr>
    </w:div>
    <w:div w:id="1804274382">
      <w:bodyDiv w:val="1"/>
      <w:marLeft w:val="0"/>
      <w:marRight w:val="0"/>
      <w:marTop w:val="0"/>
      <w:marBottom w:val="0"/>
      <w:divBdr>
        <w:top w:val="none" w:sz="0" w:space="0" w:color="auto"/>
        <w:left w:val="none" w:sz="0" w:space="0" w:color="auto"/>
        <w:bottom w:val="none" w:sz="0" w:space="0" w:color="auto"/>
        <w:right w:val="none" w:sz="0" w:space="0" w:color="auto"/>
      </w:divBdr>
    </w:div>
    <w:div w:id="1816139855">
      <w:bodyDiv w:val="1"/>
      <w:marLeft w:val="0"/>
      <w:marRight w:val="0"/>
      <w:marTop w:val="0"/>
      <w:marBottom w:val="0"/>
      <w:divBdr>
        <w:top w:val="none" w:sz="0" w:space="0" w:color="auto"/>
        <w:left w:val="none" w:sz="0" w:space="0" w:color="auto"/>
        <w:bottom w:val="none" w:sz="0" w:space="0" w:color="auto"/>
        <w:right w:val="none" w:sz="0" w:space="0" w:color="auto"/>
      </w:divBdr>
    </w:div>
    <w:div w:id="1826168407">
      <w:bodyDiv w:val="1"/>
      <w:marLeft w:val="0"/>
      <w:marRight w:val="0"/>
      <w:marTop w:val="0"/>
      <w:marBottom w:val="0"/>
      <w:divBdr>
        <w:top w:val="none" w:sz="0" w:space="0" w:color="auto"/>
        <w:left w:val="none" w:sz="0" w:space="0" w:color="auto"/>
        <w:bottom w:val="none" w:sz="0" w:space="0" w:color="auto"/>
        <w:right w:val="none" w:sz="0" w:space="0" w:color="auto"/>
      </w:divBdr>
    </w:div>
    <w:div w:id="1875070476">
      <w:bodyDiv w:val="1"/>
      <w:marLeft w:val="0"/>
      <w:marRight w:val="0"/>
      <w:marTop w:val="0"/>
      <w:marBottom w:val="0"/>
      <w:divBdr>
        <w:top w:val="none" w:sz="0" w:space="0" w:color="auto"/>
        <w:left w:val="none" w:sz="0" w:space="0" w:color="auto"/>
        <w:bottom w:val="none" w:sz="0" w:space="0" w:color="auto"/>
        <w:right w:val="none" w:sz="0" w:space="0" w:color="auto"/>
      </w:divBdr>
    </w:div>
    <w:div w:id="1894268442">
      <w:bodyDiv w:val="1"/>
      <w:marLeft w:val="0"/>
      <w:marRight w:val="0"/>
      <w:marTop w:val="0"/>
      <w:marBottom w:val="0"/>
      <w:divBdr>
        <w:top w:val="none" w:sz="0" w:space="0" w:color="auto"/>
        <w:left w:val="none" w:sz="0" w:space="0" w:color="auto"/>
        <w:bottom w:val="none" w:sz="0" w:space="0" w:color="auto"/>
        <w:right w:val="none" w:sz="0" w:space="0" w:color="auto"/>
      </w:divBdr>
    </w:div>
    <w:div w:id="1939679360">
      <w:bodyDiv w:val="1"/>
      <w:marLeft w:val="0"/>
      <w:marRight w:val="0"/>
      <w:marTop w:val="0"/>
      <w:marBottom w:val="0"/>
      <w:divBdr>
        <w:top w:val="none" w:sz="0" w:space="0" w:color="auto"/>
        <w:left w:val="none" w:sz="0" w:space="0" w:color="auto"/>
        <w:bottom w:val="none" w:sz="0" w:space="0" w:color="auto"/>
        <w:right w:val="none" w:sz="0" w:space="0" w:color="auto"/>
      </w:divBdr>
    </w:div>
    <w:div w:id="1943107376">
      <w:bodyDiv w:val="1"/>
      <w:marLeft w:val="0"/>
      <w:marRight w:val="0"/>
      <w:marTop w:val="0"/>
      <w:marBottom w:val="0"/>
      <w:divBdr>
        <w:top w:val="none" w:sz="0" w:space="0" w:color="auto"/>
        <w:left w:val="none" w:sz="0" w:space="0" w:color="auto"/>
        <w:bottom w:val="none" w:sz="0" w:space="0" w:color="auto"/>
        <w:right w:val="none" w:sz="0" w:space="0" w:color="auto"/>
      </w:divBdr>
    </w:div>
    <w:div w:id="1947738228">
      <w:bodyDiv w:val="1"/>
      <w:marLeft w:val="0"/>
      <w:marRight w:val="0"/>
      <w:marTop w:val="0"/>
      <w:marBottom w:val="0"/>
      <w:divBdr>
        <w:top w:val="none" w:sz="0" w:space="0" w:color="auto"/>
        <w:left w:val="none" w:sz="0" w:space="0" w:color="auto"/>
        <w:bottom w:val="none" w:sz="0" w:space="0" w:color="auto"/>
        <w:right w:val="none" w:sz="0" w:space="0" w:color="auto"/>
      </w:divBdr>
    </w:div>
    <w:div w:id="1952082817">
      <w:bodyDiv w:val="1"/>
      <w:marLeft w:val="0"/>
      <w:marRight w:val="0"/>
      <w:marTop w:val="0"/>
      <w:marBottom w:val="0"/>
      <w:divBdr>
        <w:top w:val="none" w:sz="0" w:space="0" w:color="auto"/>
        <w:left w:val="none" w:sz="0" w:space="0" w:color="auto"/>
        <w:bottom w:val="none" w:sz="0" w:space="0" w:color="auto"/>
        <w:right w:val="none" w:sz="0" w:space="0" w:color="auto"/>
      </w:divBdr>
    </w:div>
    <w:div w:id="1994292755">
      <w:bodyDiv w:val="1"/>
      <w:marLeft w:val="0"/>
      <w:marRight w:val="0"/>
      <w:marTop w:val="0"/>
      <w:marBottom w:val="0"/>
      <w:divBdr>
        <w:top w:val="none" w:sz="0" w:space="0" w:color="auto"/>
        <w:left w:val="none" w:sz="0" w:space="0" w:color="auto"/>
        <w:bottom w:val="none" w:sz="0" w:space="0" w:color="auto"/>
        <w:right w:val="none" w:sz="0" w:space="0" w:color="auto"/>
      </w:divBdr>
    </w:div>
    <w:div w:id="2013408648">
      <w:bodyDiv w:val="1"/>
      <w:marLeft w:val="0"/>
      <w:marRight w:val="0"/>
      <w:marTop w:val="0"/>
      <w:marBottom w:val="0"/>
      <w:divBdr>
        <w:top w:val="none" w:sz="0" w:space="0" w:color="auto"/>
        <w:left w:val="none" w:sz="0" w:space="0" w:color="auto"/>
        <w:bottom w:val="none" w:sz="0" w:space="0" w:color="auto"/>
        <w:right w:val="none" w:sz="0" w:space="0" w:color="auto"/>
      </w:divBdr>
    </w:div>
    <w:div w:id="2018384338">
      <w:bodyDiv w:val="1"/>
      <w:marLeft w:val="0"/>
      <w:marRight w:val="0"/>
      <w:marTop w:val="0"/>
      <w:marBottom w:val="0"/>
      <w:divBdr>
        <w:top w:val="none" w:sz="0" w:space="0" w:color="auto"/>
        <w:left w:val="none" w:sz="0" w:space="0" w:color="auto"/>
        <w:bottom w:val="none" w:sz="0" w:space="0" w:color="auto"/>
        <w:right w:val="none" w:sz="0" w:space="0" w:color="auto"/>
      </w:divBdr>
    </w:div>
    <w:div w:id="2023579623">
      <w:bodyDiv w:val="1"/>
      <w:marLeft w:val="0"/>
      <w:marRight w:val="0"/>
      <w:marTop w:val="0"/>
      <w:marBottom w:val="0"/>
      <w:divBdr>
        <w:top w:val="none" w:sz="0" w:space="0" w:color="auto"/>
        <w:left w:val="none" w:sz="0" w:space="0" w:color="auto"/>
        <w:bottom w:val="none" w:sz="0" w:space="0" w:color="auto"/>
        <w:right w:val="none" w:sz="0" w:space="0" w:color="auto"/>
      </w:divBdr>
    </w:div>
    <w:div w:id="2047488342">
      <w:bodyDiv w:val="1"/>
      <w:marLeft w:val="0"/>
      <w:marRight w:val="0"/>
      <w:marTop w:val="0"/>
      <w:marBottom w:val="0"/>
      <w:divBdr>
        <w:top w:val="none" w:sz="0" w:space="0" w:color="auto"/>
        <w:left w:val="none" w:sz="0" w:space="0" w:color="auto"/>
        <w:bottom w:val="none" w:sz="0" w:space="0" w:color="auto"/>
        <w:right w:val="none" w:sz="0" w:space="0" w:color="auto"/>
      </w:divBdr>
    </w:div>
    <w:div w:id="2049211285">
      <w:bodyDiv w:val="1"/>
      <w:marLeft w:val="0"/>
      <w:marRight w:val="0"/>
      <w:marTop w:val="0"/>
      <w:marBottom w:val="0"/>
      <w:divBdr>
        <w:top w:val="none" w:sz="0" w:space="0" w:color="auto"/>
        <w:left w:val="none" w:sz="0" w:space="0" w:color="auto"/>
        <w:bottom w:val="none" w:sz="0" w:space="0" w:color="auto"/>
        <w:right w:val="none" w:sz="0" w:space="0" w:color="auto"/>
      </w:divBdr>
    </w:div>
    <w:div w:id="2060124447">
      <w:bodyDiv w:val="1"/>
      <w:marLeft w:val="0"/>
      <w:marRight w:val="0"/>
      <w:marTop w:val="0"/>
      <w:marBottom w:val="0"/>
      <w:divBdr>
        <w:top w:val="none" w:sz="0" w:space="0" w:color="auto"/>
        <w:left w:val="none" w:sz="0" w:space="0" w:color="auto"/>
        <w:bottom w:val="none" w:sz="0" w:space="0" w:color="auto"/>
        <w:right w:val="none" w:sz="0" w:space="0" w:color="auto"/>
      </w:divBdr>
    </w:div>
    <w:div w:id="207928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54BBC-859C-4DF8-9973-59B77727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2361</TotalTime>
  <Pages>22</Pages>
  <Words>4348</Words>
  <Characters>24788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Portfolio Budget Statements – Budget 2023–24 – National Health and Medical Research Council</dc:title>
  <dc:subject>About the department</dc:subject>
  <dc:creator>Australian Government Department of Health and Aged Care</dc:creator>
  <cp:keywords>Budget 2023–24</cp:keywords>
  <dc:description/>
  <cp:lastModifiedBy>McCay, Meryl</cp:lastModifiedBy>
  <cp:revision>367</cp:revision>
  <cp:lastPrinted>2023-03-06T01:23:00Z</cp:lastPrinted>
  <dcterms:created xsi:type="dcterms:W3CDTF">2021-02-05T00:44:00Z</dcterms:created>
  <dcterms:modified xsi:type="dcterms:W3CDTF">2023-05-09T02:53:00Z</dcterms:modified>
</cp:coreProperties>
</file>