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2237" w14:textId="41BACCC1" w:rsidR="00717BE7" w:rsidRPr="0057146A" w:rsidRDefault="00717BE7" w:rsidP="00717BE7">
      <w:pPr>
        <w:keepNext/>
        <w:spacing w:before="120" w:after="120"/>
        <w:outlineLvl w:val="2"/>
        <w:rPr>
          <w:rFonts w:ascii="Arial Bold" w:hAnsi="Arial Bold" w:cs="Times New Roman"/>
          <w:b/>
          <w:color w:val="auto"/>
          <w:sz w:val="22"/>
          <w:szCs w:val="20"/>
        </w:rPr>
      </w:pPr>
      <w:bookmarkStart w:id="0" w:name="_Toc444523513"/>
      <w:bookmarkStart w:id="1" w:name="_Toc65243510"/>
      <w:bookmarkStart w:id="2" w:name="_GoBack"/>
      <w:bookmarkEnd w:id="2"/>
      <w:r w:rsidRPr="0057146A">
        <w:rPr>
          <w:rFonts w:ascii="Arial Bold" w:hAnsi="Arial Bold" w:cs="Times New Roman"/>
          <w:b/>
          <w:color w:val="auto"/>
          <w:sz w:val="22"/>
          <w:szCs w:val="20"/>
        </w:rPr>
        <w:t>2.</w:t>
      </w:r>
      <w:r>
        <w:rPr>
          <w:rFonts w:ascii="Arial Bold" w:hAnsi="Arial Bold" w:cs="Times New Roman"/>
          <w:b/>
          <w:color w:val="auto"/>
          <w:sz w:val="22"/>
          <w:szCs w:val="20"/>
        </w:rPr>
        <w:t>2</w:t>
      </w:r>
      <w:r w:rsidRPr="0057146A">
        <w:rPr>
          <w:rFonts w:ascii="Arial Bold" w:hAnsi="Arial Bold" w:cs="Times New Roman"/>
          <w:b/>
          <w:color w:val="auto"/>
          <w:sz w:val="22"/>
          <w:szCs w:val="20"/>
        </w:rPr>
        <w:t xml:space="preserve"> </w:t>
      </w:r>
      <w:r w:rsidRPr="0057146A">
        <w:rPr>
          <w:rFonts w:ascii="Arial Bold" w:hAnsi="Arial Bold" w:cs="Times New Roman"/>
          <w:b/>
          <w:color w:val="auto"/>
          <w:sz w:val="22"/>
          <w:szCs w:val="20"/>
        </w:rPr>
        <w:tab/>
        <w:t xml:space="preserve">Budgeted expenses and performance for Outcome </w:t>
      </w:r>
      <w:bookmarkEnd w:id="0"/>
      <w:bookmarkEnd w:id="1"/>
      <w:r>
        <w:rPr>
          <w:rFonts w:ascii="Arial Bold" w:hAnsi="Arial Bold" w:cs="Times New Roman"/>
          <w:b/>
          <w:color w:val="auto"/>
          <w:sz w:val="22"/>
          <w:szCs w:val="20"/>
        </w:rPr>
        <w:t>2</w:t>
      </w:r>
    </w:p>
    <w:tbl>
      <w:tblPr>
        <w:tblStyle w:val="TableGrid"/>
        <w:tblW w:w="0" w:type="auto"/>
        <w:jc w:val="center"/>
        <w:tblLayout w:type="fixed"/>
        <w:tblLook w:val="04A0" w:firstRow="1" w:lastRow="0" w:firstColumn="1" w:lastColumn="0" w:noHBand="0" w:noVBand="1"/>
      </w:tblPr>
      <w:tblGrid>
        <w:gridCol w:w="7586"/>
      </w:tblGrid>
      <w:tr w:rsidR="00FE6768" w:rsidRPr="00FE6768" w14:paraId="4BD38FCA" w14:textId="77777777" w:rsidTr="006F17D4">
        <w:trPr>
          <w:jc w:val="center"/>
        </w:trPr>
        <w:tc>
          <w:tcPr>
            <w:tcW w:w="7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1E33B" w14:textId="77777777" w:rsidR="006F17D4" w:rsidRPr="00717BE7" w:rsidRDefault="006E230F" w:rsidP="006E230F">
            <w:pPr>
              <w:pStyle w:val="OutcomeStatement"/>
              <w:pBdr>
                <w:top w:val="none" w:sz="0" w:space="0" w:color="auto"/>
                <w:left w:val="none" w:sz="0" w:space="0" w:color="auto"/>
                <w:bottom w:val="none" w:sz="0" w:space="0" w:color="auto"/>
                <w:right w:val="none" w:sz="0" w:space="0" w:color="auto"/>
              </w:pBdr>
              <w:spacing w:before="40" w:after="120"/>
              <w:rPr>
                <w:b/>
                <w:color w:val="auto"/>
                <w:szCs w:val="18"/>
                <w:highlight w:val="yellow"/>
              </w:rPr>
            </w:pPr>
            <w:r w:rsidRPr="00717BE7">
              <w:rPr>
                <w:b/>
                <w:color w:val="auto"/>
                <w:szCs w:val="18"/>
              </w:rPr>
              <w:t>Outcome 2</w:t>
            </w:r>
            <w:r w:rsidR="006F17D4" w:rsidRPr="00717BE7">
              <w:rPr>
                <w:b/>
                <w:color w:val="auto"/>
                <w:szCs w:val="18"/>
              </w:rPr>
              <w:t xml:space="preserve">: </w:t>
            </w:r>
            <w:r w:rsidRPr="00717BE7">
              <w:rPr>
                <w:b/>
                <w:color w:val="auto"/>
                <w:szCs w:val="18"/>
              </w:rPr>
              <w:t>Individual Health Benefits</w:t>
            </w:r>
          </w:p>
          <w:p w14:paraId="780751A1" w14:textId="33602A1A" w:rsidR="000D1E25" w:rsidRPr="00096399" w:rsidRDefault="006E230F" w:rsidP="001F0346">
            <w:pPr>
              <w:pStyle w:val="OutcomeStatement"/>
              <w:pBdr>
                <w:top w:val="none" w:sz="0" w:space="0" w:color="auto"/>
                <w:left w:val="none" w:sz="0" w:space="0" w:color="auto"/>
                <w:bottom w:val="none" w:sz="0" w:space="0" w:color="auto"/>
                <w:right w:val="none" w:sz="0" w:space="0" w:color="auto"/>
              </w:pBdr>
              <w:spacing w:before="40" w:after="40"/>
              <w:rPr>
                <w:rFonts w:cs="Arial"/>
                <w:color w:val="auto"/>
                <w:szCs w:val="18"/>
              </w:rPr>
            </w:pPr>
            <w:r w:rsidRPr="00717BE7">
              <w:rPr>
                <w:rFonts w:cs="Arial"/>
                <w:color w:val="auto"/>
                <w:szCs w:val="18"/>
              </w:rPr>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r w:rsidR="00E91645">
              <w:rPr>
                <w:rFonts w:cs="Arial"/>
                <w:color w:val="auto"/>
                <w:szCs w:val="18"/>
              </w:rPr>
              <w:t>.</w:t>
            </w:r>
          </w:p>
        </w:tc>
      </w:tr>
    </w:tbl>
    <w:p w14:paraId="0E400D6E" w14:textId="7BEB61E3" w:rsidR="006F17D4" w:rsidRDefault="006F17D4" w:rsidP="00DE27DD">
      <w:pPr>
        <w:pStyle w:val="Heading4"/>
        <w:rPr>
          <w:color w:val="auto"/>
        </w:rPr>
      </w:pPr>
      <w:r w:rsidRPr="00150C31">
        <w:rPr>
          <w:color w:val="auto"/>
          <w:sz w:val="20"/>
        </w:rPr>
        <w:t>Pr</w:t>
      </w:r>
      <w:r w:rsidR="006E230F" w:rsidRPr="00150C31">
        <w:rPr>
          <w:color w:val="auto"/>
          <w:sz w:val="20"/>
        </w:rPr>
        <w:t>ograms Contributing to Outcome 2</w:t>
      </w:r>
    </w:p>
    <w:p w14:paraId="4BDF887A" w14:textId="3366A09C" w:rsidR="00807A7C" w:rsidRPr="00FE6768" w:rsidRDefault="00807A7C" w:rsidP="00807A7C">
      <w:pPr>
        <w:pStyle w:val="ProgramContributingNames"/>
        <w:rPr>
          <w:color w:val="auto"/>
        </w:rPr>
      </w:pPr>
      <w:r w:rsidRPr="00FE6768">
        <w:rPr>
          <w:color w:val="auto"/>
        </w:rPr>
        <w:t>Program 2.1:</w:t>
      </w:r>
      <w:r w:rsidRPr="00FE6768">
        <w:rPr>
          <w:color w:val="auto"/>
        </w:rPr>
        <w:tab/>
        <w:t>Medical Benefits</w:t>
      </w:r>
    </w:p>
    <w:p w14:paraId="598394F3" w14:textId="6CD31095" w:rsidR="00807A7C" w:rsidRPr="00FE6768" w:rsidRDefault="00807A7C" w:rsidP="00807A7C">
      <w:pPr>
        <w:pStyle w:val="ProgramContributingNames"/>
        <w:rPr>
          <w:color w:val="auto"/>
        </w:rPr>
      </w:pPr>
      <w:r w:rsidRPr="00FE6768">
        <w:rPr>
          <w:color w:val="auto"/>
        </w:rPr>
        <w:t>Program 2.2:</w:t>
      </w:r>
      <w:r w:rsidRPr="00FE6768">
        <w:rPr>
          <w:color w:val="auto"/>
        </w:rPr>
        <w:tab/>
        <w:t>Hearing Services</w:t>
      </w:r>
    </w:p>
    <w:p w14:paraId="27F605F2" w14:textId="728CA239" w:rsidR="00807A7C" w:rsidRPr="00FE6768" w:rsidRDefault="00807A7C" w:rsidP="00807A7C">
      <w:pPr>
        <w:pStyle w:val="ProgramContributingNames"/>
        <w:rPr>
          <w:color w:val="auto"/>
        </w:rPr>
      </w:pPr>
      <w:r w:rsidRPr="00FE6768">
        <w:rPr>
          <w:color w:val="auto"/>
        </w:rPr>
        <w:t>Program 2.3:</w:t>
      </w:r>
      <w:r w:rsidRPr="00FE6768">
        <w:rPr>
          <w:color w:val="auto"/>
        </w:rPr>
        <w:tab/>
        <w:t>Pharmaceutical Benefits</w:t>
      </w:r>
    </w:p>
    <w:p w14:paraId="244EDC53" w14:textId="52605084" w:rsidR="00807A7C" w:rsidRPr="00FE6768" w:rsidRDefault="00807A7C" w:rsidP="00807A7C">
      <w:pPr>
        <w:pStyle w:val="ProgramContributingNames"/>
        <w:rPr>
          <w:color w:val="auto"/>
        </w:rPr>
      </w:pPr>
      <w:r w:rsidRPr="00FE6768">
        <w:rPr>
          <w:color w:val="auto"/>
        </w:rPr>
        <w:t>Program 2.4:</w:t>
      </w:r>
      <w:r w:rsidRPr="00FE6768">
        <w:rPr>
          <w:color w:val="auto"/>
        </w:rPr>
        <w:tab/>
        <w:t>Private Health Insurance</w:t>
      </w:r>
    </w:p>
    <w:p w14:paraId="0067139A" w14:textId="7CF68D49" w:rsidR="00807A7C" w:rsidRPr="00FE6768" w:rsidRDefault="00807A7C" w:rsidP="00807A7C">
      <w:pPr>
        <w:pStyle w:val="ProgramContributingNames"/>
        <w:rPr>
          <w:color w:val="auto"/>
        </w:rPr>
      </w:pPr>
      <w:r w:rsidRPr="00FE6768">
        <w:rPr>
          <w:color w:val="auto"/>
        </w:rPr>
        <w:t>Program 2.5:</w:t>
      </w:r>
      <w:r w:rsidRPr="00FE6768">
        <w:rPr>
          <w:color w:val="auto"/>
        </w:rPr>
        <w:tab/>
        <w:t>Dental Services</w:t>
      </w:r>
    </w:p>
    <w:p w14:paraId="0D67BE4F" w14:textId="395978BA" w:rsidR="00807A7C" w:rsidRPr="00FE6768" w:rsidRDefault="00807A7C" w:rsidP="00807A7C">
      <w:pPr>
        <w:pStyle w:val="ProgramContributingNames"/>
        <w:rPr>
          <w:color w:val="auto"/>
        </w:rPr>
      </w:pPr>
      <w:r w:rsidRPr="00FE6768">
        <w:rPr>
          <w:color w:val="auto"/>
        </w:rPr>
        <w:t>Program 2.6:</w:t>
      </w:r>
      <w:r w:rsidRPr="00FE6768">
        <w:rPr>
          <w:color w:val="auto"/>
        </w:rPr>
        <w:tab/>
        <w:t>Health Benefit Compliance</w:t>
      </w:r>
    </w:p>
    <w:p w14:paraId="5FFC9B7D" w14:textId="689DC317" w:rsidR="00807A7C" w:rsidRPr="00FE6768" w:rsidRDefault="00807A7C" w:rsidP="00807A7C">
      <w:pPr>
        <w:pStyle w:val="ProgramContributingNames"/>
        <w:rPr>
          <w:color w:val="auto"/>
        </w:rPr>
      </w:pPr>
      <w:r w:rsidRPr="00FE6768">
        <w:rPr>
          <w:color w:val="auto"/>
        </w:rPr>
        <w:t>Program 2.7:</w:t>
      </w:r>
      <w:r w:rsidRPr="00FE6768">
        <w:rPr>
          <w:color w:val="auto"/>
        </w:rPr>
        <w:tab/>
        <w:t>Assistance through Aids and Appliances</w:t>
      </w:r>
    </w:p>
    <w:p w14:paraId="060C391C" w14:textId="2B90ECE3" w:rsidR="000D1E25" w:rsidRPr="00096399" w:rsidRDefault="00207AAE" w:rsidP="00096399">
      <w:pPr>
        <w:pStyle w:val="Heading4"/>
        <w:rPr>
          <w:color w:val="auto"/>
        </w:rPr>
      </w:pPr>
      <w:r w:rsidRPr="00FE6768">
        <w:rPr>
          <w:color w:val="auto"/>
        </w:rPr>
        <w:t xml:space="preserve">Linked </w:t>
      </w:r>
      <w:r w:rsidR="00717BE7">
        <w:rPr>
          <w:color w:val="auto"/>
        </w:rPr>
        <w:t>p</w:t>
      </w:r>
      <w:r w:rsidRPr="00FE6768">
        <w:rPr>
          <w:color w:val="auto"/>
        </w:rPr>
        <w:t>rograms</w:t>
      </w:r>
    </w:p>
    <w:tbl>
      <w:tblPr>
        <w:tblStyle w:val="TableGrid"/>
        <w:tblW w:w="7677" w:type="dxa"/>
        <w:jc w:val="center"/>
        <w:tblLayout w:type="fixed"/>
        <w:tblLook w:val="04A0" w:firstRow="1" w:lastRow="0" w:firstColumn="1" w:lastColumn="0" w:noHBand="0" w:noVBand="1"/>
        <w:tblCaption w:val="Linked Programs: Outcome 2"/>
        <w:tblDescription w:val="Lists linked programs for Outcome 2 and how other Commonwealth entities contribute to Outcome 2"/>
      </w:tblPr>
      <w:tblGrid>
        <w:gridCol w:w="7677"/>
      </w:tblGrid>
      <w:tr w:rsidR="00FE6768" w:rsidRPr="00FE6768" w14:paraId="4A389ED2" w14:textId="77777777" w:rsidTr="00FB0C67">
        <w:trPr>
          <w:tblHeader/>
          <w:jc w:val="center"/>
        </w:trPr>
        <w:tc>
          <w:tcPr>
            <w:tcW w:w="7677" w:type="dxa"/>
            <w:shd w:val="clear" w:color="auto" w:fill="D9D9D9" w:themeFill="background1" w:themeFillShade="D9"/>
          </w:tcPr>
          <w:p w14:paraId="5B78F415" w14:textId="77777777" w:rsidR="00207AAE" w:rsidRPr="00FE6768" w:rsidRDefault="00207AAE" w:rsidP="00DE27DD">
            <w:pPr>
              <w:pStyle w:val="Tableheadingrow9pt"/>
              <w:rPr>
                <w:color w:val="auto"/>
              </w:rPr>
            </w:pPr>
            <w:r w:rsidRPr="0026003F">
              <w:rPr>
                <w:color w:val="auto"/>
                <w:sz w:val="20"/>
              </w:rPr>
              <w:t>Other Commonwealth entit</w:t>
            </w:r>
            <w:r w:rsidR="006E230F" w:rsidRPr="0026003F">
              <w:rPr>
                <w:color w:val="auto"/>
                <w:sz w:val="20"/>
              </w:rPr>
              <w:t>ies that contribute to Outcome 2</w:t>
            </w:r>
          </w:p>
        </w:tc>
      </w:tr>
      <w:tr w:rsidR="00303D27" w:rsidRPr="00150C31" w14:paraId="7CDA734C" w14:textId="77777777" w:rsidTr="00E84ABA">
        <w:trPr>
          <w:jc w:val="center"/>
        </w:trPr>
        <w:tc>
          <w:tcPr>
            <w:tcW w:w="7677" w:type="dxa"/>
            <w:shd w:val="clear" w:color="auto" w:fill="auto"/>
          </w:tcPr>
          <w:p w14:paraId="71FFC94D" w14:textId="760ED99A" w:rsidR="00303D27" w:rsidRPr="00E84ABA" w:rsidRDefault="00303D27" w:rsidP="00303D27">
            <w:pPr>
              <w:pStyle w:val="Tableheadingrow9pt"/>
              <w:rPr>
                <w:color w:val="auto"/>
                <w:sz w:val="19"/>
                <w:szCs w:val="19"/>
              </w:rPr>
            </w:pPr>
            <w:r w:rsidRPr="00E84ABA">
              <w:rPr>
                <w:color w:val="auto"/>
                <w:sz w:val="19"/>
                <w:szCs w:val="19"/>
              </w:rPr>
              <w:t>Australian Taxation Office (ATO)</w:t>
            </w:r>
          </w:p>
        </w:tc>
      </w:tr>
      <w:tr w:rsidR="00FE6768" w:rsidRPr="00150C31" w14:paraId="5265C2A9" w14:textId="77777777" w:rsidTr="00E84ABA">
        <w:trPr>
          <w:jc w:val="center"/>
        </w:trPr>
        <w:tc>
          <w:tcPr>
            <w:tcW w:w="7677" w:type="dxa"/>
            <w:shd w:val="clear" w:color="auto" w:fill="auto"/>
          </w:tcPr>
          <w:p w14:paraId="0676D8E0" w14:textId="77777777" w:rsidR="00C746B7" w:rsidRPr="00E84ABA" w:rsidRDefault="00C746B7" w:rsidP="00EB28AA">
            <w:pPr>
              <w:pStyle w:val="Tableheadingrow9pt"/>
              <w:rPr>
                <w:rFonts w:ascii="Book Antiqua" w:hAnsi="Book Antiqua"/>
                <w:color w:val="auto"/>
                <w:sz w:val="19"/>
                <w:szCs w:val="19"/>
              </w:rPr>
            </w:pPr>
            <w:r w:rsidRPr="00E84ABA">
              <w:rPr>
                <w:rFonts w:ascii="Book Antiqua" w:hAnsi="Book Antiqua"/>
                <w:color w:val="auto"/>
                <w:sz w:val="19"/>
                <w:szCs w:val="19"/>
              </w:rPr>
              <w:t>Program 1.12: Private Health Insurance Rebate</w:t>
            </w:r>
          </w:p>
          <w:p w14:paraId="186AC073" w14:textId="7914FDE0" w:rsidR="00C746B7" w:rsidRPr="00E84ABA" w:rsidRDefault="00ED0108" w:rsidP="001E4EA2">
            <w:pPr>
              <w:autoSpaceDE w:val="0"/>
              <w:autoSpaceDN w:val="0"/>
              <w:adjustRightInd w:val="0"/>
              <w:rPr>
                <w:rFonts w:ascii="ArialMT" w:eastAsiaTheme="minorHAnsi" w:hAnsi="ArialMT" w:cs="ArialMT"/>
                <w:color w:val="auto"/>
                <w:sz w:val="19"/>
                <w:szCs w:val="19"/>
                <w:lang w:eastAsia="en-US"/>
              </w:rPr>
            </w:pPr>
            <w:r w:rsidRPr="00E84ABA">
              <w:rPr>
                <w:rFonts w:ascii="Book Antiqua" w:eastAsiaTheme="minorHAnsi" w:hAnsi="Book Antiqua" w:cs="ArialMT"/>
                <w:color w:val="auto"/>
                <w:sz w:val="19"/>
                <w:szCs w:val="19"/>
                <w:lang w:eastAsia="en-US"/>
              </w:rPr>
              <w:t xml:space="preserve">The ATO contributes </w:t>
            </w:r>
            <w:r w:rsidRPr="00E84ABA">
              <w:rPr>
                <w:rFonts w:ascii="Book Antiqua" w:eastAsiaTheme="minorHAnsi" w:hAnsi="Book Antiqua" w:cs="Arial-ItalicMT"/>
                <w:iCs/>
                <w:color w:val="auto"/>
                <w:sz w:val="19"/>
                <w:szCs w:val="19"/>
                <w:lang w:eastAsia="en-US"/>
              </w:rPr>
              <w:t>to the administration of</w:t>
            </w:r>
            <w:r w:rsidRPr="00E84ABA">
              <w:rPr>
                <w:rFonts w:ascii="Book Antiqua" w:eastAsiaTheme="minorHAnsi" w:hAnsi="Book Antiqua" w:cs="Arial-ItalicMT"/>
                <w:i/>
                <w:iCs/>
                <w:color w:val="auto"/>
                <w:sz w:val="19"/>
                <w:szCs w:val="19"/>
                <w:lang w:eastAsia="en-US"/>
              </w:rPr>
              <w:t xml:space="preserve"> </w:t>
            </w:r>
            <w:r w:rsidRPr="00E84ABA">
              <w:rPr>
                <w:rFonts w:ascii="Book Antiqua" w:eastAsiaTheme="minorHAnsi" w:hAnsi="Book Antiqua" w:cs="ArialMT"/>
                <w:color w:val="auto"/>
                <w:sz w:val="19"/>
                <w:szCs w:val="19"/>
                <w:lang w:eastAsia="en-US"/>
              </w:rPr>
              <w:t>the Government’s Private Health Insurance Rebate program. The ATO also works with the Department of Health</w:t>
            </w:r>
            <w:r w:rsidR="001E4EA2" w:rsidRPr="00E84ABA">
              <w:rPr>
                <w:rFonts w:ascii="Book Antiqua" w:eastAsiaTheme="minorHAnsi" w:hAnsi="Book Antiqua" w:cs="ArialMT"/>
                <w:color w:val="auto"/>
                <w:sz w:val="19"/>
                <w:szCs w:val="19"/>
                <w:lang w:eastAsia="en-US"/>
              </w:rPr>
              <w:t xml:space="preserve"> and Aged Care</w:t>
            </w:r>
            <w:r w:rsidRPr="00E84ABA">
              <w:rPr>
                <w:rFonts w:ascii="Book Antiqua" w:eastAsiaTheme="minorHAnsi" w:hAnsi="Book Antiqua" w:cs="ArialMT"/>
                <w:color w:val="auto"/>
                <w:sz w:val="19"/>
                <w:szCs w:val="19"/>
                <w:lang w:eastAsia="en-US"/>
              </w:rPr>
              <w:t xml:space="preserve"> to deliver the Multi</w:t>
            </w:r>
            <w:r w:rsidR="003C0781" w:rsidRPr="00E84ABA">
              <w:rPr>
                <w:rFonts w:ascii="Book Antiqua" w:eastAsiaTheme="minorHAnsi" w:hAnsi="Book Antiqua" w:cs="ArialMT"/>
                <w:color w:val="auto"/>
                <w:sz w:val="19"/>
                <w:szCs w:val="19"/>
                <w:lang w:eastAsia="en-US"/>
              </w:rPr>
              <w:noBreakHyphen/>
            </w:r>
            <w:r w:rsidRPr="00E84ABA">
              <w:rPr>
                <w:rFonts w:ascii="Book Antiqua" w:eastAsiaTheme="minorHAnsi" w:hAnsi="Book Antiqua" w:cs="ArialMT"/>
                <w:color w:val="auto"/>
                <w:sz w:val="19"/>
                <w:szCs w:val="19"/>
                <w:lang w:eastAsia="en-US"/>
              </w:rPr>
              <w:t>Agency Data Integration Project (2.4).</w:t>
            </w:r>
          </w:p>
        </w:tc>
      </w:tr>
      <w:tr w:rsidR="00303D27" w:rsidRPr="00150C31" w14:paraId="7315FDCD" w14:textId="77777777" w:rsidTr="00E84ABA">
        <w:trPr>
          <w:jc w:val="center"/>
        </w:trPr>
        <w:tc>
          <w:tcPr>
            <w:tcW w:w="7677" w:type="dxa"/>
            <w:shd w:val="clear" w:color="auto" w:fill="auto"/>
          </w:tcPr>
          <w:p w14:paraId="51E9029C" w14:textId="43CCEEDE" w:rsidR="00303D27" w:rsidRPr="00E84ABA" w:rsidRDefault="00303D27" w:rsidP="00303D27">
            <w:pPr>
              <w:pStyle w:val="Tableheadingrow9pt"/>
              <w:rPr>
                <w:color w:val="auto"/>
                <w:sz w:val="19"/>
                <w:szCs w:val="19"/>
              </w:rPr>
            </w:pPr>
            <w:r w:rsidRPr="00E84ABA">
              <w:rPr>
                <w:color w:val="auto"/>
                <w:sz w:val="19"/>
                <w:szCs w:val="19"/>
              </w:rPr>
              <w:t>Department of Social Services (DSS)</w:t>
            </w:r>
          </w:p>
        </w:tc>
      </w:tr>
      <w:tr w:rsidR="00FE6768" w:rsidRPr="00150C31" w14:paraId="24356E56" w14:textId="77777777" w:rsidTr="00FB0C67">
        <w:trPr>
          <w:jc w:val="center"/>
        </w:trPr>
        <w:tc>
          <w:tcPr>
            <w:tcW w:w="7677" w:type="dxa"/>
          </w:tcPr>
          <w:p w14:paraId="31CA4598" w14:textId="1453BDA7" w:rsidR="00C746B7"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 xml:space="preserve">Program 1.1: </w:t>
            </w:r>
            <w:r w:rsidR="006F28A2">
              <w:rPr>
                <w:rFonts w:ascii="Book Antiqua" w:hAnsi="Book Antiqua"/>
                <w:color w:val="auto"/>
                <w:sz w:val="19"/>
                <w:szCs w:val="19"/>
              </w:rPr>
              <w:t>Support for Families</w:t>
            </w:r>
          </w:p>
          <w:p w14:paraId="0CECC848" w14:textId="05755181"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w:t>
            </w:r>
            <w:r w:rsidR="006F28A2">
              <w:rPr>
                <w:rFonts w:ascii="Book Antiqua" w:hAnsi="Book Antiqua"/>
                <w:color w:val="auto"/>
                <w:sz w:val="19"/>
                <w:szCs w:val="19"/>
              </w:rPr>
              <w:t>3</w:t>
            </w:r>
            <w:r w:rsidRPr="00150C31">
              <w:rPr>
                <w:rFonts w:ascii="Book Antiqua" w:hAnsi="Book Antiqua"/>
                <w:color w:val="auto"/>
                <w:sz w:val="19"/>
                <w:szCs w:val="19"/>
              </w:rPr>
              <w:t>: Support for Seniors</w:t>
            </w:r>
          </w:p>
          <w:p w14:paraId="75445716" w14:textId="78B8807D"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w:t>
            </w:r>
            <w:r w:rsidR="006F28A2">
              <w:rPr>
                <w:rFonts w:ascii="Book Antiqua" w:hAnsi="Book Antiqua"/>
                <w:color w:val="auto"/>
                <w:sz w:val="19"/>
                <w:szCs w:val="19"/>
              </w:rPr>
              <w:t>4</w:t>
            </w:r>
            <w:r w:rsidRPr="00150C31">
              <w:rPr>
                <w:rFonts w:ascii="Book Antiqua" w:hAnsi="Book Antiqua"/>
                <w:color w:val="auto"/>
                <w:sz w:val="19"/>
                <w:szCs w:val="19"/>
              </w:rPr>
              <w:t>: Financial Support for People with Disability</w:t>
            </w:r>
          </w:p>
          <w:p w14:paraId="2AE4F9DA" w14:textId="05592240"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w:t>
            </w:r>
            <w:r w:rsidR="006F28A2">
              <w:rPr>
                <w:rFonts w:ascii="Book Antiqua" w:hAnsi="Book Antiqua"/>
                <w:color w:val="auto"/>
                <w:sz w:val="19"/>
                <w:szCs w:val="19"/>
              </w:rPr>
              <w:t>5</w:t>
            </w:r>
            <w:r w:rsidRPr="00150C31">
              <w:rPr>
                <w:rFonts w:ascii="Book Antiqua" w:hAnsi="Book Antiqua"/>
                <w:color w:val="auto"/>
                <w:sz w:val="19"/>
                <w:szCs w:val="19"/>
              </w:rPr>
              <w:t>: Financial Support for Carers</w:t>
            </w:r>
          </w:p>
          <w:p w14:paraId="20DF5221" w14:textId="5185C3E4"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w:t>
            </w:r>
            <w:r w:rsidR="006F28A2">
              <w:rPr>
                <w:rFonts w:ascii="Book Antiqua" w:hAnsi="Book Antiqua"/>
                <w:color w:val="auto"/>
                <w:sz w:val="19"/>
                <w:szCs w:val="19"/>
              </w:rPr>
              <w:t>6</w:t>
            </w:r>
            <w:r w:rsidRPr="00150C31">
              <w:rPr>
                <w:rFonts w:ascii="Book Antiqua" w:hAnsi="Book Antiqua"/>
                <w:color w:val="auto"/>
                <w:sz w:val="19"/>
                <w:szCs w:val="19"/>
              </w:rPr>
              <w:t>: Working Age Payments</w:t>
            </w:r>
          </w:p>
          <w:p w14:paraId="4B6895CC" w14:textId="72B8CA6F" w:rsidR="003912E2" w:rsidRPr="00150C31" w:rsidRDefault="003912E2" w:rsidP="00EB28AA">
            <w:pPr>
              <w:pStyle w:val="Tableheadingrow9pt"/>
              <w:rPr>
                <w:rFonts w:ascii="Book Antiqua" w:hAnsi="Book Antiqua"/>
                <w:color w:val="auto"/>
                <w:sz w:val="19"/>
                <w:szCs w:val="19"/>
              </w:rPr>
            </w:pPr>
            <w:r w:rsidRPr="00150C31">
              <w:rPr>
                <w:rFonts w:ascii="Book Antiqua" w:hAnsi="Book Antiqua"/>
                <w:color w:val="auto"/>
                <w:sz w:val="19"/>
                <w:szCs w:val="19"/>
              </w:rPr>
              <w:t>Program 1.</w:t>
            </w:r>
            <w:r w:rsidR="006F28A2">
              <w:rPr>
                <w:rFonts w:ascii="Book Antiqua" w:hAnsi="Book Antiqua"/>
                <w:color w:val="auto"/>
                <w:sz w:val="19"/>
                <w:szCs w:val="19"/>
              </w:rPr>
              <w:t>7</w:t>
            </w:r>
            <w:r w:rsidRPr="00150C31">
              <w:rPr>
                <w:rFonts w:ascii="Book Antiqua" w:hAnsi="Book Antiqua"/>
                <w:color w:val="auto"/>
                <w:sz w:val="19"/>
                <w:szCs w:val="19"/>
              </w:rPr>
              <w:t>: Student Payments</w:t>
            </w:r>
          </w:p>
          <w:p w14:paraId="37DC9463" w14:textId="5449AEAC" w:rsidR="00511B58" w:rsidRPr="00150C31" w:rsidRDefault="00ED0108" w:rsidP="00EB28AA">
            <w:pPr>
              <w:autoSpaceDE w:val="0"/>
              <w:autoSpaceDN w:val="0"/>
              <w:adjustRightInd w:val="0"/>
              <w:rPr>
                <w:rFonts w:ascii="ArialMT" w:eastAsiaTheme="minorHAnsi" w:hAnsi="ArialMT" w:cs="ArialMT"/>
                <w:color w:val="auto"/>
                <w:sz w:val="19"/>
                <w:szCs w:val="19"/>
                <w:lang w:eastAsia="en-US"/>
              </w:rPr>
            </w:pPr>
            <w:r w:rsidRPr="00150C31">
              <w:rPr>
                <w:rFonts w:ascii="Book Antiqua" w:eastAsiaTheme="minorHAnsi" w:hAnsi="Book Antiqua" w:cs="ArialMT"/>
                <w:color w:val="auto"/>
                <w:sz w:val="19"/>
                <w:szCs w:val="19"/>
                <w:lang w:eastAsia="en-US"/>
              </w:rPr>
              <w:t>DSS contributes to providing access to cost-effective medicines, medical, dental</w:t>
            </w:r>
            <w:r w:rsidR="002B348F">
              <w:rPr>
                <w:rFonts w:ascii="Book Antiqua" w:eastAsiaTheme="minorHAnsi" w:hAnsi="Book Antiqua" w:cs="ArialMT"/>
                <w:color w:val="auto"/>
                <w:sz w:val="19"/>
                <w:szCs w:val="19"/>
                <w:lang w:eastAsia="en-US"/>
              </w:rPr>
              <w:t>,</w:t>
            </w:r>
            <w:r w:rsidRPr="00150C31">
              <w:rPr>
                <w:rFonts w:ascii="Book Antiqua" w:eastAsiaTheme="minorHAnsi" w:hAnsi="Book Antiqua" w:cs="ArialMT"/>
                <w:color w:val="auto"/>
                <w:sz w:val="19"/>
                <w:szCs w:val="19"/>
                <w:lang w:eastAsia="en-US"/>
              </w:rPr>
              <w:t xml:space="preserve"> and hearing</w:t>
            </w:r>
            <w:r w:rsidR="00476A5A" w:rsidRPr="00150C31">
              <w:rPr>
                <w:rFonts w:ascii="Book Antiqua" w:eastAsiaTheme="minorHAnsi" w:hAnsi="Book Antiqua" w:cs="ArialMT"/>
                <w:color w:val="auto"/>
                <w:sz w:val="19"/>
                <w:szCs w:val="19"/>
                <w:lang w:eastAsia="en-US"/>
              </w:rPr>
              <w:t xml:space="preserve"> </w:t>
            </w:r>
            <w:r w:rsidRPr="00150C31">
              <w:rPr>
                <w:rFonts w:ascii="Book Antiqua" w:eastAsiaTheme="minorHAnsi" w:hAnsi="Book Antiqua" w:cs="ArialMT"/>
                <w:color w:val="auto"/>
                <w:sz w:val="19"/>
                <w:szCs w:val="19"/>
                <w:lang w:eastAsia="en-US"/>
              </w:rPr>
              <w:t>services by determining income support recipient eligibility for Pensioner Concession Cards,</w:t>
            </w:r>
            <w:r w:rsidR="00476A5A" w:rsidRPr="00150C31">
              <w:rPr>
                <w:rFonts w:ascii="Book Antiqua" w:eastAsiaTheme="minorHAnsi" w:hAnsi="Book Antiqua" w:cs="ArialMT"/>
                <w:color w:val="auto"/>
                <w:sz w:val="19"/>
                <w:szCs w:val="19"/>
                <w:lang w:eastAsia="en-US"/>
              </w:rPr>
              <w:t xml:space="preserve"> </w:t>
            </w:r>
            <w:r w:rsidRPr="00150C31">
              <w:rPr>
                <w:rFonts w:ascii="Book Antiqua" w:eastAsiaTheme="minorHAnsi" w:hAnsi="Book Antiqua" w:cs="ArialMT"/>
                <w:color w:val="auto"/>
                <w:sz w:val="19"/>
                <w:szCs w:val="19"/>
                <w:lang w:eastAsia="en-US"/>
              </w:rPr>
              <w:t>Health Care Cards and Commonwealth Seniors Health Cards, which attract concessions under this Outcome (2.1, 2.2, 2.3, 2.5 and 2.6).</w:t>
            </w:r>
          </w:p>
        </w:tc>
      </w:tr>
    </w:tbl>
    <w:p w14:paraId="2C71E203" w14:textId="77777777" w:rsidR="00303D27" w:rsidRPr="00150C31" w:rsidRDefault="00303D27">
      <w:pPr>
        <w:rPr>
          <w:sz w:val="19"/>
          <w:szCs w:val="19"/>
        </w:rPr>
      </w:pPr>
      <w:r w:rsidRPr="00150C31">
        <w:rPr>
          <w:b/>
          <w:sz w:val="19"/>
          <w:szCs w:val="19"/>
        </w:rPr>
        <w:br w:type="page"/>
      </w:r>
    </w:p>
    <w:tbl>
      <w:tblPr>
        <w:tblStyle w:val="TableGrid"/>
        <w:tblW w:w="7677" w:type="dxa"/>
        <w:tblLayout w:type="fixed"/>
        <w:tblLook w:val="04A0" w:firstRow="1" w:lastRow="0" w:firstColumn="1" w:lastColumn="0" w:noHBand="0" w:noVBand="1"/>
        <w:tblCaption w:val="Linked Programs: Outcome 2"/>
        <w:tblDescription w:val="Lists linked programs for Outcome 2 and how other Commonwealth entities contribute to Outcome 2"/>
      </w:tblPr>
      <w:tblGrid>
        <w:gridCol w:w="7677"/>
      </w:tblGrid>
      <w:tr w:rsidR="00303D27" w:rsidRPr="00150C31" w14:paraId="0B8AAF90" w14:textId="77777777" w:rsidTr="00303D27">
        <w:tc>
          <w:tcPr>
            <w:tcW w:w="7677" w:type="dxa"/>
            <w:shd w:val="clear" w:color="auto" w:fill="D9D9D9" w:themeFill="background1" w:themeFillShade="D9"/>
          </w:tcPr>
          <w:p w14:paraId="65EE8C56" w14:textId="77777777" w:rsidR="00303D27" w:rsidRPr="00150C31" w:rsidRDefault="00303D27" w:rsidP="00A80015">
            <w:pPr>
              <w:pStyle w:val="Tableheadingrow9pt"/>
              <w:rPr>
                <w:color w:val="auto"/>
                <w:sz w:val="19"/>
                <w:szCs w:val="19"/>
              </w:rPr>
            </w:pPr>
            <w:r w:rsidRPr="00150C31">
              <w:rPr>
                <w:color w:val="auto"/>
                <w:sz w:val="20"/>
                <w:szCs w:val="19"/>
              </w:rPr>
              <w:lastRenderedPageBreak/>
              <w:t>Other Commonwealth entities that contribute to Outcome 2</w:t>
            </w:r>
          </w:p>
        </w:tc>
      </w:tr>
      <w:tr w:rsidR="00303D27" w:rsidRPr="00150C31" w14:paraId="6AA1541E" w14:textId="77777777" w:rsidTr="00FB0C67">
        <w:tblPrEx>
          <w:jc w:val="center"/>
        </w:tblPrEx>
        <w:trPr>
          <w:jc w:val="center"/>
        </w:trPr>
        <w:tc>
          <w:tcPr>
            <w:tcW w:w="7677" w:type="dxa"/>
          </w:tcPr>
          <w:p w14:paraId="7598311E" w14:textId="2633CDFB" w:rsidR="00303D27" w:rsidRPr="00150C31" w:rsidRDefault="00303D27" w:rsidP="00303D27">
            <w:pPr>
              <w:pStyle w:val="Tableheadingrow9pt"/>
              <w:rPr>
                <w:color w:val="auto"/>
                <w:sz w:val="19"/>
                <w:szCs w:val="19"/>
              </w:rPr>
            </w:pPr>
            <w:r w:rsidRPr="00E84ABA">
              <w:rPr>
                <w:color w:val="auto"/>
                <w:sz w:val="19"/>
                <w:szCs w:val="19"/>
              </w:rPr>
              <w:t>Department of the Treasury (Treasury)</w:t>
            </w:r>
          </w:p>
        </w:tc>
      </w:tr>
      <w:tr w:rsidR="00FE6768" w:rsidRPr="00150C31" w14:paraId="7E7251F0" w14:textId="77777777" w:rsidTr="00FB0C67">
        <w:tblPrEx>
          <w:jc w:val="center"/>
        </w:tblPrEx>
        <w:trPr>
          <w:jc w:val="center"/>
        </w:trPr>
        <w:tc>
          <w:tcPr>
            <w:tcW w:w="7677" w:type="dxa"/>
          </w:tcPr>
          <w:p w14:paraId="34E95D99" w14:textId="0DBC8CAB" w:rsidR="00C746B7" w:rsidRPr="00150C31" w:rsidRDefault="00C746B7" w:rsidP="00C746B7">
            <w:pPr>
              <w:pStyle w:val="Tableheadingrow9pt"/>
              <w:rPr>
                <w:rFonts w:ascii="Book Antiqua" w:hAnsi="Book Antiqua"/>
                <w:color w:val="auto"/>
                <w:sz w:val="19"/>
                <w:szCs w:val="19"/>
              </w:rPr>
            </w:pPr>
            <w:r w:rsidRPr="00150C31">
              <w:rPr>
                <w:rFonts w:ascii="Book Antiqua" w:hAnsi="Book Antiqua"/>
                <w:color w:val="auto"/>
                <w:sz w:val="19"/>
                <w:szCs w:val="19"/>
              </w:rPr>
              <w:t>Program 1.</w:t>
            </w:r>
            <w:r w:rsidR="00885AB0">
              <w:rPr>
                <w:rFonts w:ascii="Book Antiqua" w:hAnsi="Book Antiqua"/>
                <w:color w:val="auto"/>
                <w:sz w:val="19"/>
                <w:szCs w:val="19"/>
              </w:rPr>
              <w:t>4: Commonwealth-State Financial Relations</w:t>
            </w:r>
          </w:p>
          <w:p w14:paraId="77B88FD2" w14:textId="2001A9DA" w:rsidR="00885AB0" w:rsidRPr="00885AB0" w:rsidRDefault="00C746B7" w:rsidP="00885AB0">
            <w:pPr>
              <w:pStyle w:val="Tableheadingrow9pt"/>
              <w:rPr>
                <w:rFonts w:ascii="Book Antiqua" w:hAnsi="Book Antiqua"/>
                <w:b w:val="0"/>
                <w:color w:val="auto"/>
                <w:sz w:val="19"/>
                <w:szCs w:val="19"/>
              </w:rPr>
            </w:pPr>
            <w:r w:rsidRPr="00150C31">
              <w:rPr>
                <w:rFonts w:ascii="Book Antiqua" w:hAnsi="Book Antiqua"/>
                <w:b w:val="0"/>
                <w:color w:val="auto"/>
                <w:sz w:val="19"/>
                <w:szCs w:val="19"/>
              </w:rPr>
              <w:t>Treasury provides financial assistance through National Partnership payments to state and territory governments as part of the Federal Financial Relations Framework</w:t>
            </w:r>
            <w:r w:rsidRPr="00150C31">
              <w:rPr>
                <w:rFonts w:ascii="Book Antiqua" w:hAnsi="Book Antiqua"/>
                <w:b w:val="0"/>
                <w:color w:val="auto"/>
                <w:sz w:val="19"/>
                <w:szCs w:val="19"/>
                <w:vertAlign w:val="superscript"/>
              </w:rPr>
              <w:footnoteReference w:id="1"/>
            </w:r>
            <w:r w:rsidR="008D7DB9">
              <w:rPr>
                <w:rFonts w:ascii="Book Antiqua" w:hAnsi="Book Antiqua"/>
                <w:b w:val="0"/>
                <w:color w:val="auto"/>
                <w:sz w:val="19"/>
                <w:szCs w:val="19"/>
              </w:rPr>
              <w:t xml:space="preserve">, </w:t>
            </w:r>
            <w:r w:rsidRPr="00150C31">
              <w:rPr>
                <w:rFonts w:ascii="Book Antiqua" w:hAnsi="Book Antiqua"/>
                <w:b w:val="0"/>
                <w:color w:val="auto"/>
                <w:sz w:val="19"/>
                <w:szCs w:val="19"/>
              </w:rPr>
              <w:t xml:space="preserve">which includes funding for the </w:t>
            </w:r>
            <w:r w:rsidR="00E908A0" w:rsidRPr="00150C31">
              <w:rPr>
                <w:rFonts w:ascii="Book Antiqua" w:hAnsi="Book Antiqua"/>
                <w:b w:val="0"/>
                <w:color w:val="auto"/>
                <w:sz w:val="19"/>
                <w:szCs w:val="19"/>
              </w:rPr>
              <w:t xml:space="preserve">Federation Funding Agreement on Public Dental Services for Adults </w:t>
            </w:r>
            <w:r w:rsidRPr="00150C31">
              <w:rPr>
                <w:rFonts w:ascii="Book Antiqua" w:hAnsi="Book Antiqua"/>
                <w:b w:val="0"/>
                <w:color w:val="auto"/>
                <w:sz w:val="19"/>
                <w:szCs w:val="19"/>
              </w:rPr>
              <w:t>(</w:t>
            </w:r>
            <w:r w:rsidR="00051198" w:rsidRPr="00150C31">
              <w:rPr>
                <w:rFonts w:ascii="Book Antiqua" w:hAnsi="Book Antiqua"/>
                <w:b w:val="0"/>
                <w:color w:val="auto"/>
                <w:sz w:val="19"/>
                <w:szCs w:val="19"/>
              </w:rPr>
              <w:t>2</w:t>
            </w:r>
            <w:r w:rsidRPr="00150C31">
              <w:rPr>
                <w:rFonts w:ascii="Book Antiqua" w:hAnsi="Book Antiqua"/>
                <w:b w:val="0"/>
                <w:color w:val="auto"/>
                <w:sz w:val="19"/>
                <w:szCs w:val="19"/>
              </w:rPr>
              <w:t>.</w:t>
            </w:r>
            <w:r w:rsidR="00051198" w:rsidRPr="00150C31">
              <w:rPr>
                <w:rFonts w:ascii="Book Antiqua" w:hAnsi="Book Antiqua"/>
                <w:b w:val="0"/>
                <w:color w:val="auto"/>
                <w:sz w:val="19"/>
                <w:szCs w:val="19"/>
              </w:rPr>
              <w:t>5</w:t>
            </w:r>
            <w:r w:rsidRPr="00150C31">
              <w:rPr>
                <w:rFonts w:ascii="Book Antiqua" w:hAnsi="Book Antiqua"/>
                <w:b w:val="0"/>
                <w:color w:val="auto"/>
                <w:sz w:val="19"/>
                <w:szCs w:val="19"/>
              </w:rPr>
              <w:t>).</w:t>
            </w:r>
          </w:p>
        </w:tc>
      </w:tr>
      <w:tr w:rsidR="00303D27" w:rsidRPr="00150C31" w14:paraId="6706BFC0" w14:textId="77777777" w:rsidTr="00FB0C67">
        <w:tblPrEx>
          <w:jc w:val="center"/>
        </w:tblPrEx>
        <w:trPr>
          <w:jc w:val="center"/>
        </w:trPr>
        <w:tc>
          <w:tcPr>
            <w:tcW w:w="7677" w:type="dxa"/>
          </w:tcPr>
          <w:p w14:paraId="5B40FBBF" w14:textId="16582A3C" w:rsidR="00303D27" w:rsidRPr="00150C31" w:rsidRDefault="00303D27" w:rsidP="00303D27">
            <w:pPr>
              <w:pStyle w:val="Tableheadingrow9pt"/>
              <w:rPr>
                <w:color w:val="auto"/>
                <w:sz w:val="19"/>
                <w:szCs w:val="19"/>
              </w:rPr>
            </w:pPr>
            <w:r w:rsidRPr="00150C31">
              <w:rPr>
                <w:color w:val="auto"/>
                <w:sz w:val="19"/>
                <w:szCs w:val="19"/>
              </w:rPr>
              <w:t>Department of Veterans’ Affairs (DVA)</w:t>
            </w:r>
          </w:p>
        </w:tc>
      </w:tr>
      <w:tr w:rsidR="00FE6768" w:rsidRPr="00150C31" w14:paraId="045E030A" w14:textId="77777777" w:rsidTr="00FB0C67">
        <w:tblPrEx>
          <w:jc w:val="center"/>
        </w:tblPrEx>
        <w:trPr>
          <w:jc w:val="center"/>
        </w:trPr>
        <w:tc>
          <w:tcPr>
            <w:tcW w:w="7677" w:type="dxa"/>
          </w:tcPr>
          <w:p w14:paraId="22045495" w14:textId="77777777" w:rsidR="00570EFC" w:rsidRPr="00C5321A" w:rsidRDefault="00570EFC" w:rsidP="00570EFC">
            <w:pPr>
              <w:rPr>
                <w:rFonts w:ascii="Book Antiqua" w:hAnsi="Book Antiqua"/>
                <w:b/>
                <w:bCs/>
                <w:sz w:val="19"/>
                <w:szCs w:val="19"/>
              </w:rPr>
            </w:pPr>
            <w:r w:rsidRPr="00C5321A">
              <w:rPr>
                <w:rFonts w:ascii="Book Antiqua" w:hAnsi="Book Antiqua"/>
                <w:b/>
                <w:bCs/>
                <w:sz w:val="19"/>
                <w:szCs w:val="19"/>
              </w:rPr>
              <w:t xml:space="preserve">Program 2.1: General Medical Consultations and Services </w:t>
            </w:r>
          </w:p>
          <w:p w14:paraId="1B2DAE73" w14:textId="77777777" w:rsidR="00570EFC" w:rsidRPr="00C5321A" w:rsidRDefault="00570EFC" w:rsidP="00570EFC">
            <w:pPr>
              <w:pStyle w:val="Tableheadingrow9pt"/>
              <w:rPr>
                <w:rFonts w:ascii="Book Antiqua" w:hAnsi="Book Antiqua"/>
                <w:bCs/>
                <w:color w:val="auto"/>
                <w:sz w:val="19"/>
                <w:szCs w:val="19"/>
                <w:lang w:eastAsia="en-US"/>
              </w:rPr>
            </w:pPr>
            <w:r w:rsidRPr="00C5321A">
              <w:rPr>
                <w:rFonts w:ascii="Book Antiqua" w:hAnsi="Book Antiqua"/>
                <w:color w:val="auto"/>
                <w:sz w:val="19"/>
                <w:szCs w:val="19"/>
                <w:lang w:eastAsia="en-US"/>
              </w:rPr>
              <w:t>Program 2.3: Veterans’ Pharmaceuticals Benefits</w:t>
            </w:r>
          </w:p>
          <w:p w14:paraId="428A2ED8" w14:textId="77777777" w:rsidR="00570EFC" w:rsidRPr="00C5321A" w:rsidRDefault="00570EFC" w:rsidP="00570EFC">
            <w:pPr>
              <w:pStyle w:val="Tableheadingrow9pt"/>
              <w:rPr>
                <w:rFonts w:ascii="Book Antiqua" w:hAnsi="Book Antiqua"/>
                <w:color w:val="auto"/>
                <w:sz w:val="19"/>
                <w:szCs w:val="19"/>
                <w:lang w:eastAsia="en-US"/>
              </w:rPr>
            </w:pPr>
            <w:r w:rsidRPr="00C5321A">
              <w:rPr>
                <w:rFonts w:ascii="Book Antiqua" w:hAnsi="Book Antiqua"/>
                <w:color w:val="auto"/>
                <w:sz w:val="19"/>
                <w:szCs w:val="19"/>
                <w:lang w:eastAsia="en-US"/>
              </w:rPr>
              <w:t>Program 2.5: Veterans’ Counselling and Other Health Services</w:t>
            </w:r>
          </w:p>
          <w:p w14:paraId="4A33EFBB" w14:textId="77777777" w:rsidR="00570EFC" w:rsidRPr="00C5321A" w:rsidRDefault="00570EFC" w:rsidP="00570EFC">
            <w:pPr>
              <w:pStyle w:val="Tableheadingrow9pt"/>
              <w:rPr>
                <w:rFonts w:ascii="Book Antiqua" w:hAnsi="Book Antiqua"/>
                <w:color w:val="auto"/>
                <w:sz w:val="19"/>
                <w:szCs w:val="19"/>
              </w:rPr>
            </w:pPr>
            <w:r w:rsidRPr="00C5321A">
              <w:rPr>
                <w:rFonts w:ascii="Book Antiqua" w:hAnsi="Book Antiqua"/>
                <w:color w:val="auto"/>
                <w:sz w:val="19"/>
                <w:szCs w:val="19"/>
                <w:lang w:eastAsia="en-US"/>
              </w:rPr>
              <w:t>Program 2.6: Military Rehabilitation and Compensation Acts – Health and Other Care Services</w:t>
            </w:r>
          </w:p>
          <w:p w14:paraId="4580BBEA" w14:textId="77777777" w:rsidR="00570EFC" w:rsidRPr="00C5321A" w:rsidRDefault="00570EFC" w:rsidP="00570EFC">
            <w:pPr>
              <w:pStyle w:val="Tableheadingrow9pt"/>
              <w:rPr>
                <w:rFonts w:ascii="Book Antiqua" w:hAnsi="Book Antiqua"/>
                <w:b w:val="0"/>
                <w:color w:val="auto"/>
                <w:sz w:val="19"/>
                <w:szCs w:val="19"/>
                <w:lang w:eastAsia="en-US"/>
              </w:rPr>
            </w:pPr>
            <w:r w:rsidRPr="00C5321A">
              <w:rPr>
                <w:rFonts w:ascii="Book Antiqua" w:hAnsi="Book Antiqua"/>
                <w:b w:val="0"/>
                <w:bCs/>
                <w:color w:val="auto"/>
                <w:sz w:val="19"/>
                <w:szCs w:val="19"/>
                <w:lang w:eastAsia="en-US"/>
              </w:rPr>
              <w:t xml:space="preserve">DVA provides access to general and specialist medical and dental services for its clients </w:t>
            </w:r>
            <w:r w:rsidRPr="00C5321A">
              <w:rPr>
                <w:rFonts w:ascii="Book Antiqua" w:hAnsi="Book Antiqua"/>
                <w:b w:val="0"/>
                <w:bCs/>
                <w:color w:val="auto"/>
                <w:sz w:val="19"/>
                <w:szCs w:val="19"/>
                <w:lang w:eastAsia="en-US"/>
              </w:rPr>
              <w:br/>
              <w:t>(2.1, 2.5 and 2.6).</w:t>
            </w:r>
          </w:p>
          <w:p w14:paraId="2B26A393" w14:textId="1566F99C" w:rsidR="004860E1" w:rsidRPr="00700BC2" w:rsidRDefault="00570EFC" w:rsidP="00EB2754">
            <w:pPr>
              <w:pStyle w:val="Tableheadingrow9pt"/>
              <w:rPr>
                <w:b w:val="0"/>
                <w:color w:val="auto"/>
                <w:sz w:val="19"/>
                <w:szCs w:val="19"/>
              </w:rPr>
            </w:pPr>
            <w:r w:rsidRPr="00700BC2">
              <w:rPr>
                <w:rFonts w:ascii="Book Antiqua" w:hAnsi="Book Antiqua"/>
                <w:b w:val="0"/>
                <w:sz w:val="19"/>
                <w:szCs w:val="19"/>
              </w:rPr>
              <w:t>DVA’s Repatriation Pharmaceutical Benefits Scheme provides clients access to a comprehensive range of pharmaceuticals and wound dressings for the treatment of their health care needs (2.3).</w:t>
            </w:r>
          </w:p>
        </w:tc>
      </w:tr>
      <w:tr w:rsidR="00303D27" w:rsidRPr="00150C31" w14:paraId="51FFC9D3" w14:textId="77777777" w:rsidTr="00303D27">
        <w:tblPrEx>
          <w:jc w:val="center"/>
        </w:tblPrEx>
        <w:trPr>
          <w:jc w:val="center"/>
        </w:trPr>
        <w:tc>
          <w:tcPr>
            <w:tcW w:w="7677" w:type="dxa"/>
          </w:tcPr>
          <w:p w14:paraId="1A47DD41" w14:textId="622BAA9B" w:rsidR="00303D27" w:rsidRPr="00150C31" w:rsidRDefault="00303D27" w:rsidP="00303D27">
            <w:pPr>
              <w:pStyle w:val="Tableheadingrow9pt"/>
              <w:ind w:left="284" w:hanging="284"/>
              <w:rPr>
                <w:color w:val="auto"/>
                <w:sz w:val="19"/>
                <w:szCs w:val="19"/>
              </w:rPr>
            </w:pPr>
            <w:r w:rsidRPr="00150C31">
              <w:rPr>
                <w:color w:val="auto"/>
                <w:sz w:val="19"/>
                <w:szCs w:val="19"/>
              </w:rPr>
              <w:t>Hearing Australia</w:t>
            </w:r>
          </w:p>
        </w:tc>
      </w:tr>
      <w:tr w:rsidR="009F35AC" w:rsidRPr="00150C31" w14:paraId="7309BCDB" w14:textId="77777777" w:rsidTr="009F35AC">
        <w:tblPrEx>
          <w:jc w:val="center"/>
        </w:tblPrEx>
        <w:trPr>
          <w:trHeight w:val="992"/>
          <w:jc w:val="center"/>
        </w:trPr>
        <w:tc>
          <w:tcPr>
            <w:tcW w:w="7677" w:type="dxa"/>
          </w:tcPr>
          <w:p w14:paraId="00164BC3" w14:textId="77777777" w:rsidR="009F35AC" w:rsidRPr="00150C31" w:rsidRDefault="009F35AC" w:rsidP="00E16695">
            <w:pPr>
              <w:pStyle w:val="Tableheadingrow9pt"/>
              <w:rPr>
                <w:rFonts w:ascii="Book Antiqua" w:hAnsi="Book Antiqua"/>
                <w:color w:val="auto"/>
                <w:sz w:val="19"/>
                <w:szCs w:val="19"/>
              </w:rPr>
            </w:pPr>
            <w:r w:rsidRPr="00150C31">
              <w:rPr>
                <w:rFonts w:ascii="Book Antiqua" w:hAnsi="Book Antiqua"/>
                <w:color w:val="auto"/>
                <w:sz w:val="19"/>
                <w:szCs w:val="19"/>
              </w:rPr>
              <w:t>Program 2.2: Hearing Services</w:t>
            </w:r>
          </w:p>
          <w:p w14:paraId="7265247F" w14:textId="3B5E1604" w:rsidR="009F35AC" w:rsidRPr="00150C31" w:rsidRDefault="009F35AC" w:rsidP="00E16695">
            <w:pPr>
              <w:pStyle w:val="Tableheadingrow9pt"/>
              <w:rPr>
                <w:rFonts w:ascii="Book Antiqua" w:hAnsi="Book Antiqua"/>
                <w:b w:val="0"/>
                <w:color w:val="auto"/>
                <w:sz w:val="19"/>
                <w:szCs w:val="19"/>
              </w:rPr>
            </w:pPr>
            <w:r w:rsidRPr="00150C31">
              <w:rPr>
                <w:rFonts w:ascii="Book Antiqua" w:hAnsi="Book Antiqua"/>
                <w:b w:val="0"/>
                <w:color w:val="auto"/>
                <w:sz w:val="19"/>
                <w:szCs w:val="19"/>
              </w:rPr>
              <w:t>Hearing Australia is funded by the Department of Health and Aged Care to deliver:</w:t>
            </w:r>
          </w:p>
          <w:p w14:paraId="2D35FFDF" w14:textId="7E301999" w:rsidR="009F35AC" w:rsidRPr="00150C31" w:rsidRDefault="009F35AC" w:rsidP="00E1669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 xml:space="preserve">the Community Service Obligations component </w:t>
            </w:r>
            <w:r w:rsidR="002B348F">
              <w:rPr>
                <w:rFonts w:ascii="Book Antiqua" w:hAnsi="Book Antiqua"/>
                <w:color w:val="auto"/>
                <w:sz w:val="19"/>
                <w:szCs w:val="19"/>
              </w:rPr>
              <w:t xml:space="preserve">of the Hearing Services </w:t>
            </w:r>
            <w:r w:rsidR="00E05E7B">
              <w:rPr>
                <w:rFonts w:ascii="Book Antiqua" w:hAnsi="Book Antiqua"/>
                <w:color w:val="auto"/>
                <w:sz w:val="19"/>
                <w:szCs w:val="19"/>
              </w:rPr>
              <w:br/>
            </w:r>
            <w:r w:rsidR="002B348F">
              <w:rPr>
                <w:rFonts w:ascii="Book Antiqua" w:hAnsi="Book Antiqua"/>
                <w:color w:val="auto"/>
                <w:sz w:val="19"/>
                <w:szCs w:val="19"/>
              </w:rPr>
              <w:t>Program</w:t>
            </w:r>
            <w:r w:rsidR="00226E3F">
              <w:rPr>
                <w:rFonts w:ascii="Book Antiqua" w:hAnsi="Book Antiqua"/>
                <w:color w:val="auto"/>
                <w:sz w:val="19"/>
                <w:szCs w:val="19"/>
              </w:rPr>
              <w:t xml:space="preserve"> (2.2)</w:t>
            </w:r>
            <w:r w:rsidR="001423C3">
              <w:rPr>
                <w:rFonts w:ascii="Book Antiqua" w:hAnsi="Book Antiqua"/>
                <w:color w:val="auto"/>
                <w:sz w:val="19"/>
                <w:szCs w:val="19"/>
              </w:rPr>
              <w:t>.</w:t>
            </w:r>
          </w:p>
          <w:p w14:paraId="59DC49D8" w14:textId="5C686405" w:rsidR="009F35AC" w:rsidRPr="00150C31" w:rsidRDefault="009F35AC" w:rsidP="00E16695">
            <w:pPr>
              <w:pStyle w:val="Tabletextnormal9pt"/>
              <w:numPr>
                <w:ilvl w:val="0"/>
                <w:numId w:val="3"/>
              </w:numPr>
              <w:spacing w:before="0" w:after="0"/>
              <w:ind w:left="284" w:hanging="284"/>
              <w:rPr>
                <w:color w:val="auto"/>
                <w:sz w:val="19"/>
                <w:szCs w:val="19"/>
              </w:rPr>
            </w:pPr>
            <w:r w:rsidRPr="00150C31">
              <w:rPr>
                <w:rFonts w:ascii="Book Antiqua" w:hAnsi="Book Antiqua"/>
                <w:color w:val="auto"/>
                <w:sz w:val="19"/>
                <w:szCs w:val="19"/>
              </w:rPr>
              <w:t>hearing research and development projects through the National Acoustic Laboratories</w:t>
            </w:r>
            <w:r w:rsidR="00226E3F">
              <w:rPr>
                <w:rFonts w:ascii="Book Antiqua" w:hAnsi="Book Antiqua"/>
                <w:color w:val="auto"/>
                <w:sz w:val="19"/>
                <w:szCs w:val="19"/>
              </w:rPr>
              <w:t xml:space="preserve"> (2.2)</w:t>
            </w:r>
            <w:r w:rsidRPr="00150C31">
              <w:rPr>
                <w:rFonts w:ascii="Book Antiqua" w:hAnsi="Book Antiqua"/>
                <w:color w:val="auto"/>
                <w:sz w:val="19"/>
                <w:szCs w:val="19"/>
              </w:rPr>
              <w:t>.</w:t>
            </w:r>
          </w:p>
        </w:tc>
      </w:tr>
      <w:tr w:rsidR="00303D27" w:rsidRPr="00150C31" w14:paraId="4D0315F3" w14:textId="77777777" w:rsidTr="00FB0C67">
        <w:tblPrEx>
          <w:jc w:val="center"/>
        </w:tblPrEx>
        <w:trPr>
          <w:jc w:val="center"/>
        </w:trPr>
        <w:tc>
          <w:tcPr>
            <w:tcW w:w="7677" w:type="dxa"/>
          </w:tcPr>
          <w:p w14:paraId="6FACA356" w14:textId="0734AA22" w:rsidR="00303D27" w:rsidRPr="00150C31" w:rsidRDefault="00303D27" w:rsidP="00303D27">
            <w:pPr>
              <w:pStyle w:val="Tableheadingrow9pt"/>
              <w:rPr>
                <w:color w:val="auto"/>
                <w:sz w:val="19"/>
                <w:szCs w:val="19"/>
              </w:rPr>
            </w:pPr>
            <w:r w:rsidRPr="00150C31">
              <w:rPr>
                <w:color w:val="auto"/>
                <w:sz w:val="19"/>
                <w:szCs w:val="19"/>
              </w:rPr>
              <w:t>National Health Funding Body (NHFB)</w:t>
            </w:r>
            <w:r w:rsidRPr="00150C31">
              <w:rPr>
                <w:rStyle w:val="FootnoteReference"/>
                <w:color w:val="auto"/>
                <w:sz w:val="19"/>
                <w:szCs w:val="19"/>
              </w:rPr>
              <w:footnoteReference w:id="2"/>
            </w:r>
          </w:p>
        </w:tc>
      </w:tr>
      <w:tr w:rsidR="00FE6768" w:rsidRPr="00150C31" w14:paraId="2045DBBC" w14:textId="77777777" w:rsidTr="00FB0C67">
        <w:tblPrEx>
          <w:jc w:val="center"/>
        </w:tblPrEx>
        <w:trPr>
          <w:jc w:val="center"/>
        </w:trPr>
        <w:tc>
          <w:tcPr>
            <w:tcW w:w="7677" w:type="dxa"/>
          </w:tcPr>
          <w:p w14:paraId="3B6EF677" w14:textId="77777777" w:rsidR="002511AD" w:rsidRPr="00150C31" w:rsidRDefault="002511AD" w:rsidP="00263703">
            <w:pPr>
              <w:pStyle w:val="Tableheadingrow9pt"/>
              <w:rPr>
                <w:rFonts w:ascii="Book Antiqua" w:hAnsi="Book Antiqua"/>
                <w:color w:val="auto"/>
                <w:sz w:val="19"/>
                <w:szCs w:val="19"/>
              </w:rPr>
            </w:pPr>
            <w:r w:rsidRPr="00150C31">
              <w:rPr>
                <w:rFonts w:ascii="Book Antiqua" w:hAnsi="Book Antiqua"/>
                <w:color w:val="auto"/>
                <w:sz w:val="19"/>
                <w:szCs w:val="19"/>
              </w:rPr>
              <w:t>Program 1.1: National Health Funding Pool Administration</w:t>
            </w:r>
          </w:p>
          <w:p w14:paraId="2AF1FB63" w14:textId="5FE71007" w:rsidR="002511AD" w:rsidRPr="00150C31" w:rsidRDefault="002511AD" w:rsidP="00DC0B21">
            <w:pPr>
              <w:pStyle w:val="Tableheadingrow9pt"/>
              <w:rPr>
                <w:b w:val="0"/>
                <w:color w:val="auto"/>
                <w:sz w:val="19"/>
                <w:szCs w:val="19"/>
              </w:rPr>
            </w:pPr>
            <w:r w:rsidRPr="00150C31">
              <w:rPr>
                <w:rFonts w:ascii="Book Antiqua" w:hAnsi="Book Antiqua"/>
                <w:b w:val="0"/>
                <w:color w:val="auto"/>
                <w:sz w:val="19"/>
                <w:szCs w:val="19"/>
              </w:rPr>
              <w:t xml:space="preserve">The </w:t>
            </w:r>
            <w:r w:rsidR="001E4EA2" w:rsidRPr="00150C31">
              <w:rPr>
                <w:rFonts w:ascii="Book Antiqua" w:hAnsi="Book Antiqua"/>
                <w:b w:val="0"/>
                <w:color w:val="auto"/>
                <w:sz w:val="19"/>
                <w:szCs w:val="19"/>
              </w:rPr>
              <w:t>Department of Health and Aged Care</w:t>
            </w:r>
            <w:r w:rsidRPr="00150C31">
              <w:rPr>
                <w:rFonts w:ascii="Book Antiqua" w:hAnsi="Book Antiqua"/>
                <w:b w:val="0"/>
                <w:color w:val="auto"/>
                <w:sz w:val="19"/>
                <w:szCs w:val="19"/>
              </w:rPr>
              <w:t xml:space="preserve"> has lead responsibility for the integrity of health benefits claims and associated compliance activit</w:t>
            </w:r>
            <w:r w:rsidR="00DC0B21" w:rsidRPr="00150C31">
              <w:rPr>
                <w:rFonts w:ascii="Book Antiqua" w:hAnsi="Book Antiqua"/>
                <w:b w:val="0"/>
                <w:color w:val="auto"/>
                <w:sz w:val="19"/>
                <w:szCs w:val="19"/>
              </w:rPr>
              <w:t xml:space="preserve">ies. The </w:t>
            </w:r>
            <w:r w:rsidR="00EB2754" w:rsidRPr="00150C31">
              <w:rPr>
                <w:rFonts w:ascii="Book Antiqua" w:hAnsi="Book Antiqua"/>
                <w:b w:val="0"/>
                <w:color w:val="auto"/>
                <w:sz w:val="19"/>
                <w:szCs w:val="19"/>
              </w:rPr>
              <w:t xml:space="preserve">NHFB </w:t>
            </w:r>
            <w:r w:rsidR="00DC0B21" w:rsidRPr="00150C31">
              <w:rPr>
                <w:rFonts w:ascii="Book Antiqua" w:hAnsi="Book Antiqua"/>
                <w:b w:val="0"/>
                <w:color w:val="auto"/>
                <w:sz w:val="19"/>
                <w:szCs w:val="19"/>
              </w:rPr>
              <w:t>Administrator and</w:t>
            </w:r>
            <w:r w:rsidR="00203C45" w:rsidRPr="00150C31">
              <w:rPr>
                <w:rFonts w:ascii="Book Antiqua" w:hAnsi="Book Antiqua"/>
                <w:b w:val="0"/>
                <w:color w:val="auto"/>
                <w:sz w:val="19"/>
                <w:szCs w:val="19"/>
              </w:rPr>
              <w:t xml:space="preserve"> the</w:t>
            </w:r>
            <w:r w:rsidR="00DC0B21" w:rsidRPr="00150C31">
              <w:rPr>
                <w:rFonts w:ascii="Book Antiqua" w:hAnsi="Book Antiqua"/>
                <w:b w:val="0"/>
                <w:color w:val="auto"/>
                <w:sz w:val="19"/>
                <w:szCs w:val="19"/>
              </w:rPr>
              <w:t xml:space="preserve"> NHFB </w:t>
            </w:r>
            <w:r w:rsidRPr="00150C31">
              <w:rPr>
                <w:rFonts w:ascii="Book Antiqua" w:hAnsi="Book Antiqua"/>
                <w:b w:val="0"/>
                <w:color w:val="auto"/>
                <w:sz w:val="19"/>
                <w:szCs w:val="19"/>
              </w:rPr>
              <w:t>work with the Commonwealth, states and territories on data matching and the identification of potential duplicate payments through other Commonwealth funded programs to ensure the same public hospital service is not funded twice (2.6).</w:t>
            </w:r>
          </w:p>
        </w:tc>
      </w:tr>
      <w:tr w:rsidR="00303D27" w:rsidRPr="00150C31" w14:paraId="6E6D6AFB" w14:textId="77777777" w:rsidTr="00FB0C67">
        <w:tblPrEx>
          <w:jc w:val="center"/>
        </w:tblPrEx>
        <w:trPr>
          <w:jc w:val="center"/>
        </w:trPr>
        <w:tc>
          <w:tcPr>
            <w:tcW w:w="7677" w:type="dxa"/>
          </w:tcPr>
          <w:p w14:paraId="6D1F8CE7" w14:textId="3B31F0BD" w:rsidR="00303D27" w:rsidRPr="00150C31" w:rsidRDefault="00303D27" w:rsidP="00303D27">
            <w:pPr>
              <w:pStyle w:val="Tableheadingrow9pt"/>
              <w:rPr>
                <w:color w:val="auto"/>
                <w:sz w:val="19"/>
                <w:szCs w:val="19"/>
              </w:rPr>
            </w:pPr>
            <w:r w:rsidRPr="00150C31">
              <w:rPr>
                <w:color w:val="auto"/>
                <w:sz w:val="19"/>
                <w:szCs w:val="19"/>
              </w:rPr>
              <w:t>Professional Services Review (PSR)</w:t>
            </w:r>
            <w:r w:rsidRPr="00150C31">
              <w:rPr>
                <w:rStyle w:val="FootnoteReference"/>
                <w:color w:val="auto"/>
                <w:sz w:val="19"/>
                <w:szCs w:val="19"/>
              </w:rPr>
              <w:footnoteReference w:id="3"/>
            </w:r>
          </w:p>
        </w:tc>
      </w:tr>
      <w:tr w:rsidR="00FE6768" w:rsidRPr="00150C31" w14:paraId="24D5B9BB" w14:textId="77777777" w:rsidTr="00FB0C67">
        <w:tblPrEx>
          <w:jc w:val="center"/>
        </w:tblPrEx>
        <w:trPr>
          <w:jc w:val="center"/>
        </w:trPr>
        <w:tc>
          <w:tcPr>
            <w:tcW w:w="7677" w:type="dxa"/>
          </w:tcPr>
          <w:p w14:paraId="11A6D048" w14:textId="77777777" w:rsidR="00C746B7" w:rsidRPr="00150C31" w:rsidRDefault="00C746B7" w:rsidP="00C746B7">
            <w:pPr>
              <w:pStyle w:val="Tableheadingrow9pt"/>
              <w:rPr>
                <w:rFonts w:ascii="Book Antiqua" w:hAnsi="Book Antiqua"/>
                <w:color w:val="auto"/>
                <w:sz w:val="19"/>
                <w:szCs w:val="19"/>
              </w:rPr>
            </w:pPr>
            <w:r w:rsidRPr="00150C31">
              <w:rPr>
                <w:rFonts w:ascii="Book Antiqua" w:hAnsi="Book Antiqua"/>
                <w:color w:val="auto"/>
                <w:sz w:val="19"/>
                <w:szCs w:val="19"/>
              </w:rPr>
              <w:t>Program 1.1: Safeguarding the Integrity of the Medicare Program and Pharmaceutical Benefits Scheme</w:t>
            </w:r>
          </w:p>
          <w:p w14:paraId="47911B6B" w14:textId="43B2F6CA" w:rsidR="00C746B7" w:rsidRPr="00150C31" w:rsidRDefault="00C746B7" w:rsidP="0008610E">
            <w:pPr>
              <w:pStyle w:val="Tableheadingrow9pt"/>
              <w:rPr>
                <w:rFonts w:ascii="Book Antiqua" w:hAnsi="Book Antiqua"/>
                <w:b w:val="0"/>
                <w:color w:val="auto"/>
                <w:sz w:val="19"/>
                <w:szCs w:val="19"/>
              </w:rPr>
            </w:pPr>
            <w:r w:rsidRPr="00150C31">
              <w:rPr>
                <w:rFonts w:ascii="Book Antiqua" w:hAnsi="Book Antiqua"/>
                <w:b w:val="0"/>
                <w:color w:val="auto"/>
                <w:sz w:val="19"/>
                <w:szCs w:val="19"/>
              </w:rPr>
              <w:t>The PSR contributes to the integrity of the Medicare program</w:t>
            </w:r>
            <w:r w:rsidR="0008610E" w:rsidRPr="00150C31">
              <w:rPr>
                <w:rFonts w:ascii="Book Antiqua" w:hAnsi="Book Antiqua"/>
                <w:b w:val="0"/>
                <w:color w:val="auto"/>
                <w:sz w:val="19"/>
                <w:szCs w:val="19"/>
              </w:rPr>
              <w:t>,</w:t>
            </w:r>
            <w:r w:rsidRPr="00150C31">
              <w:rPr>
                <w:rFonts w:ascii="Book Antiqua" w:hAnsi="Book Antiqua"/>
                <w:b w:val="0"/>
                <w:color w:val="auto"/>
                <w:sz w:val="19"/>
                <w:szCs w:val="19"/>
              </w:rPr>
              <w:t xml:space="preserve"> the Pharmaceutical Benefits Scheme </w:t>
            </w:r>
            <w:r w:rsidR="0008610E" w:rsidRPr="00150C31">
              <w:rPr>
                <w:rFonts w:ascii="Book Antiqua" w:hAnsi="Book Antiqua"/>
                <w:b w:val="0"/>
                <w:color w:val="auto"/>
                <w:sz w:val="19"/>
                <w:szCs w:val="19"/>
              </w:rPr>
              <w:t xml:space="preserve">and the Child Dental Benefits Schedule </w:t>
            </w:r>
            <w:r w:rsidRPr="00150C31">
              <w:rPr>
                <w:rFonts w:ascii="Book Antiqua" w:hAnsi="Book Antiqua"/>
                <w:b w:val="0"/>
                <w:color w:val="auto"/>
                <w:sz w:val="19"/>
                <w:szCs w:val="19"/>
              </w:rPr>
              <w:t>by investigating health practitioners suspected of inappropriate practice on request from the Chief Executive Medicare and determining any sanctions to be applied (</w:t>
            </w:r>
            <w:r w:rsidR="00051198" w:rsidRPr="00150C31">
              <w:rPr>
                <w:rFonts w:ascii="Book Antiqua" w:hAnsi="Book Antiqua"/>
                <w:b w:val="0"/>
                <w:color w:val="auto"/>
                <w:sz w:val="19"/>
                <w:szCs w:val="19"/>
              </w:rPr>
              <w:t>2</w:t>
            </w:r>
            <w:r w:rsidRPr="00150C31">
              <w:rPr>
                <w:rFonts w:ascii="Book Antiqua" w:hAnsi="Book Antiqua"/>
                <w:b w:val="0"/>
                <w:color w:val="auto"/>
                <w:sz w:val="19"/>
                <w:szCs w:val="19"/>
              </w:rPr>
              <w:t>.1</w:t>
            </w:r>
            <w:r w:rsidR="0008610E" w:rsidRPr="00150C31">
              <w:rPr>
                <w:rFonts w:ascii="Book Antiqua" w:hAnsi="Book Antiqua"/>
                <w:b w:val="0"/>
                <w:color w:val="auto"/>
                <w:sz w:val="19"/>
                <w:szCs w:val="19"/>
              </w:rPr>
              <w:t>, 2.5</w:t>
            </w:r>
            <w:r w:rsidRPr="00150C31">
              <w:rPr>
                <w:rFonts w:ascii="Book Antiqua" w:hAnsi="Book Antiqua"/>
                <w:b w:val="0"/>
                <w:color w:val="auto"/>
                <w:sz w:val="19"/>
                <w:szCs w:val="19"/>
              </w:rPr>
              <w:t xml:space="preserve"> and </w:t>
            </w:r>
            <w:r w:rsidR="00051198" w:rsidRPr="00150C31">
              <w:rPr>
                <w:rFonts w:ascii="Book Antiqua" w:hAnsi="Book Antiqua"/>
                <w:b w:val="0"/>
                <w:color w:val="auto"/>
                <w:sz w:val="19"/>
                <w:szCs w:val="19"/>
              </w:rPr>
              <w:t>2.6</w:t>
            </w:r>
            <w:r w:rsidRPr="00150C31">
              <w:rPr>
                <w:rFonts w:ascii="Book Antiqua" w:hAnsi="Book Antiqua"/>
                <w:b w:val="0"/>
                <w:color w:val="auto"/>
                <w:sz w:val="19"/>
                <w:szCs w:val="19"/>
              </w:rPr>
              <w:t>).</w:t>
            </w:r>
          </w:p>
        </w:tc>
      </w:tr>
    </w:tbl>
    <w:p w14:paraId="66AB2632" w14:textId="77777777" w:rsidR="00303D27" w:rsidRPr="00150C31" w:rsidRDefault="00303D27">
      <w:pPr>
        <w:rPr>
          <w:sz w:val="19"/>
          <w:szCs w:val="19"/>
        </w:rPr>
      </w:pPr>
      <w:r w:rsidRPr="00150C31">
        <w:rPr>
          <w:b/>
          <w:sz w:val="19"/>
          <w:szCs w:val="19"/>
        </w:rPr>
        <w:br w:type="page"/>
      </w:r>
    </w:p>
    <w:tbl>
      <w:tblPr>
        <w:tblStyle w:val="TableGrid"/>
        <w:tblW w:w="7677" w:type="dxa"/>
        <w:jc w:val="center"/>
        <w:tblLayout w:type="fixed"/>
        <w:tblLook w:val="04A0" w:firstRow="1" w:lastRow="0" w:firstColumn="1" w:lastColumn="0" w:noHBand="0" w:noVBand="1"/>
        <w:tblCaption w:val="Linked Programs: Outcome 2"/>
        <w:tblDescription w:val="Lists linked programs for Outcome 2 and how other Commonwealth entities contribute to Outcome 2"/>
      </w:tblPr>
      <w:tblGrid>
        <w:gridCol w:w="7677"/>
      </w:tblGrid>
      <w:tr w:rsidR="00303D27" w:rsidRPr="00150C31" w14:paraId="70BE3B4D" w14:textId="77777777" w:rsidTr="00303D27">
        <w:trPr>
          <w:jc w:val="center"/>
        </w:trPr>
        <w:tc>
          <w:tcPr>
            <w:tcW w:w="7677" w:type="dxa"/>
            <w:shd w:val="clear" w:color="auto" w:fill="D9D9D9" w:themeFill="background1" w:themeFillShade="D9"/>
          </w:tcPr>
          <w:p w14:paraId="5E835E1C" w14:textId="0DA2FCCD" w:rsidR="00303D27" w:rsidRPr="00150C31" w:rsidRDefault="00303D27" w:rsidP="00EB28AA">
            <w:pPr>
              <w:pStyle w:val="Tableheadingrow9pt"/>
              <w:ind w:left="284" w:hanging="284"/>
              <w:rPr>
                <w:color w:val="auto"/>
                <w:sz w:val="19"/>
                <w:szCs w:val="19"/>
              </w:rPr>
            </w:pPr>
            <w:r w:rsidRPr="00150C31">
              <w:rPr>
                <w:color w:val="auto"/>
                <w:sz w:val="20"/>
                <w:szCs w:val="19"/>
              </w:rPr>
              <w:lastRenderedPageBreak/>
              <w:t>Other Commonwealth entities that contribute to Outcome 2</w:t>
            </w:r>
          </w:p>
        </w:tc>
      </w:tr>
      <w:tr w:rsidR="00303D27" w:rsidRPr="00150C31" w14:paraId="6744E40C" w14:textId="77777777" w:rsidTr="00FB0C67">
        <w:trPr>
          <w:jc w:val="center"/>
        </w:trPr>
        <w:tc>
          <w:tcPr>
            <w:tcW w:w="7677" w:type="dxa"/>
          </w:tcPr>
          <w:p w14:paraId="3A79A1E7" w14:textId="32519B71" w:rsidR="00303D27" w:rsidRPr="00150C31" w:rsidRDefault="00303D27" w:rsidP="00303D27">
            <w:pPr>
              <w:pStyle w:val="Tableheadingrow9pt"/>
              <w:ind w:left="284" w:hanging="284"/>
              <w:rPr>
                <w:color w:val="auto"/>
                <w:sz w:val="19"/>
                <w:szCs w:val="19"/>
              </w:rPr>
            </w:pPr>
            <w:r w:rsidRPr="00150C31">
              <w:rPr>
                <w:color w:val="auto"/>
                <w:sz w:val="19"/>
                <w:szCs w:val="19"/>
              </w:rPr>
              <w:t>Services Australia</w:t>
            </w:r>
          </w:p>
        </w:tc>
      </w:tr>
      <w:tr w:rsidR="00FE6768" w:rsidRPr="00150C31" w14:paraId="6416D9EE" w14:textId="77777777" w:rsidTr="00FB0C67">
        <w:trPr>
          <w:jc w:val="center"/>
        </w:trPr>
        <w:tc>
          <w:tcPr>
            <w:tcW w:w="7677" w:type="dxa"/>
          </w:tcPr>
          <w:p w14:paraId="4208B513" w14:textId="3C46DB56" w:rsidR="00C746B7" w:rsidRPr="00150C31" w:rsidRDefault="00C746B7" w:rsidP="00E16695">
            <w:pPr>
              <w:pStyle w:val="Tableheadingrow9pt"/>
              <w:rPr>
                <w:rFonts w:ascii="Book Antiqua" w:hAnsi="Book Antiqua"/>
                <w:color w:val="auto"/>
                <w:sz w:val="19"/>
                <w:szCs w:val="19"/>
              </w:rPr>
            </w:pPr>
            <w:r w:rsidRPr="00150C31">
              <w:rPr>
                <w:rFonts w:ascii="Book Antiqua" w:hAnsi="Book Antiqua"/>
                <w:color w:val="auto"/>
                <w:sz w:val="19"/>
                <w:szCs w:val="19"/>
              </w:rPr>
              <w:t xml:space="preserve">Program 1.2: </w:t>
            </w:r>
            <w:r w:rsidR="00747767" w:rsidRPr="00150C31">
              <w:rPr>
                <w:rFonts w:ascii="Book Antiqua" w:hAnsi="Book Antiqua"/>
                <w:color w:val="auto"/>
                <w:sz w:val="19"/>
                <w:szCs w:val="19"/>
              </w:rPr>
              <w:t>Customer Service Delivery</w:t>
            </w:r>
          </w:p>
          <w:p w14:paraId="30A83AC9" w14:textId="77777777" w:rsidR="00487EC4" w:rsidRPr="00150C31" w:rsidRDefault="007D561F" w:rsidP="00E16695">
            <w:pPr>
              <w:pStyle w:val="Tableheadingrow9pt"/>
              <w:rPr>
                <w:rFonts w:ascii="Book Antiqua" w:hAnsi="Book Antiqua"/>
                <w:color w:val="auto"/>
                <w:sz w:val="19"/>
                <w:szCs w:val="19"/>
              </w:rPr>
            </w:pPr>
            <w:r w:rsidRPr="00150C31">
              <w:rPr>
                <w:rFonts w:ascii="Book Antiqua" w:hAnsi="Book Antiqua"/>
                <w:color w:val="auto"/>
                <w:sz w:val="19"/>
                <w:szCs w:val="19"/>
              </w:rPr>
              <w:t>Program 1.3: Technology and Transformation</w:t>
            </w:r>
          </w:p>
          <w:p w14:paraId="631769D9" w14:textId="12277C83" w:rsidR="00C746B7" w:rsidRPr="00150C31" w:rsidRDefault="00C746B7" w:rsidP="00E16695">
            <w:pPr>
              <w:pStyle w:val="Tableheadingrow9pt"/>
              <w:rPr>
                <w:color w:val="auto"/>
                <w:sz w:val="19"/>
                <w:szCs w:val="19"/>
              </w:rPr>
            </w:pPr>
            <w:r w:rsidRPr="00150C31">
              <w:rPr>
                <w:rFonts w:ascii="Book Antiqua" w:hAnsi="Book Antiqua"/>
                <w:b w:val="0"/>
                <w:color w:val="auto"/>
                <w:sz w:val="19"/>
                <w:szCs w:val="19"/>
              </w:rPr>
              <w:t xml:space="preserve">Services Australia administers </w:t>
            </w:r>
            <w:r w:rsidR="00DC0B21" w:rsidRPr="00150C31">
              <w:rPr>
                <w:rFonts w:ascii="Book Antiqua" w:hAnsi="Book Antiqua"/>
                <w:b w:val="0"/>
                <w:color w:val="auto"/>
                <w:sz w:val="19"/>
                <w:szCs w:val="19"/>
              </w:rPr>
              <w:t>payments to eligible recipients</w:t>
            </w:r>
            <w:r w:rsidRPr="00150C31">
              <w:rPr>
                <w:rFonts w:ascii="Book Antiqua" w:hAnsi="Book Antiqua"/>
                <w:b w:val="0"/>
                <w:color w:val="auto"/>
                <w:sz w:val="19"/>
                <w:szCs w:val="19"/>
              </w:rPr>
              <w:t xml:space="preserve"> under the following programs:</w:t>
            </w:r>
          </w:p>
          <w:p w14:paraId="1444A2C5" w14:textId="6D1F31AA" w:rsidR="00C746B7" w:rsidRPr="00150C31" w:rsidRDefault="00C746B7" w:rsidP="00AB0E45">
            <w:pPr>
              <w:pStyle w:val="Tabletextnormal9pt"/>
              <w:numPr>
                <w:ilvl w:val="0"/>
                <w:numId w:val="3"/>
              </w:numPr>
              <w:spacing w:after="0"/>
              <w:ind w:left="284" w:hanging="284"/>
              <w:rPr>
                <w:rFonts w:ascii="Book Antiqua" w:hAnsi="Book Antiqua"/>
                <w:color w:val="auto"/>
                <w:sz w:val="19"/>
                <w:szCs w:val="19"/>
              </w:rPr>
            </w:pPr>
            <w:r w:rsidRPr="00150C31">
              <w:rPr>
                <w:rFonts w:ascii="Book Antiqua" w:hAnsi="Book Antiqua"/>
                <w:color w:val="auto"/>
                <w:sz w:val="19"/>
                <w:szCs w:val="19"/>
              </w:rPr>
              <w:t>Medicare services and benefit payments, and related Medicare Benefits Schedule items (</w:t>
            </w:r>
            <w:r w:rsidR="00051198" w:rsidRPr="00150C31">
              <w:rPr>
                <w:rFonts w:ascii="Book Antiqua" w:hAnsi="Book Antiqua"/>
                <w:color w:val="auto"/>
                <w:sz w:val="19"/>
                <w:szCs w:val="19"/>
              </w:rPr>
              <w:t>2</w:t>
            </w:r>
            <w:r w:rsidRPr="00150C31">
              <w:rPr>
                <w:rFonts w:ascii="Book Antiqua" w:hAnsi="Book Antiqua"/>
                <w:color w:val="auto"/>
                <w:sz w:val="19"/>
                <w:szCs w:val="19"/>
              </w:rPr>
              <w:t>.1)</w:t>
            </w:r>
          </w:p>
          <w:p w14:paraId="2825197D" w14:textId="60C138CC" w:rsidR="00C746B7" w:rsidRPr="00150C31" w:rsidRDefault="00103C8C"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e</w:t>
            </w:r>
            <w:r w:rsidR="00C746B7" w:rsidRPr="00150C31">
              <w:rPr>
                <w:rFonts w:ascii="Book Antiqua" w:hAnsi="Book Antiqua"/>
                <w:color w:val="auto"/>
                <w:sz w:val="19"/>
                <w:szCs w:val="19"/>
              </w:rPr>
              <w:t>xternal breast prostheses reimbursements (</w:t>
            </w:r>
            <w:r w:rsidR="00051198" w:rsidRPr="00150C31">
              <w:rPr>
                <w:rFonts w:ascii="Book Antiqua" w:hAnsi="Book Antiqua"/>
                <w:color w:val="auto"/>
                <w:sz w:val="19"/>
                <w:szCs w:val="19"/>
              </w:rPr>
              <w:t>2</w:t>
            </w:r>
            <w:r w:rsidR="00C746B7" w:rsidRPr="00150C31">
              <w:rPr>
                <w:rFonts w:ascii="Book Antiqua" w:hAnsi="Book Antiqua"/>
                <w:color w:val="auto"/>
                <w:sz w:val="19"/>
                <w:szCs w:val="19"/>
              </w:rPr>
              <w:t>.1)</w:t>
            </w:r>
          </w:p>
          <w:p w14:paraId="324F938C" w14:textId="6FACD5A1" w:rsidR="00C746B7" w:rsidRPr="00150C31" w:rsidRDefault="00103C8C"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e</w:t>
            </w:r>
            <w:r w:rsidR="00C746B7" w:rsidRPr="00150C31">
              <w:rPr>
                <w:rFonts w:ascii="Book Antiqua" w:hAnsi="Book Antiqua"/>
                <w:color w:val="auto"/>
                <w:sz w:val="19"/>
                <w:szCs w:val="19"/>
              </w:rPr>
              <w:t>x-gratia payments for the Disaster Health Care Assistance Scheme (</w:t>
            </w:r>
            <w:r w:rsidR="00051198" w:rsidRPr="00150C31">
              <w:rPr>
                <w:rFonts w:ascii="Book Antiqua" w:hAnsi="Book Antiqua"/>
                <w:color w:val="auto"/>
                <w:sz w:val="19"/>
                <w:szCs w:val="19"/>
              </w:rPr>
              <w:t>2</w:t>
            </w:r>
            <w:r w:rsidR="00C746B7" w:rsidRPr="00150C31">
              <w:rPr>
                <w:rFonts w:ascii="Book Antiqua" w:hAnsi="Book Antiqua"/>
                <w:color w:val="auto"/>
                <w:sz w:val="19"/>
                <w:szCs w:val="19"/>
              </w:rPr>
              <w:t>.1)</w:t>
            </w:r>
          </w:p>
          <w:p w14:paraId="677B2440" w14:textId="548C746D" w:rsidR="00C746B7" w:rsidRPr="00150C31" w:rsidRDefault="00C746B7"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Hearing Services Program payments for voucher services and devices (</w:t>
            </w:r>
            <w:r w:rsidR="00051198" w:rsidRPr="00150C31">
              <w:rPr>
                <w:rFonts w:ascii="Book Antiqua" w:hAnsi="Book Antiqua"/>
                <w:color w:val="auto"/>
                <w:sz w:val="19"/>
                <w:szCs w:val="19"/>
              </w:rPr>
              <w:t>2</w:t>
            </w:r>
            <w:r w:rsidRPr="00150C31">
              <w:rPr>
                <w:rFonts w:ascii="Book Antiqua" w:hAnsi="Book Antiqua"/>
                <w:color w:val="auto"/>
                <w:sz w:val="19"/>
                <w:szCs w:val="19"/>
              </w:rPr>
              <w:t>.2)</w:t>
            </w:r>
          </w:p>
          <w:p w14:paraId="7A2AA169" w14:textId="2B5B6C04" w:rsidR="00C746B7" w:rsidRPr="00150C31" w:rsidRDefault="00103C8C"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t</w:t>
            </w:r>
            <w:r w:rsidR="00C746B7" w:rsidRPr="00150C31">
              <w:rPr>
                <w:rFonts w:ascii="Book Antiqua" w:hAnsi="Book Antiqua"/>
                <w:color w:val="auto"/>
                <w:sz w:val="19"/>
                <w:szCs w:val="19"/>
              </w:rPr>
              <w:t>he Pharmaceutical Benefits Scheme (</w:t>
            </w:r>
            <w:r w:rsidR="00051198" w:rsidRPr="00150C31">
              <w:rPr>
                <w:rFonts w:ascii="Book Antiqua" w:hAnsi="Book Antiqua"/>
                <w:color w:val="auto"/>
                <w:sz w:val="19"/>
                <w:szCs w:val="19"/>
              </w:rPr>
              <w:t>2</w:t>
            </w:r>
            <w:r w:rsidR="00C746B7" w:rsidRPr="00150C31">
              <w:rPr>
                <w:rFonts w:ascii="Book Antiqua" w:hAnsi="Book Antiqua"/>
                <w:color w:val="auto"/>
                <w:sz w:val="19"/>
                <w:szCs w:val="19"/>
              </w:rPr>
              <w:t>.3)</w:t>
            </w:r>
          </w:p>
          <w:p w14:paraId="507F2424" w14:textId="6D4B96F0" w:rsidR="00C746B7" w:rsidRPr="00150C31" w:rsidRDefault="00C746B7"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Lifetime Health Cover mail out and the private health insurance rebate (</w:t>
            </w:r>
            <w:r w:rsidR="00051198" w:rsidRPr="00150C31">
              <w:rPr>
                <w:rFonts w:ascii="Book Antiqua" w:hAnsi="Book Antiqua"/>
                <w:color w:val="auto"/>
                <w:sz w:val="19"/>
                <w:szCs w:val="19"/>
              </w:rPr>
              <w:t>2</w:t>
            </w:r>
            <w:r w:rsidRPr="00150C31">
              <w:rPr>
                <w:rFonts w:ascii="Book Antiqua" w:hAnsi="Book Antiqua"/>
                <w:color w:val="auto"/>
                <w:sz w:val="19"/>
                <w:szCs w:val="19"/>
              </w:rPr>
              <w:t>.4)</w:t>
            </w:r>
          </w:p>
          <w:p w14:paraId="159F39B3" w14:textId="07EA6BF4" w:rsidR="00C746B7" w:rsidRPr="00150C31" w:rsidRDefault="00103C8C" w:rsidP="00AB0E45">
            <w:pPr>
              <w:pStyle w:val="Tabletextnormal9pt"/>
              <w:numPr>
                <w:ilvl w:val="0"/>
                <w:numId w:val="3"/>
              </w:numPr>
              <w:spacing w:before="0" w:after="0"/>
              <w:ind w:left="284" w:hanging="284"/>
              <w:rPr>
                <w:rFonts w:ascii="Book Antiqua" w:hAnsi="Book Antiqua"/>
                <w:color w:val="auto"/>
                <w:sz w:val="19"/>
                <w:szCs w:val="19"/>
              </w:rPr>
            </w:pPr>
            <w:r w:rsidRPr="00150C31">
              <w:rPr>
                <w:rFonts w:ascii="Book Antiqua" w:hAnsi="Book Antiqua"/>
                <w:color w:val="auto"/>
                <w:sz w:val="19"/>
                <w:szCs w:val="19"/>
              </w:rPr>
              <w:t>t</w:t>
            </w:r>
            <w:r w:rsidR="00C746B7" w:rsidRPr="00150C31">
              <w:rPr>
                <w:rFonts w:ascii="Book Antiqua" w:hAnsi="Book Antiqua"/>
                <w:color w:val="auto"/>
                <w:sz w:val="19"/>
                <w:szCs w:val="19"/>
              </w:rPr>
              <w:t xml:space="preserve">he Child Dental Benefits Schedule </w:t>
            </w:r>
            <w:r w:rsidR="00051198" w:rsidRPr="00150C31">
              <w:rPr>
                <w:rFonts w:ascii="Book Antiqua" w:hAnsi="Book Antiqua"/>
                <w:color w:val="auto"/>
                <w:sz w:val="19"/>
                <w:szCs w:val="19"/>
              </w:rPr>
              <w:t>(</w:t>
            </w:r>
            <w:r w:rsidR="00AB4E83" w:rsidRPr="00150C31">
              <w:rPr>
                <w:rFonts w:ascii="Book Antiqua" w:hAnsi="Book Antiqua"/>
                <w:color w:val="auto"/>
                <w:sz w:val="19"/>
                <w:szCs w:val="19"/>
              </w:rPr>
              <w:t>2.5</w:t>
            </w:r>
            <w:r w:rsidR="00C746B7" w:rsidRPr="00150C31">
              <w:rPr>
                <w:rFonts w:ascii="Book Antiqua" w:hAnsi="Book Antiqua"/>
                <w:color w:val="auto"/>
                <w:sz w:val="19"/>
                <w:szCs w:val="19"/>
              </w:rPr>
              <w:t>)</w:t>
            </w:r>
          </w:p>
          <w:p w14:paraId="187538F5" w14:textId="6189B608" w:rsidR="00C746B7" w:rsidRPr="00150C31" w:rsidRDefault="00103C8C" w:rsidP="00FA10A5">
            <w:pPr>
              <w:pStyle w:val="Tabletextnormal9pt"/>
              <w:numPr>
                <w:ilvl w:val="0"/>
                <w:numId w:val="3"/>
              </w:numPr>
              <w:spacing w:before="0"/>
              <w:ind w:left="284" w:hanging="284"/>
              <w:rPr>
                <w:color w:val="auto"/>
                <w:sz w:val="19"/>
                <w:szCs w:val="19"/>
              </w:rPr>
            </w:pPr>
            <w:r w:rsidRPr="00150C31">
              <w:rPr>
                <w:rFonts w:ascii="Book Antiqua" w:hAnsi="Book Antiqua"/>
                <w:color w:val="auto"/>
                <w:sz w:val="19"/>
                <w:szCs w:val="19"/>
              </w:rPr>
              <w:t>p</w:t>
            </w:r>
            <w:r w:rsidR="00C746B7" w:rsidRPr="00150C31">
              <w:rPr>
                <w:rFonts w:ascii="Book Antiqua" w:hAnsi="Book Antiqua"/>
                <w:color w:val="auto"/>
                <w:sz w:val="19"/>
                <w:szCs w:val="19"/>
              </w:rPr>
              <w:t xml:space="preserve">ayment of claims from stoma associations for stoma-related </w:t>
            </w:r>
            <w:r w:rsidR="00FA10A5" w:rsidRPr="00150C31">
              <w:rPr>
                <w:rFonts w:ascii="Book Antiqua" w:hAnsi="Book Antiqua"/>
                <w:color w:val="auto"/>
                <w:sz w:val="19"/>
                <w:szCs w:val="19"/>
              </w:rPr>
              <w:t xml:space="preserve">products </w:t>
            </w:r>
            <w:r w:rsidR="00C746B7" w:rsidRPr="00150C31">
              <w:rPr>
                <w:rFonts w:ascii="Book Antiqua" w:hAnsi="Book Antiqua"/>
                <w:color w:val="auto"/>
                <w:sz w:val="19"/>
                <w:szCs w:val="19"/>
              </w:rPr>
              <w:t>(</w:t>
            </w:r>
            <w:r w:rsidR="00AB4E83" w:rsidRPr="00150C31">
              <w:rPr>
                <w:rFonts w:ascii="Book Antiqua" w:hAnsi="Book Antiqua"/>
                <w:color w:val="auto"/>
                <w:sz w:val="19"/>
                <w:szCs w:val="19"/>
              </w:rPr>
              <w:t>2</w:t>
            </w:r>
            <w:r w:rsidR="00051198" w:rsidRPr="00150C31">
              <w:rPr>
                <w:rFonts w:ascii="Book Antiqua" w:hAnsi="Book Antiqua"/>
                <w:color w:val="auto"/>
                <w:sz w:val="19"/>
                <w:szCs w:val="19"/>
              </w:rPr>
              <w:t>.7</w:t>
            </w:r>
            <w:r w:rsidR="00C746B7" w:rsidRPr="00150C31">
              <w:rPr>
                <w:rFonts w:ascii="Book Antiqua" w:hAnsi="Book Antiqua"/>
                <w:color w:val="auto"/>
                <w:sz w:val="19"/>
                <w:szCs w:val="19"/>
              </w:rPr>
              <w:t>).</w:t>
            </w:r>
          </w:p>
        </w:tc>
      </w:tr>
    </w:tbl>
    <w:p w14:paraId="0E24863B" w14:textId="77777777" w:rsidR="004860E1" w:rsidRPr="00FE6768" w:rsidRDefault="004860E1" w:rsidP="004860E1">
      <w:pPr>
        <w:rPr>
          <w:color w:val="auto"/>
          <w:sz w:val="20"/>
          <w:lang w:eastAsia="en-US"/>
        </w:rPr>
      </w:pPr>
      <w:r w:rsidRPr="00FE6768">
        <w:rPr>
          <w:color w:val="auto"/>
        </w:rPr>
        <w:br w:type="page"/>
      </w:r>
    </w:p>
    <w:p w14:paraId="49BD48BF" w14:textId="2128EEEE" w:rsidR="00590938" w:rsidRPr="00DC720F" w:rsidRDefault="00590938" w:rsidP="00590938">
      <w:pPr>
        <w:pStyle w:val="Tablenumberandreference"/>
        <w:spacing w:before="120" w:after="60"/>
        <w:rPr>
          <w:b w:val="0"/>
          <w:bCs/>
          <w:i/>
          <w:iCs/>
          <w:color w:val="auto"/>
        </w:rPr>
      </w:pPr>
      <w:r w:rsidRPr="00DC720F">
        <w:rPr>
          <w:b w:val="0"/>
          <w:bCs/>
          <w:i/>
          <w:iCs/>
          <w:color w:val="auto"/>
        </w:rPr>
        <w:lastRenderedPageBreak/>
        <w:t xml:space="preserve">Budgeted expenses for Outcome </w:t>
      </w:r>
      <w:r>
        <w:rPr>
          <w:b w:val="0"/>
          <w:bCs/>
          <w:i/>
          <w:iCs/>
          <w:color w:val="auto"/>
        </w:rPr>
        <w:t>2</w:t>
      </w:r>
    </w:p>
    <w:p w14:paraId="7D9CB5E7" w14:textId="77777777" w:rsidR="00590938" w:rsidRPr="00DC720F" w:rsidRDefault="00590938" w:rsidP="00590938">
      <w:pPr>
        <w:pStyle w:val="NormalBookAntiqua"/>
        <w:rPr>
          <w:color w:val="auto"/>
          <w:sz w:val="19"/>
          <w:szCs w:val="19"/>
        </w:rPr>
      </w:pPr>
      <w:r w:rsidRPr="00DC720F">
        <w:rPr>
          <w:color w:val="auto"/>
          <w:sz w:val="19"/>
          <w:szCs w:val="19"/>
        </w:rPr>
        <w:t>This table shows how much the entity intends to spend (on an accrual basis) on achieving the outcome, broken down by program, as well as by Administered and Departmental funding sources.</w:t>
      </w:r>
    </w:p>
    <w:p w14:paraId="0AE42614" w14:textId="79016D71" w:rsidR="00A80015" w:rsidRDefault="00590938" w:rsidP="00A04900">
      <w:pPr>
        <w:pStyle w:val="Tablenumberandreference"/>
        <w:keepNext/>
        <w:spacing w:before="120"/>
        <w:rPr>
          <w:color w:val="auto"/>
        </w:rPr>
      </w:pPr>
      <w:r w:rsidRPr="00685583">
        <w:rPr>
          <w:color w:val="auto"/>
        </w:rPr>
        <w:t>Table 2.</w:t>
      </w:r>
      <w:r>
        <w:rPr>
          <w:color w:val="auto"/>
        </w:rPr>
        <w:t>2</w:t>
      </w:r>
      <w:r w:rsidRPr="00685583">
        <w:rPr>
          <w:color w:val="auto"/>
        </w:rPr>
        <w:t xml:space="preserve">.1: Budgeted </w:t>
      </w:r>
      <w:r>
        <w:rPr>
          <w:color w:val="auto"/>
        </w:rPr>
        <w:t>e</w:t>
      </w:r>
      <w:r w:rsidRPr="00685583">
        <w:rPr>
          <w:color w:val="auto"/>
        </w:rPr>
        <w:t xml:space="preserve">xpenses for Outcome </w:t>
      </w:r>
      <w:r>
        <w:rPr>
          <w:color w:val="auto"/>
        </w:rPr>
        <w:t>2</w:t>
      </w:r>
    </w:p>
    <w:tbl>
      <w:tblPr>
        <w:tblW w:w="7370" w:type="dxa"/>
        <w:jc w:val="center"/>
        <w:tblLayout w:type="fixed"/>
        <w:tblLook w:val="04A0" w:firstRow="1" w:lastRow="0" w:firstColumn="1" w:lastColumn="0" w:noHBand="0" w:noVBand="1"/>
      </w:tblPr>
      <w:tblGrid>
        <w:gridCol w:w="2614"/>
        <w:gridCol w:w="895"/>
        <w:gridCol w:w="897"/>
        <w:gridCol w:w="988"/>
        <w:gridCol w:w="988"/>
        <w:gridCol w:w="988"/>
      </w:tblGrid>
      <w:tr w:rsidR="00C56907" w:rsidRPr="00C56907" w14:paraId="407E2139" w14:textId="77777777" w:rsidTr="00C56907">
        <w:trPr>
          <w:trHeight w:val="765"/>
          <w:jc w:val="center"/>
        </w:trPr>
        <w:tc>
          <w:tcPr>
            <w:tcW w:w="2614" w:type="dxa"/>
            <w:tcBorders>
              <w:top w:val="single" w:sz="4" w:space="0" w:color="auto"/>
              <w:left w:val="nil"/>
              <w:bottom w:val="nil"/>
              <w:right w:val="nil"/>
            </w:tcBorders>
            <w:shd w:val="clear" w:color="auto" w:fill="auto"/>
            <w:hideMark/>
          </w:tcPr>
          <w:p w14:paraId="1A736062" w14:textId="77777777" w:rsidR="00C56907" w:rsidRPr="00C56907" w:rsidRDefault="00C56907" w:rsidP="00C56907">
            <w:pPr>
              <w:spacing w:after="0"/>
              <w:jc w:val="right"/>
              <w:rPr>
                <w:b/>
                <w:bCs/>
                <w:color w:val="auto"/>
                <w:sz w:val="16"/>
                <w:szCs w:val="16"/>
              </w:rPr>
            </w:pPr>
            <w:r w:rsidRPr="00C56907">
              <w:rPr>
                <w:b/>
                <w:bCs/>
                <w:color w:val="auto"/>
                <w:sz w:val="16"/>
                <w:szCs w:val="16"/>
              </w:rPr>
              <w:t> </w:t>
            </w:r>
          </w:p>
        </w:tc>
        <w:tc>
          <w:tcPr>
            <w:tcW w:w="895" w:type="dxa"/>
            <w:tcBorders>
              <w:top w:val="single" w:sz="4" w:space="0" w:color="auto"/>
              <w:left w:val="nil"/>
              <w:bottom w:val="single" w:sz="4" w:space="0" w:color="auto"/>
              <w:right w:val="nil"/>
            </w:tcBorders>
            <w:shd w:val="clear" w:color="auto" w:fill="auto"/>
            <w:tcMar>
              <w:left w:w="0" w:type="dxa"/>
            </w:tcMar>
            <w:hideMark/>
          </w:tcPr>
          <w:p w14:paraId="574548EC" w14:textId="77777777" w:rsidR="00C56907" w:rsidRPr="00C56907" w:rsidRDefault="00C56907" w:rsidP="00C56907">
            <w:pPr>
              <w:spacing w:after="0"/>
              <w:jc w:val="right"/>
              <w:rPr>
                <w:b/>
                <w:bCs/>
                <w:color w:val="auto"/>
                <w:sz w:val="16"/>
                <w:szCs w:val="16"/>
              </w:rPr>
            </w:pPr>
            <w:r w:rsidRPr="00C56907">
              <w:rPr>
                <w:b/>
                <w:bCs/>
                <w:color w:val="auto"/>
                <w:sz w:val="16"/>
                <w:szCs w:val="16"/>
              </w:rPr>
              <w:t>2022–23</w:t>
            </w:r>
            <w:r w:rsidRPr="00C56907">
              <w:rPr>
                <w:b/>
                <w:bCs/>
                <w:color w:val="auto"/>
                <w:sz w:val="16"/>
                <w:szCs w:val="16"/>
              </w:rPr>
              <w:br/>
              <w:t>Estimated actual</w:t>
            </w:r>
            <w:r w:rsidRPr="00C56907">
              <w:rPr>
                <w:b/>
                <w:bCs/>
                <w:color w:val="auto"/>
                <w:sz w:val="16"/>
                <w:szCs w:val="16"/>
              </w:rPr>
              <w:br/>
              <w:t>$'000</w:t>
            </w:r>
          </w:p>
        </w:tc>
        <w:tc>
          <w:tcPr>
            <w:tcW w:w="897" w:type="dxa"/>
            <w:tcBorders>
              <w:top w:val="single" w:sz="4" w:space="0" w:color="auto"/>
              <w:left w:val="nil"/>
              <w:bottom w:val="single" w:sz="4" w:space="0" w:color="auto"/>
              <w:right w:val="nil"/>
            </w:tcBorders>
            <w:shd w:val="clear" w:color="000000" w:fill="D9D9D9"/>
            <w:hideMark/>
          </w:tcPr>
          <w:p w14:paraId="180B5DDA" w14:textId="77777777" w:rsidR="00C56907" w:rsidRPr="00C56907" w:rsidRDefault="00C56907" w:rsidP="00C56907">
            <w:pPr>
              <w:spacing w:after="0"/>
              <w:jc w:val="right"/>
              <w:rPr>
                <w:b/>
                <w:bCs/>
                <w:color w:val="auto"/>
                <w:sz w:val="16"/>
                <w:szCs w:val="16"/>
              </w:rPr>
            </w:pPr>
            <w:r w:rsidRPr="00C56907">
              <w:rPr>
                <w:b/>
                <w:bCs/>
                <w:color w:val="auto"/>
                <w:sz w:val="16"/>
                <w:szCs w:val="16"/>
              </w:rPr>
              <w:t>2023–24 Budget</w:t>
            </w:r>
            <w:r w:rsidRPr="00C56907">
              <w:rPr>
                <w:b/>
                <w:bCs/>
                <w:color w:val="auto"/>
                <w:sz w:val="16"/>
                <w:szCs w:val="16"/>
              </w:rPr>
              <w:br/>
            </w:r>
            <w:r w:rsidRPr="00C56907">
              <w:rPr>
                <w:b/>
                <w:bCs/>
                <w:color w:val="auto"/>
                <w:sz w:val="16"/>
                <w:szCs w:val="16"/>
              </w:rPr>
              <w:br/>
              <w:t>$'000</w:t>
            </w:r>
          </w:p>
        </w:tc>
        <w:tc>
          <w:tcPr>
            <w:tcW w:w="988" w:type="dxa"/>
            <w:tcBorders>
              <w:top w:val="single" w:sz="4" w:space="0" w:color="auto"/>
              <w:left w:val="nil"/>
              <w:bottom w:val="single" w:sz="4" w:space="0" w:color="auto"/>
              <w:right w:val="nil"/>
            </w:tcBorders>
            <w:shd w:val="clear" w:color="auto" w:fill="auto"/>
            <w:hideMark/>
          </w:tcPr>
          <w:p w14:paraId="071C3F0D" w14:textId="77777777" w:rsidR="00C56907" w:rsidRPr="00C56907" w:rsidRDefault="00C56907" w:rsidP="00C56907">
            <w:pPr>
              <w:spacing w:after="0"/>
              <w:jc w:val="right"/>
              <w:rPr>
                <w:b/>
                <w:bCs/>
                <w:color w:val="auto"/>
                <w:sz w:val="16"/>
                <w:szCs w:val="16"/>
              </w:rPr>
            </w:pPr>
            <w:r w:rsidRPr="00C56907">
              <w:rPr>
                <w:b/>
                <w:bCs/>
                <w:color w:val="auto"/>
                <w:sz w:val="16"/>
                <w:szCs w:val="16"/>
              </w:rPr>
              <w:t>2024–25 Forward estimate</w:t>
            </w:r>
            <w:r w:rsidRPr="00C56907">
              <w:rPr>
                <w:b/>
                <w:bCs/>
                <w:color w:val="auto"/>
                <w:sz w:val="16"/>
                <w:szCs w:val="16"/>
              </w:rPr>
              <w:br/>
              <w:t>$'000</w:t>
            </w:r>
          </w:p>
        </w:tc>
        <w:tc>
          <w:tcPr>
            <w:tcW w:w="988" w:type="dxa"/>
            <w:tcBorders>
              <w:top w:val="single" w:sz="4" w:space="0" w:color="auto"/>
              <w:left w:val="nil"/>
              <w:bottom w:val="single" w:sz="4" w:space="0" w:color="auto"/>
              <w:right w:val="nil"/>
            </w:tcBorders>
            <w:shd w:val="clear" w:color="auto" w:fill="auto"/>
            <w:hideMark/>
          </w:tcPr>
          <w:p w14:paraId="61AB9ACE" w14:textId="77777777" w:rsidR="00C56907" w:rsidRPr="00C56907" w:rsidRDefault="00C56907" w:rsidP="00C56907">
            <w:pPr>
              <w:spacing w:after="0"/>
              <w:jc w:val="right"/>
              <w:rPr>
                <w:b/>
                <w:bCs/>
                <w:color w:val="auto"/>
                <w:sz w:val="16"/>
                <w:szCs w:val="16"/>
              </w:rPr>
            </w:pPr>
            <w:r w:rsidRPr="00C56907">
              <w:rPr>
                <w:b/>
                <w:bCs/>
                <w:color w:val="auto"/>
                <w:sz w:val="16"/>
                <w:szCs w:val="16"/>
              </w:rPr>
              <w:t>2025–26 Forward estimate</w:t>
            </w:r>
            <w:r w:rsidRPr="00C56907">
              <w:rPr>
                <w:b/>
                <w:bCs/>
                <w:color w:val="auto"/>
                <w:sz w:val="16"/>
                <w:szCs w:val="16"/>
              </w:rPr>
              <w:br/>
              <w:t>$'000</w:t>
            </w:r>
          </w:p>
        </w:tc>
        <w:tc>
          <w:tcPr>
            <w:tcW w:w="988" w:type="dxa"/>
            <w:tcBorders>
              <w:top w:val="single" w:sz="4" w:space="0" w:color="auto"/>
              <w:left w:val="nil"/>
              <w:bottom w:val="single" w:sz="4" w:space="0" w:color="auto"/>
              <w:right w:val="nil"/>
            </w:tcBorders>
            <w:shd w:val="clear" w:color="auto" w:fill="auto"/>
            <w:hideMark/>
          </w:tcPr>
          <w:p w14:paraId="0F5EBCD0" w14:textId="77777777" w:rsidR="00C56907" w:rsidRPr="00C56907" w:rsidRDefault="00C56907" w:rsidP="00C56907">
            <w:pPr>
              <w:spacing w:after="0"/>
              <w:jc w:val="right"/>
              <w:rPr>
                <w:b/>
                <w:bCs/>
                <w:color w:val="auto"/>
                <w:sz w:val="16"/>
                <w:szCs w:val="16"/>
              </w:rPr>
            </w:pPr>
            <w:r w:rsidRPr="00C56907">
              <w:rPr>
                <w:b/>
                <w:bCs/>
                <w:color w:val="auto"/>
                <w:sz w:val="16"/>
                <w:szCs w:val="16"/>
              </w:rPr>
              <w:t>2026–27 Forward estimate</w:t>
            </w:r>
            <w:r w:rsidRPr="00C56907">
              <w:rPr>
                <w:b/>
                <w:bCs/>
                <w:color w:val="auto"/>
                <w:sz w:val="16"/>
                <w:szCs w:val="16"/>
              </w:rPr>
              <w:br/>
              <w:t>$'000</w:t>
            </w:r>
          </w:p>
        </w:tc>
      </w:tr>
      <w:tr w:rsidR="00C56907" w:rsidRPr="00C56907" w14:paraId="3B21E857" w14:textId="77777777" w:rsidTr="00C56907">
        <w:trPr>
          <w:trHeight w:val="227"/>
          <w:jc w:val="center"/>
        </w:trPr>
        <w:tc>
          <w:tcPr>
            <w:tcW w:w="2614" w:type="dxa"/>
            <w:tcBorders>
              <w:top w:val="nil"/>
              <w:left w:val="nil"/>
              <w:bottom w:val="nil"/>
              <w:right w:val="nil"/>
            </w:tcBorders>
            <w:shd w:val="clear" w:color="auto" w:fill="auto"/>
            <w:noWrap/>
            <w:vAlign w:val="bottom"/>
            <w:hideMark/>
          </w:tcPr>
          <w:p w14:paraId="41CD613F" w14:textId="77777777" w:rsidR="00C56907" w:rsidRPr="00C56907" w:rsidRDefault="00C56907" w:rsidP="00C56907">
            <w:pPr>
              <w:spacing w:before="0" w:after="0"/>
              <w:rPr>
                <w:b/>
                <w:bCs/>
                <w:color w:val="auto"/>
                <w:sz w:val="16"/>
                <w:szCs w:val="16"/>
              </w:rPr>
            </w:pPr>
            <w:r w:rsidRPr="00C56907">
              <w:rPr>
                <w:b/>
                <w:bCs/>
                <w:color w:val="auto"/>
                <w:sz w:val="16"/>
                <w:szCs w:val="16"/>
              </w:rPr>
              <w:t>Program 2.1: Medical Benefits</w:t>
            </w:r>
          </w:p>
        </w:tc>
        <w:tc>
          <w:tcPr>
            <w:tcW w:w="895" w:type="dxa"/>
            <w:tcBorders>
              <w:top w:val="nil"/>
              <w:left w:val="nil"/>
              <w:bottom w:val="nil"/>
              <w:right w:val="nil"/>
            </w:tcBorders>
            <w:shd w:val="clear" w:color="auto" w:fill="auto"/>
            <w:noWrap/>
            <w:vAlign w:val="bottom"/>
            <w:hideMark/>
          </w:tcPr>
          <w:p w14:paraId="7F188A0C" w14:textId="77777777" w:rsidR="00C56907" w:rsidRPr="00C56907" w:rsidRDefault="00C56907" w:rsidP="00C56907">
            <w:pPr>
              <w:spacing w:before="0" w:after="0"/>
              <w:rPr>
                <w:b/>
                <w:bCs/>
                <w:color w:val="auto"/>
                <w:sz w:val="16"/>
                <w:szCs w:val="16"/>
              </w:rPr>
            </w:pPr>
          </w:p>
        </w:tc>
        <w:tc>
          <w:tcPr>
            <w:tcW w:w="897" w:type="dxa"/>
            <w:tcBorders>
              <w:top w:val="nil"/>
              <w:left w:val="nil"/>
              <w:bottom w:val="nil"/>
              <w:right w:val="nil"/>
            </w:tcBorders>
            <w:shd w:val="clear" w:color="auto" w:fill="auto"/>
            <w:noWrap/>
            <w:vAlign w:val="bottom"/>
            <w:hideMark/>
          </w:tcPr>
          <w:p w14:paraId="6B74D83B"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vAlign w:val="bottom"/>
            <w:hideMark/>
          </w:tcPr>
          <w:p w14:paraId="7C984298"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vAlign w:val="bottom"/>
            <w:hideMark/>
          </w:tcPr>
          <w:p w14:paraId="783FC876"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vAlign w:val="bottom"/>
            <w:hideMark/>
          </w:tcPr>
          <w:p w14:paraId="41FA51D3"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3ADD8DD2" w14:textId="77777777" w:rsidTr="00C56907">
        <w:trPr>
          <w:trHeight w:val="283"/>
          <w:jc w:val="center"/>
        </w:trPr>
        <w:tc>
          <w:tcPr>
            <w:tcW w:w="2614" w:type="dxa"/>
            <w:tcBorders>
              <w:top w:val="nil"/>
              <w:left w:val="nil"/>
              <w:bottom w:val="nil"/>
              <w:right w:val="nil"/>
            </w:tcBorders>
            <w:shd w:val="clear" w:color="auto" w:fill="auto"/>
            <w:noWrap/>
            <w:vAlign w:val="bottom"/>
            <w:hideMark/>
          </w:tcPr>
          <w:p w14:paraId="1EDB1F89"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Administered expenses</w:t>
            </w:r>
          </w:p>
        </w:tc>
        <w:tc>
          <w:tcPr>
            <w:tcW w:w="895" w:type="dxa"/>
            <w:tcBorders>
              <w:top w:val="nil"/>
              <w:left w:val="nil"/>
              <w:bottom w:val="nil"/>
              <w:right w:val="nil"/>
            </w:tcBorders>
            <w:shd w:val="clear" w:color="auto" w:fill="auto"/>
            <w:noWrap/>
            <w:vAlign w:val="bottom"/>
            <w:hideMark/>
          </w:tcPr>
          <w:p w14:paraId="57557AA6" w14:textId="77777777" w:rsidR="00C56907" w:rsidRPr="00C56907" w:rsidRDefault="00C56907" w:rsidP="00C56907">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vAlign w:val="bottom"/>
            <w:hideMark/>
          </w:tcPr>
          <w:p w14:paraId="054F0EC5"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vAlign w:val="bottom"/>
            <w:hideMark/>
          </w:tcPr>
          <w:p w14:paraId="44F65496"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vAlign w:val="bottom"/>
            <w:hideMark/>
          </w:tcPr>
          <w:p w14:paraId="3917E119"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vAlign w:val="bottom"/>
            <w:hideMark/>
          </w:tcPr>
          <w:p w14:paraId="6423576B"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6FA09587"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609684FB" w14:textId="77777777" w:rsidR="00C56907" w:rsidRPr="00C56907" w:rsidRDefault="00C56907" w:rsidP="00C56907">
            <w:pPr>
              <w:spacing w:before="0" w:after="0"/>
              <w:ind w:firstLineChars="200" w:firstLine="320"/>
              <w:rPr>
                <w:color w:val="auto"/>
                <w:sz w:val="16"/>
                <w:szCs w:val="16"/>
              </w:rPr>
            </w:pPr>
            <w:r w:rsidRPr="00C56907">
              <w:rPr>
                <w:color w:val="auto"/>
                <w:sz w:val="16"/>
                <w:szCs w:val="16"/>
              </w:rPr>
              <w:t xml:space="preserve">Ordinary annual services </w:t>
            </w:r>
            <w:r w:rsidRPr="00C56907">
              <w:rPr>
                <w:color w:val="auto"/>
                <w:sz w:val="16"/>
                <w:szCs w:val="16"/>
                <w:vertAlign w:val="superscript"/>
              </w:rPr>
              <w:t>(a)</w:t>
            </w:r>
          </w:p>
        </w:tc>
        <w:tc>
          <w:tcPr>
            <w:tcW w:w="895" w:type="dxa"/>
            <w:tcBorders>
              <w:top w:val="nil"/>
              <w:left w:val="nil"/>
              <w:bottom w:val="nil"/>
              <w:right w:val="nil"/>
            </w:tcBorders>
            <w:shd w:val="clear" w:color="auto" w:fill="auto"/>
            <w:noWrap/>
            <w:tcMar>
              <w:right w:w="57" w:type="dxa"/>
            </w:tcMar>
            <w:vAlign w:val="bottom"/>
            <w:hideMark/>
          </w:tcPr>
          <w:p w14:paraId="09788D45" w14:textId="77777777" w:rsidR="00C56907" w:rsidRPr="00C56907" w:rsidRDefault="00C56907" w:rsidP="00C56907">
            <w:pPr>
              <w:spacing w:before="0" w:after="0"/>
              <w:jc w:val="right"/>
              <w:rPr>
                <w:color w:val="auto"/>
                <w:sz w:val="16"/>
                <w:szCs w:val="16"/>
              </w:rPr>
            </w:pPr>
            <w:r w:rsidRPr="00C56907">
              <w:rPr>
                <w:color w:val="auto"/>
                <w:sz w:val="16"/>
                <w:szCs w:val="16"/>
              </w:rPr>
              <w:t>152,323</w:t>
            </w:r>
          </w:p>
        </w:tc>
        <w:tc>
          <w:tcPr>
            <w:tcW w:w="897" w:type="dxa"/>
            <w:tcBorders>
              <w:top w:val="nil"/>
              <w:left w:val="nil"/>
              <w:bottom w:val="nil"/>
              <w:right w:val="nil"/>
            </w:tcBorders>
            <w:shd w:val="clear" w:color="000000" w:fill="D9D9D9"/>
            <w:noWrap/>
            <w:tcMar>
              <w:right w:w="57" w:type="dxa"/>
            </w:tcMar>
            <w:vAlign w:val="bottom"/>
            <w:hideMark/>
          </w:tcPr>
          <w:p w14:paraId="70D03BBF" w14:textId="77777777" w:rsidR="00C56907" w:rsidRPr="00C56907" w:rsidRDefault="00C56907" w:rsidP="00C56907">
            <w:pPr>
              <w:spacing w:before="0" w:after="0"/>
              <w:jc w:val="right"/>
              <w:rPr>
                <w:color w:val="auto"/>
                <w:sz w:val="16"/>
                <w:szCs w:val="16"/>
              </w:rPr>
            </w:pPr>
            <w:r w:rsidRPr="00C56907">
              <w:rPr>
                <w:color w:val="auto"/>
                <w:sz w:val="16"/>
                <w:szCs w:val="16"/>
              </w:rPr>
              <w:t>121,637</w:t>
            </w:r>
          </w:p>
        </w:tc>
        <w:tc>
          <w:tcPr>
            <w:tcW w:w="988" w:type="dxa"/>
            <w:tcBorders>
              <w:top w:val="nil"/>
              <w:left w:val="nil"/>
              <w:bottom w:val="nil"/>
              <w:right w:val="nil"/>
            </w:tcBorders>
            <w:shd w:val="clear" w:color="auto" w:fill="auto"/>
            <w:noWrap/>
            <w:tcMar>
              <w:right w:w="57" w:type="dxa"/>
            </w:tcMar>
            <w:vAlign w:val="bottom"/>
            <w:hideMark/>
          </w:tcPr>
          <w:p w14:paraId="7F910A9D" w14:textId="77777777" w:rsidR="00C56907" w:rsidRPr="00C56907" w:rsidRDefault="00C56907" w:rsidP="00C56907">
            <w:pPr>
              <w:spacing w:before="0" w:after="0"/>
              <w:jc w:val="right"/>
              <w:rPr>
                <w:color w:val="auto"/>
                <w:sz w:val="16"/>
                <w:szCs w:val="16"/>
              </w:rPr>
            </w:pPr>
            <w:r w:rsidRPr="00C56907">
              <w:rPr>
                <w:color w:val="auto"/>
                <w:sz w:val="16"/>
                <w:szCs w:val="16"/>
              </w:rPr>
              <w:t>107,566</w:t>
            </w:r>
          </w:p>
        </w:tc>
        <w:tc>
          <w:tcPr>
            <w:tcW w:w="988" w:type="dxa"/>
            <w:tcBorders>
              <w:top w:val="nil"/>
              <w:left w:val="nil"/>
              <w:bottom w:val="nil"/>
              <w:right w:val="nil"/>
            </w:tcBorders>
            <w:shd w:val="clear" w:color="auto" w:fill="auto"/>
            <w:noWrap/>
            <w:tcMar>
              <w:right w:w="57" w:type="dxa"/>
            </w:tcMar>
            <w:vAlign w:val="bottom"/>
            <w:hideMark/>
          </w:tcPr>
          <w:p w14:paraId="7A512F87" w14:textId="77777777" w:rsidR="00C56907" w:rsidRPr="00C56907" w:rsidRDefault="00C56907" w:rsidP="00C56907">
            <w:pPr>
              <w:spacing w:before="0" w:after="0"/>
              <w:jc w:val="right"/>
              <w:rPr>
                <w:color w:val="auto"/>
                <w:sz w:val="16"/>
                <w:szCs w:val="16"/>
              </w:rPr>
            </w:pPr>
            <w:r w:rsidRPr="00C56907">
              <w:rPr>
                <w:color w:val="auto"/>
                <w:sz w:val="16"/>
                <w:szCs w:val="16"/>
              </w:rPr>
              <w:t>106,344</w:t>
            </w:r>
          </w:p>
        </w:tc>
        <w:tc>
          <w:tcPr>
            <w:tcW w:w="988" w:type="dxa"/>
            <w:tcBorders>
              <w:top w:val="nil"/>
              <w:left w:val="nil"/>
              <w:bottom w:val="nil"/>
              <w:right w:val="nil"/>
            </w:tcBorders>
            <w:shd w:val="clear" w:color="auto" w:fill="auto"/>
            <w:noWrap/>
            <w:tcMar>
              <w:right w:w="57" w:type="dxa"/>
            </w:tcMar>
            <w:vAlign w:val="bottom"/>
            <w:hideMark/>
          </w:tcPr>
          <w:p w14:paraId="1799500C" w14:textId="77777777" w:rsidR="00C56907" w:rsidRPr="00C56907" w:rsidRDefault="00C56907" w:rsidP="00C56907">
            <w:pPr>
              <w:spacing w:before="0" w:after="0"/>
              <w:jc w:val="right"/>
              <w:rPr>
                <w:color w:val="auto"/>
                <w:sz w:val="16"/>
                <w:szCs w:val="16"/>
              </w:rPr>
            </w:pPr>
            <w:r w:rsidRPr="00C56907">
              <w:rPr>
                <w:color w:val="auto"/>
                <w:sz w:val="16"/>
                <w:szCs w:val="16"/>
              </w:rPr>
              <w:t>107,287</w:t>
            </w:r>
          </w:p>
        </w:tc>
      </w:tr>
      <w:tr w:rsidR="00C56907" w:rsidRPr="00C56907" w14:paraId="1F93B74D"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7E954C95" w14:textId="77777777" w:rsidR="00C56907" w:rsidRPr="00C56907" w:rsidRDefault="00C56907" w:rsidP="00C56907">
            <w:pPr>
              <w:spacing w:before="0" w:after="0"/>
              <w:ind w:firstLineChars="200" w:firstLine="320"/>
              <w:rPr>
                <w:color w:val="auto"/>
                <w:sz w:val="16"/>
                <w:szCs w:val="16"/>
              </w:rPr>
            </w:pPr>
            <w:r w:rsidRPr="00C56907">
              <w:rPr>
                <w:color w:val="auto"/>
                <w:sz w:val="16"/>
                <w:szCs w:val="16"/>
              </w:rPr>
              <w:t>Special account</w:t>
            </w:r>
          </w:p>
        </w:tc>
        <w:tc>
          <w:tcPr>
            <w:tcW w:w="895" w:type="dxa"/>
            <w:tcBorders>
              <w:top w:val="nil"/>
              <w:left w:val="nil"/>
              <w:bottom w:val="nil"/>
              <w:right w:val="nil"/>
            </w:tcBorders>
            <w:shd w:val="clear" w:color="auto" w:fill="auto"/>
            <w:noWrap/>
            <w:tcMar>
              <w:right w:w="57" w:type="dxa"/>
            </w:tcMar>
            <w:vAlign w:val="bottom"/>
            <w:hideMark/>
          </w:tcPr>
          <w:p w14:paraId="40A7E9BD" w14:textId="77777777" w:rsidR="00C56907" w:rsidRPr="00C56907" w:rsidRDefault="00C56907" w:rsidP="00C56907">
            <w:pPr>
              <w:spacing w:before="0" w:after="0"/>
              <w:ind w:firstLineChars="200" w:firstLine="320"/>
              <w:rPr>
                <w:color w:val="auto"/>
                <w:sz w:val="16"/>
                <w:szCs w:val="16"/>
              </w:rPr>
            </w:pPr>
          </w:p>
        </w:tc>
        <w:tc>
          <w:tcPr>
            <w:tcW w:w="897" w:type="dxa"/>
            <w:tcBorders>
              <w:top w:val="nil"/>
              <w:left w:val="nil"/>
              <w:bottom w:val="nil"/>
              <w:right w:val="nil"/>
            </w:tcBorders>
            <w:shd w:val="clear" w:color="000000" w:fill="D9D9D9"/>
            <w:noWrap/>
            <w:tcMar>
              <w:right w:w="57" w:type="dxa"/>
            </w:tcMar>
            <w:vAlign w:val="bottom"/>
            <w:hideMark/>
          </w:tcPr>
          <w:p w14:paraId="04BECA03"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tcMar>
              <w:right w:w="57" w:type="dxa"/>
            </w:tcMar>
            <w:vAlign w:val="bottom"/>
            <w:hideMark/>
          </w:tcPr>
          <w:p w14:paraId="26587A1B"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tcMar>
              <w:right w:w="57" w:type="dxa"/>
            </w:tcMar>
            <w:vAlign w:val="bottom"/>
            <w:hideMark/>
          </w:tcPr>
          <w:p w14:paraId="2B512D4F"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6443FED2"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4BDF166D" w14:textId="77777777" w:rsidTr="00321D2C">
        <w:trPr>
          <w:trHeight w:val="425"/>
          <w:jc w:val="center"/>
        </w:trPr>
        <w:tc>
          <w:tcPr>
            <w:tcW w:w="2614" w:type="dxa"/>
            <w:tcBorders>
              <w:top w:val="nil"/>
              <w:left w:val="nil"/>
              <w:bottom w:val="nil"/>
              <w:right w:val="nil"/>
            </w:tcBorders>
            <w:shd w:val="clear" w:color="auto" w:fill="auto"/>
            <w:vAlign w:val="bottom"/>
            <w:hideMark/>
          </w:tcPr>
          <w:p w14:paraId="00EBC5DD" w14:textId="77777777" w:rsidR="00C56907" w:rsidRPr="00C56907" w:rsidRDefault="00C56907" w:rsidP="00C56907">
            <w:pPr>
              <w:spacing w:before="0" w:after="0"/>
              <w:ind w:leftChars="225" w:left="405"/>
              <w:rPr>
                <w:color w:val="auto"/>
                <w:sz w:val="16"/>
                <w:szCs w:val="16"/>
              </w:rPr>
            </w:pPr>
            <w:r w:rsidRPr="00C56907">
              <w:rPr>
                <w:color w:val="auto"/>
                <w:sz w:val="16"/>
                <w:szCs w:val="16"/>
              </w:rPr>
              <w:t>Medicare Guarantee Fund</w:t>
            </w:r>
            <w:r w:rsidRPr="00C56907">
              <w:rPr>
                <w:color w:val="auto"/>
                <w:sz w:val="16"/>
                <w:szCs w:val="16"/>
              </w:rPr>
              <w:br/>
              <w:t xml:space="preserve"> - medical benefits</w:t>
            </w:r>
            <w:r w:rsidRPr="00C56907">
              <w:rPr>
                <w:color w:val="auto"/>
                <w:sz w:val="16"/>
                <w:szCs w:val="16"/>
                <w:vertAlign w:val="superscript"/>
              </w:rPr>
              <w:t xml:space="preserve"> </w:t>
            </w:r>
          </w:p>
        </w:tc>
        <w:tc>
          <w:tcPr>
            <w:tcW w:w="895" w:type="dxa"/>
            <w:tcBorders>
              <w:top w:val="nil"/>
              <w:left w:val="nil"/>
              <w:bottom w:val="nil"/>
              <w:right w:val="nil"/>
            </w:tcBorders>
            <w:shd w:val="clear" w:color="auto" w:fill="auto"/>
            <w:noWrap/>
            <w:tcMar>
              <w:left w:w="0" w:type="dxa"/>
              <w:right w:w="57" w:type="dxa"/>
            </w:tcMar>
            <w:vAlign w:val="bottom"/>
            <w:hideMark/>
          </w:tcPr>
          <w:p w14:paraId="70126E4C" w14:textId="77777777" w:rsidR="00C56907" w:rsidRPr="00C56907" w:rsidRDefault="00C56907" w:rsidP="00C56907">
            <w:pPr>
              <w:spacing w:before="0" w:after="0"/>
              <w:jc w:val="right"/>
              <w:rPr>
                <w:color w:val="auto"/>
                <w:sz w:val="16"/>
                <w:szCs w:val="16"/>
              </w:rPr>
            </w:pPr>
            <w:r w:rsidRPr="00C56907">
              <w:rPr>
                <w:color w:val="auto"/>
                <w:sz w:val="16"/>
                <w:szCs w:val="16"/>
              </w:rPr>
              <w:t>28,061,033</w:t>
            </w:r>
          </w:p>
        </w:tc>
        <w:tc>
          <w:tcPr>
            <w:tcW w:w="897" w:type="dxa"/>
            <w:tcBorders>
              <w:top w:val="nil"/>
              <w:left w:val="nil"/>
              <w:bottom w:val="nil"/>
              <w:right w:val="nil"/>
            </w:tcBorders>
            <w:shd w:val="clear" w:color="000000" w:fill="D9D9D9"/>
            <w:noWrap/>
            <w:tcMar>
              <w:left w:w="0" w:type="dxa"/>
              <w:right w:w="57" w:type="dxa"/>
            </w:tcMar>
            <w:vAlign w:val="bottom"/>
            <w:hideMark/>
          </w:tcPr>
          <w:p w14:paraId="0E1E509A" w14:textId="77777777" w:rsidR="00C56907" w:rsidRPr="00C56907" w:rsidRDefault="00C56907" w:rsidP="00C56907">
            <w:pPr>
              <w:spacing w:before="0" w:after="0"/>
              <w:jc w:val="right"/>
              <w:rPr>
                <w:color w:val="auto"/>
                <w:sz w:val="16"/>
                <w:szCs w:val="16"/>
              </w:rPr>
            </w:pPr>
            <w:r w:rsidRPr="00C56907">
              <w:rPr>
                <w:color w:val="auto"/>
                <w:sz w:val="16"/>
                <w:szCs w:val="16"/>
              </w:rPr>
              <w:t>30,246,742</w:t>
            </w:r>
          </w:p>
        </w:tc>
        <w:tc>
          <w:tcPr>
            <w:tcW w:w="988" w:type="dxa"/>
            <w:tcBorders>
              <w:top w:val="nil"/>
              <w:left w:val="nil"/>
              <w:bottom w:val="nil"/>
              <w:right w:val="nil"/>
            </w:tcBorders>
            <w:shd w:val="clear" w:color="auto" w:fill="auto"/>
            <w:noWrap/>
            <w:tcMar>
              <w:left w:w="0" w:type="dxa"/>
              <w:right w:w="57" w:type="dxa"/>
            </w:tcMar>
            <w:vAlign w:val="bottom"/>
            <w:hideMark/>
          </w:tcPr>
          <w:p w14:paraId="3C06CDAE" w14:textId="77777777" w:rsidR="00C56907" w:rsidRPr="00C56907" w:rsidRDefault="00C56907" w:rsidP="00C56907">
            <w:pPr>
              <w:spacing w:before="0" w:after="0"/>
              <w:jc w:val="right"/>
              <w:rPr>
                <w:color w:val="auto"/>
                <w:sz w:val="16"/>
                <w:szCs w:val="16"/>
              </w:rPr>
            </w:pPr>
            <w:r w:rsidRPr="00C56907">
              <w:rPr>
                <w:color w:val="auto"/>
                <w:sz w:val="16"/>
                <w:szCs w:val="16"/>
              </w:rPr>
              <w:t>32,111,112</w:t>
            </w:r>
          </w:p>
        </w:tc>
        <w:tc>
          <w:tcPr>
            <w:tcW w:w="988" w:type="dxa"/>
            <w:tcBorders>
              <w:top w:val="nil"/>
              <w:left w:val="nil"/>
              <w:bottom w:val="nil"/>
              <w:right w:val="nil"/>
            </w:tcBorders>
            <w:shd w:val="clear" w:color="auto" w:fill="auto"/>
            <w:noWrap/>
            <w:tcMar>
              <w:left w:w="0" w:type="dxa"/>
              <w:right w:w="57" w:type="dxa"/>
            </w:tcMar>
            <w:vAlign w:val="bottom"/>
            <w:hideMark/>
          </w:tcPr>
          <w:p w14:paraId="6C0D6CB7" w14:textId="77777777" w:rsidR="00C56907" w:rsidRPr="00C56907" w:rsidRDefault="00C56907" w:rsidP="00C56907">
            <w:pPr>
              <w:spacing w:before="0" w:after="0"/>
              <w:jc w:val="right"/>
              <w:rPr>
                <w:color w:val="auto"/>
                <w:sz w:val="16"/>
                <w:szCs w:val="16"/>
              </w:rPr>
            </w:pPr>
            <w:r w:rsidRPr="00C56907">
              <w:rPr>
                <w:color w:val="auto"/>
                <w:sz w:val="16"/>
                <w:szCs w:val="16"/>
              </w:rPr>
              <w:t>34,001,470</w:t>
            </w:r>
          </w:p>
        </w:tc>
        <w:tc>
          <w:tcPr>
            <w:tcW w:w="988" w:type="dxa"/>
            <w:tcBorders>
              <w:top w:val="nil"/>
              <w:left w:val="nil"/>
              <w:bottom w:val="nil"/>
              <w:right w:val="nil"/>
            </w:tcBorders>
            <w:shd w:val="clear" w:color="auto" w:fill="auto"/>
            <w:noWrap/>
            <w:tcMar>
              <w:left w:w="0" w:type="dxa"/>
              <w:right w:w="57" w:type="dxa"/>
            </w:tcMar>
            <w:vAlign w:val="bottom"/>
            <w:hideMark/>
          </w:tcPr>
          <w:p w14:paraId="5A10A6E2" w14:textId="77777777" w:rsidR="00C56907" w:rsidRPr="00C56907" w:rsidRDefault="00C56907" w:rsidP="00C56907">
            <w:pPr>
              <w:spacing w:before="0" w:after="0"/>
              <w:jc w:val="right"/>
              <w:rPr>
                <w:color w:val="auto"/>
                <w:sz w:val="16"/>
                <w:szCs w:val="16"/>
              </w:rPr>
            </w:pPr>
            <w:r w:rsidRPr="00C56907">
              <w:rPr>
                <w:color w:val="auto"/>
                <w:sz w:val="16"/>
                <w:szCs w:val="16"/>
              </w:rPr>
              <w:t>35,862,416</w:t>
            </w:r>
          </w:p>
        </w:tc>
      </w:tr>
      <w:tr w:rsidR="00C56907" w:rsidRPr="00C56907" w14:paraId="7909A441" w14:textId="77777777" w:rsidTr="00321D2C">
        <w:trPr>
          <w:trHeight w:val="225"/>
          <w:jc w:val="center"/>
        </w:trPr>
        <w:tc>
          <w:tcPr>
            <w:tcW w:w="2614" w:type="dxa"/>
            <w:tcBorders>
              <w:top w:val="nil"/>
              <w:left w:val="nil"/>
              <w:bottom w:val="nil"/>
              <w:right w:val="nil"/>
            </w:tcBorders>
            <w:shd w:val="clear" w:color="auto" w:fill="auto"/>
            <w:vAlign w:val="bottom"/>
            <w:hideMark/>
          </w:tcPr>
          <w:p w14:paraId="486C23C5" w14:textId="77777777" w:rsidR="00C56907" w:rsidRPr="00C56907" w:rsidRDefault="00C56907" w:rsidP="00C56907">
            <w:pPr>
              <w:spacing w:before="0" w:after="0"/>
              <w:ind w:leftChars="225" w:left="405"/>
              <w:rPr>
                <w:color w:val="auto"/>
                <w:sz w:val="16"/>
                <w:szCs w:val="16"/>
              </w:rPr>
            </w:pPr>
            <w:r w:rsidRPr="00C56907">
              <w:rPr>
                <w:color w:val="auto"/>
                <w:sz w:val="16"/>
                <w:szCs w:val="16"/>
              </w:rPr>
              <w:t xml:space="preserve">accrual adjustment </w:t>
            </w:r>
          </w:p>
        </w:tc>
        <w:tc>
          <w:tcPr>
            <w:tcW w:w="895" w:type="dxa"/>
            <w:tcBorders>
              <w:top w:val="nil"/>
              <w:left w:val="nil"/>
              <w:bottom w:val="nil"/>
              <w:right w:val="nil"/>
            </w:tcBorders>
            <w:shd w:val="clear" w:color="auto" w:fill="auto"/>
            <w:noWrap/>
            <w:tcMar>
              <w:right w:w="57" w:type="dxa"/>
            </w:tcMar>
            <w:vAlign w:val="bottom"/>
            <w:hideMark/>
          </w:tcPr>
          <w:p w14:paraId="77A5240A" w14:textId="77777777" w:rsidR="00C56907" w:rsidRPr="00C56907" w:rsidRDefault="00C56907" w:rsidP="00C56907">
            <w:pPr>
              <w:spacing w:before="0" w:after="0"/>
              <w:jc w:val="right"/>
              <w:rPr>
                <w:color w:val="auto"/>
                <w:sz w:val="16"/>
                <w:szCs w:val="16"/>
              </w:rPr>
            </w:pPr>
            <w:r w:rsidRPr="00C56907">
              <w:rPr>
                <w:color w:val="auto"/>
                <w:sz w:val="16"/>
                <w:szCs w:val="16"/>
              </w:rPr>
              <w:t>31,652</w:t>
            </w:r>
          </w:p>
        </w:tc>
        <w:tc>
          <w:tcPr>
            <w:tcW w:w="897" w:type="dxa"/>
            <w:tcBorders>
              <w:top w:val="nil"/>
              <w:left w:val="nil"/>
              <w:bottom w:val="nil"/>
              <w:right w:val="nil"/>
            </w:tcBorders>
            <w:shd w:val="clear" w:color="000000" w:fill="D9D9D9"/>
            <w:noWrap/>
            <w:tcMar>
              <w:right w:w="57" w:type="dxa"/>
            </w:tcMar>
            <w:vAlign w:val="bottom"/>
            <w:hideMark/>
          </w:tcPr>
          <w:p w14:paraId="15648DEB" w14:textId="77777777" w:rsidR="00C56907" w:rsidRPr="00C56907" w:rsidRDefault="00C56907" w:rsidP="00C56907">
            <w:pPr>
              <w:spacing w:before="0" w:after="0"/>
              <w:jc w:val="right"/>
              <w:rPr>
                <w:color w:val="auto"/>
                <w:sz w:val="16"/>
                <w:szCs w:val="16"/>
              </w:rPr>
            </w:pPr>
            <w:r w:rsidRPr="00C56907">
              <w:rPr>
                <w:color w:val="auto"/>
                <w:sz w:val="16"/>
                <w:szCs w:val="16"/>
              </w:rPr>
              <w:t>44,556</w:t>
            </w:r>
          </w:p>
        </w:tc>
        <w:tc>
          <w:tcPr>
            <w:tcW w:w="988" w:type="dxa"/>
            <w:tcBorders>
              <w:top w:val="nil"/>
              <w:left w:val="nil"/>
              <w:bottom w:val="nil"/>
              <w:right w:val="nil"/>
            </w:tcBorders>
            <w:shd w:val="clear" w:color="auto" w:fill="auto"/>
            <w:noWrap/>
            <w:tcMar>
              <w:right w:w="57" w:type="dxa"/>
            </w:tcMar>
            <w:vAlign w:val="bottom"/>
            <w:hideMark/>
          </w:tcPr>
          <w:p w14:paraId="4DA534A1" w14:textId="77777777" w:rsidR="00C56907" w:rsidRPr="00C56907" w:rsidRDefault="00C56907" w:rsidP="00C56907">
            <w:pPr>
              <w:spacing w:before="0" w:after="0"/>
              <w:jc w:val="right"/>
              <w:rPr>
                <w:color w:val="auto"/>
                <w:sz w:val="16"/>
                <w:szCs w:val="16"/>
              </w:rPr>
            </w:pPr>
            <w:r w:rsidRPr="00C56907">
              <w:rPr>
                <w:color w:val="auto"/>
                <w:sz w:val="16"/>
                <w:szCs w:val="16"/>
              </w:rPr>
              <w:t>23,519</w:t>
            </w:r>
          </w:p>
        </w:tc>
        <w:tc>
          <w:tcPr>
            <w:tcW w:w="988" w:type="dxa"/>
            <w:tcBorders>
              <w:top w:val="nil"/>
              <w:left w:val="nil"/>
              <w:bottom w:val="nil"/>
              <w:right w:val="nil"/>
            </w:tcBorders>
            <w:shd w:val="clear" w:color="auto" w:fill="auto"/>
            <w:noWrap/>
            <w:tcMar>
              <w:right w:w="57" w:type="dxa"/>
            </w:tcMar>
            <w:vAlign w:val="bottom"/>
            <w:hideMark/>
          </w:tcPr>
          <w:p w14:paraId="55E0F089" w14:textId="77777777" w:rsidR="00C56907" w:rsidRPr="00C56907" w:rsidRDefault="00C56907" w:rsidP="00C56907">
            <w:pPr>
              <w:spacing w:before="0" w:after="0"/>
              <w:jc w:val="right"/>
              <w:rPr>
                <w:color w:val="auto"/>
                <w:sz w:val="16"/>
                <w:szCs w:val="16"/>
              </w:rPr>
            </w:pPr>
            <w:r w:rsidRPr="00C56907">
              <w:rPr>
                <w:color w:val="auto"/>
                <w:sz w:val="16"/>
                <w:szCs w:val="16"/>
              </w:rPr>
              <w:t>6,551</w:t>
            </w:r>
          </w:p>
        </w:tc>
        <w:tc>
          <w:tcPr>
            <w:tcW w:w="988" w:type="dxa"/>
            <w:tcBorders>
              <w:top w:val="nil"/>
              <w:left w:val="nil"/>
              <w:bottom w:val="nil"/>
              <w:right w:val="nil"/>
            </w:tcBorders>
            <w:shd w:val="clear" w:color="auto" w:fill="auto"/>
            <w:noWrap/>
            <w:tcMar>
              <w:right w:w="57" w:type="dxa"/>
            </w:tcMar>
            <w:vAlign w:val="bottom"/>
            <w:hideMark/>
          </w:tcPr>
          <w:p w14:paraId="31788EC3" w14:textId="77777777" w:rsidR="00C56907" w:rsidRPr="00C56907" w:rsidRDefault="00C56907" w:rsidP="00C56907">
            <w:pPr>
              <w:spacing w:before="0" w:after="0"/>
              <w:jc w:val="right"/>
              <w:rPr>
                <w:color w:val="auto"/>
                <w:sz w:val="16"/>
                <w:szCs w:val="16"/>
              </w:rPr>
            </w:pPr>
            <w:r w:rsidRPr="00C56907">
              <w:rPr>
                <w:color w:val="auto"/>
                <w:sz w:val="16"/>
                <w:szCs w:val="16"/>
              </w:rPr>
              <w:t>5,616</w:t>
            </w:r>
          </w:p>
        </w:tc>
      </w:tr>
      <w:tr w:rsidR="00C56907" w:rsidRPr="00C56907" w14:paraId="68192C3E" w14:textId="77777777" w:rsidTr="00321D2C">
        <w:trPr>
          <w:trHeight w:val="283"/>
          <w:jc w:val="center"/>
        </w:trPr>
        <w:tc>
          <w:tcPr>
            <w:tcW w:w="2614" w:type="dxa"/>
            <w:tcBorders>
              <w:top w:val="nil"/>
              <w:left w:val="nil"/>
              <w:bottom w:val="nil"/>
              <w:right w:val="nil"/>
            </w:tcBorders>
            <w:shd w:val="clear" w:color="auto" w:fill="auto"/>
            <w:noWrap/>
            <w:vAlign w:val="bottom"/>
            <w:hideMark/>
          </w:tcPr>
          <w:p w14:paraId="01EF5484" w14:textId="77777777" w:rsidR="00C56907" w:rsidRPr="00C56907" w:rsidRDefault="00C56907" w:rsidP="00C56907">
            <w:pPr>
              <w:spacing w:before="0" w:after="0"/>
              <w:ind w:firstLineChars="100" w:firstLine="160"/>
              <w:rPr>
                <w:b/>
                <w:bCs/>
                <w:color w:val="auto"/>
                <w:sz w:val="16"/>
                <w:szCs w:val="16"/>
              </w:rPr>
            </w:pPr>
            <w:r w:rsidRPr="00C56907">
              <w:rPr>
                <w:b/>
                <w:bCs/>
                <w:color w:val="auto"/>
                <w:sz w:val="16"/>
                <w:szCs w:val="16"/>
              </w:rPr>
              <w:t>Total for Program 2.1</w:t>
            </w:r>
          </w:p>
        </w:tc>
        <w:tc>
          <w:tcPr>
            <w:tcW w:w="895"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558A0C04" w14:textId="77777777" w:rsidR="00C56907" w:rsidRPr="00C56907" w:rsidRDefault="00C56907" w:rsidP="00C56907">
            <w:pPr>
              <w:spacing w:before="0" w:after="0"/>
              <w:jc w:val="right"/>
              <w:rPr>
                <w:b/>
                <w:bCs/>
                <w:color w:val="auto"/>
                <w:sz w:val="16"/>
                <w:szCs w:val="16"/>
              </w:rPr>
            </w:pPr>
            <w:r w:rsidRPr="00C56907">
              <w:rPr>
                <w:b/>
                <w:bCs/>
                <w:color w:val="auto"/>
                <w:sz w:val="16"/>
                <w:szCs w:val="16"/>
              </w:rPr>
              <w:t>28,245,008</w:t>
            </w:r>
          </w:p>
        </w:tc>
        <w:tc>
          <w:tcPr>
            <w:tcW w:w="897"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2BFBDAE9" w14:textId="77777777" w:rsidR="00C56907" w:rsidRPr="00C56907" w:rsidRDefault="00C56907" w:rsidP="00C56907">
            <w:pPr>
              <w:spacing w:before="0" w:after="0"/>
              <w:jc w:val="right"/>
              <w:rPr>
                <w:b/>
                <w:bCs/>
                <w:color w:val="auto"/>
                <w:sz w:val="16"/>
                <w:szCs w:val="16"/>
              </w:rPr>
            </w:pPr>
            <w:r w:rsidRPr="00C56907">
              <w:rPr>
                <w:b/>
                <w:bCs/>
                <w:color w:val="auto"/>
                <w:sz w:val="16"/>
                <w:szCs w:val="16"/>
              </w:rPr>
              <w:t>30,412,935</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7809E4DF" w14:textId="77777777" w:rsidR="00C56907" w:rsidRPr="00C56907" w:rsidRDefault="00C56907" w:rsidP="00C56907">
            <w:pPr>
              <w:spacing w:before="0" w:after="0"/>
              <w:jc w:val="right"/>
              <w:rPr>
                <w:b/>
                <w:bCs/>
                <w:color w:val="auto"/>
                <w:sz w:val="16"/>
                <w:szCs w:val="16"/>
              </w:rPr>
            </w:pPr>
            <w:r w:rsidRPr="00C56907">
              <w:rPr>
                <w:b/>
                <w:bCs/>
                <w:color w:val="auto"/>
                <w:sz w:val="16"/>
                <w:szCs w:val="16"/>
              </w:rPr>
              <w:t>32,242,197</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2E9E431D" w14:textId="77777777" w:rsidR="00C56907" w:rsidRPr="00C56907" w:rsidRDefault="00C56907" w:rsidP="00C56907">
            <w:pPr>
              <w:spacing w:before="0" w:after="0"/>
              <w:jc w:val="right"/>
              <w:rPr>
                <w:b/>
                <w:bCs/>
                <w:color w:val="auto"/>
                <w:sz w:val="16"/>
                <w:szCs w:val="16"/>
              </w:rPr>
            </w:pPr>
            <w:r w:rsidRPr="00C56907">
              <w:rPr>
                <w:b/>
                <w:bCs/>
                <w:color w:val="auto"/>
                <w:sz w:val="16"/>
                <w:szCs w:val="16"/>
              </w:rPr>
              <w:t>34,114,365</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08816C02" w14:textId="77777777" w:rsidR="00C56907" w:rsidRPr="00C56907" w:rsidRDefault="00C56907" w:rsidP="00C56907">
            <w:pPr>
              <w:spacing w:before="0" w:after="0"/>
              <w:jc w:val="right"/>
              <w:rPr>
                <w:b/>
                <w:bCs/>
                <w:color w:val="auto"/>
                <w:sz w:val="16"/>
                <w:szCs w:val="16"/>
              </w:rPr>
            </w:pPr>
            <w:r w:rsidRPr="00C56907">
              <w:rPr>
                <w:b/>
                <w:bCs/>
                <w:color w:val="auto"/>
                <w:sz w:val="16"/>
                <w:szCs w:val="16"/>
              </w:rPr>
              <w:t>35,975,319</w:t>
            </w:r>
          </w:p>
        </w:tc>
      </w:tr>
      <w:tr w:rsidR="00C56907" w:rsidRPr="00C56907" w14:paraId="278B490D" w14:textId="77777777" w:rsidTr="00321D2C">
        <w:trPr>
          <w:trHeight w:val="300"/>
          <w:jc w:val="center"/>
        </w:trPr>
        <w:tc>
          <w:tcPr>
            <w:tcW w:w="2614" w:type="dxa"/>
            <w:tcBorders>
              <w:top w:val="nil"/>
              <w:left w:val="nil"/>
              <w:bottom w:val="nil"/>
              <w:right w:val="nil"/>
            </w:tcBorders>
            <w:shd w:val="clear" w:color="auto" w:fill="auto"/>
            <w:noWrap/>
            <w:vAlign w:val="bottom"/>
            <w:hideMark/>
          </w:tcPr>
          <w:p w14:paraId="28C3241C" w14:textId="77777777" w:rsidR="00C56907" w:rsidRPr="00C56907" w:rsidRDefault="00C56907" w:rsidP="00C56907">
            <w:pPr>
              <w:spacing w:before="0" w:after="0"/>
              <w:rPr>
                <w:b/>
                <w:bCs/>
                <w:color w:val="auto"/>
                <w:sz w:val="16"/>
                <w:szCs w:val="16"/>
              </w:rPr>
            </w:pPr>
            <w:r w:rsidRPr="00C56907">
              <w:rPr>
                <w:b/>
                <w:bCs/>
                <w:color w:val="auto"/>
                <w:sz w:val="16"/>
                <w:szCs w:val="16"/>
              </w:rPr>
              <w:t>Program 2.2: Hearing Services</w:t>
            </w:r>
          </w:p>
        </w:tc>
        <w:tc>
          <w:tcPr>
            <w:tcW w:w="895" w:type="dxa"/>
            <w:tcBorders>
              <w:top w:val="nil"/>
              <w:left w:val="nil"/>
              <w:bottom w:val="nil"/>
              <w:right w:val="nil"/>
            </w:tcBorders>
            <w:shd w:val="clear" w:color="auto" w:fill="auto"/>
            <w:noWrap/>
            <w:tcMar>
              <w:right w:w="57" w:type="dxa"/>
            </w:tcMar>
            <w:vAlign w:val="bottom"/>
            <w:hideMark/>
          </w:tcPr>
          <w:p w14:paraId="614D1AFD" w14:textId="77777777" w:rsidR="00C56907" w:rsidRPr="00C56907" w:rsidRDefault="00C56907" w:rsidP="00C56907">
            <w:pPr>
              <w:spacing w:before="0" w:after="0"/>
              <w:rPr>
                <w:b/>
                <w:bCs/>
                <w:color w:val="auto"/>
                <w:sz w:val="16"/>
                <w:szCs w:val="16"/>
              </w:rPr>
            </w:pPr>
          </w:p>
        </w:tc>
        <w:tc>
          <w:tcPr>
            <w:tcW w:w="897" w:type="dxa"/>
            <w:tcBorders>
              <w:top w:val="nil"/>
              <w:left w:val="nil"/>
              <w:bottom w:val="nil"/>
              <w:right w:val="nil"/>
            </w:tcBorders>
            <w:shd w:val="clear" w:color="auto" w:fill="auto"/>
            <w:noWrap/>
            <w:tcMar>
              <w:right w:w="57" w:type="dxa"/>
            </w:tcMar>
            <w:vAlign w:val="bottom"/>
            <w:hideMark/>
          </w:tcPr>
          <w:p w14:paraId="66114D6D"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40D42F8E"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27313613"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25F4486D"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7498385B" w14:textId="77777777" w:rsidTr="00321D2C">
        <w:trPr>
          <w:trHeight w:val="300"/>
          <w:jc w:val="center"/>
        </w:trPr>
        <w:tc>
          <w:tcPr>
            <w:tcW w:w="2614" w:type="dxa"/>
            <w:tcBorders>
              <w:top w:val="nil"/>
              <w:left w:val="nil"/>
              <w:bottom w:val="nil"/>
              <w:right w:val="nil"/>
            </w:tcBorders>
            <w:shd w:val="clear" w:color="auto" w:fill="auto"/>
            <w:noWrap/>
            <w:vAlign w:val="bottom"/>
            <w:hideMark/>
          </w:tcPr>
          <w:p w14:paraId="257E4E31"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Administered expenses</w:t>
            </w:r>
          </w:p>
        </w:tc>
        <w:tc>
          <w:tcPr>
            <w:tcW w:w="895" w:type="dxa"/>
            <w:tcBorders>
              <w:top w:val="nil"/>
              <w:left w:val="nil"/>
              <w:bottom w:val="nil"/>
              <w:right w:val="nil"/>
            </w:tcBorders>
            <w:shd w:val="clear" w:color="auto" w:fill="auto"/>
            <w:noWrap/>
            <w:tcMar>
              <w:right w:w="57" w:type="dxa"/>
            </w:tcMar>
            <w:vAlign w:val="bottom"/>
            <w:hideMark/>
          </w:tcPr>
          <w:p w14:paraId="798A78CD" w14:textId="77777777" w:rsidR="00C56907" w:rsidRPr="00C56907" w:rsidRDefault="00C56907" w:rsidP="00C56907">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tcMar>
              <w:right w:w="57" w:type="dxa"/>
            </w:tcMar>
            <w:vAlign w:val="bottom"/>
            <w:hideMark/>
          </w:tcPr>
          <w:p w14:paraId="504949DB"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tcMar>
              <w:right w:w="57" w:type="dxa"/>
            </w:tcMar>
            <w:vAlign w:val="bottom"/>
            <w:hideMark/>
          </w:tcPr>
          <w:p w14:paraId="26A33A4A"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tcMar>
              <w:right w:w="57" w:type="dxa"/>
            </w:tcMar>
            <w:vAlign w:val="bottom"/>
            <w:hideMark/>
          </w:tcPr>
          <w:p w14:paraId="5EFFF9A7"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1D197488"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30398848"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0EB6E8AF" w14:textId="77777777" w:rsidR="00C56907" w:rsidRPr="00C56907" w:rsidRDefault="00C56907" w:rsidP="00C56907">
            <w:pPr>
              <w:spacing w:before="0" w:after="0"/>
              <w:ind w:firstLineChars="200" w:firstLine="320"/>
              <w:rPr>
                <w:color w:val="auto"/>
                <w:sz w:val="16"/>
                <w:szCs w:val="16"/>
              </w:rPr>
            </w:pPr>
            <w:r w:rsidRPr="00C56907">
              <w:rPr>
                <w:color w:val="auto"/>
                <w:sz w:val="16"/>
                <w:szCs w:val="16"/>
              </w:rPr>
              <w:t xml:space="preserve">Ordinary annual services </w:t>
            </w:r>
            <w:r w:rsidRPr="00C56907">
              <w:rPr>
                <w:color w:val="auto"/>
                <w:sz w:val="16"/>
                <w:szCs w:val="16"/>
                <w:vertAlign w:val="superscript"/>
              </w:rPr>
              <w:t>(a)</w:t>
            </w:r>
          </w:p>
        </w:tc>
        <w:tc>
          <w:tcPr>
            <w:tcW w:w="895" w:type="dxa"/>
            <w:tcBorders>
              <w:top w:val="nil"/>
              <w:left w:val="nil"/>
              <w:bottom w:val="nil"/>
              <w:right w:val="nil"/>
            </w:tcBorders>
            <w:shd w:val="clear" w:color="auto" w:fill="auto"/>
            <w:noWrap/>
            <w:tcMar>
              <w:right w:w="57" w:type="dxa"/>
            </w:tcMar>
            <w:vAlign w:val="bottom"/>
            <w:hideMark/>
          </w:tcPr>
          <w:p w14:paraId="1A092B29" w14:textId="77777777" w:rsidR="00C56907" w:rsidRPr="00C56907" w:rsidRDefault="00C56907" w:rsidP="00C56907">
            <w:pPr>
              <w:spacing w:before="0" w:after="0"/>
              <w:jc w:val="right"/>
              <w:rPr>
                <w:color w:val="auto"/>
                <w:sz w:val="16"/>
                <w:szCs w:val="16"/>
              </w:rPr>
            </w:pPr>
            <w:r w:rsidRPr="00C56907">
              <w:rPr>
                <w:color w:val="auto"/>
                <w:sz w:val="16"/>
                <w:szCs w:val="16"/>
              </w:rPr>
              <w:t>594,398</w:t>
            </w:r>
          </w:p>
        </w:tc>
        <w:tc>
          <w:tcPr>
            <w:tcW w:w="897" w:type="dxa"/>
            <w:tcBorders>
              <w:top w:val="nil"/>
              <w:left w:val="nil"/>
              <w:bottom w:val="nil"/>
              <w:right w:val="nil"/>
            </w:tcBorders>
            <w:shd w:val="clear" w:color="000000" w:fill="D9D9D9"/>
            <w:noWrap/>
            <w:tcMar>
              <w:right w:w="57" w:type="dxa"/>
            </w:tcMar>
            <w:vAlign w:val="bottom"/>
            <w:hideMark/>
          </w:tcPr>
          <w:p w14:paraId="6CC99677" w14:textId="77777777" w:rsidR="00C56907" w:rsidRPr="00C56907" w:rsidRDefault="00C56907" w:rsidP="00C56907">
            <w:pPr>
              <w:spacing w:before="0" w:after="0"/>
              <w:jc w:val="right"/>
              <w:rPr>
                <w:color w:val="auto"/>
                <w:sz w:val="16"/>
                <w:szCs w:val="16"/>
              </w:rPr>
            </w:pPr>
            <w:r w:rsidRPr="00C56907">
              <w:rPr>
                <w:color w:val="auto"/>
                <w:sz w:val="16"/>
                <w:szCs w:val="16"/>
              </w:rPr>
              <w:t>615,994</w:t>
            </w:r>
          </w:p>
        </w:tc>
        <w:tc>
          <w:tcPr>
            <w:tcW w:w="988" w:type="dxa"/>
            <w:tcBorders>
              <w:top w:val="nil"/>
              <w:left w:val="nil"/>
              <w:bottom w:val="nil"/>
              <w:right w:val="nil"/>
            </w:tcBorders>
            <w:shd w:val="clear" w:color="auto" w:fill="auto"/>
            <w:noWrap/>
            <w:tcMar>
              <w:right w:w="57" w:type="dxa"/>
            </w:tcMar>
            <w:vAlign w:val="bottom"/>
            <w:hideMark/>
          </w:tcPr>
          <w:p w14:paraId="0C9E3384" w14:textId="77777777" w:rsidR="00C56907" w:rsidRPr="00C56907" w:rsidRDefault="00C56907" w:rsidP="00C56907">
            <w:pPr>
              <w:spacing w:before="0" w:after="0"/>
              <w:jc w:val="right"/>
              <w:rPr>
                <w:color w:val="auto"/>
                <w:sz w:val="16"/>
                <w:szCs w:val="16"/>
              </w:rPr>
            </w:pPr>
            <w:r w:rsidRPr="00C56907">
              <w:rPr>
                <w:color w:val="auto"/>
                <w:sz w:val="16"/>
                <w:szCs w:val="16"/>
              </w:rPr>
              <w:t>634,540</w:t>
            </w:r>
          </w:p>
        </w:tc>
        <w:tc>
          <w:tcPr>
            <w:tcW w:w="988" w:type="dxa"/>
            <w:tcBorders>
              <w:top w:val="nil"/>
              <w:left w:val="nil"/>
              <w:bottom w:val="nil"/>
              <w:right w:val="nil"/>
            </w:tcBorders>
            <w:shd w:val="clear" w:color="auto" w:fill="auto"/>
            <w:noWrap/>
            <w:tcMar>
              <w:right w:w="57" w:type="dxa"/>
            </w:tcMar>
            <w:vAlign w:val="bottom"/>
            <w:hideMark/>
          </w:tcPr>
          <w:p w14:paraId="2C2B122A" w14:textId="77777777" w:rsidR="00C56907" w:rsidRPr="00C56907" w:rsidRDefault="00C56907" w:rsidP="00C56907">
            <w:pPr>
              <w:spacing w:before="0" w:after="0"/>
              <w:jc w:val="right"/>
              <w:rPr>
                <w:color w:val="auto"/>
                <w:sz w:val="16"/>
                <w:szCs w:val="16"/>
              </w:rPr>
            </w:pPr>
            <w:r w:rsidRPr="00C56907">
              <w:rPr>
                <w:color w:val="auto"/>
                <w:sz w:val="16"/>
                <w:szCs w:val="16"/>
              </w:rPr>
              <w:t>651,979</w:t>
            </w:r>
          </w:p>
        </w:tc>
        <w:tc>
          <w:tcPr>
            <w:tcW w:w="988" w:type="dxa"/>
            <w:tcBorders>
              <w:top w:val="nil"/>
              <w:left w:val="nil"/>
              <w:bottom w:val="nil"/>
              <w:right w:val="nil"/>
            </w:tcBorders>
            <w:shd w:val="clear" w:color="auto" w:fill="auto"/>
            <w:noWrap/>
            <w:tcMar>
              <w:right w:w="57" w:type="dxa"/>
            </w:tcMar>
            <w:vAlign w:val="bottom"/>
            <w:hideMark/>
          </w:tcPr>
          <w:p w14:paraId="0B64AC7A" w14:textId="77777777" w:rsidR="00C56907" w:rsidRPr="00C56907" w:rsidRDefault="00C56907" w:rsidP="00C56907">
            <w:pPr>
              <w:spacing w:before="0" w:after="0"/>
              <w:jc w:val="right"/>
              <w:rPr>
                <w:color w:val="auto"/>
                <w:sz w:val="16"/>
                <w:szCs w:val="16"/>
              </w:rPr>
            </w:pPr>
            <w:r w:rsidRPr="00C56907">
              <w:rPr>
                <w:color w:val="auto"/>
                <w:sz w:val="16"/>
                <w:szCs w:val="16"/>
              </w:rPr>
              <w:t>653,270</w:t>
            </w:r>
          </w:p>
        </w:tc>
      </w:tr>
      <w:tr w:rsidR="00C56907" w:rsidRPr="00C56907" w14:paraId="1E17903A" w14:textId="77777777" w:rsidTr="000C708A">
        <w:trPr>
          <w:trHeight w:val="300"/>
          <w:jc w:val="center"/>
        </w:trPr>
        <w:tc>
          <w:tcPr>
            <w:tcW w:w="2614" w:type="dxa"/>
            <w:tcBorders>
              <w:top w:val="nil"/>
              <w:left w:val="nil"/>
              <w:bottom w:val="nil"/>
              <w:right w:val="nil"/>
            </w:tcBorders>
            <w:shd w:val="clear" w:color="auto" w:fill="auto"/>
            <w:noWrap/>
            <w:vAlign w:val="bottom"/>
            <w:hideMark/>
          </w:tcPr>
          <w:p w14:paraId="2A2E0255" w14:textId="77777777" w:rsidR="00C56907" w:rsidRPr="00C56907" w:rsidRDefault="00C56907" w:rsidP="00C56907">
            <w:pPr>
              <w:spacing w:before="0" w:after="0"/>
              <w:ind w:firstLineChars="100" w:firstLine="160"/>
              <w:rPr>
                <w:b/>
                <w:bCs/>
                <w:color w:val="auto"/>
                <w:sz w:val="16"/>
                <w:szCs w:val="16"/>
              </w:rPr>
            </w:pPr>
            <w:r w:rsidRPr="00C56907">
              <w:rPr>
                <w:b/>
                <w:bCs/>
                <w:color w:val="auto"/>
                <w:sz w:val="16"/>
                <w:szCs w:val="16"/>
              </w:rPr>
              <w:t>Total for Program 2.2</w:t>
            </w:r>
          </w:p>
        </w:tc>
        <w:tc>
          <w:tcPr>
            <w:tcW w:w="895" w:type="dxa"/>
            <w:tcBorders>
              <w:top w:val="single" w:sz="4" w:space="0" w:color="auto"/>
              <w:left w:val="nil"/>
              <w:bottom w:val="single" w:sz="4" w:space="0" w:color="auto"/>
              <w:right w:val="nil"/>
            </w:tcBorders>
            <w:shd w:val="clear" w:color="auto" w:fill="auto"/>
            <w:noWrap/>
            <w:tcMar>
              <w:right w:w="57" w:type="dxa"/>
            </w:tcMar>
            <w:vAlign w:val="bottom"/>
            <w:hideMark/>
          </w:tcPr>
          <w:p w14:paraId="421C37FE" w14:textId="77777777" w:rsidR="00C56907" w:rsidRPr="00C56907" w:rsidRDefault="00C56907" w:rsidP="00C56907">
            <w:pPr>
              <w:spacing w:before="0" w:after="0"/>
              <w:jc w:val="right"/>
              <w:rPr>
                <w:b/>
                <w:bCs/>
                <w:color w:val="auto"/>
                <w:sz w:val="16"/>
                <w:szCs w:val="16"/>
              </w:rPr>
            </w:pPr>
            <w:r w:rsidRPr="00C56907">
              <w:rPr>
                <w:b/>
                <w:bCs/>
                <w:color w:val="auto"/>
                <w:sz w:val="16"/>
                <w:szCs w:val="16"/>
              </w:rPr>
              <w:t>594,398</w:t>
            </w:r>
          </w:p>
        </w:tc>
        <w:tc>
          <w:tcPr>
            <w:tcW w:w="897" w:type="dxa"/>
            <w:tcBorders>
              <w:top w:val="single" w:sz="4" w:space="0" w:color="auto"/>
              <w:left w:val="nil"/>
              <w:bottom w:val="single" w:sz="4" w:space="0" w:color="auto"/>
              <w:right w:val="nil"/>
            </w:tcBorders>
            <w:shd w:val="clear" w:color="000000" w:fill="D9D9D9"/>
            <w:noWrap/>
            <w:tcMar>
              <w:right w:w="57" w:type="dxa"/>
            </w:tcMar>
            <w:vAlign w:val="bottom"/>
            <w:hideMark/>
          </w:tcPr>
          <w:p w14:paraId="4F9CDF31" w14:textId="77777777" w:rsidR="00C56907" w:rsidRPr="00C56907" w:rsidRDefault="00C56907" w:rsidP="00C56907">
            <w:pPr>
              <w:spacing w:before="0" w:after="0"/>
              <w:jc w:val="right"/>
              <w:rPr>
                <w:b/>
                <w:bCs/>
                <w:color w:val="auto"/>
                <w:sz w:val="16"/>
                <w:szCs w:val="16"/>
              </w:rPr>
            </w:pPr>
            <w:r w:rsidRPr="00C56907">
              <w:rPr>
                <w:b/>
                <w:bCs/>
                <w:color w:val="auto"/>
                <w:sz w:val="16"/>
                <w:szCs w:val="16"/>
              </w:rPr>
              <w:t>615,994</w:t>
            </w:r>
          </w:p>
        </w:tc>
        <w:tc>
          <w:tcPr>
            <w:tcW w:w="988" w:type="dxa"/>
            <w:tcBorders>
              <w:top w:val="single" w:sz="4" w:space="0" w:color="auto"/>
              <w:left w:val="nil"/>
              <w:bottom w:val="single" w:sz="4" w:space="0" w:color="auto"/>
              <w:right w:val="nil"/>
            </w:tcBorders>
            <w:shd w:val="clear" w:color="auto" w:fill="auto"/>
            <w:noWrap/>
            <w:tcMar>
              <w:right w:w="57" w:type="dxa"/>
            </w:tcMar>
            <w:vAlign w:val="bottom"/>
            <w:hideMark/>
          </w:tcPr>
          <w:p w14:paraId="502B456C" w14:textId="77777777" w:rsidR="00C56907" w:rsidRPr="00C56907" w:rsidRDefault="00C56907" w:rsidP="00C56907">
            <w:pPr>
              <w:spacing w:before="0" w:after="0"/>
              <w:jc w:val="right"/>
              <w:rPr>
                <w:b/>
                <w:bCs/>
                <w:color w:val="auto"/>
                <w:sz w:val="16"/>
                <w:szCs w:val="16"/>
              </w:rPr>
            </w:pPr>
            <w:r w:rsidRPr="00C56907">
              <w:rPr>
                <w:b/>
                <w:bCs/>
                <w:color w:val="auto"/>
                <w:sz w:val="16"/>
                <w:szCs w:val="16"/>
              </w:rPr>
              <w:t>634,540</w:t>
            </w:r>
          </w:p>
        </w:tc>
        <w:tc>
          <w:tcPr>
            <w:tcW w:w="988" w:type="dxa"/>
            <w:tcBorders>
              <w:top w:val="single" w:sz="4" w:space="0" w:color="auto"/>
              <w:left w:val="nil"/>
              <w:bottom w:val="single" w:sz="4" w:space="0" w:color="auto"/>
              <w:right w:val="nil"/>
            </w:tcBorders>
            <w:shd w:val="clear" w:color="auto" w:fill="auto"/>
            <w:noWrap/>
            <w:tcMar>
              <w:right w:w="57" w:type="dxa"/>
            </w:tcMar>
            <w:vAlign w:val="bottom"/>
            <w:hideMark/>
          </w:tcPr>
          <w:p w14:paraId="27132C48" w14:textId="77777777" w:rsidR="00C56907" w:rsidRPr="00C56907" w:rsidRDefault="00C56907" w:rsidP="00C56907">
            <w:pPr>
              <w:spacing w:before="0" w:after="0"/>
              <w:jc w:val="right"/>
              <w:rPr>
                <w:b/>
                <w:bCs/>
                <w:color w:val="auto"/>
                <w:sz w:val="16"/>
                <w:szCs w:val="16"/>
              </w:rPr>
            </w:pPr>
            <w:r w:rsidRPr="00C56907">
              <w:rPr>
                <w:b/>
                <w:bCs/>
                <w:color w:val="auto"/>
                <w:sz w:val="16"/>
                <w:szCs w:val="16"/>
              </w:rPr>
              <w:t>651,979</w:t>
            </w:r>
          </w:p>
        </w:tc>
        <w:tc>
          <w:tcPr>
            <w:tcW w:w="988" w:type="dxa"/>
            <w:tcBorders>
              <w:top w:val="single" w:sz="4" w:space="0" w:color="auto"/>
              <w:left w:val="nil"/>
              <w:bottom w:val="single" w:sz="4" w:space="0" w:color="auto"/>
              <w:right w:val="nil"/>
            </w:tcBorders>
            <w:shd w:val="clear" w:color="auto" w:fill="auto"/>
            <w:noWrap/>
            <w:tcMar>
              <w:right w:w="57" w:type="dxa"/>
            </w:tcMar>
            <w:vAlign w:val="bottom"/>
            <w:hideMark/>
          </w:tcPr>
          <w:p w14:paraId="25969D26" w14:textId="77777777" w:rsidR="00C56907" w:rsidRPr="00C56907" w:rsidRDefault="00C56907" w:rsidP="00C56907">
            <w:pPr>
              <w:spacing w:before="0" w:after="0"/>
              <w:jc w:val="right"/>
              <w:rPr>
                <w:b/>
                <w:bCs/>
                <w:color w:val="auto"/>
                <w:sz w:val="16"/>
                <w:szCs w:val="16"/>
              </w:rPr>
            </w:pPr>
            <w:r w:rsidRPr="00C56907">
              <w:rPr>
                <w:b/>
                <w:bCs/>
                <w:color w:val="auto"/>
                <w:sz w:val="16"/>
                <w:szCs w:val="16"/>
              </w:rPr>
              <w:t>653,270</w:t>
            </w:r>
          </w:p>
        </w:tc>
      </w:tr>
      <w:tr w:rsidR="00C56907" w:rsidRPr="00C56907" w14:paraId="1C355650" w14:textId="77777777" w:rsidTr="000C708A">
        <w:trPr>
          <w:trHeight w:val="283"/>
          <w:jc w:val="center"/>
        </w:trPr>
        <w:tc>
          <w:tcPr>
            <w:tcW w:w="7370" w:type="dxa"/>
            <w:gridSpan w:val="6"/>
            <w:tcBorders>
              <w:top w:val="nil"/>
              <w:left w:val="nil"/>
              <w:bottom w:val="nil"/>
              <w:right w:val="nil"/>
            </w:tcBorders>
            <w:shd w:val="clear" w:color="auto" w:fill="auto"/>
            <w:vAlign w:val="bottom"/>
            <w:hideMark/>
          </w:tcPr>
          <w:p w14:paraId="2B4F4C78" w14:textId="77777777" w:rsidR="00C56907" w:rsidRPr="00C56907" w:rsidRDefault="00C56907" w:rsidP="00C56907">
            <w:pPr>
              <w:spacing w:before="0" w:after="0"/>
              <w:rPr>
                <w:b/>
                <w:bCs/>
                <w:color w:val="auto"/>
                <w:sz w:val="16"/>
                <w:szCs w:val="16"/>
              </w:rPr>
            </w:pPr>
            <w:r w:rsidRPr="00C56907">
              <w:rPr>
                <w:b/>
                <w:bCs/>
                <w:color w:val="auto"/>
                <w:sz w:val="16"/>
                <w:szCs w:val="16"/>
              </w:rPr>
              <w:t xml:space="preserve">Program 2.3: Pharmaceutical Benefits </w:t>
            </w:r>
          </w:p>
        </w:tc>
      </w:tr>
      <w:tr w:rsidR="00C56907" w:rsidRPr="00C56907" w14:paraId="02A9365A" w14:textId="77777777" w:rsidTr="00C56907">
        <w:trPr>
          <w:trHeight w:val="283"/>
          <w:jc w:val="center"/>
        </w:trPr>
        <w:tc>
          <w:tcPr>
            <w:tcW w:w="2614" w:type="dxa"/>
            <w:tcBorders>
              <w:top w:val="nil"/>
              <w:left w:val="nil"/>
              <w:bottom w:val="nil"/>
              <w:right w:val="nil"/>
            </w:tcBorders>
            <w:shd w:val="clear" w:color="auto" w:fill="auto"/>
            <w:noWrap/>
            <w:vAlign w:val="bottom"/>
            <w:hideMark/>
          </w:tcPr>
          <w:p w14:paraId="453CEFD0"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Administered expenses</w:t>
            </w:r>
          </w:p>
        </w:tc>
        <w:tc>
          <w:tcPr>
            <w:tcW w:w="895" w:type="dxa"/>
            <w:tcBorders>
              <w:top w:val="nil"/>
              <w:left w:val="nil"/>
              <w:bottom w:val="nil"/>
              <w:right w:val="nil"/>
            </w:tcBorders>
            <w:shd w:val="clear" w:color="auto" w:fill="auto"/>
            <w:noWrap/>
            <w:vAlign w:val="bottom"/>
            <w:hideMark/>
          </w:tcPr>
          <w:p w14:paraId="4DC8D39B" w14:textId="77777777" w:rsidR="00C56907" w:rsidRPr="00C56907" w:rsidRDefault="00C56907" w:rsidP="00C56907">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vAlign w:val="bottom"/>
            <w:hideMark/>
          </w:tcPr>
          <w:p w14:paraId="2C6AC15E"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vAlign w:val="bottom"/>
            <w:hideMark/>
          </w:tcPr>
          <w:p w14:paraId="168907BF"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vAlign w:val="bottom"/>
            <w:hideMark/>
          </w:tcPr>
          <w:p w14:paraId="21FAE0A3"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vAlign w:val="bottom"/>
            <w:hideMark/>
          </w:tcPr>
          <w:p w14:paraId="3088942C"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6C86FF4B"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3096D06C" w14:textId="77777777" w:rsidR="00C56907" w:rsidRPr="00C56907" w:rsidRDefault="00C56907" w:rsidP="00C56907">
            <w:pPr>
              <w:spacing w:before="0" w:after="0"/>
              <w:ind w:firstLineChars="200" w:firstLine="320"/>
              <w:rPr>
                <w:color w:val="auto"/>
                <w:sz w:val="16"/>
                <w:szCs w:val="16"/>
              </w:rPr>
            </w:pPr>
            <w:r w:rsidRPr="00C56907">
              <w:rPr>
                <w:color w:val="auto"/>
                <w:sz w:val="16"/>
                <w:szCs w:val="16"/>
              </w:rPr>
              <w:t xml:space="preserve">Ordinary annual services </w:t>
            </w:r>
            <w:r w:rsidRPr="00C56907">
              <w:rPr>
                <w:color w:val="auto"/>
                <w:sz w:val="16"/>
                <w:szCs w:val="16"/>
                <w:vertAlign w:val="superscript"/>
              </w:rPr>
              <w:t>(a)</w:t>
            </w:r>
          </w:p>
        </w:tc>
        <w:tc>
          <w:tcPr>
            <w:tcW w:w="895" w:type="dxa"/>
            <w:tcBorders>
              <w:top w:val="nil"/>
              <w:left w:val="nil"/>
              <w:bottom w:val="nil"/>
              <w:right w:val="nil"/>
            </w:tcBorders>
            <w:shd w:val="clear" w:color="auto" w:fill="auto"/>
            <w:noWrap/>
            <w:tcMar>
              <w:left w:w="0" w:type="dxa"/>
              <w:right w:w="57" w:type="dxa"/>
            </w:tcMar>
            <w:vAlign w:val="bottom"/>
            <w:hideMark/>
          </w:tcPr>
          <w:p w14:paraId="24C67BC8" w14:textId="77777777" w:rsidR="00C56907" w:rsidRPr="00C56907" w:rsidRDefault="00C56907" w:rsidP="00C56907">
            <w:pPr>
              <w:spacing w:before="0" w:after="0"/>
              <w:jc w:val="right"/>
              <w:rPr>
                <w:color w:val="auto"/>
                <w:sz w:val="16"/>
                <w:szCs w:val="16"/>
              </w:rPr>
            </w:pPr>
            <w:r w:rsidRPr="00C56907">
              <w:rPr>
                <w:color w:val="auto"/>
                <w:sz w:val="16"/>
                <w:szCs w:val="16"/>
              </w:rPr>
              <w:t>1,039,699</w:t>
            </w:r>
          </w:p>
        </w:tc>
        <w:tc>
          <w:tcPr>
            <w:tcW w:w="897" w:type="dxa"/>
            <w:tcBorders>
              <w:top w:val="nil"/>
              <w:left w:val="nil"/>
              <w:bottom w:val="nil"/>
              <w:right w:val="nil"/>
            </w:tcBorders>
            <w:shd w:val="clear" w:color="000000" w:fill="D9D9D9"/>
            <w:noWrap/>
            <w:tcMar>
              <w:right w:w="57" w:type="dxa"/>
            </w:tcMar>
            <w:vAlign w:val="bottom"/>
            <w:hideMark/>
          </w:tcPr>
          <w:p w14:paraId="6D876924" w14:textId="77777777" w:rsidR="00C56907" w:rsidRPr="00C56907" w:rsidRDefault="00C56907" w:rsidP="00C56907">
            <w:pPr>
              <w:spacing w:before="0" w:after="0"/>
              <w:jc w:val="right"/>
              <w:rPr>
                <w:color w:val="auto"/>
                <w:sz w:val="16"/>
                <w:szCs w:val="16"/>
              </w:rPr>
            </w:pPr>
            <w:r w:rsidRPr="00C56907">
              <w:rPr>
                <w:color w:val="auto"/>
                <w:sz w:val="16"/>
                <w:szCs w:val="16"/>
              </w:rPr>
              <w:t>954,373</w:t>
            </w:r>
          </w:p>
        </w:tc>
        <w:tc>
          <w:tcPr>
            <w:tcW w:w="988" w:type="dxa"/>
            <w:tcBorders>
              <w:top w:val="nil"/>
              <w:left w:val="nil"/>
              <w:bottom w:val="nil"/>
              <w:right w:val="nil"/>
            </w:tcBorders>
            <w:shd w:val="clear" w:color="auto" w:fill="auto"/>
            <w:noWrap/>
            <w:tcMar>
              <w:right w:w="57" w:type="dxa"/>
            </w:tcMar>
            <w:vAlign w:val="bottom"/>
            <w:hideMark/>
          </w:tcPr>
          <w:p w14:paraId="7ED980D6" w14:textId="77777777" w:rsidR="00C56907" w:rsidRPr="00C56907" w:rsidRDefault="00C56907" w:rsidP="00C56907">
            <w:pPr>
              <w:spacing w:before="0" w:after="0"/>
              <w:jc w:val="right"/>
              <w:rPr>
                <w:color w:val="auto"/>
                <w:sz w:val="16"/>
                <w:szCs w:val="16"/>
              </w:rPr>
            </w:pPr>
            <w:r w:rsidRPr="00C56907">
              <w:rPr>
                <w:color w:val="auto"/>
                <w:sz w:val="16"/>
                <w:szCs w:val="16"/>
              </w:rPr>
              <w:t>809,313</w:t>
            </w:r>
          </w:p>
        </w:tc>
        <w:tc>
          <w:tcPr>
            <w:tcW w:w="988" w:type="dxa"/>
            <w:tcBorders>
              <w:top w:val="nil"/>
              <w:left w:val="nil"/>
              <w:bottom w:val="nil"/>
              <w:right w:val="nil"/>
            </w:tcBorders>
            <w:shd w:val="clear" w:color="auto" w:fill="auto"/>
            <w:noWrap/>
            <w:tcMar>
              <w:right w:w="57" w:type="dxa"/>
            </w:tcMar>
            <w:vAlign w:val="bottom"/>
            <w:hideMark/>
          </w:tcPr>
          <w:p w14:paraId="79308E32" w14:textId="77777777" w:rsidR="00C56907" w:rsidRPr="00C56907" w:rsidRDefault="00C56907" w:rsidP="00C56907">
            <w:pPr>
              <w:spacing w:before="0" w:after="0"/>
              <w:jc w:val="right"/>
              <w:rPr>
                <w:color w:val="auto"/>
                <w:sz w:val="16"/>
                <w:szCs w:val="16"/>
              </w:rPr>
            </w:pPr>
            <w:r w:rsidRPr="00C56907">
              <w:rPr>
                <w:color w:val="auto"/>
                <w:sz w:val="16"/>
                <w:szCs w:val="16"/>
              </w:rPr>
              <w:t>926,951</w:t>
            </w:r>
          </w:p>
        </w:tc>
        <w:tc>
          <w:tcPr>
            <w:tcW w:w="988" w:type="dxa"/>
            <w:tcBorders>
              <w:top w:val="nil"/>
              <w:left w:val="nil"/>
              <w:bottom w:val="nil"/>
              <w:right w:val="nil"/>
            </w:tcBorders>
            <w:shd w:val="clear" w:color="auto" w:fill="auto"/>
            <w:noWrap/>
            <w:tcMar>
              <w:right w:w="57" w:type="dxa"/>
            </w:tcMar>
            <w:vAlign w:val="bottom"/>
            <w:hideMark/>
          </w:tcPr>
          <w:p w14:paraId="56CC0920" w14:textId="77777777" w:rsidR="00C56907" w:rsidRPr="00C56907" w:rsidRDefault="00C56907" w:rsidP="00C56907">
            <w:pPr>
              <w:spacing w:before="0" w:after="0"/>
              <w:jc w:val="right"/>
              <w:rPr>
                <w:color w:val="auto"/>
                <w:sz w:val="16"/>
                <w:szCs w:val="16"/>
              </w:rPr>
            </w:pPr>
            <w:r w:rsidRPr="00C56907">
              <w:rPr>
                <w:color w:val="auto"/>
                <w:sz w:val="16"/>
                <w:szCs w:val="16"/>
              </w:rPr>
              <w:t>946,568</w:t>
            </w:r>
          </w:p>
        </w:tc>
      </w:tr>
      <w:tr w:rsidR="00C56907" w:rsidRPr="00C56907" w14:paraId="30E1EACB"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11FCC4F4" w14:textId="77777777" w:rsidR="00C56907" w:rsidRPr="00C56907" w:rsidRDefault="00C56907" w:rsidP="00C56907">
            <w:pPr>
              <w:spacing w:before="0" w:after="0"/>
              <w:ind w:firstLineChars="200" w:firstLine="320"/>
              <w:rPr>
                <w:color w:val="auto"/>
                <w:sz w:val="16"/>
                <w:szCs w:val="16"/>
              </w:rPr>
            </w:pPr>
            <w:r w:rsidRPr="00C56907">
              <w:rPr>
                <w:color w:val="auto"/>
                <w:sz w:val="16"/>
                <w:szCs w:val="16"/>
              </w:rPr>
              <w:t>Special account</w:t>
            </w:r>
          </w:p>
        </w:tc>
        <w:tc>
          <w:tcPr>
            <w:tcW w:w="895" w:type="dxa"/>
            <w:tcBorders>
              <w:top w:val="nil"/>
              <w:left w:val="nil"/>
              <w:bottom w:val="nil"/>
              <w:right w:val="nil"/>
            </w:tcBorders>
            <w:shd w:val="clear" w:color="auto" w:fill="auto"/>
            <w:noWrap/>
            <w:tcMar>
              <w:right w:w="57" w:type="dxa"/>
            </w:tcMar>
            <w:vAlign w:val="bottom"/>
            <w:hideMark/>
          </w:tcPr>
          <w:p w14:paraId="291C7CEA" w14:textId="77777777" w:rsidR="00C56907" w:rsidRPr="00C56907" w:rsidRDefault="00C56907" w:rsidP="00C56907">
            <w:pPr>
              <w:spacing w:before="0" w:after="0"/>
              <w:ind w:firstLineChars="200" w:firstLine="320"/>
              <w:rPr>
                <w:color w:val="auto"/>
                <w:sz w:val="16"/>
                <w:szCs w:val="16"/>
              </w:rPr>
            </w:pPr>
          </w:p>
        </w:tc>
        <w:tc>
          <w:tcPr>
            <w:tcW w:w="897" w:type="dxa"/>
            <w:tcBorders>
              <w:top w:val="nil"/>
              <w:left w:val="nil"/>
              <w:bottom w:val="nil"/>
              <w:right w:val="nil"/>
            </w:tcBorders>
            <w:shd w:val="clear" w:color="000000" w:fill="D9D9D9"/>
            <w:noWrap/>
            <w:tcMar>
              <w:right w:w="57" w:type="dxa"/>
            </w:tcMar>
            <w:vAlign w:val="bottom"/>
            <w:hideMark/>
          </w:tcPr>
          <w:p w14:paraId="44F0E04B"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tcMar>
              <w:right w:w="57" w:type="dxa"/>
            </w:tcMar>
            <w:vAlign w:val="bottom"/>
            <w:hideMark/>
          </w:tcPr>
          <w:p w14:paraId="67D97B6E"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tcMar>
              <w:right w:w="57" w:type="dxa"/>
            </w:tcMar>
            <w:vAlign w:val="bottom"/>
            <w:hideMark/>
          </w:tcPr>
          <w:p w14:paraId="1D61112A"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2FDC48CF"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31912F38" w14:textId="77777777" w:rsidTr="00321D2C">
        <w:trPr>
          <w:trHeight w:val="425"/>
          <w:jc w:val="center"/>
        </w:trPr>
        <w:tc>
          <w:tcPr>
            <w:tcW w:w="2614" w:type="dxa"/>
            <w:tcBorders>
              <w:top w:val="nil"/>
              <w:left w:val="nil"/>
              <w:bottom w:val="nil"/>
              <w:right w:val="nil"/>
            </w:tcBorders>
            <w:shd w:val="clear" w:color="auto" w:fill="auto"/>
            <w:vAlign w:val="bottom"/>
            <w:hideMark/>
          </w:tcPr>
          <w:p w14:paraId="65F92D0F" w14:textId="77777777" w:rsidR="00C56907" w:rsidRPr="00C56907" w:rsidRDefault="00C56907" w:rsidP="00C56907">
            <w:pPr>
              <w:spacing w:before="0" w:after="0"/>
              <w:ind w:leftChars="225" w:left="405"/>
              <w:rPr>
                <w:i/>
                <w:iCs/>
                <w:color w:val="auto"/>
                <w:sz w:val="16"/>
                <w:szCs w:val="16"/>
              </w:rPr>
            </w:pPr>
            <w:r w:rsidRPr="00C56907">
              <w:rPr>
                <w:color w:val="auto"/>
                <w:sz w:val="16"/>
                <w:szCs w:val="16"/>
              </w:rPr>
              <w:t>Medicare Guarantee Fund</w:t>
            </w:r>
            <w:r w:rsidRPr="00C56907">
              <w:rPr>
                <w:i/>
                <w:iCs/>
                <w:color w:val="auto"/>
                <w:sz w:val="16"/>
                <w:szCs w:val="16"/>
              </w:rPr>
              <w:br/>
              <w:t xml:space="preserve">- </w:t>
            </w:r>
            <w:r w:rsidRPr="00C56907">
              <w:rPr>
                <w:color w:val="auto"/>
                <w:sz w:val="16"/>
                <w:szCs w:val="16"/>
              </w:rPr>
              <w:t>pharmaceutical benefits</w:t>
            </w:r>
          </w:p>
        </w:tc>
        <w:tc>
          <w:tcPr>
            <w:tcW w:w="895" w:type="dxa"/>
            <w:tcBorders>
              <w:top w:val="nil"/>
              <w:left w:val="nil"/>
              <w:bottom w:val="nil"/>
              <w:right w:val="nil"/>
            </w:tcBorders>
            <w:shd w:val="clear" w:color="auto" w:fill="auto"/>
            <w:noWrap/>
            <w:tcMar>
              <w:left w:w="0" w:type="dxa"/>
              <w:right w:w="57" w:type="dxa"/>
            </w:tcMar>
            <w:vAlign w:val="bottom"/>
            <w:hideMark/>
          </w:tcPr>
          <w:p w14:paraId="234284F3" w14:textId="77777777" w:rsidR="00C56907" w:rsidRPr="00C56907" w:rsidRDefault="00C56907" w:rsidP="00C56907">
            <w:pPr>
              <w:spacing w:before="0" w:after="0"/>
              <w:jc w:val="right"/>
              <w:rPr>
                <w:color w:val="auto"/>
                <w:sz w:val="16"/>
                <w:szCs w:val="16"/>
              </w:rPr>
            </w:pPr>
            <w:r w:rsidRPr="00C56907">
              <w:rPr>
                <w:color w:val="auto"/>
                <w:sz w:val="16"/>
                <w:szCs w:val="16"/>
              </w:rPr>
              <w:t>17,603,658</w:t>
            </w:r>
          </w:p>
        </w:tc>
        <w:tc>
          <w:tcPr>
            <w:tcW w:w="897" w:type="dxa"/>
            <w:tcBorders>
              <w:top w:val="nil"/>
              <w:left w:val="nil"/>
              <w:bottom w:val="nil"/>
              <w:right w:val="nil"/>
            </w:tcBorders>
            <w:shd w:val="clear" w:color="000000" w:fill="D9D9D9"/>
            <w:noWrap/>
            <w:tcMar>
              <w:left w:w="0" w:type="dxa"/>
              <w:right w:w="57" w:type="dxa"/>
            </w:tcMar>
            <w:vAlign w:val="bottom"/>
            <w:hideMark/>
          </w:tcPr>
          <w:p w14:paraId="49F3125A" w14:textId="77777777" w:rsidR="00C56907" w:rsidRPr="00C56907" w:rsidRDefault="00C56907" w:rsidP="00C56907">
            <w:pPr>
              <w:spacing w:before="0" w:after="0"/>
              <w:jc w:val="right"/>
              <w:rPr>
                <w:color w:val="auto"/>
                <w:sz w:val="16"/>
                <w:szCs w:val="16"/>
              </w:rPr>
            </w:pPr>
            <w:r w:rsidRPr="00C56907">
              <w:rPr>
                <w:color w:val="auto"/>
                <w:sz w:val="16"/>
                <w:szCs w:val="16"/>
              </w:rPr>
              <w:t>17,274,302</w:t>
            </w:r>
          </w:p>
        </w:tc>
        <w:tc>
          <w:tcPr>
            <w:tcW w:w="988" w:type="dxa"/>
            <w:tcBorders>
              <w:top w:val="nil"/>
              <w:left w:val="nil"/>
              <w:bottom w:val="nil"/>
              <w:right w:val="nil"/>
            </w:tcBorders>
            <w:shd w:val="clear" w:color="auto" w:fill="auto"/>
            <w:noWrap/>
            <w:tcMar>
              <w:left w:w="0" w:type="dxa"/>
              <w:right w:w="57" w:type="dxa"/>
            </w:tcMar>
            <w:vAlign w:val="bottom"/>
            <w:hideMark/>
          </w:tcPr>
          <w:p w14:paraId="0D13E9C1" w14:textId="77777777" w:rsidR="00C56907" w:rsidRPr="00C56907" w:rsidRDefault="00C56907" w:rsidP="00C56907">
            <w:pPr>
              <w:spacing w:before="0" w:after="0"/>
              <w:jc w:val="right"/>
              <w:rPr>
                <w:color w:val="auto"/>
                <w:sz w:val="16"/>
                <w:szCs w:val="16"/>
              </w:rPr>
            </w:pPr>
            <w:r w:rsidRPr="00C56907">
              <w:rPr>
                <w:color w:val="auto"/>
                <w:sz w:val="16"/>
                <w:szCs w:val="16"/>
              </w:rPr>
              <w:t>17,310,279</w:t>
            </w:r>
          </w:p>
        </w:tc>
        <w:tc>
          <w:tcPr>
            <w:tcW w:w="988" w:type="dxa"/>
            <w:tcBorders>
              <w:top w:val="nil"/>
              <w:left w:val="nil"/>
              <w:bottom w:val="nil"/>
              <w:right w:val="nil"/>
            </w:tcBorders>
            <w:shd w:val="clear" w:color="auto" w:fill="auto"/>
            <w:noWrap/>
            <w:tcMar>
              <w:left w:w="0" w:type="dxa"/>
              <w:right w:w="57" w:type="dxa"/>
            </w:tcMar>
            <w:vAlign w:val="bottom"/>
            <w:hideMark/>
          </w:tcPr>
          <w:p w14:paraId="4FFB4989" w14:textId="77777777" w:rsidR="00C56907" w:rsidRPr="00C56907" w:rsidRDefault="00C56907" w:rsidP="00C56907">
            <w:pPr>
              <w:spacing w:before="0" w:after="0"/>
              <w:jc w:val="right"/>
              <w:rPr>
                <w:color w:val="auto"/>
                <w:sz w:val="16"/>
                <w:szCs w:val="16"/>
              </w:rPr>
            </w:pPr>
            <w:r w:rsidRPr="00C56907">
              <w:rPr>
                <w:color w:val="auto"/>
                <w:sz w:val="16"/>
                <w:szCs w:val="16"/>
              </w:rPr>
              <w:t>17,370,798</w:t>
            </w:r>
          </w:p>
        </w:tc>
        <w:tc>
          <w:tcPr>
            <w:tcW w:w="988" w:type="dxa"/>
            <w:tcBorders>
              <w:top w:val="nil"/>
              <w:left w:val="nil"/>
              <w:bottom w:val="nil"/>
              <w:right w:val="nil"/>
            </w:tcBorders>
            <w:shd w:val="clear" w:color="auto" w:fill="auto"/>
            <w:noWrap/>
            <w:tcMar>
              <w:left w:w="0" w:type="dxa"/>
              <w:right w:w="57" w:type="dxa"/>
            </w:tcMar>
            <w:vAlign w:val="bottom"/>
            <w:hideMark/>
          </w:tcPr>
          <w:p w14:paraId="7640DDFD" w14:textId="77777777" w:rsidR="00C56907" w:rsidRPr="00C56907" w:rsidRDefault="00C56907" w:rsidP="00C56907">
            <w:pPr>
              <w:spacing w:before="0" w:after="0"/>
              <w:jc w:val="right"/>
              <w:rPr>
                <w:color w:val="auto"/>
                <w:sz w:val="16"/>
                <w:szCs w:val="16"/>
              </w:rPr>
            </w:pPr>
            <w:r w:rsidRPr="00C56907">
              <w:rPr>
                <w:color w:val="auto"/>
                <w:sz w:val="16"/>
                <w:szCs w:val="16"/>
              </w:rPr>
              <w:t>17,367,488</w:t>
            </w:r>
          </w:p>
        </w:tc>
      </w:tr>
      <w:tr w:rsidR="00C56907" w:rsidRPr="00C56907" w14:paraId="2904F1F1" w14:textId="77777777" w:rsidTr="00321D2C">
        <w:trPr>
          <w:trHeight w:val="225"/>
          <w:jc w:val="center"/>
        </w:trPr>
        <w:tc>
          <w:tcPr>
            <w:tcW w:w="2614" w:type="dxa"/>
            <w:tcBorders>
              <w:top w:val="nil"/>
              <w:left w:val="nil"/>
              <w:bottom w:val="nil"/>
              <w:right w:val="nil"/>
            </w:tcBorders>
            <w:shd w:val="clear" w:color="auto" w:fill="auto"/>
            <w:vAlign w:val="bottom"/>
            <w:hideMark/>
          </w:tcPr>
          <w:p w14:paraId="29CD3802" w14:textId="77777777" w:rsidR="00C56907" w:rsidRPr="00C56907" w:rsidRDefault="00C56907" w:rsidP="00C56907">
            <w:pPr>
              <w:spacing w:before="0" w:after="0"/>
              <w:ind w:leftChars="225" w:left="405"/>
              <w:rPr>
                <w:color w:val="auto"/>
                <w:sz w:val="16"/>
                <w:szCs w:val="16"/>
              </w:rPr>
            </w:pPr>
            <w:r w:rsidRPr="00C56907">
              <w:rPr>
                <w:color w:val="auto"/>
                <w:sz w:val="16"/>
                <w:szCs w:val="16"/>
              </w:rPr>
              <w:t xml:space="preserve">accrual adjustment </w:t>
            </w:r>
          </w:p>
        </w:tc>
        <w:tc>
          <w:tcPr>
            <w:tcW w:w="895" w:type="dxa"/>
            <w:tcBorders>
              <w:top w:val="nil"/>
              <w:left w:val="nil"/>
              <w:bottom w:val="nil"/>
              <w:right w:val="nil"/>
            </w:tcBorders>
            <w:shd w:val="clear" w:color="auto" w:fill="auto"/>
            <w:noWrap/>
            <w:tcMar>
              <w:right w:w="57" w:type="dxa"/>
            </w:tcMar>
            <w:vAlign w:val="bottom"/>
            <w:hideMark/>
          </w:tcPr>
          <w:p w14:paraId="40EA7533" w14:textId="77777777" w:rsidR="00C56907" w:rsidRPr="00C56907" w:rsidRDefault="00C56907" w:rsidP="00C56907">
            <w:pPr>
              <w:spacing w:before="0" w:after="0"/>
              <w:jc w:val="right"/>
              <w:rPr>
                <w:color w:val="auto"/>
                <w:sz w:val="16"/>
                <w:szCs w:val="16"/>
              </w:rPr>
            </w:pPr>
            <w:r w:rsidRPr="00C56907">
              <w:rPr>
                <w:color w:val="auto"/>
                <w:sz w:val="16"/>
                <w:szCs w:val="16"/>
              </w:rPr>
              <w:t>89,575</w:t>
            </w:r>
          </w:p>
        </w:tc>
        <w:tc>
          <w:tcPr>
            <w:tcW w:w="897" w:type="dxa"/>
            <w:tcBorders>
              <w:top w:val="nil"/>
              <w:left w:val="nil"/>
              <w:bottom w:val="nil"/>
              <w:right w:val="nil"/>
            </w:tcBorders>
            <w:shd w:val="clear" w:color="000000" w:fill="D9D9D9"/>
            <w:noWrap/>
            <w:tcMar>
              <w:right w:w="57" w:type="dxa"/>
            </w:tcMar>
            <w:vAlign w:val="bottom"/>
            <w:hideMark/>
          </w:tcPr>
          <w:p w14:paraId="7D9F0283" w14:textId="77777777" w:rsidR="00C56907" w:rsidRPr="00C56907" w:rsidRDefault="00C56907" w:rsidP="00C56907">
            <w:pPr>
              <w:spacing w:before="0" w:after="0"/>
              <w:jc w:val="right"/>
              <w:rPr>
                <w:color w:val="auto"/>
                <w:sz w:val="16"/>
                <w:szCs w:val="16"/>
              </w:rPr>
            </w:pPr>
            <w:r w:rsidRPr="00C56907">
              <w:rPr>
                <w:color w:val="auto"/>
                <w:sz w:val="16"/>
                <w:szCs w:val="16"/>
              </w:rPr>
              <w:t>(10,616)</w:t>
            </w:r>
          </w:p>
        </w:tc>
        <w:tc>
          <w:tcPr>
            <w:tcW w:w="988" w:type="dxa"/>
            <w:tcBorders>
              <w:top w:val="nil"/>
              <w:left w:val="nil"/>
              <w:bottom w:val="nil"/>
              <w:right w:val="nil"/>
            </w:tcBorders>
            <w:shd w:val="clear" w:color="auto" w:fill="auto"/>
            <w:noWrap/>
            <w:tcMar>
              <w:right w:w="57" w:type="dxa"/>
            </w:tcMar>
            <w:vAlign w:val="bottom"/>
            <w:hideMark/>
          </w:tcPr>
          <w:p w14:paraId="58304563" w14:textId="77777777" w:rsidR="00C56907" w:rsidRPr="00C56907" w:rsidRDefault="00C56907" w:rsidP="00C56907">
            <w:pPr>
              <w:spacing w:before="0" w:after="0"/>
              <w:jc w:val="right"/>
              <w:rPr>
                <w:color w:val="auto"/>
                <w:sz w:val="16"/>
                <w:szCs w:val="16"/>
              </w:rPr>
            </w:pPr>
            <w:r w:rsidRPr="00C56907">
              <w:rPr>
                <w:color w:val="auto"/>
                <w:sz w:val="16"/>
                <w:szCs w:val="16"/>
              </w:rPr>
              <w:t>1,275</w:t>
            </w:r>
          </w:p>
        </w:tc>
        <w:tc>
          <w:tcPr>
            <w:tcW w:w="988" w:type="dxa"/>
            <w:tcBorders>
              <w:top w:val="nil"/>
              <w:left w:val="nil"/>
              <w:bottom w:val="nil"/>
              <w:right w:val="nil"/>
            </w:tcBorders>
            <w:shd w:val="clear" w:color="auto" w:fill="auto"/>
            <w:noWrap/>
            <w:tcMar>
              <w:right w:w="57" w:type="dxa"/>
            </w:tcMar>
            <w:vAlign w:val="bottom"/>
            <w:hideMark/>
          </w:tcPr>
          <w:p w14:paraId="4EE2D316" w14:textId="77777777" w:rsidR="00C56907" w:rsidRPr="00C56907" w:rsidRDefault="00C56907" w:rsidP="00C56907">
            <w:pPr>
              <w:spacing w:before="0" w:after="0"/>
              <w:jc w:val="right"/>
              <w:rPr>
                <w:color w:val="auto"/>
                <w:sz w:val="16"/>
                <w:szCs w:val="16"/>
              </w:rPr>
            </w:pPr>
            <w:r w:rsidRPr="00C56907">
              <w:rPr>
                <w:color w:val="auto"/>
                <w:sz w:val="16"/>
                <w:szCs w:val="16"/>
              </w:rPr>
              <w:t>2,179</w:t>
            </w:r>
          </w:p>
        </w:tc>
        <w:tc>
          <w:tcPr>
            <w:tcW w:w="988" w:type="dxa"/>
            <w:tcBorders>
              <w:top w:val="nil"/>
              <w:left w:val="nil"/>
              <w:bottom w:val="nil"/>
              <w:right w:val="nil"/>
            </w:tcBorders>
            <w:shd w:val="clear" w:color="auto" w:fill="auto"/>
            <w:noWrap/>
            <w:tcMar>
              <w:right w:w="57" w:type="dxa"/>
            </w:tcMar>
            <w:vAlign w:val="bottom"/>
            <w:hideMark/>
          </w:tcPr>
          <w:p w14:paraId="6EC8D0F3" w14:textId="77777777" w:rsidR="00C56907" w:rsidRPr="00C56907" w:rsidRDefault="00C56907" w:rsidP="00C56907">
            <w:pPr>
              <w:spacing w:before="0" w:after="0"/>
              <w:jc w:val="right"/>
              <w:rPr>
                <w:color w:val="auto"/>
                <w:sz w:val="16"/>
                <w:szCs w:val="16"/>
              </w:rPr>
            </w:pPr>
            <w:r w:rsidRPr="00C56907">
              <w:rPr>
                <w:color w:val="auto"/>
                <w:sz w:val="16"/>
                <w:szCs w:val="16"/>
              </w:rPr>
              <w:t>4,809</w:t>
            </w:r>
          </w:p>
        </w:tc>
      </w:tr>
      <w:tr w:rsidR="00C56907" w:rsidRPr="00C56907" w14:paraId="3F3E6D6B" w14:textId="77777777" w:rsidTr="00321D2C">
        <w:trPr>
          <w:trHeight w:val="283"/>
          <w:jc w:val="center"/>
        </w:trPr>
        <w:tc>
          <w:tcPr>
            <w:tcW w:w="2614" w:type="dxa"/>
            <w:tcBorders>
              <w:top w:val="nil"/>
              <w:left w:val="nil"/>
              <w:bottom w:val="nil"/>
              <w:right w:val="nil"/>
            </w:tcBorders>
            <w:shd w:val="clear" w:color="auto" w:fill="auto"/>
            <w:noWrap/>
            <w:vAlign w:val="bottom"/>
            <w:hideMark/>
          </w:tcPr>
          <w:p w14:paraId="3DC2612D" w14:textId="77777777" w:rsidR="00C56907" w:rsidRPr="00C56907" w:rsidRDefault="00C56907" w:rsidP="00C56907">
            <w:pPr>
              <w:spacing w:before="0" w:after="0"/>
              <w:ind w:firstLineChars="100" w:firstLine="160"/>
              <w:rPr>
                <w:b/>
                <w:bCs/>
                <w:color w:val="auto"/>
                <w:sz w:val="16"/>
                <w:szCs w:val="16"/>
              </w:rPr>
            </w:pPr>
            <w:r w:rsidRPr="00C56907">
              <w:rPr>
                <w:b/>
                <w:bCs/>
                <w:color w:val="auto"/>
                <w:sz w:val="16"/>
                <w:szCs w:val="16"/>
              </w:rPr>
              <w:t>Total for Program 2.3</w:t>
            </w:r>
          </w:p>
        </w:tc>
        <w:tc>
          <w:tcPr>
            <w:tcW w:w="895"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6516BEC8" w14:textId="77777777" w:rsidR="00C56907" w:rsidRPr="00C56907" w:rsidRDefault="00C56907" w:rsidP="00C56907">
            <w:pPr>
              <w:spacing w:before="0" w:after="0"/>
              <w:jc w:val="right"/>
              <w:rPr>
                <w:b/>
                <w:bCs/>
                <w:color w:val="auto"/>
                <w:sz w:val="16"/>
                <w:szCs w:val="16"/>
              </w:rPr>
            </w:pPr>
            <w:r w:rsidRPr="00C56907">
              <w:rPr>
                <w:b/>
                <w:bCs/>
                <w:color w:val="auto"/>
                <w:sz w:val="16"/>
                <w:szCs w:val="16"/>
              </w:rPr>
              <w:t>18,732,932</w:t>
            </w:r>
          </w:p>
        </w:tc>
        <w:tc>
          <w:tcPr>
            <w:tcW w:w="897"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34A1EAC7" w14:textId="77777777" w:rsidR="00C56907" w:rsidRPr="00C56907" w:rsidRDefault="00C56907" w:rsidP="00C56907">
            <w:pPr>
              <w:spacing w:before="0" w:after="0"/>
              <w:jc w:val="right"/>
              <w:rPr>
                <w:b/>
                <w:bCs/>
                <w:color w:val="auto"/>
                <w:sz w:val="16"/>
                <w:szCs w:val="16"/>
              </w:rPr>
            </w:pPr>
            <w:r w:rsidRPr="00C56907">
              <w:rPr>
                <w:b/>
                <w:bCs/>
                <w:color w:val="auto"/>
                <w:sz w:val="16"/>
                <w:szCs w:val="16"/>
              </w:rPr>
              <w:t>18,218,059</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42B8B241" w14:textId="77777777" w:rsidR="00C56907" w:rsidRPr="00C56907" w:rsidRDefault="00C56907" w:rsidP="00C56907">
            <w:pPr>
              <w:spacing w:before="0" w:after="0"/>
              <w:jc w:val="right"/>
              <w:rPr>
                <w:b/>
                <w:bCs/>
                <w:color w:val="auto"/>
                <w:sz w:val="16"/>
                <w:szCs w:val="16"/>
              </w:rPr>
            </w:pPr>
            <w:r w:rsidRPr="00C56907">
              <w:rPr>
                <w:b/>
                <w:bCs/>
                <w:color w:val="auto"/>
                <w:sz w:val="16"/>
                <w:szCs w:val="16"/>
              </w:rPr>
              <w:t>18,120,867</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429B38E9" w14:textId="77777777" w:rsidR="00C56907" w:rsidRPr="00C56907" w:rsidRDefault="00C56907" w:rsidP="00C56907">
            <w:pPr>
              <w:spacing w:before="0" w:after="0"/>
              <w:jc w:val="right"/>
              <w:rPr>
                <w:b/>
                <w:bCs/>
                <w:color w:val="auto"/>
                <w:sz w:val="16"/>
                <w:szCs w:val="16"/>
              </w:rPr>
            </w:pPr>
            <w:r w:rsidRPr="00C56907">
              <w:rPr>
                <w:b/>
                <w:bCs/>
                <w:color w:val="auto"/>
                <w:sz w:val="16"/>
                <w:szCs w:val="16"/>
              </w:rPr>
              <w:t>18,299,928</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57E31F8E" w14:textId="77777777" w:rsidR="00C56907" w:rsidRPr="00C56907" w:rsidRDefault="00C56907" w:rsidP="00C56907">
            <w:pPr>
              <w:spacing w:before="0" w:after="0"/>
              <w:jc w:val="right"/>
              <w:rPr>
                <w:b/>
                <w:bCs/>
                <w:color w:val="auto"/>
                <w:sz w:val="16"/>
                <w:szCs w:val="16"/>
              </w:rPr>
            </w:pPr>
            <w:r w:rsidRPr="00C56907">
              <w:rPr>
                <w:b/>
                <w:bCs/>
                <w:color w:val="auto"/>
                <w:sz w:val="16"/>
                <w:szCs w:val="16"/>
              </w:rPr>
              <w:t>18,318,865</w:t>
            </w:r>
          </w:p>
        </w:tc>
      </w:tr>
      <w:tr w:rsidR="00C56907" w:rsidRPr="00C56907" w14:paraId="4D4A8256" w14:textId="77777777" w:rsidTr="00C56907">
        <w:trPr>
          <w:trHeight w:val="283"/>
          <w:jc w:val="center"/>
        </w:trPr>
        <w:tc>
          <w:tcPr>
            <w:tcW w:w="7370" w:type="dxa"/>
            <w:gridSpan w:val="6"/>
            <w:tcBorders>
              <w:top w:val="nil"/>
              <w:left w:val="nil"/>
              <w:bottom w:val="nil"/>
              <w:right w:val="nil"/>
            </w:tcBorders>
            <w:shd w:val="clear" w:color="auto" w:fill="auto"/>
            <w:vAlign w:val="bottom"/>
            <w:hideMark/>
          </w:tcPr>
          <w:p w14:paraId="58F86BC0" w14:textId="77777777" w:rsidR="00C56907" w:rsidRPr="00C56907" w:rsidRDefault="00C56907" w:rsidP="00C56907">
            <w:pPr>
              <w:spacing w:before="0" w:after="0"/>
              <w:rPr>
                <w:b/>
                <w:bCs/>
                <w:color w:val="auto"/>
                <w:sz w:val="16"/>
                <w:szCs w:val="16"/>
              </w:rPr>
            </w:pPr>
            <w:r w:rsidRPr="00C56907">
              <w:rPr>
                <w:b/>
                <w:bCs/>
                <w:color w:val="auto"/>
                <w:sz w:val="16"/>
                <w:szCs w:val="16"/>
              </w:rPr>
              <w:t>Program 2.4: Private Health Insurance</w:t>
            </w:r>
          </w:p>
        </w:tc>
      </w:tr>
      <w:tr w:rsidR="00C56907" w:rsidRPr="00C56907" w14:paraId="58458F5A" w14:textId="77777777" w:rsidTr="00C56907">
        <w:trPr>
          <w:trHeight w:val="283"/>
          <w:jc w:val="center"/>
        </w:trPr>
        <w:tc>
          <w:tcPr>
            <w:tcW w:w="2614" w:type="dxa"/>
            <w:tcBorders>
              <w:top w:val="nil"/>
              <w:left w:val="nil"/>
              <w:bottom w:val="nil"/>
              <w:right w:val="nil"/>
            </w:tcBorders>
            <w:shd w:val="clear" w:color="auto" w:fill="auto"/>
            <w:noWrap/>
            <w:vAlign w:val="bottom"/>
            <w:hideMark/>
          </w:tcPr>
          <w:p w14:paraId="3E76F210"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Administered expenses</w:t>
            </w:r>
          </w:p>
        </w:tc>
        <w:tc>
          <w:tcPr>
            <w:tcW w:w="895" w:type="dxa"/>
            <w:tcBorders>
              <w:top w:val="nil"/>
              <w:left w:val="nil"/>
              <w:bottom w:val="nil"/>
              <w:right w:val="nil"/>
            </w:tcBorders>
            <w:shd w:val="clear" w:color="auto" w:fill="auto"/>
            <w:noWrap/>
            <w:vAlign w:val="bottom"/>
            <w:hideMark/>
          </w:tcPr>
          <w:p w14:paraId="74311AF6" w14:textId="77777777" w:rsidR="00C56907" w:rsidRPr="00C56907" w:rsidRDefault="00C56907" w:rsidP="00C56907">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vAlign w:val="bottom"/>
            <w:hideMark/>
          </w:tcPr>
          <w:p w14:paraId="1AE456B1"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vAlign w:val="bottom"/>
            <w:hideMark/>
          </w:tcPr>
          <w:p w14:paraId="44DE7993"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vAlign w:val="bottom"/>
            <w:hideMark/>
          </w:tcPr>
          <w:p w14:paraId="25EADBDD"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vAlign w:val="bottom"/>
            <w:hideMark/>
          </w:tcPr>
          <w:p w14:paraId="3E01707F"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3D5E0AFF"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7F995A04" w14:textId="77777777" w:rsidR="00C56907" w:rsidRPr="00C56907" w:rsidRDefault="00C56907" w:rsidP="00C56907">
            <w:pPr>
              <w:spacing w:before="0" w:after="0"/>
              <w:ind w:firstLineChars="200" w:firstLine="320"/>
              <w:rPr>
                <w:color w:val="auto"/>
                <w:sz w:val="16"/>
                <w:szCs w:val="16"/>
              </w:rPr>
            </w:pPr>
            <w:r w:rsidRPr="00C56907">
              <w:rPr>
                <w:color w:val="auto"/>
                <w:sz w:val="16"/>
                <w:szCs w:val="16"/>
              </w:rPr>
              <w:t xml:space="preserve">Ordinary annual services </w:t>
            </w:r>
            <w:r w:rsidRPr="00C56907">
              <w:rPr>
                <w:color w:val="auto"/>
                <w:sz w:val="16"/>
                <w:szCs w:val="16"/>
                <w:vertAlign w:val="superscript"/>
              </w:rPr>
              <w:t>(a)</w:t>
            </w:r>
          </w:p>
        </w:tc>
        <w:tc>
          <w:tcPr>
            <w:tcW w:w="895" w:type="dxa"/>
            <w:tcBorders>
              <w:top w:val="nil"/>
              <w:left w:val="nil"/>
              <w:bottom w:val="nil"/>
              <w:right w:val="nil"/>
            </w:tcBorders>
            <w:shd w:val="clear" w:color="auto" w:fill="auto"/>
            <w:noWrap/>
            <w:tcMar>
              <w:right w:w="57" w:type="dxa"/>
            </w:tcMar>
            <w:vAlign w:val="bottom"/>
            <w:hideMark/>
          </w:tcPr>
          <w:p w14:paraId="391F41FE" w14:textId="77777777" w:rsidR="00C56907" w:rsidRPr="00C56907" w:rsidRDefault="00C56907" w:rsidP="00C56907">
            <w:pPr>
              <w:spacing w:before="0" w:after="0"/>
              <w:jc w:val="right"/>
              <w:rPr>
                <w:color w:val="auto"/>
                <w:sz w:val="16"/>
                <w:szCs w:val="16"/>
              </w:rPr>
            </w:pPr>
            <w:r w:rsidRPr="00C56907">
              <w:rPr>
                <w:color w:val="auto"/>
                <w:sz w:val="16"/>
                <w:szCs w:val="16"/>
              </w:rPr>
              <w:t>13,214</w:t>
            </w:r>
          </w:p>
        </w:tc>
        <w:tc>
          <w:tcPr>
            <w:tcW w:w="897" w:type="dxa"/>
            <w:tcBorders>
              <w:top w:val="nil"/>
              <w:left w:val="nil"/>
              <w:bottom w:val="nil"/>
              <w:right w:val="nil"/>
            </w:tcBorders>
            <w:shd w:val="clear" w:color="000000" w:fill="D9D9D9"/>
            <w:noWrap/>
            <w:tcMar>
              <w:right w:w="57" w:type="dxa"/>
            </w:tcMar>
            <w:vAlign w:val="bottom"/>
            <w:hideMark/>
          </w:tcPr>
          <w:p w14:paraId="7F336E88" w14:textId="77777777" w:rsidR="00C56907" w:rsidRPr="00C56907" w:rsidRDefault="00C56907" w:rsidP="00C56907">
            <w:pPr>
              <w:spacing w:before="0" w:after="0"/>
              <w:jc w:val="right"/>
              <w:rPr>
                <w:color w:val="auto"/>
                <w:sz w:val="16"/>
                <w:szCs w:val="16"/>
              </w:rPr>
            </w:pPr>
            <w:r w:rsidRPr="00C56907">
              <w:rPr>
                <w:color w:val="auto"/>
                <w:sz w:val="16"/>
                <w:szCs w:val="16"/>
              </w:rPr>
              <w:t>10,049</w:t>
            </w:r>
          </w:p>
        </w:tc>
        <w:tc>
          <w:tcPr>
            <w:tcW w:w="988" w:type="dxa"/>
            <w:tcBorders>
              <w:top w:val="nil"/>
              <w:left w:val="nil"/>
              <w:bottom w:val="nil"/>
              <w:right w:val="nil"/>
            </w:tcBorders>
            <w:shd w:val="clear" w:color="auto" w:fill="auto"/>
            <w:noWrap/>
            <w:tcMar>
              <w:right w:w="57" w:type="dxa"/>
            </w:tcMar>
            <w:vAlign w:val="bottom"/>
            <w:hideMark/>
          </w:tcPr>
          <w:p w14:paraId="73245FA0" w14:textId="77777777" w:rsidR="00C56907" w:rsidRPr="00C56907" w:rsidRDefault="00C56907" w:rsidP="00C56907">
            <w:pPr>
              <w:spacing w:before="0" w:after="0"/>
              <w:jc w:val="right"/>
              <w:rPr>
                <w:color w:val="auto"/>
                <w:sz w:val="16"/>
                <w:szCs w:val="16"/>
              </w:rPr>
            </w:pPr>
            <w:r w:rsidRPr="00C56907">
              <w:rPr>
                <w:color w:val="auto"/>
                <w:sz w:val="16"/>
                <w:szCs w:val="16"/>
              </w:rPr>
              <w:t>6,455</w:t>
            </w:r>
          </w:p>
        </w:tc>
        <w:tc>
          <w:tcPr>
            <w:tcW w:w="988" w:type="dxa"/>
            <w:tcBorders>
              <w:top w:val="nil"/>
              <w:left w:val="nil"/>
              <w:bottom w:val="nil"/>
              <w:right w:val="nil"/>
            </w:tcBorders>
            <w:shd w:val="clear" w:color="auto" w:fill="auto"/>
            <w:noWrap/>
            <w:tcMar>
              <w:right w:w="57" w:type="dxa"/>
            </w:tcMar>
            <w:vAlign w:val="bottom"/>
            <w:hideMark/>
          </w:tcPr>
          <w:p w14:paraId="55755FA8" w14:textId="77777777" w:rsidR="00C56907" w:rsidRPr="00C56907" w:rsidRDefault="00C56907" w:rsidP="00C56907">
            <w:pPr>
              <w:spacing w:before="0" w:after="0"/>
              <w:jc w:val="right"/>
              <w:rPr>
                <w:color w:val="auto"/>
                <w:sz w:val="16"/>
                <w:szCs w:val="16"/>
              </w:rPr>
            </w:pPr>
            <w:r w:rsidRPr="00C56907">
              <w:rPr>
                <w:color w:val="auto"/>
                <w:sz w:val="16"/>
                <w:szCs w:val="16"/>
              </w:rPr>
              <w:t>6,741</w:t>
            </w:r>
          </w:p>
        </w:tc>
        <w:tc>
          <w:tcPr>
            <w:tcW w:w="988" w:type="dxa"/>
            <w:tcBorders>
              <w:top w:val="nil"/>
              <w:left w:val="nil"/>
              <w:bottom w:val="nil"/>
              <w:right w:val="nil"/>
            </w:tcBorders>
            <w:shd w:val="clear" w:color="auto" w:fill="auto"/>
            <w:noWrap/>
            <w:tcMar>
              <w:right w:w="57" w:type="dxa"/>
            </w:tcMar>
            <w:vAlign w:val="bottom"/>
            <w:hideMark/>
          </w:tcPr>
          <w:p w14:paraId="12E3847A" w14:textId="77777777" w:rsidR="00C56907" w:rsidRPr="00C56907" w:rsidRDefault="00C56907" w:rsidP="00C56907">
            <w:pPr>
              <w:spacing w:before="0" w:after="0"/>
              <w:jc w:val="right"/>
              <w:rPr>
                <w:color w:val="auto"/>
                <w:sz w:val="16"/>
                <w:szCs w:val="16"/>
              </w:rPr>
            </w:pPr>
            <w:r w:rsidRPr="00C56907">
              <w:rPr>
                <w:color w:val="auto"/>
                <w:sz w:val="16"/>
                <w:szCs w:val="16"/>
              </w:rPr>
              <w:t>6,528</w:t>
            </w:r>
          </w:p>
        </w:tc>
      </w:tr>
      <w:tr w:rsidR="00C56907" w:rsidRPr="00C56907" w14:paraId="60E1E019"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5BD8A7D6" w14:textId="77777777" w:rsidR="00C56907" w:rsidRPr="00C56907" w:rsidRDefault="00C56907" w:rsidP="00C56907">
            <w:pPr>
              <w:spacing w:before="0" w:after="0"/>
              <w:ind w:firstLineChars="200" w:firstLine="320"/>
              <w:rPr>
                <w:color w:val="auto"/>
                <w:sz w:val="16"/>
                <w:szCs w:val="16"/>
              </w:rPr>
            </w:pPr>
            <w:r w:rsidRPr="00C56907">
              <w:rPr>
                <w:color w:val="auto"/>
                <w:sz w:val="16"/>
                <w:szCs w:val="16"/>
              </w:rPr>
              <w:t>Special appropriations</w:t>
            </w:r>
          </w:p>
        </w:tc>
        <w:tc>
          <w:tcPr>
            <w:tcW w:w="895" w:type="dxa"/>
            <w:tcBorders>
              <w:top w:val="nil"/>
              <w:left w:val="nil"/>
              <w:bottom w:val="nil"/>
              <w:right w:val="nil"/>
            </w:tcBorders>
            <w:shd w:val="clear" w:color="auto" w:fill="auto"/>
            <w:noWrap/>
            <w:tcMar>
              <w:right w:w="57" w:type="dxa"/>
            </w:tcMar>
            <w:vAlign w:val="bottom"/>
            <w:hideMark/>
          </w:tcPr>
          <w:p w14:paraId="21AB965C" w14:textId="77777777" w:rsidR="00C56907" w:rsidRPr="00C56907" w:rsidRDefault="00C56907" w:rsidP="00C56907">
            <w:pPr>
              <w:spacing w:before="0" w:after="0"/>
              <w:ind w:firstLineChars="200" w:firstLine="320"/>
              <w:rPr>
                <w:color w:val="auto"/>
                <w:sz w:val="16"/>
                <w:szCs w:val="16"/>
              </w:rPr>
            </w:pPr>
          </w:p>
        </w:tc>
        <w:tc>
          <w:tcPr>
            <w:tcW w:w="897" w:type="dxa"/>
            <w:tcBorders>
              <w:top w:val="nil"/>
              <w:left w:val="nil"/>
              <w:bottom w:val="nil"/>
              <w:right w:val="nil"/>
            </w:tcBorders>
            <w:shd w:val="clear" w:color="000000" w:fill="D9D9D9"/>
            <w:noWrap/>
            <w:tcMar>
              <w:right w:w="57" w:type="dxa"/>
            </w:tcMar>
            <w:vAlign w:val="bottom"/>
            <w:hideMark/>
          </w:tcPr>
          <w:p w14:paraId="4EB40430"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tcMar>
              <w:right w:w="57" w:type="dxa"/>
            </w:tcMar>
            <w:vAlign w:val="bottom"/>
            <w:hideMark/>
          </w:tcPr>
          <w:p w14:paraId="6B118B30"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tcMar>
              <w:right w:w="57" w:type="dxa"/>
            </w:tcMar>
            <w:vAlign w:val="bottom"/>
            <w:hideMark/>
          </w:tcPr>
          <w:p w14:paraId="1B15A3E8"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283DAB50"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270CF1AE" w14:textId="77777777" w:rsidTr="00321D2C">
        <w:trPr>
          <w:trHeight w:val="624"/>
          <w:jc w:val="center"/>
        </w:trPr>
        <w:tc>
          <w:tcPr>
            <w:tcW w:w="2614" w:type="dxa"/>
            <w:tcBorders>
              <w:top w:val="nil"/>
              <w:left w:val="nil"/>
              <w:bottom w:val="nil"/>
              <w:right w:val="nil"/>
            </w:tcBorders>
            <w:shd w:val="clear" w:color="auto" w:fill="auto"/>
            <w:vAlign w:val="bottom"/>
            <w:hideMark/>
          </w:tcPr>
          <w:p w14:paraId="545EF639" w14:textId="77777777" w:rsidR="00C56907" w:rsidRPr="00C56907" w:rsidRDefault="00C56907" w:rsidP="00C56907">
            <w:pPr>
              <w:spacing w:before="0" w:after="0"/>
              <w:ind w:leftChars="225" w:left="405"/>
              <w:rPr>
                <w:i/>
                <w:iCs/>
                <w:color w:val="auto"/>
                <w:sz w:val="16"/>
                <w:szCs w:val="16"/>
              </w:rPr>
            </w:pPr>
            <w:r w:rsidRPr="00C56907">
              <w:rPr>
                <w:i/>
                <w:iCs/>
                <w:color w:val="auto"/>
                <w:sz w:val="16"/>
                <w:szCs w:val="16"/>
              </w:rPr>
              <w:t xml:space="preserve">Private Health Insurance Act 2007 </w:t>
            </w:r>
            <w:r w:rsidRPr="00C56907">
              <w:rPr>
                <w:color w:val="auto"/>
                <w:sz w:val="16"/>
                <w:szCs w:val="16"/>
              </w:rPr>
              <w:t>- incentive payments and rebate</w:t>
            </w:r>
          </w:p>
        </w:tc>
        <w:tc>
          <w:tcPr>
            <w:tcW w:w="895" w:type="dxa"/>
            <w:tcBorders>
              <w:top w:val="nil"/>
              <w:left w:val="nil"/>
              <w:bottom w:val="nil"/>
              <w:right w:val="nil"/>
            </w:tcBorders>
            <w:shd w:val="clear" w:color="auto" w:fill="auto"/>
            <w:noWrap/>
            <w:tcMar>
              <w:left w:w="0" w:type="dxa"/>
              <w:right w:w="57" w:type="dxa"/>
            </w:tcMar>
            <w:vAlign w:val="bottom"/>
            <w:hideMark/>
          </w:tcPr>
          <w:p w14:paraId="5A18CC10" w14:textId="77777777" w:rsidR="00C56907" w:rsidRPr="00C56907" w:rsidRDefault="00C56907" w:rsidP="00C56907">
            <w:pPr>
              <w:spacing w:before="0" w:after="0"/>
              <w:jc w:val="right"/>
              <w:rPr>
                <w:color w:val="auto"/>
                <w:sz w:val="16"/>
                <w:szCs w:val="16"/>
              </w:rPr>
            </w:pPr>
            <w:r w:rsidRPr="00C56907">
              <w:rPr>
                <w:color w:val="auto"/>
                <w:sz w:val="16"/>
                <w:szCs w:val="16"/>
              </w:rPr>
              <w:t>6,726,890</w:t>
            </w:r>
          </w:p>
        </w:tc>
        <w:tc>
          <w:tcPr>
            <w:tcW w:w="897" w:type="dxa"/>
            <w:tcBorders>
              <w:top w:val="nil"/>
              <w:left w:val="nil"/>
              <w:bottom w:val="nil"/>
              <w:right w:val="nil"/>
            </w:tcBorders>
            <w:shd w:val="clear" w:color="000000" w:fill="D9D9D9"/>
            <w:noWrap/>
            <w:tcMar>
              <w:left w:w="0" w:type="dxa"/>
              <w:right w:w="57" w:type="dxa"/>
            </w:tcMar>
            <w:vAlign w:val="bottom"/>
            <w:hideMark/>
          </w:tcPr>
          <w:p w14:paraId="0459561C" w14:textId="77777777" w:rsidR="00C56907" w:rsidRPr="00C56907" w:rsidRDefault="00C56907" w:rsidP="00C56907">
            <w:pPr>
              <w:spacing w:before="0" w:after="0"/>
              <w:jc w:val="right"/>
              <w:rPr>
                <w:color w:val="auto"/>
                <w:sz w:val="16"/>
                <w:szCs w:val="16"/>
              </w:rPr>
            </w:pPr>
            <w:r w:rsidRPr="00C56907">
              <w:rPr>
                <w:color w:val="auto"/>
                <w:sz w:val="16"/>
                <w:szCs w:val="16"/>
              </w:rPr>
              <w:t>6,885,541</w:t>
            </w:r>
          </w:p>
        </w:tc>
        <w:tc>
          <w:tcPr>
            <w:tcW w:w="988" w:type="dxa"/>
            <w:tcBorders>
              <w:top w:val="nil"/>
              <w:left w:val="nil"/>
              <w:bottom w:val="nil"/>
              <w:right w:val="nil"/>
            </w:tcBorders>
            <w:shd w:val="clear" w:color="auto" w:fill="auto"/>
            <w:noWrap/>
            <w:tcMar>
              <w:left w:w="0" w:type="dxa"/>
              <w:right w:w="57" w:type="dxa"/>
            </w:tcMar>
            <w:vAlign w:val="bottom"/>
            <w:hideMark/>
          </w:tcPr>
          <w:p w14:paraId="724930E8" w14:textId="77777777" w:rsidR="00C56907" w:rsidRPr="00C56907" w:rsidRDefault="00C56907" w:rsidP="00C56907">
            <w:pPr>
              <w:spacing w:before="0" w:after="0"/>
              <w:jc w:val="right"/>
              <w:rPr>
                <w:color w:val="auto"/>
                <w:sz w:val="16"/>
                <w:szCs w:val="16"/>
              </w:rPr>
            </w:pPr>
            <w:r w:rsidRPr="00C56907">
              <w:rPr>
                <w:color w:val="auto"/>
                <w:sz w:val="16"/>
                <w:szCs w:val="16"/>
              </w:rPr>
              <w:t>7,102,698</w:t>
            </w:r>
          </w:p>
        </w:tc>
        <w:tc>
          <w:tcPr>
            <w:tcW w:w="988" w:type="dxa"/>
            <w:tcBorders>
              <w:top w:val="nil"/>
              <w:left w:val="nil"/>
              <w:bottom w:val="nil"/>
              <w:right w:val="nil"/>
            </w:tcBorders>
            <w:shd w:val="clear" w:color="auto" w:fill="auto"/>
            <w:noWrap/>
            <w:tcMar>
              <w:left w:w="0" w:type="dxa"/>
              <w:right w:w="57" w:type="dxa"/>
            </w:tcMar>
            <w:vAlign w:val="bottom"/>
            <w:hideMark/>
          </w:tcPr>
          <w:p w14:paraId="7CE63215" w14:textId="77777777" w:rsidR="00C56907" w:rsidRPr="00C56907" w:rsidRDefault="00C56907" w:rsidP="00C56907">
            <w:pPr>
              <w:spacing w:before="0" w:after="0"/>
              <w:jc w:val="right"/>
              <w:rPr>
                <w:color w:val="auto"/>
                <w:sz w:val="16"/>
                <w:szCs w:val="16"/>
              </w:rPr>
            </w:pPr>
            <w:r w:rsidRPr="00C56907">
              <w:rPr>
                <w:color w:val="auto"/>
                <w:sz w:val="16"/>
                <w:szCs w:val="16"/>
              </w:rPr>
              <w:t>7,285,346</w:t>
            </w:r>
          </w:p>
        </w:tc>
        <w:tc>
          <w:tcPr>
            <w:tcW w:w="988" w:type="dxa"/>
            <w:tcBorders>
              <w:top w:val="nil"/>
              <w:left w:val="nil"/>
              <w:bottom w:val="nil"/>
              <w:right w:val="nil"/>
            </w:tcBorders>
            <w:shd w:val="clear" w:color="auto" w:fill="auto"/>
            <w:noWrap/>
            <w:tcMar>
              <w:left w:w="0" w:type="dxa"/>
              <w:right w:w="57" w:type="dxa"/>
            </w:tcMar>
            <w:vAlign w:val="bottom"/>
            <w:hideMark/>
          </w:tcPr>
          <w:p w14:paraId="261C4EEF" w14:textId="77777777" w:rsidR="00C56907" w:rsidRPr="00C56907" w:rsidRDefault="00C56907" w:rsidP="00C56907">
            <w:pPr>
              <w:spacing w:before="0" w:after="0"/>
              <w:jc w:val="right"/>
              <w:rPr>
                <w:color w:val="auto"/>
                <w:sz w:val="16"/>
                <w:szCs w:val="16"/>
              </w:rPr>
            </w:pPr>
            <w:r w:rsidRPr="00C56907">
              <w:rPr>
                <w:color w:val="auto"/>
                <w:sz w:val="16"/>
                <w:szCs w:val="16"/>
              </w:rPr>
              <w:t>7,443,284</w:t>
            </w:r>
          </w:p>
        </w:tc>
      </w:tr>
      <w:tr w:rsidR="00C56907" w:rsidRPr="00C56907" w14:paraId="7BF698BA" w14:textId="77777777" w:rsidTr="00321D2C">
        <w:trPr>
          <w:trHeight w:val="283"/>
          <w:jc w:val="center"/>
        </w:trPr>
        <w:tc>
          <w:tcPr>
            <w:tcW w:w="2614" w:type="dxa"/>
            <w:tcBorders>
              <w:top w:val="nil"/>
              <w:left w:val="nil"/>
              <w:bottom w:val="nil"/>
              <w:right w:val="nil"/>
            </w:tcBorders>
            <w:shd w:val="clear" w:color="auto" w:fill="auto"/>
            <w:noWrap/>
            <w:vAlign w:val="bottom"/>
            <w:hideMark/>
          </w:tcPr>
          <w:p w14:paraId="36A0654C" w14:textId="77777777" w:rsidR="00C56907" w:rsidRPr="00C56907" w:rsidRDefault="00C56907" w:rsidP="00C56907">
            <w:pPr>
              <w:spacing w:before="0" w:after="0"/>
              <w:ind w:firstLineChars="100" w:firstLine="160"/>
              <w:rPr>
                <w:b/>
                <w:bCs/>
                <w:color w:val="auto"/>
                <w:sz w:val="16"/>
                <w:szCs w:val="16"/>
              </w:rPr>
            </w:pPr>
            <w:r w:rsidRPr="00C56907">
              <w:rPr>
                <w:b/>
                <w:bCs/>
                <w:color w:val="auto"/>
                <w:sz w:val="16"/>
                <w:szCs w:val="16"/>
              </w:rPr>
              <w:t>Total for Program 2.4</w:t>
            </w:r>
          </w:p>
        </w:tc>
        <w:tc>
          <w:tcPr>
            <w:tcW w:w="895"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425ADA38" w14:textId="77777777" w:rsidR="00C56907" w:rsidRPr="00C56907" w:rsidRDefault="00C56907" w:rsidP="00C56907">
            <w:pPr>
              <w:spacing w:before="0" w:after="0"/>
              <w:jc w:val="right"/>
              <w:rPr>
                <w:b/>
                <w:bCs/>
                <w:color w:val="auto"/>
                <w:sz w:val="16"/>
                <w:szCs w:val="16"/>
              </w:rPr>
            </w:pPr>
            <w:r w:rsidRPr="00C56907">
              <w:rPr>
                <w:b/>
                <w:bCs/>
                <w:color w:val="auto"/>
                <w:sz w:val="16"/>
                <w:szCs w:val="16"/>
              </w:rPr>
              <w:t>6,740,104</w:t>
            </w:r>
          </w:p>
        </w:tc>
        <w:tc>
          <w:tcPr>
            <w:tcW w:w="897"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3272665E" w14:textId="77777777" w:rsidR="00C56907" w:rsidRPr="00C56907" w:rsidRDefault="00C56907" w:rsidP="00C56907">
            <w:pPr>
              <w:spacing w:before="0" w:after="0"/>
              <w:jc w:val="right"/>
              <w:rPr>
                <w:b/>
                <w:bCs/>
                <w:color w:val="auto"/>
                <w:sz w:val="16"/>
                <w:szCs w:val="16"/>
              </w:rPr>
            </w:pPr>
            <w:r w:rsidRPr="00C56907">
              <w:rPr>
                <w:b/>
                <w:bCs/>
                <w:color w:val="auto"/>
                <w:sz w:val="16"/>
                <w:szCs w:val="16"/>
              </w:rPr>
              <w:t>6,895,590</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69CDFDAF" w14:textId="77777777" w:rsidR="00C56907" w:rsidRPr="00C56907" w:rsidRDefault="00C56907" w:rsidP="00C56907">
            <w:pPr>
              <w:spacing w:before="0" w:after="0"/>
              <w:jc w:val="right"/>
              <w:rPr>
                <w:b/>
                <w:bCs/>
                <w:color w:val="auto"/>
                <w:sz w:val="16"/>
                <w:szCs w:val="16"/>
              </w:rPr>
            </w:pPr>
            <w:r w:rsidRPr="00C56907">
              <w:rPr>
                <w:b/>
                <w:bCs/>
                <w:color w:val="auto"/>
                <w:sz w:val="16"/>
                <w:szCs w:val="16"/>
              </w:rPr>
              <w:t>7,109,153</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1E8A251A" w14:textId="77777777" w:rsidR="00C56907" w:rsidRPr="00C56907" w:rsidRDefault="00C56907" w:rsidP="00C56907">
            <w:pPr>
              <w:spacing w:before="0" w:after="0"/>
              <w:jc w:val="right"/>
              <w:rPr>
                <w:b/>
                <w:bCs/>
                <w:color w:val="auto"/>
                <w:sz w:val="16"/>
                <w:szCs w:val="16"/>
              </w:rPr>
            </w:pPr>
            <w:r w:rsidRPr="00C56907">
              <w:rPr>
                <w:b/>
                <w:bCs/>
                <w:color w:val="auto"/>
                <w:sz w:val="16"/>
                <w:szCs w:val="16"/>
              </w:rPr>
              <w:t>7,292,087</w:t>
            </w:r>
          </w:p>
        </w:tc>
        <w:tc>
          <w:tcPr>
            <w:tcW w:w="988"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34BE19F5" w14:textId="77777777" w:rsidR="00C56907" w:rsidRPr="00C56907" w:rsidRDefault="00C56907" w:rsidP="00C56907">
            <w:pPr>
              <w:spacing w:before="0" w:after="0"/>
              <w:jc w:val="right"/>
              <w:rPr>
                <w:b/>
                <w:bCs/>
                <w:color w:val="auto"/>
                <w:sz w:val="16"/>
                <w:szCs w:val="16"/>
              </w:rPr>
            </w:pPr>
            <w:r w:rsidRPr="00C56907">
              <w:rPr>
                <w:b/>
                <w:bCs/>
                <w:color w:val="auto"/>
                <w:sz w:val="16"/>
                <w:szCs w:val="16"/>
              </w:rPr>
              <w:t>7,449,812</w:t>
            </w:r>
          </w:p>
        </w:tc>
      </w:tr>
      <w:tr w:rsidR="00C56907" w:rsidRPr="00C56907" w14:paraId="1F087D7E" w14:textId="77777777" w:rsidTr="00321D2C">
        <w:trPr>
          <w:trHeight w:val="283"/>
          <w:jc w:val="center"/>
        </w:trPr>
        <w:tc>
          <w:tcPr>
            <w:tcW w:w="2614" w:type="dxa"/>
            <w:tcBorders>
              <w:top w:val="nil"/>
              <w:left w:val="nil"/>
              <w:bottom w:val="nil"/>
              <w:right w:val="nil"/>
            </w:tcBorders>
            <w:shd w:val="clear" w:color="auto" w:fill="auto"/>
            <w:noWrap/>
            <w:vAlign w:val="bottom"/>
            <w:hideMark/>
          </w:tcPr>
          <w:p w14:paraId="3E4E17C6" w14:textId="77777777" w:rsidR="00C56907" w:rsidRPr="00C56907" w:rsidRDefault="00C56907" w:rsidP="00C56907">
            <w:pPr>
              <w:spacing w:before="0" w:after="0"/>
              <w:rPr>
                <w:b/>
                <w:bCs/>
                <w:color w:val="auto"/>
                <w:sz w:val="16"/>
                <w:szCs w:val="16"/>
              </w:rPr>
            </w:pPr>
            <w:r w:rsidRPr="00C56907">
              <w:rPr>
                <w:b/>
                <w:bCs/>
                <w:color w:val="auto"/>
                <w:sz w:val="16"/>
                <w:szCs w:val="16"/>
              </w:rPr>
              <w:t xml:space="preserve">Program 2.5: Dental Services </w:t>
            </w:r>
            <w:r w:rsidRPr="00C56907">
              <w:rPr>
                <w:b/>
                <w:bCs/>
                <w:color w:val="auto"/>
                <w:sz w:val="16"/>
                <w:szCs w:val="16"/>
                <w:vertAlign w:val="superscript"/>
              </w:rPr>
              <w:t>(b)</w:t>
            </w:r>
          </w:p>
        </w:tc>
        <w:tc>
          <w:tcPr>
            <w:tcW w:w="895" w:type="dxa"/>
            <w:tcBorders>
              <w:top w:val="nil"/>
              <w:left w:val="nil"/>
              <w:bottom w:val="nil"/>
              <w:right w:val="nil"/>
            </w:tcBorders>
            <w:shd w:val="clear" w:color="auto" w:fill="auto"/>
            <w:noWrap/>
            <w:tcMar>
              <w:right w:w="57" w:type="dxa"/>
            </w:tcMar>
            <w:vAlign w:val="bottom"/>
            <w:hideMark/>
          </w:tcPr>
          <w:p w14:paraId="54F2D8AD" w14:textId="77777777" w:rsidR="00C56907" w:rsidRPr="00C56907" w:rsidRDefault="00C56907" w:rsidP="00C56907">
            <w:pPr>
              <w:spacing w:before="0" w:after="0"/>
              <w:rPr>
                <w:b/>
                <w:bCs/>
                <w:color w:val="auto"/>
                <w:sz w:val="16"/>
                <w:szCs w:val="16"/>
              </w:rPr>
            </w:pPr>
          </w:p>
        </w:tc>
        <w:tc>
          <w:tcPr>
            <w:tcW w:w="897" w:type="dxa"/>
            <w:tcBorders>
              <w:top w:val="nil"/>
              <w:left w:val="nil"/>
              <w:bottom w:val="nil"/>
              <w:right w:val="nil"/>
            </w:tcBorders>
            <w:shd w:val="clear" w:color="auto" w:fill="auto"/>
            <w:noWrap/>
            <w:tcMar>
              <w:right w:w="57" w:type="dxa"/>
            </w:tcMar>
            <w:vAlign w:val="bottom"/>
            <w:hideMark/>
          </w:tcPr>
          <w:p w14:paraId="036F4536"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5EBECC5B"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58B2B18C"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5A5236AD"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13AF21AE" w14:textId="77777777" w:rsidTr="00321D2C">
        <w:trPr>
          <w:trHeight w:val="283"/>
          <w:jc w:val="center"/>
        </w:trPr>
        <w:tc>
          <w:tcPr>
            <w:tcW w:w="2614" w:type="dxa"/>
            <w:tcBorders>
              <w:top w:val="nil"/>
              <w:left w:val="nil"/>
              <w:bottom w:val="nil"/>
              <w:right w:val="nil"/>
            </w:tcBorders>
            <w:shd w:val="clear" w:color="auto" w:fill="auto"/>
            <w:noWrap/>
            <w:vAlign w:val="bottom"/>
            <w:hideMark/>
          </w:tcPr>
          <w:p w14:paraId="23C2FACE"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Administered expenses</w:t>
            </w:r>
          </w:p>
        </w:tc>
        <w:tc>
          <w:tcPr>
            <w:tcW w:w="895" w:type="dxa"/>
            <w:tcBorders>
              <w:top w:val="nil"/>
              <w:left w:val="nil"/>
              <w:bottom w:val="nil"/>
              <w:right w:val="nil"/>
            </w:tcBorders>
            <w:shd w:val="clear" w:color="auto" w:fill="auto"/>
            <w:noWrap/>
            <w:tcMar>
              <w:right w:w="57" w:type="dxa"/>
            </w:tcMar>
            <w:vAlign w:val="bottom"/>
            <w:hideMark/>
          </w:tcPr>
          <w:p w14:paraId="0A1C74E0" w14:textId="77777777" w:rsidR="00C56907" w:rsidRPr="00C56907" w:rsidRDefault="00C56907" w:rsidP="00C56907">
            <w:pPr>
              <w:spacing w:before="0" w:after="0"/>
              <w:ind w:firstLineChars="100" w:firstLine="160"/>
              <w:rPr>
                <w:color w:val="auto"/>
                <w:sz w:val="16"/>
                <w:szCs w:val="16"/>
              </w:rPr>
            </w:pPr>
          </w:p>
        </w:tc>
        <w:tc>
          <w:tcPr>
            <w:tcW w:w="897" w:type="dxa"/>
            <w:tcBorders>
              <w:top w:val="nil"/>
              <w:left w:val="nil"/>
              <w:bottom w:val="nil"/>
              <w:right w:val="nil"/>
            </w:tcBorders>
            <w:shd w:val="clear" w:color="000000" w:fill="D9D9D9"/>
            <w:noWrap/>
            <w:tcMar>
              <w:right w:w="57" w:type="dxa"/>
            </w:tcMar>
            <w:vAlign w:val="bottom"/>
            <w:hideMark/>
          </w:tcPr>
          <w:p w14:paraId="00BC6628"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tcMar>
              <w:right w:w="57" w:type="dxa"/>
            </w:tcMar>
            <w:vAlign w:val="bottom"/>
            <w:hideMark/>
          </w:tcPr>
          <w:p w14:paraId="56A7C986"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tcMar>
              <w:right w:w="57" w:type="dxa"/>
            </w:tcMar>
            <w:vAlign w:val="bottom"/>
            <w:hideMark/>
          </w:tcPr>
          <w:p w14:paraId="7DEAEDF9"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38B85C06"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5EF11D6D"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40ABDF56" w14:textId="77777777" w:rsidR="00C56907" w:rsidRPr="00C56907" w:rsidRDefault="00C56907" w:rsidP="00C56907">
            <w:pPr>
              <w:spacing w:before="0" w:after="0"/>
              <w:ind w:firstLineChars="200" w:firstLine="320"/>
              <w:rPr>
                <w:color w:val="auto"/>
                <w:sz w:val="16"/>
                <w:szCs w:val="16"/>
              </w:rPr>
            </w:pPr>
            <w:r w:rsidRPr="00C56907">
              <w:rPr>
                <w:color w:val="auto"/>
                <w:sz w:val="16"/>
                <w:szCs w:val="16"/>
              </w:rPr>
              <w:t>Special appropriations</w:t>
            </w:r>
          </w:p>
        </w:tc>
        <w:tc>
          <w:tcPr>
            <w:tcW w:w="895" w:type="dxa"/>
            <w:tcBorders>
              <w:top w:val="nil"/>
              <w:left w:val="nil"/>
              <w:bottom w:val="nil"/>
              <w:right w:val="nil"/>
            </w:tcBorders>
            <w:shd w:val="clear" w:color="auto" w:fill="auto"/>
            <w:noWrap/>
            <w:tcMar>
              <w:right w:w="57" w:type="dxa"/>
            </w:tcMar>
            <w:vAlign w:val="bottom"/>
            <w:hideMark/>
          </w:tcPr>
          <w:p w14:paraId="1CA3B8E4" w14:textId="77777777" w:rsidR="00C56907" w:rsidRPr="00C56907" w:rsidRDefault="00C56907" w:rsidP="00C56907">
            <w:pPr>
              <w:spacing w:before="0" w:after="0"/>
              <w:ind w:firstLineChars="200" w:firstLine="320"/>
              <w:rPr>
                <w:color w:val="auto"/>
                <w:sz w:val="16"/>
                <w:szCs w:val="16"/>
              </w:rPr>
            </w:pPr>
          </w:p>
        </w:tc>
        <w:tc>
          <w:tcPr>
            <w:tcW w:w="897" w:type="dxa"/>
            <w:tcBorders>
              <w:top w:val="nil"/>
              <w:left w:val="nil"/>
              <w:bottom w:val="nil"/>
              <w:right w:val="nil"/>
            </w:tcBorders>
            <w:shd w:val="clear" w:color="000000" w:fill="D9D9D9"/>
            <w:noWrap/>
            <w:tcMar>
              <w:right w:w="57" w:type="dxa"/>
            </w:tcMar>
            <w:vAlign w:val="bottom"/>
            <w:hideMark/>
          </w:tcPr>
          <w:p w14:paraId="4FF8C3B7"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88" w:type="dxa"/>
            <w:tcBorders>
              <w:top w:val="nil"/>
              <w:left w:val="nil"/>
              <w:bottom w:val="nil"/>
              <w:right w:val="nil"/>
            </w:tcBorders>
            <w:shd w:val="clear" w:color="auto" w:fill="auto"/>
            <w:noWrap/>
            <w:tcMar>
              <w:right w:w="57" w:type="dxa"/>
            </w:tcMar>
            <w:vAlign w:val="bottom"/>
            <w:hideMark/>
          </w:tcPr>
          <w:p w14:paraId="157928DD" w14:textId="77777777" w:rsidR="00C56907" w:rsidRPr="00C56907" w:rsidRDefault="00C56907" w:rsidP="00C56907">
            <w:pPr>
              <w:spacing w:before="0" w:after="0"/>
              <w:jc w:val="right"/>
              <w:rPr>
                <w:color w:val="auto"/>
                <w:sz w:val="16"/>
                <w:szCs w:val="16"/>
              </w:rPr>
            </w:pPr>
          </w:p>
        </w:tc>
        <w:tc>
          <w:tcPr>
            <w:tcW w:w="988" w:type="dxa"/>
            <w:tcBorders>
              <w:top w:val="nil"/>
              <w:left w:val="nil"/>
              <w:bottom w:val="nil"/>
              <w:right w:val="nil"/>
            </w:tcBorders>
            <w:shd w:val="clear" w:color="auto" w:fill="auto"/>
            <w:noWrap/>
            <w:tcMar>
              <w:right w:w="57" w:type="dxa"/>
            </w:tcMar>
            <w:vAlign w:val="bottom"/>
            <w:hideMark/>
          </w:tcPr>
          <w:p w14:paraId="6421508B"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88" w:type="dxa"/>
            <w:tcBorders>
              <w:top w:val="nil"/>
              <w:left w:val="nil"/>
              <w:bottom w:val="nil"/>
              <w:right w:val="nil"/>
            </w:tcBorders>
            <w:shd w:val="clear" w:color="auto" w:fill="auto"/>
            <w:noWrap/>
            <w:tcMar>
              <w:right w:w="57" w:type="dxa"/>
            </w:tcMar>
            <w:vAlign w:val="bottom"/>
            <w:hideMark/>
          </w:tcPr>
          <w:p w14:paraId="6D1BCF6B"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372E8301" w14:textId="77777777" w:rsidTr="00321D2C">
        <w:trPr>
          <w:trHeight w:val="225"/>
          <w:jc w:val="center"/>
        </w:trPr>
        <w:tc>
          <w:tcPr>
            <w:tcW w:w="2614" w:type="dxa"/>
            <w:tcBorders>
              <w:top w:val="nil"/>
              <w:left w:val="nil"/>
              <w:bottom w:val="nil"/>
              <w:right w:val="nil"/>
            </w:tcBorders>
            <w:shd w:val="clear" w:color="auto" w:fill="auto"/>
            <w:noWrap/>
            <w:vAlign w:val="bottom"/>
            <w:hideMark/>
          </w:tcPr>
          <w:p w14:paraId="6302CB9E" w14:textId="77777777" w:rsidR="00C56907" w:rsidRPr="00C56907" w:rsidRDefault="00C56907" w:rsidP="00C56907">
            <w:pPr>
              <w:spacing w:before="0" w:after="0"/>
              <w:ind w:leftChars="225" w:left="405"/>
              <w:rPr>
                <w:i/>
                <w:iCs/>
                <w:color w:val="auto"/>
                <w:sz w:val="16"/>
                <w:szCs w:val="16"/>
              </w:rPr>
            </w:pPr>
            <w:r w:rsidRPr="00C56907">
              <w:rPr>
                <w:i/>
                <w:iCs/>
                <w:color w:val="auto"/>
                <w:sz w:val="16"/>
                <w:szCs w:val="16"/>
              </w:rPr>
              <w:t>Dental Benefits Act 2008</w:t>
            </w:r>
          </w:p>
        </w:tc>
        <w:tc>
          <w:tcPr>
            <w:tcW w:w="895" w:type="dxa"/>
            <w:tcBorders>
              <w:top w:val="nil"/>
              <w:left w:val="nil"/>
              <w:bottom w:val="nil"/>
              <w:right w:val="nil"/>
            </w:tcBorders>
            <w:shd w:val="clear" w:color="auto" w:fill="auto"/>
            <w:noWrap/>
            <w:tcMar>
              <w:right w:w="57" w:type="dxa"/>
            </w:tcMar>
            <w:vAlign w:val="bottom"/>
            <w:hideMark/>
          </w:tcPr>
          <w:p w14:paraId="7D4A5140" w14:textId="77777777" w:rsidR="00C56907" w:rsidRPr="00C56907" w:rsidRDefault="00C56907" w:rsidP="00C56907">
            <w:pPr>
              <w:spacing w:before="0" w:after="0"/>
              <w:jc w:val="right"/>
              <w:rPr>
                <w:color w:val="auto"/>
                <w:sz w:val="16"/>
                <w:szCs w:val="16"/>
              </w:rPr>
            </w:pPr>
            <w:r w:rsidRPr="00C56907">
              <w:rPr>
                <w:color w:val="auto"/>
                <w:sz w:val="16"/>
                <w:szCs w:val="16"/>
              </w:rPr>
              <w:t>343,701</w:t>
            </w:r>
          </w:p>
        </w:tc>
        <w:tc>
          <w:tcPr>
            <w:tcW w:w="897" w:type="dxa"/>
            <w:tcBorders>
              <w:top w:val="nil"/>
              <w:left w:val="nil"/>
              <w:bottom w:val="nil"/>
              <w:right w:val="nil"/>
            </w:tcBorders>
            <w:shd w:val="clear" w:color="000000" w:fill="D9D9D9"/>
            <w:noWrap/>
            <w:tcMar>
              <w:right w:w="57" w:type="dxa"/>
            </w:tcMar>
            <w:vAlign w:val="bottom"/>
            <w:hideMark/>
          </w:tcPr>
          <w:p w14:paraId="271BF0D3" w14:textId="77777777" w:rsidR="00C56907" w:rsidRPr="00C56907" w:rsidRDefault="00C56907" w:rsidP="00C56907">
            <w:pPr>
              <w:spacing w:before="0" w:after="0"/>
              <w:jc w:val="right"/>
              <w:rPr>
                <w:color w:val="auto"/>
                <w:sz w:val="16"/>
                <w:szCs w:val="16"/>
              </w:rPr>
            </w:pPr>
            <w:r w:rsidRPr="00C56907">
              <w:rPr>
                <w:color w:val="auto"/>
                <w:sz w:val="16"/>
                <w:szCs w:val="16"/>
              </w:rPr>
              <w:t>349,728</w:t>
            </w:r>
          </w:p>
        </w:tc>
        <w:tc>
          <w:tcPr>
            <w:tcW w:w="988" w:type="dxa"/>
            <w:tcBorders>
              <w:top w:val="nil"/>
              <w:left w:val="nil"/>
              <w:bottom w:val="nil"/>
              <w:right w:val="nil"/>
            </w:tcBorders>
            <w:shd w:val="clear" w:color="auto" w:fill="auto"/>
            <w:noWrap/>
            <w:tcMar>
              <w:right w:w="57" w:type="dxa"/>
            </w:tcMar>
            <w:vAlign w:val="bottom"/>
            <w:hideMark/>
          </w:tcPr>
          <w:p w14:paraId="75F289C5" w14:textId="77777777" w:rsidR="00C56907" w:rsidRPr="00C56907" w:rsidRDefault="00C56907" w:rsidP="00C56907">
            <w:pPr>
              <w:spacing w:before="0" w:after="0"/>
              <w:jc w:val="right"/>
              <w:rPr>
                <w:color w:val="auto"/>
                <w:sz w:val="16"/>
                <w:szCs w:val="16"/>
              </w:rPr>
            </w:pPr>
            <w:r w:rsidRPr="00C56907">
              <w:rPr>
                <w:color w:val="auto"/>
                <w:sz w:val="16"/>
                <w:szCs w:val="16"/>
              </w:rPr>
              <w:t>357,692</w:t>
            </w:r>
          </w:p>
        </w:tc>
        <w:tc>
          <w:tcPr>
            <w:tcW w:w="988" w:type="dxa"/>
            <w:tcBorders>
              <w:top w:val="nil"/>
              <w:left w:val="nil"/>
              <w:bottom w:val="nil"/>
              <w:right w:val="nil"/>
            </w:tcBorders>
            <w:shd w:val="clear" w:color="auto" w:fill="auto"/>
            <w:noWrap/>
            <w:tcMar>
              <w:right w:w="57" w:type="dxa"/>
            </w:tcMar>
            <w:vAlign w:val="bottom"/>
            <w:hideMark/>
          </w:tcPr>
          <w:p w14:paraId="749C3077" w14:textId="77777777" w:rsidR="00C56907" w:rsidRPr="00C56907" w:rsidRDefault="00C56907" w:rsidP="00C56907">
            <w:pPr>
              <w:spacing w:before="0" w:after="0"/>
              <w:jc w:val="right"/>
              <w:rPr>
                <w:color w:val="auto"/>
                <w:sz w:val="16"/>
                <w:szCs w:val="16"/>
              </w:rPr>
            </w:pPr>
            <w:r w:rsidRPr="00C56907">
              <w:rPr>
                <w:color w:val="auto"/>
                <w:sz w:val="16"/>
                <w:szCs w:val="16"/>
              </w:rPr>
              <w:t>359,227</w:t>
            </w:r>
          </w:p>
        </w:tc>
        <w:tc>
          <w:tcPr>
            <w:tcW w:w="988" w:type="dxa"/>
            <w:tcBorders>
              <w:top w:val="nil"/>
              <w:left w:val="nil"/>
              <w:bottom w:val="nil"/>
              <w:right w:val="nil"/>
            </w:tcBorders>
            <w:shd w:val="clear" w:color="auto" w:fill="auto"/>
            <w:noWrap/>
            <w:tcMar>
              <w:right w:w="57" w:type="dxa"/>
            </w:tcMar>
            <w:vAlign w:val="bottom"/>
            <w:hideMark/>
          </w:tcPr>
          <w:p w14:paraId="26FC46A2" w14:textId="77777777" w:rsidR="00C56907" w:rsidRPr="00C56907" w:rsidRDefault="00C56907" w:rsidP="00C56907">
            <w:pPr>
              <w:spacing w:before="0" w:after="0"/>
              <w:jc w:val="right"/>
              <w:rPr>
                <w:color w:val="auto"/>
                <w:sz w:val="16"/>
                <w:szCs w:val="16"/>
              </w:rPr>
            </w:pPr>
            <w:r w:rsidRPr="00C56907">
              <w:rPr>
                <w:color w:val="auto"/>
                <w:sz w:val="16"/>
                <w:szCs w:val="16"/>
              </w:rPr>
              <w:t>359,936</w:t>
            </w:r>
          </w:p>
        </w:tc>
      </w:tr>
      <w:tr w:rsidR="00C56907" w:rsidRPr="00C56907" w14:paraId="32BD20FF" w14:textId="77777777" w:rsidTr="00321D2C">
        <w:trPr>
          <w:trHeight w:val="283"/>
          <w:jc w:val="center"/>
        </w:trPr>
        <w:tc>
          <w:tcPr>
            <w:tcW w:w="2614" w:type="dxa"/>
            <w:tcBorders>
              <w:top w:val="nil"/>
              <w:left w:val="nil"/>
              <w:bottom w:val="nil"/>
              <w:right w:val="nil"/>
            </w:tcBorders>
            <w:shd w:val="clear" w:color="auto" w:fill="auto"/>
            <w:noWrap/>
            <w:vAlign w:val="bottom"/>
            <w:hideMark/>
          </w:tcPr>
          <w:p w14:paraId="0E648227" w14:textId="77777777" w:rsidR="00C56907" w:rsidRPr="00C56907" w:rsidRDefault="00C56907" w:rsidP="00C56907">
            <w:pPr>
              <w:spacing w:before="0" w:after="0"/>
              <w:ind w:firstLineChars="100" w:firstLine="160"/>
              <w:rPr>
                <w:b/>
                <w:bCs/>
                <w:color w:val="auto"/>
                <w:sz w:val="16"/>
                <w:szCs w:val="16"/>
              </w:rPr>
            </w:pPr>
            <w:r w:rsidRPr="00C56907">
              <w:rPr>
                <w:b/>
                <w:bCs/>
                <w:color w:val="auto"/>
                <w:sz w:val="16"/>
                <w:szCs w:val="16"/>
              </w:rPr>
              <w:t>Total for Program 2.5</w:t>
            </w:r>
          </w:p>
        </w:tc>
        <w:tc>
          <w:tcPr>
            <w:tcW w:w="895" w:type="dxa"/>
            <w:tcBorders>
              <w:top w:val="single" w:sz="4" w:space="0" w:color="auto"/>
              <w:left w:val="nil"/>
              <w:bottom w:val="single" w:sz="4" w:space="0" w:color="auto"/>
              <w:right w:val="nil"/>
            </w:tcBorders>
            <w:shd w:val="clear" w:color="auto" w:fill="auto"/>
            <w:noWrap/>
            <w:tcMar>
              <w:right w:w="57" w:type="dxa"/>
            </w:tcMar>
            <w:vAlign w:val="bottom"/>
            <w:hideMark/>
          </w:tcPr>
          <w:p w14:paraId="40E1BBE7" w14:textId="77777777" w:rsidR="00C56907" w:rsidRPr="00C56907" w:rsidRDefault="00C56907" w:rsidP="00C56907">
            <w:pPr>
              <w:spacing w:before="0" w:after="0"/>
              <w:jc w:val="right"/>
              <w:rPr>
                <w:b/>
                <w:bCs/>
                <w:color w:val="auto"/>
                <w:sz w:val="16"/>
                <w:szCs w:val="16"/>
              </w:rPr>
            </w:pPr>
            <w:r w:rsidRPr="00C56907">
              <w:rPr>
                <w:b/>
                <w:bCs/>
                <w:color w:val="auto"/>
                <w:sz w:val="16"/>
                <w:szCs w:val="16"/>
              </w:rPr>
              <w:t>343,701</w:t>
            </w:r>
          </w:p>
        </w:tc>
        <w:tc>
          <w:tcPr>
            <w:tcW w:w="897" w:type="dxa"/>
            <w:tcBorders>
              <w:top w:val="single" w:sz="4" w:space="0" w:color="auto"/>
              <w:left w:val="nil"/>
              <w:bottom w:val="single" w:sz="4" w:space="0" w:color="auto"/>
              <w:right w:val="nil"/>
            </w:tcBorders>
            <w:shd w:val="clear" w:color="000000" w:fill="D9D9D9"/>
            <w:noWrap/>
            <w:tcMar>
              <w:right w:w="57" w:type="dxa"/>
            </w:tcMar>
            <w:vAlign w:val="bottom"/>
            <w:hideMark/>
          </w:tcPr>
          <w:p w14:paraId="2EF26D6D" w14:textId="77777777" w:rsidR="00C56907" w:rsidRPr="00C56907" w:rsidRDefault="00C56907" w:rsidP="00C56907">
            <w:pPr>
              <w:spacing w:before="0" w:after="0"/>
              <w:jc w:val="right"/>
              <w:rPr>
                <w:b/>
                <w:bCs/>
                <w:color w:val="auto"/>
                <w:sz w:val="16"/>
                <w:szCs w:val="16"/>
              </w:rPr>
            </w:pPr>
            <w:r w:rsidRPr="00C56907">
              <w:rPr>
                <w:b/>
                <w:bCs/>
                <w:color w:val="auto"/>
                <w:sz w:val="16"/>
                <w:szCs w:val="16"/>
              </w:rPr>
              <w:t>349,728</w:t>
            </w:r>
          </w:p>
        </w:tc>
        <w:tc>
          <w:tcPr>
            <w:tcW w:w="988" w:type="dxa"/>
            <w:tcBorders>
              <w:top w:val="single" w:sz="4" w:space="0" w:color="auto"/>
              <w:left w:val="nil"/>
              <w:bottom w:val="single" w:sz="4" w:space="0" w:color="auto"/>
              <w:right w:val="nil"/>
            </w:tcBorders>
            <w:shd w:val="clear" w:color="auto" w:fill="auto"/>
            <w:noWrap/>
            <w:tcMar>
              <w:right w:w="57" w:type="dxa"/>
            </w:tcMar>
            <w:vAlign w:val="bottom"/>
            <w:hideMark/>
          </w:tcPr>
          <w:p w14:paraId="255CC6A4" w14:textId="77777777" w:rsidR="00C56907" w:rsidRPr="00C56907" w:rsidRDefault="00C56907" w:rsidP="00C56907">
            <w:pPr>
              <w:spacing w:before="0" w:after="0"/>
              <w:jc w:val="right"/>
              <w:rPr>
                <w:b/>
                <w:bCs/>
                <w:color w:val="auto"/>
                <w:sz w:val="16"/>
                <w:szCs w:val="16"/>
              </w:rPr>
            </w:pPr>
            <w:r w:rsidRPr="00C56907">
              <w:rPr>
                <w:b/>
                <w:bCs/>
                <w:color w:val="auto"/>
                <w:sz w:val="16"/>
                <w:szCs w:val="16"/>
              </w:rPr>
              <w:t>357,692</w:t>
            </w:r>
          </w:p>
        </w:tc>
        <w:tc>
          <w:tcPr>
            <w:tcW w:w="988" w:type="dxa"/>
            <w:tcBorders>
              <w:top w:val="single" w:sz="4" w:space="0" w:color="auto"/>
              <w:left w:val="nil"/>
              <w:bottom w:val="single" w:sz="4" w:space="0" w:color="auto"/>
              <w:right w:val="nil"/>
            </w:tcBorders>
            <w:shd w:val="clear" w:color="auto" w:fill="auto"/>
            <w:noWrap/>
            <w:tcMar>
              <w:right w:w="57" w:type="dxa"/>
            </w:tcMar>
            <w:vAlign w:val="bottom"/>
            <w:hideMark/>
          </w:tcPr>
          <w:p w14:paraId="733D4576" w14:textId="77777777" w:rsidR="00C56907" w:rsidRPr="00C56907" w:rsidRDefault="00C56907" w:rsidP="00C56907">
            <w:pPr>
              <w:spacing w:before="0" w:after="0"/>
              <w:jc w:val="right"/>
              <w:rPr>
                <w:b/>
                <w:bCs/>
                <w:color w:val="auto"/>
                <w:sz w:val="16"/>
                <w:szCs w:val="16"/>
              </w:rPr>
            </w:pPr>
            <w:r w:rsidRPr="00C56907">
              <w:rPr>
                <w:b/>
                <w:bCs/>
                <w:color w:val="auto"/>
                <w:sz w:val="16"/>
                <w:szCs w:val="16"/>
              </w:rPr>
              <w:t>359,227</w:t>
            </w:r>
          </w:p>
        </w:tc>
        <w:tc>
          <w:tcPr>
            <w:tcW w:w="988" w:type="dxa"/>
            <w:tcBorders>
              <w:top w:val="single" w:sz="4" w:space="0" w:color="auto"/>
              <w:left w:val="nil"/>
              <w:bottom w:val="single" w:sz="4" w:space="0" w:color="auto"/>
              <w:right w:val="nil"/>
            </w:tcBorders>
            <w:shd w:val="clear" w:color="auto" w:fill="auto"/>
            <w:noWrap/>
            <w:tcMar>
              <w:right w:w="57" w:type="dxa"/>
            </w:tcMar>
            <w:vAlign w:val="bottom"/>
            <w:hideMark/>
          </w:tcPr>
          <w:p w14:paraId="109EAF70" w14:textId="77777777" w:rsidR="00C56907" w:rsidRPr="00C56907" w:rsidRDefault="00C56907" w:rsidP="00C56907">
            <w:pPr>
              <w:spacing w:before="0" w:after="0"/>
              <w:jc w:val="right"/>
              <w:rPr>
                <w:b/>
                <w:bCs/>
                <w:color w:val="auto"/>
                <w:sz w:val="16"/>
                <w:szCs w:val="16"/>
              </w:rPr>
            </w:pPr>
            <w:r w:rsidRPr="00C56907">
              <w:rPr>
                <w:b/>
                <w:bCs/>
                <w:color w:val="auto"/>
                <w:sz w:val="16"/>
                <w:szCs w:val="16"/>
              </w:rPr>
              <w:t>359,936</w:t>
            </w:r>
          </w:p>
        </w:tc>
      </w:tr>
    </w:tbl>
    <w:p w14:paraId="1F0AB6AA" w14:textId="77777777" w:rsidR="000C708A" w:rsidRDefault="000C708A" w:rsidP="00733D0C">
      <w:pPr>
        <w:pStyle w:val="Tablenumberandreference"/>
        <w:keepNext/>
        <w:spacing w:before="120"/>
        <w:rPr>
          <w:color w:val="auto"/>
        </w:rPr>
      </w:pPr>
    </w:p>
    <w:p w14:paraId="351B4674" w14:textId="77777777" w:rsidR="000C708A" w:rsidRDefault="000C708A">
      <w:pPr>
        <w:spacing w:before="0" w:after="160" w:line="259" w:lineRule="auto"/>
        <w:rPr>
          <w:b/>
          <w:color w:val="auto"/>
          <w:sz w:val="20"/>
          <w:lang w:eastAsia="en-US"/>
        </w:rPr>
      </w:pPr>
      <w:r>
        <w:rPr>
          <w:color w:val="auto"/>
        </w:rPr>
        <w:br w:type="page"/>
      </w:r>
    </w:p>
    <w:p w14:paraId="537670D9" w14:textId="790E4FE0" w:rsidR="00C56907" w:rsidRPr="00733D0C" w:rsidRDefault="00733D0C" w:rsidP="00733D0C">
      <w:pPr>
        <w:pStyle w:val="Tablenumberandreference"/>
        <w:keepNext/>
        <w:spacing w:before="120"/>
        <w:rPr>
          <w:color w:val="auto"/>
        </w:rPr>
      </w:pPr>
      <w:r w:rsidRPr="00685583">
        <w:rPr>
          <w:color w:val="auto"/>
        </w:rPr>
        <w:lastRenderedPageBreak/>
        <w:t>Table 2.</w:t>
      </w:r>
      <w:r>
        <w:rPr>
          <w:color w:val="auto"/>
        </w:rPr>
        <w:t>2</w:t>
      </w:r>
      <w:r w:rsidRPr="00685583">
        <w:rPr>
          <w:color w:val="auto"/>
        </w:rPr>
        <w:t xml:space="preserve">.1: Budgeted </w:t>
      </w:r>
      <w:r>
        <w:rPr>
          <w:color w:val="auto"/>
        </w:rPr>
        <w:t>e</w:t>
      </w:r>
      <w:r w:rsidRPr="00685583">
        <w:rPr>
          <w:color w:val="auto"/>
        </w:rPr>
        <w:t xml:space="preserve">xpenses for Outcome </w:t>
      </w:r>
      <w:r>
        <w:rPr>
          <w:color w:val="auto"/>
        </w:rPr>
        <w:t>2 (continued)</w:t>
      </w:r>
    </w:p>
    <w:tbl>
      <w:tblPr>
        <w:tblW w:w="7320" w:type="dxa"/>
        <w:jc w:val="center"/>
        <w:tblLayout w:type="fixed"/>
        <w:tblLook w:val="04A0" w:firstRow="1" w:lastRow="0" w:firstColumn="1" w:lastColumn="0" w:noHBand="0" w:noVBand="1"/>
      </w:tblPr>
      <w:tblGrid>
        <w:gridCol w:w="2795"/>
        <w:gridCol w:w="905"/>
        <w:gridCol w:w="905"/>
        <w:gridCol w:w="905"/>
        <w:gridCol w:w="905"/>
        <w:gridCol w:w="905"/>
      </w:tblGrid>
      <w:tr w:rsidR="00C56907" w:rsidRPr="00C56907" w14:paraId="675BB5FC" w14:textId="77777777" w:rsidTr="00C56907">
        <w:trPr>
          <w:trHeight w:val="765"/>
          <w:jc w:val="center"/>
        </w:trPr>
        <w:tc>
          <w:tcPr>
            <w:tcW w:w="2795" w:type="dxa"/>
            <w:tcBorders>
              <w:top w:val="single" w:sz="4" w:space="0" w:color="auto"/>
              <w:left w:val="nil"/>
              <w:bottom w:val="nil"/>
              <w:right w:val="nil"/>
            </w:tcBorders>
            <w:shd w:val="clear" w:color="auto" w:fill="auto"/>
            <w:hideMark/>
          </w:tcPr>
          <w:p w14:paraId="5E384D04" w14:textId="77777777" w:rsidR="00C56907" w:rsidRPr="00C56907" w:rsidRDefault="00C56907" w:rsidP="00C56907">
            <w:pPr>
              <w:spacing w:after="0"/>
              <w:jc w:val="right"/>
              <w:rPr>
                <w:b/>
                <w:bCs/>
                <w:color w:val="auto"/>
                <w:sz w:val="16"/>
                <w:szCs w:val="16"/>
              </w:rPr>
            </w:pPr>
            <w:r w:rsidRPr="00C56907">
              <w:rPr>
                <w:b/>
                <w:bCs/>
                <w:color w:val="auto"/>
                <w:sz w:val="16"/>
                <w:szCs w:val="16"/>
              </w:rPr>
              <w:t> </w:t>
            </w:r>
          </w:p>
        </w:tc>
        <w:tc>
          <w:tcPr>
            <w:tcW w:w="905" w:type="dxa"/>
            <w:tcBorders>
              <w:top w:val="single" w:sz="4" w:space="0" w:color="auto"/>
              <w:left w:val="nil"/>
              <w:bottom w:val="single" w:sz="4" w:space="0" w:color="auto"/>
              <w:right w:val="nil"/>
            </w:tcBorders>
            <w:shd w:val="clear" w:color="auto" w:fill="auto"/>
            <w:tcMar>
              <w:left w:w="0" w:type="dxa"/>
            </w:tcMar>
            <w:hideMark/>
          </w:tcPr>
          <w:p w14:paraId="30EF8E29" w14:textId="77777777" w:rsidR="00C56907" w:rsidRPr="00C56907" w:rsidRDefault="00C56907" w:rsidP="00C56907">
            <w:pPr>
              <w:spacing w:after="0"/>
              <w:jc w:val="right"/>
              <w:rPr>
                <w:b/>
                <w:bCs/>
                <w:color w:val="auto"/>
                <w:sz w:val="16"/>
                <w:szCs w:val="16"/>
              </w:rPr>
            </w:pPr>
            <w:r w:rsidRPr="00C56907">
              <w:rPr>
                <w:b/>
                <w:bCs/>
                <w:color w:val="auto"/>
                <w:sz w:val="16"/>
                <w:szCs w:val="16"/>
              </w:rPr>
              <w:t>2022–23</w:t>
            </w:r>
            <w:r w:rsidRPr="00C56907">
              <w:rPr>
                <w:b/>
                <w:bCs/>
                <w:color w:val="auto"/>
                <w:sz w:val="16"/>
                <w:szCs w:val="16"/>
              </w:rPr>
              <w:br/>
              <w:t>Estimated actual</w:t>
            </w:r>
            <w:r w:rsidRPr="00C56907">
              <w:rPr>
                <w:b/>
                <w:bCs/>
                <w:color w:val="auto"/>
                <w:sz w:val="16"/>
                <w:szCs w:val="16"/>
              </w:rPr>
              <w:br/>
              <w:t>$'000</w:t>
            </w:r>
          </w:p>
        </w:tc>
        <w:tc>
          <w:tcPr>
            <w:tcW w:w="905" w:type="dxa"/>
            <w:tcBorders>
              <w:top w:val="single" w:sz="4" w:space="0" w:color="auto"/>
              <w:left w:val="nil"/>
              <w:bottom w:val="single" w:sz="4" w:space="0" w:color="auto"/>
              <w:right w:val="nil"/>
            </w:tcBorders>
            <w:shd w:val="clear" w:color="000000" w:fill="D9D9D9"/>
            <w:hideMark/>
          </w:tcPr>
          <w:p w14:paraId="712D9076" w14:textId="77777777" w:rsidR="00C56907" w:rsidRPr="00C56907" w:rsidRDefault="00C56907" w:rsidP="00C56907">
            <w:pPr>
              <w:spacing w:after="0"/>
              <w:jc w:val="right"/>
              <w:rPr>
                <w:b/>
                <w:bCs/>
                <w:color w:val="auto"/>
                <w:sz w:val="16"/>
                <w:szCs w:val="16"/>
              </w:rPr>
            </w:pPr>
            <w:r w:rsidRPr="00C56907">
              <w:rPr>
                <w:b/>
                <w:bCs/>
                <w:color w:val="auto"/>
                <w:sz w:val="16"/>
                <w:szCs w:val="16"/>
              </w:rPr>
              <w:t>2023–24 Budget</w:t>
            </w:r>
            <w:r w:rsidRPr="00C56907">
              <w:rPr>
                <w:b/>
                <w:bCs/>
                <w:color w:val="auto"/>
                <w:sz w:val="16"/>
                <w:szCs w:val="16"/>
              </w:rPr>
              <w:br/>
            </w:r>
            <w:r w:rsidRPr="00C56907">
              <w:rPr>
                <w:b/>
                <w:bCs/>
                <w:color w:val="auto"/>
                <w:sz w:val="16"/>
                <w:szCs w:val="16"/>
              </w:rPr>
              <w:br/>
              <w:t>$'000</w:t>
            </w:r>
          </w:p>
        </w:tc>
        <w:tc>
          <w:tcPr>
            <w:tcW w:w="905" w:type="dxa"/>
            <w:tcBorders>
              <w:top w:val="single" w:sz="4" w:space="0" w:color="auto"/>
              <w:left w:val="nil"/>
              <w:bottom w:val="single" w:sz="4" w:space="0" w:color="auto"/>
              <w:right w:val="nil"/>
            </w:tcBorders>
            <w:shd w:val="clear" w:color="auto" w:fill="auto"/>
            <w:hideMark/>
          </w:tcPr>
          <w:p w14:paraId="7C0BE956" w14:textId="77777777" w:rsidR="00C56907" w:rsidRPr="00C56907" w:rsidRDefault="00C56907" w:rsidP="00C56907">
            <w:pPr>
              <w:spacing w:after="0"/>
              <w:jc w:val="right"/>
              <w:rPr>
                <w:b/>
                <w:bCs/>
                <w:color w:val="auto"/>
                <w:sz w:val="16"/>
                <w:szCs w:val="16"/>
              </w:rPr>
            </w:pPr>
            <w:r w:rsidRPr="00C56907">
              <w:rPr>
                <w:b/>
                <w:bCs/>
                <w:color w:val="auto"/>
                <w:sz w:val="16"/>
                <w:szCs w:val="16"/>
              </w:rPr>
              <w:t>2024–25 Forward estimate</w:t>
            </w:r>
            <w:r w:rsidRPr="00C56907">
              <w:rPr>
                <w:b/>
                <w:bCs/>
                <w:color w:val="auto"/>
                <w:sz w:val="16"/>
                <w:szCs w:val="16"/>
              </w:rPr>
              <w:br/>
              <w:t>$'000</w:t>
            </w:r>
          </w:p>
        </w:tc>
        <w:tc>
          <w:tcPr>
            <w:tcW w:w="905" w:type="dxa"/>
            <w:tcBorders>
              <w:top w:val="single" w:sz="4" w:space="0" w:color="auto"/>
              <w:left w:val="nil"/>
              <w:bottom w:val="single" w:sz="4" w:space="0" w:color="auto"/>
              <w:right w:val="nil"/>
            </w:tcBorders>
            <w:shd w:val="clear" w:color="auto" w:fill="auto"/>
            <w:hideMark/>
          </w:tcPr>
          <w:p w14:paraId="70038CCA" w14:textId="77777777" w:rsidR="00C56907" w:rsidRPr="00C56907" w:rsidRDefault="00C56907" w:rsidP="00C56907">
            <w:pPr>
              <w:spacing w:after="0"/>
              <w:jc w:val="right"/>
              <w:rPr>
                <w:b/>
                <w:bCs/>
                <w:color w:val="auto"/>
                <w:sz w:val="16"/>
                <w:szCs w:val="16"/>
              </w:rPr>
            </w:pPr>
            <w:r w:rsidRPr="00C56907">
              <w:rPr>
                <w:b/>
                <w:bCs/>
                <w:color w:val="auto"/>
                <w:sz w:val="16"/>
                <w:szCs w:val="16"/>
              </w:rPr>
              <w:t>2025–26 Forward estimate</w:t>
            </w:r>
            <w:r w:rsidRPr="00C56907">
              <w:rPr>
                <w:b/>
                <w:bCs/>
                <w:color w:val="auto"/>
                <w:sz w:val="16"/>
                <w:szCs w:val="16"/>
              </w:rPr>
              <w:br/>
              <w:t>$'000</w:t>
            </w:r>
          </w:p>
        </w:tc>
        <w:tc>
          <w:tcPr>
            <w:tcW w:w="905" w:type="dxa"/>
            <w:tcBorders>
              <w:top w:val="single" w:sz="4" w:space="0" w:color="auto"/>
              <w:left w:val="nil"/>
              <w:bottom w:val="single" w:sz="4" w:space="0" w:color="auto"/>
              <w:right w:val="nil"/>
            </w:tcBorders>
            <w:shd w:val="clear" w:color="auto" w:fill="auto"/>
            <w:hideMark/>
          </w:tcPr>
          <w:p w14:paraId="533D07A9" w14:textId="77777777" w:rsidR="00C56907" w:rsidRPr="00C56907" w:rsidRDefault="00C56907" w:rsidP="00C56907">
            <w:pPr>
              <w:spacing w:after="0"/>
              <w:jc w:val="right"/>
              <w:rPr>
                <w:b/>
                <w:bCs/>
                <w:color w:val="auto"/>
                <w:sz w:val="16"/>
                <w:szCs w:val="16"/>
              </w:rPr>
            </w:pPr>
            <w:r w:rsidRPr="00C56907">
              <w:rPr>
                <w:b/>
                <w:bCs/>
                <w:color w:val="auto"/>
                <w:sz w:val="16"/>
                <w:szCs w:val="16"/>
              </w:rPr>
              <w:t>2026–27 Forward estimate</w:t>
            </w:r>
            <w:r w:rsidRPr="00C56907">
              <w:rPr>
                <w:b/>
                <w:bCs/>
                <w:color w:val="auto"/>
                <w:sz w:val="16"/>
                <w:szCs w:val="16"/>
              </w:rPr>
              <w:br/>
              <w:t>$'000</w:t>
            </w:r>
          </w:p>
        </w:tc>
      </w:tr>
      <w:tr w:rsidR="00C56907" w:rsidRPr="00C56907" w14:paraId="68601743" w14:textId="77777777" w:rsidTr="00C56907">
        <w:trPr>
          <w:trHeight w:val="300"/>
          <w:jc w:val="center"/>
        </w:trPr>
        <w:tc>
          <w:tcPr>
            <w:tcW w:w="7320" w:type="dxa"/>
            <w:gridSpan w:val="6"/>
            <w:tcBorders>
              <w:top w:val="nil"/>
              <w:left w:val="nil"/>
              <w:bottom w:val="nil"/>
              <w:right w:val="nil"/>
            </w:tcBorders>
            <w:shd w:val="clear" w:color="auto" w:fill="auto"/>
            <w:vAlign w:val="bottom"/>
            <w:hideMark/>
          </w:tcPr>
          <w:p w14:paraId="44616B59" w14:textId="77777777" w:rsidR="00C56907" w:rsidRPr="00C56907" w:rsidRDefault="00C56907" w:rsidP="00C56907">
            <w:pPr>
              <w:spacing w:before="0" w:after="0"/>
              <w:rPr>
                <w:b/>
                <w:bCs/>
                <w:color w:val="auto"/>
                <w:sz w:val="16"/>
                <w:szCs w:val="16"/>
              </w:rPr>
            </w:pPr>
            <w:r w:rsidRPr="00C56907">
              <w:rPr>
                <w:b/>
                <w:bCs/>
                <w:color w:val="auto"/>
                <w:sz w:val="16"/>
                <w:szCs w:val="16"/>
              </w:rPr>
              <w:t>Program 2.6: Health Benefit Compliance</w:t>
            </w:r>
          </w:p>
        </w:tc>
      </w:tr>
      <w:tr w:rsidR="00C56907" w:rsidRPr="00C56907" w14:paraId="5B1CF3B6" w14:textId="77777777" w:rsidTr="00C56907">
        <w:trPr>
          <w:trHeight w:val="300"/>
          <w:jc w:val="center"/>
        </w:trPr>
        <w:tc>
          <w:tcPr>
            <w:tcW w:w="2795" w:type="dxa"/>
            <w:tcBorders>
              <w:top w:val="nil"/>
              <w:left w:val="nil"/>
              <w:bottom w:val="nil"/>
              <w:right w:val="nil"/>
            </w:tcBorders>
            <w:shd w:val="clear" w:color="auto" w:fill="auto"/>
            <w:noWrap/>
            <w:vAlign w:val="bottom"/>
            <w:hideMark/>
          </w:tcPr>
          <w:p w14:paraId="49694EB0"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Administered expenses</w:t>
            </w:r>
          </w:p>
        </w:tc>
        <w:tc>
          <w:tcPr>
            <w:tcW w:w="905" w:type="dxa"/>
            <w:tcBorders>
              <w:top w:val="nil"/>
              <w:left w:val="nil"/>
              <w:bottom w:val="nil"/>
              <w:right w:val="nil"/>
            </w:tcBorders>
            <w:shd w:val="clear" w:color="auto" w:fill="auto"/>
            <w:noWrap/>
            <w:vAlign w:val="bottom"/>
            <w:hideMark/>
          </w:tcPr>
          <w:p w14:paraId="67FC9E9C" w14:textId="77777777" w:rsidR="00C56907" w:rsidRPr="00C56907" w:rsidRDefault="00C56907" w:rsidP="00C56907">
            <w:pPr>
              <w:spacing w:before="0" w:after="0"/>
              <w:ind w:firstLineChars="100" w:firstLine="160"/>
              <w:rPr>
                <w:color w:val="auto"/>
                <w:sz w:val="16"/>
                <w:szCs w:val="16"/>
              </w:rPr>
            </w:pPr>
          </w:p>
        </w:tc>
        <w:tc>
          <w:tcPr>
            <w:tcW w:w="905" w:type="dxa"/>
            <w:tcBorders>
              <w:top w:val="nil"/>
              <w:left w:val="nil"/>
              <w:bottom w:val="nil"/>
              <w:right w:val="nil"/>
            </w:tcBorders>
            <w:shd w:val="clear" w:color="000000" w:fill="D9D9D9"/>
            <w:noWrap/>
            <w:vAlign w:val="bottom"/>
            <w:hideMark/>
          </w:tcPr>
          <w:p w14:paraId="615DBD5B"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05" w:type="dxa"/>
            <w:tcBorders>
              <w:top w:val="nil"/>
              <w:left w:val="nil"/>
              <w:bottom w:val="nil"/>
              <w:right w:val="nil"/>
            </w:tcBorders>
            <w:shd w:val="clear" w:color="auto" w:fill="auto"/>
            <w:noWrap/>
            <w:vAlign w:val="bottom"/>
            <w:hideMark/>
          </w:tcPr>
          <w:p w14:paraId="64364178" w14:textId="77777777" w:rsidR="00C56907" w:rsidRPr="00C56907" w:rsidRDefault="00C56907" w:rsidP="00C56907">
            <w:pPr>
              <w:spacing w:before="0" w:after="0"/>
              <w:jc w:val="right"/>
              <w:rPr>
                <w:color w:val="auto"/>
                <w:sz w:val="16"/>
                <w:szCs w:val="16"/>
              </w:rPr>
            </w:pPr>
          </w:p>
        </w:tc>
        <w:tc>
          <w:tcPr>
            <w:tcW w:w="905" w:type="dxa"/>
            <w:tcBorders>
              <w:top w:val="nil"/>
              <w:left w:val="nil"/>
              <w:bottom w:val="nil"/>
              <w:right w:val="nil"/>
            </w:tcBorders>
            <w:shd w:val="clear" w:color="auto" w:fill="auto"/>
            <w:noWrap/>
            <w:vAlign w:val="bottom"/>
            <w:hideMark/>
          </w:tcPr>
          <w:p w14:paraId="107A8AA3"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05" w:type="dxa"/>
            <w:tcBorders>
              <w:top w:val="nil"/>
              <w:left w:val="nil"/>
              <w:bottom w:val="nil"/>
              <w:right w:val="nil"/>
            </w:tcBorders>
            <w:shd w:val="clear" w:color="auto" w:fill="auto"/>
            <w:noWrap/>
            <w:vAlign w:val="bottom"/>
            <w:hideMark/>
          </w:tcPr>
          <w:p w14:paraId="48255439"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2456BC5B" w14:textId="77777777" w:rsidTr="00321D2C">
        <w:trPr>
          <w:trHeight w:val="225"/>
          <w:jc w:val="center"/>
        </w:trPr>
        <w:tc>
          <w:tcPr>
            <w:tcW w:w="2795" w:type="dxa"/>
            <w:tcBorders>
              <w:top w:val="nil"/>
              <w:left w:val="nil"/>
              <w:bottom w:val="nil"/>
              <w:right w:val="nil"/>
            </w:tcBorders>
            <w:shd w:val="clear" w:color="auto" w:fill="auto"/>
            <w:noWrap/>
            <w:vAlign w:val="bottom"/>
            <w:hideMark/>
          </w:tcPr>
          <w:p w14:paraId="00BE6144" w14:textId="77777777" w:rsidR="00C56907" w:rsidRPr="00C56907" w:rsidRDefault="00C56907" w:rsidP="00321D2C">
            <w:pPr>
              <w:spacing w:before="0" w:after="0"/>
              <w:ind w:leftChars="150" w:left="270"/>
              <w:rPr>
                <w:color w:val="auto"/>
                <w:sz w:val="16"/>
                <w:szCs w:val="16"/>
              </w:rPr>
            </w:pPr>
            <w:r w:rsidRPr="00C56907">
              <w:rPr>
                <w:color w:val="auto"/>
                <w:sz w:val="16"/>
                <w:szCs w:val="16"/>
              </w:rPr>
              <w:t xml:space="preserve">Ordinary annual services </w:t>
            </w:r>
            <w:r w:rsidRPr="00C56907">
              <w:rPr>
                <w:color w:val="auto"/>
                <w:sz w:val="16"/>
                <w:szCs w:val="16"/>
                <w:vertAlign w:val="superscript"/>
              </w:rPr>
              <w:t>(a)</w:t>
            </w:r>
          </w:p>
        </w:tc>
        <w:tc>
          <w:tcPr>
            <w:tcW w:w="905" w:type="dxa"/>
            <w:tcBorders>
              <w:top w:val="nil"/>
              <w:left w:val="nil"/>
              <w:bottom w:val="nil"/>
              <w:right w:val="nil"/>
            </w:tcBorders>
            <w:shd w:val="clear" w:color="auto" w:fill="auto"/>
            <w:noWrap/>
            <w:tcMar>
              <w:right w:w="57" w:type="dxa"/>
            </w:tcMar>
            <w:vAlign w:val="bottom"/>
            <w:hideMark/>
          </w:tcPr>
          <w:p w14:paraId="22A62082" w14:textId="77777777" w:rsidR="00C56907" w:rsidRPr="00C56907" w:rsidRDefault="00C56907" w:rsidP="00C56907">
            <w:pPr>
              <w:spacing w:before="0" w:after="0"/>
              <w:jc w:val="right"/>
              <w:rPr>
                <w:color w:val="auto"/>
                <w:sz w:val="16"/>
                <w:szCs w:val="16"/>
              </w:rPr>
            </w:pPr>
            <w:r w:rsidRPr="00C56907">
              <w:rPr>
                <w:color w:val="auto"/>
                <w:sz w:val="16"/>
                <w:szCs w:val="16"/>
              </w:rPr>
              <w:t>17,325</w:t>
            </w:r>
          </w:p>
        </w:tc>
        <w:tc>
          <w:tcPr>
            <w:tcW w:w="905" w:type="dxa"/>
            <w:tcBorders>
              <w:top w:val="nil"/>
              <w:left w:val="nil"/>
              <w:bottom w:val="nil"/>
              <w:right w:val="nil"/>
            </w:tcBorders>
            <w:shd w:val="clear" w:color="000000" w:fill="D9D9D9"/>
            <w:noWrap/>
            <w:tcMar>
              <w:right w:w="57" w:type="dxa"/>
            </w:tcMar>
            <w:vAlign w:val="bottom"/>
            <w:hideMark/>
          </w:tcPr>
          <w:p w14:paraId="5A39D48C" w14:textId="77777777" w:rsidR="00C56907" w:rsidRPr="00C56907" w:rsidRDefault="00C56907" w:rsidP="00C56907">
            <w:pPr>
              <w:spacing w:before="0" w:after="0"/>
              <w:jc w:val="right"/>
              <w:rPr>
                <w:color w:val="auto"/>
                <w:sz w:val="16"/>
                <w:szCs w:val="16"/>
              </w:rPr>
            </w:pPr>
            <w:r w:rsidRPr="00C56907">
              <w:rPr>
                <w:color w:val="auto"/>
                <w:sz w:val="16"/>
                <w:szCs w:val="16"/>
              </w:rPr>
              <w:t>17,858</w:t>
            </w:r>
          </w:p>
        </w:tc>
        <w:tc>
          <w:tcPr>
            <w:tcW w:w="905" w:type="dxa"/>
            <w:tcBorders>
              <w:top w:val="nil"/>
              <w:left w:val="nil"/>
              <w:bottom w:val="nil"/>
              <w:right w:val="nil"/>
            </w:tcBorders>
            <w:shd w:val="clear" w:color="auto" w:fill="auto"/>
            <w:noWrap/>
            <w:tcMar>
              <w:right w:w="57" w:type="dxa"/>
            </w:tcMar>
            <w:vAlign w:val="bottom"/>
            <w:hideMark/>
          </w:tcPr>
          <w:p w14:paraId="779BE279" w14:textId="77777777" w:rsidR="00C56907" w:rsidRPr="00C56907" w:rsidRDefault="00C56907" w:rsidP="00C56907">
            <w:pPr>
              <w:spacing w:before="0" w:after="0"/>
              <w:jc w:val="right"/>
              <w:rPr>
                <w:color w:val="auto"/>
                <w:sz w:val="16"/>
                <w:szCs w:val="16"/>
              </w:rPr>
            </w:pPr>
            <w:r w:rsidRPr="00C56907">
              <w:rPr>
                <w:color w:val="auto"/>
                <w:sz w:val="16"/>
                <w:szCs w:val="16"/>
              </w:rPr>
              <w:t>16,645</w:t>
            </w:r>
          </w:p>
        </w:tc>
        <w:tc>
          <w:tcPr>
            <w:tcW w:w="905" w:type="dxa"/>
            <w:tcBorders>
              <w:top w:val="nil"/>
              <w:left w:val="nil"/>
              <w:bottom w:val="nil"/>
              <w:right w:val="nil"/>
            </w:tcBorders>
            <w:shd w:val="clear" w:color="auto" w:fill="auto"/>
            <w:noWrap/>
            <w:tcMar>
              <w:right w:w="57" w:type="dxa"/>
            </w:tcMar>
            <w:vAlign w:val="bottom"/>
            <w:hideMark/>
          </w:tcPr>
          <w:p w14:paraId="324C3BC9" w14:textId="77777777" w:rsidR="00C56907" w:rsidRPr="00C56907" w:rsidRDefault="00C56907" w:rsidP="00C56907">
            <w:pPr>
              <w:spacing w:before="0" w:after="0"/>
              <w:jc w:val="right"/>
              <w:rPr>
                <w:color w:val="auto"/>
                <w:sz w:val="16"/>
                <w:szCs w:val="16"/>
              </w:rPr>
            </w:pPr>
            <w:r w:rsidRPr="00C56907">
              <w:rPr>
                <w:color w:val="auto"/>
                <w:sz w:val="16"/>
                <w:szCs w:val="16"/>
              </w:rPr>
              <w:t>16,645</w:t>
            </w:r>
          </w:p>
        </w:tc>
        <w:tc>
          <w:tcPr>
            <w:tcW w:w="905" w:type="dxa"/>
            <w:tcBorders>
              <w:top w:val="nil"/>
              <w:left w:val="nil"/>
              <w:bottom w:val="nil"/>
              <w:right w:val="nil"/>
            </w:tcBorders>
            <w:shd w:val="clear" w:color="auto" w:fill="auto"/>
            <w:noWrap/>
            <w:tcMar>
              <w:right w:w="57" w:type="dxa"/>
            </w:tcMar>
            <w:vAlign w:val="bottom"/>
            <w:hideMark/>
          </w:tcPr>
          <w:p w14:paraId="319E635D" w14:textId="77777777" w:rsidR="00C56907" w:rsidRPr="00C56907" w:rsidRDefault="00C56907" w:rsidP="00C56907">
            <w:pPr>
              <w:spacing w:before="0" w:after="0"/>
              <w:jc w:val="right"/>
              <w:rPr>
                <w:color w:val="auto"/>
                <w:sz w:val="16"/>
                <w:szCs w:val="16"/>
              </w:rPr>
            </w:pPr>
            <w:r w:rsidRPr="00C56907">
              <w:rPr>
                <w:color w:val="auto"/>
                <w:sz w:val="16"/>
                <w:szCs w:val="16"/>
              </w:rPr>
              <w:t>16,645</w:t>
            </w:r>
          </w:p>
        </w:tc>
      </w:tr>
      <w:tr w:rsidR="00C56907" w:rsidRPr="00C56907" w14:paraId="5401D9EA" w14:textId="77777777" w:rsidTr="00321D2C">
        <w:trPr>
          <w:trHeight w:val="300"/>
          <w:jc w:val="center"/>
        </w:trPr>
        <w:tc>
          <w:tcPr>
            <w:tcW w:w="2795" w:type="dxa"/>
            <w:tcBorders>
              <w:top w:val="nil"/>
              <w:left w:val="nil"/>
              <w:bottom w:val="nil"/>
              <w:right w:val="nil"/>
            </w:tcBorders>
            <w:shd w:val="clear" w:color="auto" w:fill="auto"/>
            <w:noWrap/>
            <w:vAlign w:val="bottom"/>
            <w:hideMark/>
          </w:tcPr>
          <w:p w14:paraId="2E84B32B" w14:textId="77777777" w:rsidR="00C56907" w:rsidRPr="00C56907" w:rsidRDefault="00C56907" w:rsidP="00C56907">
            <w:pPr>
              <w:spacing w:before="0" w:after="0"/>
              <w:ind w:firstLineChars="100" w:firstLine="160"/>
              <w:rPr>
                <w:b/>
                <w:bCs/>
                <w:color w:val="auto"/>
                <w:sz w:val="16"/>
                <w:szCs w:val="16"/>
              </w:rPr>
            </w:pPr>
            <w:r w:rsidRPr="00C56907">
              <w:rPr>
                <w:b/>
                <w:bCs/>
                <w:color w:val="auto"/>
                <w:sz w:val="16"/>
                <w:szCs w:val="16"/>
              </w:rPr>
              <w:t>Total for Program 2.6</w:t>
            </w:r>
          </w:p>
        </w:tc>
        <w:tc>
          <w:tcPr>
            <w:tcW w:w="905" w:type="dxa"/>
            <w:tcBorders>
              <w:top w:val="single" w:sz="4" w:space="0" w:color="auto"/>
              <w:left w:val="nil"/>
              <w:bottom w:val="single" w:sz="4" w:space="0" w:color="auto"/>
              <w:right w:val="nil"/>
            </w:tcBorders>
            <w:shd w:val="clear" w:color="auto" w:fill="auto"/>
            <w:noWrap/>
            <w:tcMar>
              <w:right w:w="57" w:type="dxa"/>
            </w:tcMar>
            <w:vAlign w:val="bottom"/>
            <w:hideMark/>
          </w:tcPr>
          <w:p w14:paraId="33DA56BB" w14:textId="77777777" w:rsidR="00C56907" w:rsidRPr="00C56907" w:rsidRDefault="00C56907" w:rsidP="00C56907">
            <w:pPr>
              <w:spacing w:before="0" w:after="0"/>
              <w:jc w:val="right"/>
              <w:rPr>
                <w:b/>
                <w:bCs/>
                <w:color w:val="auto"/>
                <w:sz w:val="16"/>
                <w:szCs w:val="16"/>
              </w:rPr>
            </w:pPr>
            <w:r w:rsidRPr="00C56907">
              <w:rPr>
                <w:b/>
                <w:bCs/>
                <w:color w:val="auto"/>
                <w:sz w:val="16"/>
                <w:szCs w:val="16"/>
              </w:rPr>
              <w:t>17,325</w:t>
            </w:r>
          </w:p>
        </w:tc>
        <w:tc>
          <w:tcPr>
            <w:tcW w:w="905" w:type="dxa"/>
            <w:tcBorders>
              <w:top w:val="single" w:sz="4" w:space="0" w:color="auto"/>
              <w:left w:val="nil"/>
              <w:bottom w:val="single" w:sz="4" w:space="0" w:color="auto"/>
              <w:right w:val="nil"/>
            </w:tcBorders>
            <w:shd w:val="clear" w:color="000000" w:fill="D9D9D9"/>
            <w:noWrap/>
            <w:tcMar>
              <w:right w:w="57" w:type="dxa"/>
            </w:tcMar>
            <w:vAlign w:val="bottom"/>
            <w:hideMark/>
          </w:tcPr>
          <w:p w14:paraId="5A3E232B" w14:textId="77777777" w:rsidR="00C56907" w:rsidRPr="00C56907" w:rsidRDefault="00C56907" w:rsidP="00C56907">
            <w:pPr>
              <w:spacing w:before="0" w:after="0"/>
              <w:jc w:val="right"/>
              <w:rPr>
                <w:b/>
                <w:bCs/>
                <w:color w:val="auto"/>
                <w:sz w:val="16"/>
                <w:szCs w:val="16"/>
              </w:rPr>
            </w:pPr>
            <w:r w:rsidRPr="00C56907">
              <w:rPr>
                <w:b/>
                <w:bCs/>
                <w:color w:val="auto"/>
                <w:sz w:val="16"/>
                <w:szCs w:val="16"/>
              </w:rPr>
              <w:t>17,858</w:t>
            </w:r>
          </w:p>
        </w:tc>
        <w:tc>
          <w:tcPr>
            <w:tcW w:w="905" w:type="dxa"/>
            <w:tcBorders>
              <w:top w:val="single" w:sz="4" w:space="0" w:color="auto"/>
              <w:left w:val="nil"/>
              <w:bottom w:val="single" w:sz="4" w:space="0" w:color="auto"/>
              <w:right w:val="nil"/>
            </w:tcBorders>
            <w:shd w:val="clear" w:color="auto" w:fill="auto"/>
            <w:noWrap/>
            <w:tcMar>
              <w:right w:w="57" w:type="dxa"/>
            </w:tcMar>
            <w:vAlign w:val="bottom"/>
            <w:hideMark/>
          </w:tcPr>
          <w:p w14:paraId="1CD7FD4B" w14:textId="77777777" w:rsidR="00C56907" w:rsidRPr="00C56907" w:rsidRDefault="00C56907" w:rsidP="00C56907">
            <w:pPr>
              <w:spacing w:before="0" w:after="0"/>
              <w:jc w:val="right"/>
              <w:rPr>
                <w:b/>
                <w:bCs/>
                <w:color w:val="auto"/>
                <w:sz w:val="16"/>
                <w:szCs w:val="16"/>
              </w:rPr>
            </w:pPr>
            <w:r w:rsidRPr="00C56907">
              <w:rPr>
                <w:b/>
                <w:bCs/>
                <w:color w:val="auto"/>
                <w:sz w:val="16"/>
                <w:szCs w:val="16"/>
              </w:rPr>
              <w:t>16,645</w:t>
            </w:r>
          </w:p>
        </w:tc>
        <w:tc>
          <w:tcPr>
            <w:tcW w:w="905" w:type="dxa"/>
            <w:tcBorders>
              <w:top w:val="single" w:sz="4" w:space="0" w:color="auto"/>
              <w:left w:val="nil"/>
              <w:bottom w:val="single" w:sz="4" w:space="0" w:color="auto"/>
              <w:right w:val="nil"/>
            </w:tcBorders>
            <w:shd w:val="clear" w:color="auto" w:fill="auto"/>
            <w:noWrap/>
            <w:tcMar>
              <w:right w:w="57" w:type="dxa"/>
            </w:tcMar>
            <w:vAlign w:val="bottom"/>
            <w:hideMark/>
          </w:tcPr>
          <w:p w14:paraId="251CE377" w14:textId="77777777" w:rsidR="00C56907" w:rsidRPr="00C56907" w:rsidRDefault="00C56907" w:rsidP="00C56907">
            <w:pPr>
              <w:spacing w:before="0" w:after="0"/>
              <w:jc w:val="right"/>
              <w:rPr>
                <w:b/>
                <w:bCs/>
                <w:color w:val="auto"/>
                <w:sz w:val="16"/>
                <w:szCs w:val="16"/>
              </w:rPr>
            </w:pPr>
            <w:r w:rsidRPr="00C56907">
              <w:rPr>
                <w:b/>
                <w:bCs/>
                <w:color w:val="auto"/>
                <w:sz w:val="16"/>
                <w:szCs w:val="16"/>
              </w:rPr>
              <w:t>16,645</w:t>
            </w:r>
          </w:p>
        </w:tc>
        <w:tc>
          <w:tcPr>
            <w:tcW w:w="905" w:type="dxa"/>
            <w:tcBorders>
              <w:top w:val="single" w:sz="4" w:space="0" w:color="auto"/>
              <w:left w:val="nil"/>
              <w:bottom w:val="single" w:sz="4" w:space="0" w:color="auto"/>
              <w:right w:val="nil"/>
            </w:tcBorders>
            <w:shd w:val="clear" w:color="auto" w:fill="auto"/>
            <w:noWrap/>
            <w:tcMar>
              <w:right w:w="57" w:type="dxa"/>
            </w:tcMar>
            <w:vAlign w:val="bottom"/>
            <w:hideMark/>
          </w:tcPr>
          <w:p w14:paraId="604F0F11" w14:textId="77777777" w:rsidR="00C56907" w:rsidRPr="00C56907" w:rsidRDefault="00C56907" w:rsidP="00C56907">
            <w:pPr>
              <w:spacing w:before="0" w:after="0"/>
              <w:jc w:val="right"/>
              <w:rPr>
                <w:b/>
                <w:bCs/>
                <w:color w:val="auto"/>
                <w:sz w:val="16"/>
                <w:szCs w:val="16"/>
              </w:rPr>
            </w:pPr>
            <w:r w:rsidRPr="00C56907">
              <w:rPr>
                <w:b/>
                <w:bCs/>
                <w:color w:val="auto"/>
                <w:sz w:val="16"/>
                <w:szCs w:val="16"/>
              </w:rPr>
              <w:t>16,645</w:t>
            </w:r>
          </w:p>
        </w:tc>
      </w:tr>
      <w:tr w:rsidR="00C56907" w:rsidRPr="00C56907" w14:paraId="51C8DBB4" w14:textId="77777777" w:rsidTr="00C56907">
        <w:trPr>
          <w:trHeight w:val="300"/>
          <w:jc w:val="center"/>
        </w:trPr>
        <w:tc>
          <w:tcPr>
            <w:tcW w:w="7320" w:type="dxa"/>
            <w:gridSpan w:val="6"/>
            <w:tcBorders>
              <w:top w:val="nil"/>
              <w:left w:val="nil"/>
              <w:bottom w:val="nil"/>
              <w:right w:val="nil"/>
            </w:tcBorders>
            <w:shd w:val="clear" w:color="auto" w:fill="auto"/>
            <w:vAlign w:val="bottom"/>
            <w:hideMark/>
          </w:tcPr>
          <w:p w14:paraId="6611BE92" w14:textId="77777777" w:rsidR="00C56907" w:rsidRPr="00C56907" w:rsidRDefault="00C56907" w:rsidP="00C56907">
            <w:pPr>
              <w:spacing w:before="0" w:after="0"/>
              <w:rPr>
                <w:b/>
                <w:bCs/>
                <w:color w:val="auto"/>
                <w:sz w:val="16"/>
                <w:szCs w:val="16"/>
              </w:rPr>
            </w:pPr>
            <w:r w:rsidRPr="00C56907">
              <w:rPr>
                <w:b/>
                <w:bCs/>
                <w:color w:val="auto"/>
                <w:sz w:val="16"/>
                <w:szCs w:val="16"/>
              </w:rPr>
              <w:t>Program 2.7: Assistance through Aids and Appliances</w:t>
            </w:r>
          </w:p>
        </w:tc>
      </w:tr>
      <w:tr w:rsidR="00C56907" w:rsidRPr="00C56907" w14:paraId="74594168" w14:textId="77777777" w:rsidTr="00C56907">
        <w:trPr>
          <w:trHeight w:val="300"/>
          <w:jc w:val="center"/>
        </w:trPr>
        <w:tc>
          <w:tcPr>
            <w:tcW w:w="2795" w:type="dxa"/>
            <w:tcBorders>
              <w:top w:val="nil"/>
              <w:left w:val="nil"/>
              <w:bottom w:val="nil"/>
              <w:right w:val="nil"/>
            </w:tcBorders>
            <w:shd w:val="clear" w:color="auto" w:fill="auto"/>
            <w:noWrap/>
            <w:vAlign w:val="bottom"/>
            <w:hideMark/>
          </w:tcPr>
          <w:p w14:paraId="21A15B1D"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Administered expenses</w:t>
            </w:r>
          </w:p>
        </w:tc>
        <w:tc>
          <w:tcPr>
            <w:tcW w:w="905" w:type="dxa"/>
            <w:tcBorders>
              <w:top w:val="nil"/>
              <w:left w:val="nil"/>
              <w:bottom w:val="nil"/>
              <w:right w:val="nil"/>
            </w:tcBorders>
            <w:shd w:val="clear" w:color="auto" w:fill="auto"/>
            <w:noWrap/>
            <w:vAlign w:val="bottom"/>
            <w:hideMark/>
          </w:tcPr>
          <w:p w14:paraId="46312F64" w14:textId="77777777" w:rsidR="00C56907" w:rsidRPr="00C56907" w:rsidRDefault="00C56907" w:rsidP="00C56907">
            <w:pPr>
              <w:spacing w:before="0" w:after="0"/>
              <w:ind w:firstLineChars="100" w:firstLine="160"/>
              <w:rPr>
                <w:color w:val="auto"/>
                <w:sz w:val="16"/>
                <w:szCs w:val="16"/>
              </w:rPr>
            </w:pPr>
          </w:p>
        </w:tc>
        <w:tc>
          <w:tcPr>
            <w:tcW w:w="905" w:type="dxa"/>
            <w:tcBorders>
              <w:top w:val="nil"/>
              <w:left w:val="nil"/>
              <w:bottom w:val="nil"/>
              <w:right w:val="nil"/>
            </w:tcBorders>
            <w:shd w:val="clear" w:color="000000" w:fill="D9D9D9"/>
            <w:noWrap/>
            <w:vAlign w:val="bottom"/>
            <w:hideMark/>
          </w:tcPr>
          <w:p w14:paraId="67F3F095"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05" w:type="dxa"/>
            <w:tcBorders>
              <w:top w:val="nil"/>
              <w:left w:val="nil"/>
              <w:bottom w:val="nil"/>
              <w:right w:val="nil"/>
            </w:tcBorders>
            <w:shd w:val="clear" w:color="auto" w:fill="auto"/>
            <w:noWrap/>
            <w:vAlign w:val="bottom"/>
            <w:hideMark/>
          </w:tcPr>
          <w:p w14:paraId="14617B7E" w14:textId="77777777" w:rsidR="00C56907" w:rsidRPr="00C56907" w:rsidRDefault="00C56907" w:rsidP="00C56907">
            <w:pPr>
              <w:spacing w:before="0" w:after="0"/>
              <w:jc w:val="right"/>
              <w:rPr>
                <w:color w:val="auto"/>
                <w:sz w:val="16"/>
                <w:szCs w:val="16"/>
              </w:rPr>
            </w:pPr>
          </w:p>
        </w:tc>
        <w:tc>
          <w:tcPr>
            <w:tcW w:w="905" w:type="dxa"/>
            <w:tcBorders>
              <w:top w:val="nil"/>
              <w:left w:val="nil"/>
              <w:bottom w:val="nil"/>
              <w:right w:val="nil"/>
            </w:tcBorders>
            <w:shd w:val="clear" w:color="auto" w:fill="auto"/>
            <w:noWrap/>
            <w:vAlign w:val="bottom"/>
            <w:hideMark/>
          </w:tcPr>
          <w:p w14:paraId="7ACB51CF"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05" w:type="dxa"/>
            <w:tcBorders>
              <w:top w:val="nil"/>
              <w:left w:val="nil"/>
              <w:bottom w:val="nil"/>
              <w:right w:val="nil"/>
            </w:tcBorders>
            <w:shd w:val="clear" w:color="auto" w:fill="auto"/>
            <w:noWrap/>
            <w:vAlign w:val="bottom"/>
            <w:hideMark/>
          </w:tcPr>
          <w:p w14:paraId="650E6583"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6F810D1D" w14:textId="77777777" w:rsidTr="00321D2C">
        <w:trPr>
          <w:trHeight w:val="225"/>
          <w:jc w:val="center"/>
        </w:trPr>
        <w:tc>
          <w:tcPr>
            <w:tcW w:w="2795" w:type="dxa"/>
            <w:tcBorders>
              <w:top w:val="nil"/>
              <w:left w:val="nil"/>
              <w:bottom w:val="nil"/>
              <w:right w:val="nil"/>
            </w:tcBorders>
            <w:shd w:val="clear" w:color="auto" w:fill="auto"/>
            <w:noWrap/>
            <w:vAlign w:val="bottom"/>
            <w:hideMark/>
          </w:tcPr>
          <w:p w14:paraId="1F2F256D" w14:textId="77777777" w:rsidR="00C56907" w:rsidRPr="00C56907" w:rsidRDefault="00C56907" w:rsidP="00321D2C">
            <w:pPr>
              <w:spacing w:before="0" w:after="0"/>
              <w:ind w:leftChars="150" w:left="270"/>
              <w:rPr>
                <w:color w:val="auto"/>
                <w:sz w:val="16"/>
                <w:szCs w:val="16"/>
              </w:rPr>
            </w:pPr>
            <w:r w:rsidRPr="00C56907">
              <w:rPr>
                <w:color w:val="auto"/>
                <w:sz w:val="16"/>
                <w:szCs w:val="16"/>
              </w:rPr>
              <w:t xml:space="preserve">Ordinary annual services </w:t>
            </w:r>
            <w:r w:rsidRPr="00C56907">
              <w:rPr>
                <w:color w:val="auto"/>
                <w:sz w:val="16"/>
                <w:szCs w:val="16"/>
                <w:vertAlign w:val="superscript"/>
              </w:rPr>
              <w:t>(a)</w:t>
            </w:r>
          </w:p>
        </w:tc>
        <w:tc>
          <w:tcPr>
            <w:tcW w:w="905" w:type="dxa"/>
            <w:tcBorders>
              <w:top w:val="nil"/>
              <w:left w:val="nil"/>
              <w:bottom w:val="nil"/>
              <w:right w:val="nil"/>
            </w:tcBorders>
            <w:shd w:val="clear" w:color="auto" w:fill="auto"/>
            <w:noWrap/>
            <w:tcMar>
              <w:right w:w="57" w:type="dxa"/>
            </w:tcMar>
            <w:vAlign w:val="bottom"/>
            <w:hideMark/>
          </w:tcPr>
          <w:p w14:paraId="6EBB76C6" w14:textId="77777777" w:rsidR="00C56907" w:rsidRPr="00C56907" w:rsidRDefault="00C56907" w:rsidP="00C56907">
            <w:pPr>
              <w:spacing w:before="0" w:after="0"/>
              <w:jc w:val="right"/>
              <w:rPr>
                <w:color w:val="auto"/>
                <w:sz w:val="16"/>
                <w:szCs w:val="16"/>
              </w:rPr>
            </w:pPr>
            <w:r w:rsidRPr="00C56907">
              <w:rPr>
                <w:color w:val="auto"/>
                <w:sz w:val="16"/>
                <w:szCs w:val="16"/>
              </w:rPr>
              <w:t>1,842</w:t>
            </w:r>
          </w:p>
        </w:tc>
        <w:tc>
          <w:tcPr>
            <w:tcW w:w="905" w:type="dxa"/>
            <w:tcBorders>
              <w:top w:val="nil"/>
              <w:left w:val="nil"/>
              <w:bottom w:val="nil"/>
              <w:right w:val="nil"/>
            </w:tcBorders>
            <w:shd w:val="clear" w:color="000000" w:fill="D9D9D9"/>
            <w:noWrap/>
            <w:tcMar>
              <w:right w:w="57" w:type="dxa"/>
            </w:tcMar>
            <w:vAlign w:val="bottom"/>
            <w:hideMark/>
          </w:tcPr>
          <w:p w14:paraId="28C88244" w14:textId="77777777" w:rsidR="00C56907" w:rsidRPr="00C56907" w:rsidRDefault="00C56907" w:rsidP="00C56907">
            <w:pPr>
              <w:spacing w:before="0" w:after="0"/>
              <w:jc w:val="right"/>
              <w:rPr>
                <w:color w:val="auto"/>
                <w:sz w:val="16"/>
                <w:szCs w:val="16"/>
              </w:rPr>
            </w:pPr>
            <w:r w:rsidRPr="00C56907">
              <w:rPr>
                <w:color w:val="auto"/>
                <w:sz w:val="16"/>
                <w:szCs w:val="16"/>
              </w:rPr>
              <w:t>2,012</w:t>
            </w:r>
          </w:p>
        </w:tc>
        <w:tc>
          <w:tcPr>
            <w:tcW w:w="905" w:type="dxa"/>
            <w:tcBorders>
              <w:top w:val="nil"/>
              <w:left w:val="nil"/>
              <w:bottom w:val="nil"/>
              <w:right w:val="nil"/>
            </w:tcBorders>
            <w:shd w:val="clear" w:color="auto" w:fill="auto"/>
            <w:noWrap/>
            <w:tcMar>
              <w:right w:w="57" w:type="dxa"/>
            </w:tcMar>
            <w:vAlign w:val="bottom"/>
            <w:hideMark/>
          </w:tcPr>
          <w:p w14:paraId="2F3A39C1" w14:textId="77777777" w:rsidR="00C56907" w:rsidRPr="00C56907" w:rsidRDefault="00C56907" w:rsidP="00C56907">
            <w:pPr>
              <w:spacing w:before="0" w:after="0"/>
              <w:jc w:val="right"/>
              <w:rPr>
                <w:color w:val="auto"/>
                <w:sz w:val="16"/>
                <w:szCs w:val="16"/>
              </w:rPr>
            </w:pPr>
            <w:r w:rsidRPr="00C56907">
              <w:rPr>
                <w:color w:val="auto"/>
                <w:sz w:val="16"/>
                <w:szCs w:val="16"/>
              </w:rPr>
              <w:t>1,762</w:t>
            </w:r>
          </w:p>
        </w:tc>
        <w:tc>
          <w:tcPr>
            <w:tcW w:w="905" w:type="dxa"/>
            <w:tcBorders>
              <w:top w:val="nil"/>
              <w:left w:val="nil"/>
              <w:bottom w:val="nil"/>
              <w:right w:val="nil"/>
            </w:tcBorders>
            <w:shd w:val="clear" w:color="auto" w:fill="auto"/>
            <w:noWrap/>
            <w:tcMar>
              <w:right w:w="57" w:type="dxa"/>
            </w:tcMar>
            <w:vAlign w:val="bottom"/>
            <w:hideMark/>
          </w:tcPr>
          <w:p w14:paraId="67C66CCA" w14:textId="77777777" w:rsidR="00C56907" w:rsidRPr="00C56907" w:rsidRDefault="00C56907" w:rsidP="00C56907">
            <w:pPr>
              <w:spacing w:before="0" w:after="0"/>
              <w:jc w:val="right"/>
              <w:rPr>
                <w:color w:val="auto"/>
                <w:sz w:val="16"/>
                <w:szCs w:val="16"/>
              </w:rPr>
            </w:pPr>
            <w:r w:rsidRPr="00C56907">
              <w:rPr>
                <w:color w:val="auto"/>
                <w:sz w:val="16"/>
                <w:szCs w:val="16"/>
              </w:rPr>
              <w:t>1,762</w:t>
            </w:r>
          </w:p>
        </w:tc>
        <w:tc>
          <w:tcPr>
            <w:tcW w:w="905" w:type="dxa"/>
            <w:tcBorders>
              <w:top w:val="nil"/>
              <w:left w:val="nil"/>
              <w:bottom w:val="nil"/>
              <w:right w:val="nil"/>
            </w:tcBorders>
            <w:shd w:val="clear" w:color="auto" w:fill="auto"/>
            <w:noWrap/>
            <w:tcMar>
              <w:right w:w="57" w:type="dxa"/>
            </w:tcMar>
            <w:vAlign w:val="bottom"/>
            <w:hideMark/>
          </w:tcPr>
          <w:p w14:paraId="42486CC1" w14:textId="77777777" w:rsidR="00C56907" w:rsidRPr="00C56907" w:rsidRDefault="00C56907" w:rsidP="00C56907">
            <w:pPr>
              <w:spacing w:before="0" w:after="0"/>
              <w:jc w:val="right"/>
              <w:rPr>
                <w:color w:val="auto"/>
                <w:sz w:val="16"/>
                <w:szCs w:val="16"/>
              </w:rPr>
            </w:pPr>
            <w:r w:rsidRPr="00C56907">
              <w:rPr>
                <w:color w:val="auto"/>
                <w:sz w:val="16"/>
                <w:szCs w:val="16"/>
              </w:rPr>
              <w:t>1,762</w:t>
            </w:r>
          </w:p>
        </w:tc>
      </w:tr>
      <w:tr w:rsidR="00C56907" w:rsidRPr="00C56907" w14:paraId="55A58ADF" w14:textId="77777777" w:rsidTr="00321D2C">
        <w:trPr>
          <w:trHeight w:val="225"/>
          <w:jc w:val="center"/>
        </w:trPr>
        <w:tc>
          <w:tcPr>
            <w:tcW w:w="2795" w:type="dxa"/>
            <w:tcBorders>
              <w:top w:val="nil"/>
              <w:left w:val="nil"/>
              <w:bottom w:val="nil"/>
              <w:right w:val="nil"/>
            </w:tcBorders>
            <w:shd w:val="clear" w:color="auto" w:fill="auto"/>
            <w:noWrap/>
            <w:vAlign w:val="bottom"/>
            <w:hideMark/>
          </w:tcPr>
          <w:p w14:paraId="44E10C0B" w14:textId="77777777" w:rsidR="00C56907" w:rsidRPr="00C56907" w:rsidRDefault="00C56907" w:rsidP="00321D2C">
            <w:pPr>
              <w:spacing w:before="0" w:after="0"/>
              <w:ind w:leftChars="150" w:left="270"/>
              <w:rPr>
                <w:color w:val="auto"/>
                <w:sz w:val="16"/>
                <w:szCs w:val="16"/>
              </w:rPr>
            </w:pPr>
            <w:r w:rsidRPr="00C56907">
              <w:rPr>
                <w:color w:val="auto"/>
                <w:sz w:val="16"/>
                <w:szCs w:val="16"/>
              </w:rPr>
              <w:t>Special appropriations</w:t>
            </w:r>
          </w:p>
        </w:tc>
        <w:tc>
          <w:tcPr>
            <w:tcW w:w="905" w:type="dxa"/>
            <w:tcBorders>
              <w:top w:val="nil"/>
              <w:left w:val="nil"/>
              <w:bottom w:val="nil"/>
              <w:right w:val="nil"/>
            </w:tcBorders>
            <w:shd w:val="clear" w:color="auto" w:fill="auto"/>
            <w:noWrap/>
            <w:tcMar>
              <w:right w:w="57" w:type="dxa"/>
            </w:tcMar>
            <w:vAlign w:val="bottom"/>
            <w:hideMark/>
          </w:tcPr>
          <w:p w14:paraId="0897DB3D" w14:textId="77777777" w:rsidR="00C56907" w:rsidRPr="00C56907" w:rsidRDefault="00C56907" w:rsidP="00C56907">
            <w:pPr>
              <w:spacing w:before="0" w:after="0"/>
              <w:ind w:firstLineChars="200" w:firstLine="320"/>
              <w:rPr>
                <w:color w:val="auto"/>
                <w:sz w:val="16"/>
                <w:szCs w:val="16"/>
              </w:rPr>
            </w:pPr>
          </w:p>
        </w:tc>
        <w:tc>
          <w:tcPr>
            <w:tcW w:w="905" w:type="dxa"/>
            <w:tcBorders>
              <w:top w:val="nil"/>
              <w:left w:val="nil"/>
              <w:bottom w:val="nil"/>
              <w:right w:val="nil"/>
            </w:tcBorders>
            <w:shd w:val="clear" w:color="000000" w:fill="D9D9D9"/>
            <w:noWrap/>
            <w:tcMar>
              <w:right w:w="57" w:type="dxa"/>
            </w:tcMar>
            <w:vAlign w:val="bottom"/>
            <w:hideMark/>
          </w:tcPr>
          <w:p w14:paraId="44C27373"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05" w:type="dxa"/>
            <w:tcBorders>
              <w:top w:val="nil"/>
              <w:left w:val="nil"/>
              <w:bottom w:val="nil"/>
              <w:right w:val="nil"/>
            </w:tcBorders>
            <w:shd w:val="clear" w:color="auto" w:fill="auto"/>
            <w:noWrap/>
            <w:tcMar>
              <w:right w:w="57" w:type="dxa"/>
            </w:tcMar>
            <w:vAlign w:val="bottom"/>
            <w:hideMark/>
          </w:tcPr>
          <w:p w14:paraId="72D3D6C5" w14:textId="77777777" w:rsidR="00C56907" w:rsidRPr="00C56907" w:rsidRDefault="00C56907" w:rsidP="00C56907">
            <w:pPr>
              <w:spacing w:before="0" w:after="0"/>
              <w:jc w:val="right"/>
              <w:rPr>
                <w:color w:val="auto"/>
                <w:sz w:val="16"/>
                <w:szCs w:val="16"/>
              </w:rPr>
            </w:pPr>
          </w:p>
        </w:tc>
        <w:tc>
          <w:tcPr>
            <w:tcW w:w="905" w:type="dxa"/>
            <w:tcBorders>
              <w:top w:val="nil"/>
              <w:left w:val="nil"/>
              <w:bottom w:val="nil"/>
              <w:right w:val="nil"/>
            </w:tcBorders>
            <w:shd w:val="clear" w:color="auto" w:fill="auto"/>
            <w:noWrap/>
            <w:tcMar>
              <w:right w:w="57" w:type="dxa"/>
            </w:tcMar>
            <w:vAlign w:val="bottom"/>
            <w:hideMark/>
          </w:tcPr>
          <w:p w14:paraId="43E33528"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05" w:type="dxa"/>
            <w:tcBorders>
              <w:top w:val="nil"/>
              <w:left w:val="nil"/>
              <w:bottom w:val="nil"/>
              <w:right w:val="nil"/>
            </w:tcBorders>
            <w:shd w:val="clear" w:color="auto" w:fill="auto"/>
            <w:noWrap/>
            <w:tcMar>
              <w:right w:w="57" w:type="dxa"/>
            </w:tcMar>
            <w:vAlign w:val="bottom"/>
            <w:hideMark/>
          </w:tcPr>
          <w:p w14:paraId="7E7B2774"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044A0359" w14:textId="77777777" w:rsidTr="00321D2C">
        <w:trPr>
          <w:trHeight w:val="450"/>
          <w:jc w:val="center"/>
        </w:trPr>
        <w:tc>
          <w:tcPr>
            <w:tcW w:w="2795" w:type="dxa"/>
            <w:tcBorders>
              <w:top w:val="nil"/>
              <w:left w:val="nil"/>
              <w:bottom w:val="nil"/>
              <w:right w:val="nil"/>
            </w:tcBorders>
            <w:shd w:val="clear" w:color="auto" w:fill="auto"/>
            <w:vAlign w:val="bottom"/>
            <w:hideMark/>
          </w:tcPr>
          <w:p w14:paraId="4ACD5F0F" w14:textId="77777777" w:rsidR="00C56907" w:rsidRPr="00C56907" w:rsidRDefault="00C56907" w:rsidP="00321D2C">
            <w:pPr>
              <w:spacing w:before="0" w:after="0"/>
              <w:ind w:leftChars="225" w:left="405"/>
              <w:rPr>
                <w:i/>
                <w:iCs/>
                <w:color w:val="auto"/>
                <w:sz w:val="16"/>
                <w:szCs w:val="16"/>
              </w:rPr>
            </w:pPr>
            <w:r w:rsidRPr="00C56907">
              <w:rPr>
                <w:i/>
                <w:iCs/>
                <w:color w:val="auto"/>
                <w:sz w:val="16"/>
                <w:szCs w:val="16"/>
              </w:rPr>
              <w:t>National Health Act 1953</w:t>
            </w:r>
            <w:r w:rsidRPr="00C56907">
              <w:rPr>
                <w:color w:val="auto"/>
                <w:sz w:val="16"/>
                <w:szCs w:val="16"/>
              </w:rPr>
              <w:t xml:space="preserve"> </w:t>
            </w:r>
            <w:r w:rsidRPr="00C56907">
              <w:rPr>
                <w:color w:val="auto"/>
                <w:sz w:val="16"/>
                <w:szCs w:val="16"/>
              </w:rPr>
              <w:br/>
              <w:t>-</w:t>
            </w:r>
            <w:r w:rsidRPr="00C56907">
              <w:rPr>
                <w:i/>
                <w:iCs/>
                <w:color w:val="auto"/>
                <w:sz w:val="16"/>
                <w:szCs w:val="16"/>
              </w:rPr>
              <w:t xml:space="preserve"> </w:t>
            </w:r>
            <w:r w:rsidRPr="00C56907">
              <w:rPr>
                <w:color w:val="auto"/>
                <w:sz w:val="16"/>
                <w:szCs w:val="16"/>
              </w:rPr>
              <w:t>aids and appliances</w:t>
            </w:r>
          </w:p>
        </w:tc>
        <w:tc>
          <w:tcPr>
            <w:tcW w:w="905" w:type="dxa"/>
            <w:tcBorders>
              <w:top w:val="nil"/>
              <w:left w:val="nil"/>
              <w:bottom w:val="nil"/>
              <w:right w:val="nil"/>
            </w:tcBorders>
            <w:shd w:val="clear" w:color="auto" w:fill="auto"/>
            <w:noWrap/>
            <w:tcMar>
              <w:right w:w="57" w:type="dxa"/>
            </w:tcMar>
            <w:vAlign w:val="bottom"/>
            <w:hideMark/>
          </w:tcPr>
          <w:p w14:paraId="43C49851" w14:textId="77777777" w:rsidR="00C56907" w:rsidRPr="00C56907" w:rsidRDefault="00C56907" w:rsidP="00C56907">
            <w:pPr>
              <w:spacing w:before="0" w:after="0"/>
              <w:jc w:val="right"/>
              <w:rPr>
                <w:color w:val="auto"/>
                <w:sz w:val="16"/>
                <w:szCs w:val="16"/>
              </w:rPr>
            </w:pPr>
            <w:r w:rsidRPr="00C56907">
              <w:rPr>
                <w:color w:val="auto"/>
                <w:sz w:val="16"/>
                <w:szCs w:val="16"/>
              </w:rPr>
              <w:t>508,388</w:t>
            </w:r>
          </w:p>
        </w:tc>
        <w:tc>
          <w:tcPr>
            <w:tcW w:w="905" w:type="dxa"/>
            <w:tcBorders>
              <w:top w:val="nil"/>
              <w:left w:val="nil"/>
              <w:bottom w:val="nil"/>
              <w:right w:val="nil"/>
            </w:tcBorders>
            <w:shd w:val="clear" w:color="000000" w:fill="D9D9D9"/>
            <w:noWrap/>
            <w:tcMar>
              <w:right w:w="57" w:type="dxa"/>
            </w:tcMar>
            <w:vAlign w:val="bottom"/>
            <w:hideMark/>
          </w:tcPr>
          <w:p w14:paraId="68143B68" w14:textId="77777777" w:rsidR="00C56907" w:rsidRPr="00C56907" w:rsidRDefault="00C56907" w:rsidP="00C56907">
            <w:pPr>
              <w:spacing w:before="0" w:after="0"/>
              <w:jc w:val="right"/>
              <w:rPr>
                <w:color w:val="auto"/>
                <w:sz w:val="16"/>
                <w:szCs w:val="16"/>
              </w:rPr>
            </w:pPr>
            <w:r w:rsidRPr="00C56907">
              <w:rPr>
                <w:color w:val="auto"/>
                <w:sz w:val="16"/>
                <w:szCs w:val="16"/>
              </w:rPr>
              <w:t>494,816</w:t>
            </w:r>
          </w:p>
        </w:tc>
        <w:tc>
          <w:tcPr>
            <w:tcW w:w="905" w:type="dxa"/>
            <w:tcBorders>
              <w:top w:val="nil"/>
              <w:left w:val="nil"/>
              <w:bottom w:val="nil"/>
              <w:right w:val="nil"/>
            </w:tcBorders>
            <w:shd w:val="clear" w:color="auto" w:fill="auto"/>
            <w:noWrap/>
            <w:tcMar>
              <w:right w:w="57" w:type="dxa"/>
            </w:tcMar>
            <w:vAlign w:val="bottom"/>
            <w:hideMark/>
          </w:tcPr>
          <w:p w14:paraId="6B37F8C5" w14:textId="77777777" w:rsidR="00C56907" w:rsidRPr="00C56907" w:rsidRDefault="00C56907" w:rsidP="00C56907">
            <w:pPr>
              <w:spacing w:before="0" w:after="0"/>
              <w:jc w:val="right"/>
              <w:rPr>
                <w:color w:val="auto"/>
                <w:sz w:val="16"/>
                <w:szCs w:val="16"/>
              </w:rPr>
            </w:pPr>
            <w:r w:rsidRPr="00C56907">
              <w:rPr>
                <w:color w:val="auto"/>
                <w:sz w:val="16"/>
                <w:szCs w:val="16"/>
              </w:rPr>
              <w:t>502,831</w:t>
            </w:r>
          </w:p>
        </w:tc>
        <w:tc>
          <w:tcPr>
            <w:tcW w:w="905" w:type="dxa"/>
            <w:tcBorders>
              <w:top w:val="nil"/>
              <w:left w:val="nil"/>
              <w:bottom w:val="nil"/>
              <w:right w:val="nil"/>
            </w:tcBorders>
            <w:shd w:val="clear" w:color="auto" w:fill="auto"/>
            <w:noWrap/>
            <w:tcMar>
              <w:right w:w="57" w:type="dxa"/>
            </w:tcMar>
            <w:vAlign w:val="bottom"/>
            <w:hideMark/>
          </w:tcPr>
          <w:p w14:paraId="5D4F7E4C" w14:textId="77777777" w:rsidR="00C56907" w:rsidRPr="00C56907" w:rsidRDefault="00C56907" w:rsidP="00C56907">
            <w:pPr>
              <w:spacing w:before="0" w:after="0"/>
              <w:jc w:val="right"/>
              <w:rPr>
                <w:color w:val="auto"/>
                <w:sz w:val="16"/>
                <w:szCs w:val="16"/>
              </w:rPr>
            </w:pPr>
            <w:r w:rsidRPr="00C56907">
              <w:rPr>
                <w:color w:val="auto"/>
                <w:sz w:val="16"/>
                <w:szCs w:val="16"/>
              </w:rPr>
              <w:t>511,293</w:t>
            </w:r>
          </w:p>
        </w:tc>
        <w:tc>
          <w:tcPr>
            <w:tcW w:w="905" w:type="dxa"/>
            <w:tcBorders>
              <w:top w:val="nil"/>
              <w:left w:val="nil"/>
              <w:bottom w:val="nil"/>
              <w:right w:val="nil"/>
            </w:tcBorders>
            <w:shd w:val="clear" w:color="auto" w:fill="auto"/>
            <w:noWrap/>
            <w:tcMar>
              <w:right w:w="57" w:type="dxa"/>
            </w:tcMar>
            <w:vAlign w:val="bottom"/>
            <w:hideMark/>
          </w:tcPr>
          <w:p w14:paraId="4DAD16A1" w14:textId="77777777" w:rsidR="00C56907" w:rsidRPr="00C56907" w:rsidRDefault="00C56907" w:rsidP="00C56907">
            <w:pPr>
              <w:spacing w:before="0" w:after="0"/>
              <w:jc w:val="right"/>
              <w:rPr>
                <w:color w:val="auto"/>
                <w:sz w:val="16"/>
                <w:szCs w:val="16"/>
              </w:rPr>
            </w:pPr>
            <w:r w:rsidRPr="00C56907">
              <w:rPr>
                <w:color w:val="auto"/>
                <w:sz w:val="16"/>
                <w:szCs w:val="16"/>
              </w:rPr>
              <w:t>511,188</w:t>
            </w:r>
          </w:p>
        </w:tc>
      </w:tr>
      <w:tr w:rsidR="00C56907" w:rsidRPr="00C56907" w14:paraId="3FA3C3FE" w14:textId="77777777" w:rsidTr="00321D2C">
        <w:trPr>
          <w:trHeight w:val="300"/>
          <w:jc w:val="center"/>
        </w:trPr>
        <w:tc>
          <w:tcPr>
            <w:tcW w:w="2795" w:type="dxa"/>
            <w:tcBorders>
              <w:top w:val="nil"/>
              <w:left w:val="nil"/>
              <w:bottom w:val="nil"/>
              <w:right w:val="nil"/>
            </w:tcBorders>
            <w:shd w:val="clear" w:color="auto" w:fill="auto"/>
            <w:noWrap/>
            <w:vAlign w:val="bottom"/>
            <w:hideMark/>
          </w:tcPr>
          <w:p w14:paraId="266F0D2E" w14:textId="77777777" w:rsidR="00C56907" w:rsidRPr="00C56907" w:rsidRDefault="00C56907" w:rsidP="00C56907">
            <w:pPr>
              <w:spacing w:before="0" w:after="0"/>
              <w:ind w:firstLineChars="100" w:firstLine="160"/>
              <w:rPr>
                <w:b/>
                <w:bCs/>
                <w:color w:val="auto"/>
                <w:sz w:val="16"/>
                <w:szCs w:val="16"/>
              </w:rPr>
            </w:pPr>
            <w:r w:rsidRPr="00C56907">
              <w:rPr>
                <w:b/>
                <w:bCs/>
                <w:color w:val="auto"/>
                <w:sz w:val="16"/>
                <w:szCs w:val="16"/>
              </w:rPr>
              <w:t>Total for Program 2.7</w:t>
            </w:r>
          </w:p>
        </w:tc>
        <w:tc>
          <w:tcPr>
            <w:tcW w:w="905" w:type="dxa"/>
            <w:tcBorders>
              <w:top w:val="single" w:sz="4" w:space="0" w:color="auto"/>
              <w:left w:val="nil"/>
              <w:bottom w:val="single" w:sz="4" w:space="0" w:color="auto"/>
              <w:right w:val="nil"/>
            </w:tcBorders>
            <w:shd w:val="clear" w:color="auto" w:fill="auto"/>
            <w:noWrap/>
            <w:tcMar>
              <w:right w:w="57" w:type="dxa"/>
            </w:tcMar>
            <w:vAlign w:val="bottom"/>
            <w:hideMark/>
          </w:tcPr>
          <w:p w14:paraId="0D5958C2" w14:textId="77777777" w:rsidR="00C56907" w:rsidRPr="00C56907" w:rsidRDefault="00C56907" w:rsidP="00C56907">
            <w:pPr>
              <w:spacing w:before="0" w:after="0"/>
              <w:jc w:val="right"/>
              <w:rPr>
                <w:b/>
                <w:bCs/>
                <w:color w:val="auto"/>
                <w:sz w:val="16"/>
                <w:szCs w:val="16"/>
              </w:rPr>
            </w:pPr>
            <w:r w:rsidRPr="00C56907">
              <w:rPr>
                <w:b/>
                <w:bCs/>
                <w:color w:val="auto"/>
                <w:sz w:val="16"/>
                <w:szCs w:val="16"/>
              </w:rPr>
              <w:t>510,230</w:t>
            </w:r>
          </w:p>
        </w:tc>
        <w:tc>
          <w:tcPr>
            <w:tcW w:w="905" w:type="dxa"/>
            <w:tcBorders>
              <w:top w:val="single" w:sz="4" w:space="0" w:color="auto"/>
              <w:left w:val="nil"/>
              <w:bottom w:val="single" w:sz="4" w:space="0" w:color="auto"/>
              <w:right w:val="nil"/>
            </w:tcBorders>
            <w:shd w:val="clear" w:color="000000" w:fill="D9D9D9"/>
            <w:noWrap/>
            <w:tcMar>
              <w:right w:w="57" w:type="dxa"/>
            </w:tcMar>
            <w:vAlign w:val="bottom"/>
            <w:hideMark/>
          </w:tcPr>
          <w:p w14:paraId="37AEC30C" w14:textId="77777777" w:rsidR="00C56907" w:rsidRPr="00C56907" w:rsidRDefault="00C56907" w:rsidP="00C56907">
            <w:pPr>
              <w:spacing w:before="0" w:after="0"/>
              <w:jc w:val="right"/>
              <w:rPr>
                <w:b/>
                <w:bCs/>
                <w:color w:val="auto"/>
                <w:sz w:val="16"/>
                <w:szCs w:val="16"/>
              </w:rPr>
            </w:pPr>
            <w:r w:rsidRPr="00C56907">
              <w:rPr>
                <w:b/>
                <w:bCs/>
                <w:color w:val="auto"/>
                <w:sz w:val="16"/>
                <w:szCs w:val="16"/>
              </w:rPr>
              <w:t>496,828</w:t>
            </w:r>
          </w:p>
        </w:tc>
        <w:tc>
          <w:tcPr>
            <w:tcW w:w="905" w:type="dxa"/>
            <w:tcBorders>
              <w:top w:val="single" w:sz="4" w:space="0" w:color="auto"/>
              <w:left w:val="nil"/>
              <w:bottom w:val="single" w:sz="4" w:space="0" w:color="auto"/>
              <w:right w:val="nil"/>
            </w:tcBorders>
            <w:shd w:val="clear" w:color="auto" w:fill="auto"/>
            <w:noWrap/>
            <w:tcMar>
              <w:right w:w="57" w:type="dxa"/>
            </w:tcMar>
            <w:vAlign w:val="bottom"/>
            <w:hideMark/>
          </w:tcPr>
          <w:p w14:paraId="467D8285" w14:textId="77777777" w:rsidR="00C56907" w:rsidRPr="00C56907" w:rsidRDefault="00C56907" w:rsidP="00C56907">
            <w:pPr>
              <w:spacing w:before="0" w:after="0"/>
              <w:jc w:val="right"/>
              <w:rPr>
                <w:b/>
                <w:bCs/>
                <w:color w:val="auto"/>
                <w:sz w:val="16"/>
                <w:szCs w:val="16"/>
              </w:rPr>
            </w:pPr>
            <w:r w:rsidRPr="00C56907">
              <w:rPr>
                <w:b/>
                <w:bCs/>
                <w:color w:val="auto"/>
                <w:sz w:val="16"/>
                <w:szCs w:val="16"/>
              </w:rPr>
              <w:t>504,593</w:t>
            </w:r>
          </w:p>
        </w:tc>
        <w:tc>
          <w:tcPr>
            <w:tcW w:w="905" w:type="dxa"/>
            <w:tcBorders>
              <w:top w:val="single" w:sz="4" w:space="0" w:color="auto"/>
              <w:left w:val="nil"/>
              <w:bottom w:val="single" w:sz="4" w:space="0" w:color="auto"/>
              <w:right w:val="nil"/>
            </w:tcBorders>
            <w:shd w:val="clear" w:color="auto" w:fill="auto"/>
            <w:noWrap/>
            <w:tcMar>
              <w:right w:w="57" w:type="dxa"/>
            </w:tcMar>
            <w:vAlign w:val="bottom"/>
            <w:hideMark/>
          </w:tcPr>
          <w:p w14:paraId="5804F604" w14:textId="77777777" w:rsidR="00C56907" w:rsidRPr="00C56907" w:rsidRDefault="00C56907" w:rsidP="00C56907">
            <w:pPr>
              <w:spacing w:before="0" w:after="0"/>
              <w:jc w:val="right"/>
              <w:rPr>
                <w:b/>
                <w:bCs/>
                <w:color w:val="auto"/>
                <w:sz w:val="16"/>
                <w:szCs w:val="16"/>
              </w:rPr>
            </w:pPr>
            <w:r w:rsidRPr="00C56907">
              <w:rPr>
                <w:b/>
                <w:bCs/>
                <w:color w:val="auto"/>
                <w:sz w:val="16"/>
                <w:szCs w:val="16"/>
              </w:rPr>
              <w:t>513,055</w:t>
            </w:r>
          </w:p>
        </w:tc>
        <w:tc>
          <w:tcPr>
            <w:tcW w:w="905" w:type="dxa"/>
            <w:tcBorders>
              <w:top w:val="single" w:sz="4" w:space="0" w:color="auto"/>
              <w:left w:val="nil"/>
              <w:bottom w:val="single" w:sz="4" w:space="0" w:color="auto"/>
              <w:right w:val="nil"/>
            </w:tcBorders>
            <w:shd w:val="clear" w:color="auto" w:fill="auto"/>
            <w:noWrap/>
            <w:tcMar>
              <w:right w:w="57" w:type="dxa"/>
            </w:tcMar>
            <w:vAlign w:val="bottom"/>
            <w:hideMark/>
          </w:tcPr>
          <w:p w14:paraId="515EDF27" w14:textId="77777777" w:rsidR="00C56907" w:rsidRPr="00C56907" w:rsidRDefault="00C56907" w:rsidP="00C56907">
            <w:pPr>
              <w:spacing w:before="0" w:after="0"/>
              <w:jc w:val="right"/>
              <w:rPr>
                <w:b/>
                <w:bCs/>
                <w:color w:val="auto"/>
                <w:sz w:val="16"/>
                <w:szCs w:val="16"/>
              </w:rPr>
            </w:pPr>
            <w:r w:rsidRPr="00C56907">
              <w:rPr>
                <w:b/>
                <w:bCs/>
                <w:color w:val="auto"/>
                <w:sz w:val="16"/>
                <w:szCs w:val="16"/>
              </w:rPr>
              <w:t>512,950</w:t>
            </w:r>
          </w:p>
        </w:tc>
      </w:tr>
      <w:tr w:rsidR="00C56907" w:rsidRPr="00C56907" w14:paraId="6780DF93" w14:textId="77777777" w:rsidTr="00C56907">
        <w:trPr>
          <w:trHeight w:val="375"/>
          <w:jc w:val="center"/>
        </w:trPr>
        <w:tc>
          <w:tcPr>
            <w:tcW w:w="7320" w:type="dxa"/>
            <w:gridSpan w:val="6"/>
            <w:tcBorders>
              <w:top w:val="nil"/>
              <w:left w:val="nil"/>
              <w:bottom w:val="nil"/>
              <w:right w:val="nil"/>
            </w:tcBorders>
            <w:shd w:val="clear" w:color="auto" w:fill="auto"/>
            <w:vAlign w:val="bottom"/>
            <w:hideMark/>
          </w:tcPr>
          <w:p w14:paraId="08A2C589" w14:textId="77777777" w:rsidR="00C56907" w:rsidRPr="00C56907" w:rsidRDefault="00C56907" w:rsidP="00C56907">
            <w:pPr>
              <w:spacing w:before="0" w:after="0"/>
              <w:rPr>
                <w:b/>
                <w:bCs/>
                <w:color w:val="auto"/>
                <w:sz w:val="16"/>
                <w:szCs w:val="16"/>
              </w:rPr>
            </w:pPr>
            <w:r w:rsidRPr="00C56907">
              <w:rPr>
                <w:b/>
                <w:bCs/>
                <w:color w:val="auto"/>
                <w:sz w:val="16"/>
                <w:szCs w:val="16"/>
              </w:rPr>
              <w:t>Outcome 2 totals by appropriation type</w:t>
            </w:r>
          </w:p>
        </w:tc>
      </w:tr>
      <w:tr w:rsidR="00C56907" w:rsidRPr="00C56907" w14:paraId="796D4623" w14:textId="77777777" w:rsidTr="00C56907">
        <w:trPr>
          <w:trHeight w:val="300"/>
          <w:jc w:val="center"/>
        </w:trPr>
        <w:tc>
          <w:tcPr>
            <w:tcW w:w="2795" w:type="dxa"/>
            <w:tcBorders>
              <w:top w:val="nil"/>
              <w:left w:val="nil"/>
              <w:bottom w:val="nil"/>
              <w:right w:val="nil"/>
            </w:tcBorders>
            <w:shd w:val="clear" w:color="auto" w:fill="auto"/>
            <w:noWrap/>
            <w:vAlign w:val="bottom"/>
            <w:hideMark/>
          </w:tcPr>
          <w:p w14:paraId="560DFD31"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Administered expenses</w:t>
            </w:r>
          </w:p>
        </w:tc>
        <w:tc>
          <w:tcPr>
            <w:tcW w:w="905" w:type="dxa"/>
            <w:tcBorders>
              <w:top w:val="nil"/>
              <w:left w:val="nil"/>
              <w:bottom w:val="nil"/>
              <w:right w:val="nil"/>
            </w:tcBorders>
            <w:shd w:val="clear" w:color="auto" w:fill="auto"/>
            <w:noWrap/>
            <w:vAlign w:val="bottom"/>
            <w:hideMark/>
          </w:tcPr>
          <w:p w14:paraId="71B72521" w14:textId="77777777" w:rsidR="00C56907" w:rsidRPr="00C56907" w:rsidRDefault="00C56907" w:rsidP="00C56907">
            <w:pPr>
              <w:spacing w:before="0" w:after="0"/>
              <w:ind w:firstLineChars="100" w:firstLine="160"/>
              <w:rPr>
                <w:color w:val="auto"/>
                <w:sz w:val="16"/>
                <w:szCs w:val="16"/>
              </w:rPr>
            </w:pPr>
          </w:p>
        </w:tc>
        <w:tc>
          <w:tcPr>
            <w:tcW w:w="905" w:type="dxa"/>
            <w:tcBorders>
              <w:top w:val="nil"/>
              <w:left w:val="nil"/>
              <w:bottom w:val="nil"/>
              <w:right w:val="nil"/>
            </w:tcBorders>
            <w:shd w:val="clear" w:color="000000" w:fill="D9D9D9"/>
            <w:noWrap/>
            <w:vAlign w:val="bottom"/>
            <w:hideMark/>
          </w:tcPr>
          <w:p w14:paraId="1A184526"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05" w:type="dxa"/>
            <w:tcBorders>
              <w:top w:val="nil"/>
              <w:left w:val="nil"/>
              <w:bottom w:val="nil"/>
              <w:right w:val="nil"/>
            </w:tcBorders>
            <w:shd w:val="clear" w:color="auto" w:fill="auto"/>
            <w:noWrap/>
            <w:vAlign w:val="bottom"/>
            <w:hideMark/>
          </w:tcPr>
          <w:p w14:paraId="3021747C" w14:textId="77777777" w:rsidR="00C56907" w:rsidRPr="00C56907" w:rsidRDefault="00C56907" w:rsidP="00C56907">
            <w:pPr>
              <w:spacing w:before="0" w:after="0"/>
              <w:jc w:val="right"/>
              <w:rPr>
                <w:color w:val="auto"/>
                <w:sz w:val="16"/>
                <w:szCs w:val="16"/>
              </w:rPr>
            </w:pPr>
          </w:p>
        </w:tc>
        <w:tc>
          <w:tcPr>
            <w:tcW w:w="905" w:type="dxa"/>
            <w:tcBorders>
              <w:top w:val="nil"/>
              <w:left w:val="nil"/>
              <w:bottom w:val="nil"/>
              <w:right w:val="nil"/>
            </w:tcBorders>
            <w:shd w:val="clear" w:color="auto" w:fill="auto"/>
            <w:noWrap/>
            <w:vAlign w:val="bottom"/>
            <w:hideMark/>
          </w:tcPr>
          <w:p w14:paraId="0E7E7CEF"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05" w:type="dxa"/>
            <w:tcBorders>
              <w:top w:val="nil"/>
              <w:left w:val="nil"/>
              <w:bottom w:val="nil"/>
              <w:right w:val="nil"/>
            </w:tcBorders>
            <w:shd w:val="clear" w:color="auto" w:fill="auto"/>
            <w:noWrap/>
            <w:vAlign w:val="bottom"/>
            <w:hideMark/>
          </w:tcPr>
          <w:p w14:paraId="258BA608"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3299E87F" w14:textId="77777777" w:rsidTr="00321D2C">
        <w:trPr>
          <w:trHeight w:val="225"/>
          <w:jc w:val="center"/>
        </w:trPr>
        <w:tc>
          <w:tcPr>
            <w:tcW w:w="2795" w:type="dxa"/>
            <w:tcBorders>
              <w:top w:val="nil"/>
              <w:left w:val="nil"/>
              <w:bottom w:val="nil"/>
              <w:right w:val="nil"/>
            </w:tcBorders>
            <w:shd w:val="clear" w:color="auto" w:fill="auto"/>
            <w:noWrap/>
            <w:vAlign w:val="bottom"/>
            <w:hideMark/>
          </w:tcPr>
          <w:p w14:paraId="7028A69F" w14:textId="77777777" w:rsidR="00C56907" w:rsidRPr="00C56907" w:rsidRDefault="00C56907" w:rsidP="00321D2C">
            <w:pPr>
              <w:spacing w:before="0" w:after="0"/>
              <w:ind w:leftChars="150" w:left="270"/>
              <w:rPr>
                <w:color w:val="auto"/>
                <w:sz w:val="16"/>
                <w:szCs w:val="16"/>
              </w:rPr>
            </w:pPr>
            <w:r w:rsidRPr="00C56907">
              <w:rPr>
                <w:color w:val="auto"/>
                <w:sz w:val="16"/>
                <w:szCs w:val="16"/>
              </w:rPr>
              <w:t xml:space="preserve">Ordinary annual services </w:t>
            </w:r>
            <w:r w:rsidRPr="00C56907">
              <w:rPr>
                <w:color w:val="auto"/>
                <w:sz w:val="16"/>
                <w:szCs w:val="16"/>
                <w:vertAlign w:val="superscript"/>
              </w:rPr>
              <w:t>(a)</w:t>
            </w:r>
          </w:p>
        </w:tc>
        <w:tc>
          <w:tcPr>
            <w:tcW w:w="905" w:type="dxa"/>
            <w:tcBorders>
              <w:top w:val="nil"/>
              <w:left w:val="nil"/>
              <w:bottom w:val="nil"/>
              <w:right w:val="nil"/>
            </w:tcBorders>
            <w:shd w:val="clear" w:color="auto" w:fill="auto"/>
            <w:noWrap/>
            <w:tcMar>
              <w:left w:w="0" w:type="dxa"/>
              <w:right w:w="57" w:type="dxa"/>
            </w:tcMar>
            <w:vAlign w:val="bottom"/>
            <w:hideMark/>
          </w:tcPr>
          <w:p w14:paraId="628D0FFB" w14:textId="77777777" w:rsidR="00C56907" w:rsidRPr="00C56907" w:rsidRDefault="00C56907" w:rsidP="00C56907">
            <w:pPr>
              <w:spacing w:before="0" w:after="0"/>
              <w:jc w:val="right"/>
              <w:rPr>
                <w:color w:val="auto"/>
                <w:sz w:val="16"/>
                <w:szCs w:val="16"/>
              </w:rPr>
            </w:pPr>
            <w:r w:rsidRPr="00C56907">
              <w:rPr>
                <w:color w:val="auto"/>
                <w:sz w:val="16"/>
                <w:szCs w:val="16"/>
              </w:rPr>
              <w:t>1,818,801</w:t>
            </w:r>
          </w:p>
        </w:tc>
        <w:tc>
          <w:tcPr>
            <w:tcW w:w="905" w:type="dxa"/>
            <w:tcBorders>
              <w:top w:val="nil"/>
              <w:left w:val="nil"/>
              <w:bottom w:val="nil"/>
              <w:right w:val="nil"/>
            </w:tcBorders>
            <w:shd w:val="clear" w:color="000000" w:fill="D9D9D9"/>
            <w:noWrap/>
            <w:tcMar>
              <w:left w:w="0" w:type="dxa"/>
              <w:right w:w="57" w:type="dxa"/>
            </w:tcMar>
            <w:vAlign w:val="bottom"/>
            <w:hideMark/>
          </w:tcPr>
          <w:p w14:paraId="58AAF184" w14:textId="77777777" w:rsidR="00C56907" w:rsidRPr="00C56907" w:rsidRDefault="00C56907" w:rsidP="00C56907">
            <w:pPr>
              <w:spacing w:before="0" w:after="0"/>
              <w:jc w:val="right"/>
              <w:rPr>
                <w:color w:val="auto"/>
                <w:sz w:val="16"/>
                <w:szCs w:val="16"/>
              </w:rPr>
            </w:pPr>
            <w:r w:rsidRPr="00C56907">
              <w:rPr>
                <w:color w:val="auto"/>
                <w:sz w:val="16"/>
                <w:szCs w:val="16"/>
              </w:rPr>
              <w:t>1,721,923</w:t>
            </w:r>
          </w:p>
        </w:tc>
        <w:tc>
          <w:tcPr>
            <w:tcW w:w="905" w:type="dxa"/>
            <w:tcBorders>
              <w:top w:val="nil"/>
              <w:left w:val="nil"/>
              <w:bottom w:val="nil"/>
              <w:right w:val="nil"/>
            </w:tcBorders>
            <w:shd w:val="clear" w:color="auto" w:fill="auto"/>
            <w:noWrap/>
            <w:tcMar>
              <w:left w:w="0" w:type="dxa"/>
              <w:right w:w="57" w:type="dxa"/>
            </w:tcMar>
            <w:vAlign w:val="bottom"/>
            <w:hideMark/>
          </w:tcPr>
          <w:p w14:paraId="31002CEC" w14:textId="77777777" w:rsidR="00C56907" w:rsidRPr="00C56907" w:rsidRDefault="00C56907" w:rsidP="00C56907">
            <w:pPr>
              <w:spacing w:before="0" w:after="0"/>
              <w:jc w:val="right"/>
              <w:rPr>
                <w:color w:val="auto"/>
                <w:sz w:val="16"/>
                <w:szCs w:val="16"/>
              </w:rPr>
            </w:pPr>
            <w:r w:rsidRPr="00C56907">
              <w:rPr>
                <w:color w:val="auto"/>
                <w:sz w:val="16"/>
                <w:szCs w:val="16"/>
              </w:rPr>
              <w:t>1,576,281</w:t>
            </w:r>
          </w:p>
        </w:tc>
        <w:tc>
          <w:tcPr>
            <w:tcW w:w="905" w:type="dxa"/>
            <w:tcBorders>
              <w:top w:val="nil"/>
              <w:left w:val="nil"/>
              <w:bottom w:val="nil"/>
              <w:right w:val="nil"/>
            </w:tcBorders>
            <w:shd w:val="clear" w:color="auto" w:fill="auto"/>
            <w:noWrap/>
            <w:tcMar>
              <w:left w:w="0" w:type="dxa"/>
              <w:right w:w="57" w:type="dxa"/>
            </w:tcMar>
            <w:vAlign w:val="bottom"/>
            <w:hideMark/>
          </w:tcPr>
          <w:p w14:paraId="6EC816A6" w14:textId="77777777" w:rsidR="00C56907" w:rsidRPr="00C56907" w:rsidRDefault="00C56907" w:rsidP="00C56907">
            <w:pPr>
              <w:spacing w:before="0" w:after="0"/>
              <w:jc w:val="right"/>
              <w:rPr>
                <w:color w:val="auto"/>
                <w:sz w:val="16"/>
                <w:szCs w:val="16"/>
              </w:rPr>
            </w:pPr>
            <w:r w:rsidRPr="00C56907">
              <w:rPr>
                <w:color w:val="auto"/>
                <w:sz w:val="16"/>
                <w:szCs w:val="16"/>
              </w:rPr>
              <w:t>1,710,422</w:t>
            </w:r>
          </w:p>
        </w:tc>
        <w:tc>
          <w:tcPr>
            <w:tcW w:w="905" w:type="dxa"/>
            <w:tcBorders>
              <w:top w:val="nil"/>
              <w:left w:val="nil"/>
              <w:bottom w:val="nil"/>
              <w:right w:val="nil"/>
            </w:tcBorders>
            <w:shd w:val="clear" w:color="auto" w:fill="auto"/>
            <w:noWrap/>
            <w:tcMar>
              <w:left w:w="0" w:type="dxa"/>
              <w:right w:w="57" w:type="dxa"/>
            </w:tcMar>
            <w:vAlign w:val="bottom"/>
            <w:hideMark/>
          </w:tcPr>
          <w:p w14:paraId="0D19D1FF" w14:textId="77777777" w:rsidR="00C56907" w:rsidRPr="00C56907" w:rsidRDefault="00C56907" w:rsidP="00C56907">
            <w:pPr>
              <w:spacing w:before="0" w:after="0"/>
              <w:jc w:val="right"/>
              <w:rPr>
                <w:color w:val="auto"/>
                <w:sz w:val="16"/>
                <w:szCs w:val="16"/>
              </w:rPr>
            </w:pPr>
            <w:r w:rsidRPr="00C56907">
              <w:rPr>
                <w:color w:val="auto"/>
                <w:sz w:val="16"/>
                <w:szCs w:val="16"/>
              </w:rPr>
              <w:t>1,732,060</w:t>
            </w:r>
          </w:p>
        </w:tc>
      </w:tr>
      <w:tr w:rsidR="00C56907" w:rsidRPr="00C56907" w14:paraId="33A58769" w14:textId="77777777" w:rsidTr="00321D2C">
        <w:trPr>
          <w:trHeight w:val="225"/>
          <w:jc w:val="center"/>
        </w:trPr>
        <w:tc>
          <w:tcPr>
            <w:tcW w:w="2795" w:type="dxa"/>
            <w:tcBorders>
              <w:top w:val="nil"/>
              <w:left w:val="nil"/>
              <w:bottom w:val="nil"/>
              <w:right w:val="nil"/>
            </w:tcBorders>
            <w:shd w:val="clear" w:color="auto" w:fill="auto"/>
            <w:noWrap/>
            <w:vAlign w:val="bottom"/>
            <w:hideMark/>
          </w:tcPr>
          <w:p w14:paraId="55792734" w14:textId="77777777" w:rsidR="00C56907" w:rsidRPr="00C56907" w:rsidRDefault="00C56907" w:rsidP="00321D2C">
            <w:pPr>
              <w:spacing w:before="0" w:after="0"/>
              <w:ind w:leftChars="150" w:left="270"/>
              <w:rPr>
                <w:color w:val="auto"/>
                <w:sz w:val="16"/>
                <w:szCs w:val="16"/>
              </w:rPr>
            </w:pPr>
            <w:r w:rsidRPr="00C56907">
              <w:rPr>
                <w:color w:val="auto"/>
                <w:sz w:val="16"/>
                <w:szCs w:val="16"/>
              </w:rPr>
              <w:t>Special appropriations</w:t>
            </w:r>
          </w:p>
        </w:tc>
        <w:tc>
          <w:tcPr>
            <w:tcW w:w="905" w:type="dxa"/>
            <w:tcBorders>
              <w:top w:val="nil"/>
              <w:left w:val="nil"/>
              <w:bottom w:val="nil"/>
              <w:right w:val="nil"/>
            </w:tcBorders>
            <w:shd w:val="clear" w:color="auto" w:fill="auto"/>
            <w:noWrap/>
            <w:tcMar>
              <w:left w:w="0" w:type="dxa"/>
              <w:right w:w="57" w:type="dxa"/>
            </w:tcMar>
            <w:vAlign w:val="bottom"/>
            <w:hideMark/>
          </w:tcPr>
          <w:p w14:paraId="23E1D247" w14:textId="77777777" w:rsidR="00C56907" w:rsidRPr="00C56907" w:rsidRDefault="00C56907" w:rsidP="00C56907">
            <w:pPr>
              <w:spacing w:before="0" w:after="0"/>
              <w:jc w:val="right"/>
              <w:rPr>
                <w:color w:val="auto"/>
                <w:sz w:val="16"/>
                <w:szCs w:val="16"/>
              </w:rPr>
            </w:pPr>
            <w:r w:rsidRPr="00C56907">
              <w:rPr>
                <w:color w:val="auto"/>
                <w:sz w:val="16"/>
                <w:szCs w:val="16"/>
              </w:rPr>
              <w:t>7,578,979</w:t>
            </w:r>
          </w:p>
        </w:tc>
        <w:tc>
          <w:tcPr>
            <w:tcW w:w="905" w:type="dxa"/>
            <w:tcBorders>
              <w:top w:val="nil"/>
              <w:left w:val="nil"/>
              <w:bottom w:val="nil"/>
              <w:right w:val="nil"/>
            </w:tcBorders>
            <w:shd w:val="clear" w:color="000000" w:fill="D9D9D9"/>
            <w:noWrap/>
            <w:tcMar>
              <w:left w:w="0" w:type="dxa"/>
              <w:right w:w="57" w:type="dxa"/>
            </w:tcMar>
            <w:vAlign w:val="bottom"/>
            <w:hideMark/>
          </w:tcPr>
          <w:p w14:paraId="294CC636" w14:textId="77777777" w:rsidR="00C56907" w:rsidRPr="00C56907" w:rsidRDefault="00C56907" w:rsidP="00C56907">
            <w:pPr>
              <w:spacing w:before="0" w:after="0"/>
              <w:jc w:val="right"/>
              <w:rPr>
                <w:color w:val="auto"/>
                <w:sz w:val="16"/>
                <w:szCs w:val="16"/>
              </w:rPr>
            </w:pPr>
            <w:r w:rsidRPr="00C56907">
              <w:rPr>
                <w:color w:val="auto"/>
                <w:sz w:val="16"/>
                <w:szCs w:val="16"/>
              </w:rPr>
              <w:t>7,730,085</w:t>
            </w:r>
          </w:p>
        </w:tc>
        <w:tc>
          <w:tcPr>
            <w:tcW w:w="905" w:type="dxa"/>
            <w:tcBorders>
              <w:top w:val="nil"/>
              <w:left w:val="nil"/>
              <w:bottom w:val="nil"/>
              <w:right w:val="nil"/>
            </w:tcBorders>
            <w:shd w:val="clear" w:color="auto" w:fill="auto"/>
            <w:noWrap/>
            <w:tcMar>
              <w:left w:w="0" w:type="dxa"/>
              <w:right w:w="57" w:type="dxa"/>
            </w:tcMar>
            <w:vAlign w:val="bottom"/>
            <w:hideMark/>
          </w:tcPr>
          <w:p w14:paraId="015CC5FC" w14:textId="77777777" w:rsidR="00C56907" w:rsidRPr="00C56907" w:rsidRDefault="00C56907" w:rsidP="00C56907">
            <w:pPr>
              <w:spacing w:before="0" w:after="0"/>
              <w:jc w:val="right"/>
              <w:rPr>
                <w:color w:val="auto"/>
                <w:sz w:val="16"/>
                <w:szCs w:val="16"/>
              </w:rPr>
            </w:pPr>
            <w:r w:rsidRPr="00C56907">
              <w:rPr>
                <w:color w:val="auto"/>
                <w:sz w:val="16"/>
                <w:szCs w:val="16"/>
              </w:rPr>
              <w:t>7,963,221</w:t>
            </w:r>
          </w:p>
        </w:tc>
        <w:tc>
          <w:tcPr>
            <w:tcW w:w="905" w:type="dxa"/>
            <w:tcBorders>
              <w:top w:val="nil"/>
              <w:left w:val="nil"/>
              <w:bottom w:val="nil"/>
              <w:right w:val="nil"/>
            </w:tcBorders>
            <w:shd w:val="clear" w:color="auto" w:fill="auto"/>
            <w:noWrap/>
            <w:tcMar>
              <w:left w:w="0" w:type="dxa"/>
              <w:right w:w="57" w:type="dxa"/>
            </w:tcMar>
            <w:vAlign w:val="bottom"/>
            <w:hideMark/>
          </w:tcPr>
          <w:p w14:paraId="5F240925" w14:textId="77777777" w:rsidR="00C56907" w:rsidRPr="00C56907" w:rsidRDefault="00C56907" w:rsidP="00C56907">
            <w:pPr>
              <w:spacing w:before="0" w:after="0"/>
              <w:jc w:val="right"/>
              <w:rPr>
                <w:color w:val="auto"/>
                <w:sz w:val="16"/>
                <w:szCs w:val="16"/>
              </w:rPr>
            </w:pPr>
            <w:r w:rsidRPr="00C56907">
              <w:rPr>
                <w:color w:val="auto"/>
                <w:sz w:val="16"/>
                <w:szCs w:val="16"/>
              </w:rPr>
              <w:t>8,155,866</w:t>
            </w:r>
          </w:p>
        </w:tc>
        <w:tc>
          <w:tcPr>
            <w:tcW w:w="905" w:type="dxa"/>
            <w:tcBorders>
              <w:top w:val="nil"/>
              <w:left w:val="nil"/>
              <w:bottom w:val="nil"/>
              <w:right w:val="nil"/>
            </w:tcBorders>
            <w:shd w:val="clear" w:color="auto" w:fill="auto"/>
            <w:noWrap/>
            <w:tcMar>
              <w:left w:w="0" w:type="dxa"/>
              <w:right w:w="57" w:type="dxa"/>
            </w:tcMar>
            <w:vAlign w:val="bottom"/>
            <w:hideMark/>
          </w:tcPr>
          <w:p w14:paraId="047FBDEB" w14:textId="77777777" w:rsidR="00C56907" w:rsidRPr="00C56907" w:rsidRDefault="00C56907" w:rsidP="00C56907">
            <w:pPr>
              <w:spacing w:before="0" w:after="0"/>
              <w:jc w:val="right"/>
              <w:rPr>
                <w:color w:val="auto"/>
                <w:sz w:val="16"/>
                <w:szCs w:val="16"/>
              </w:rPr>
            </w:pPr>
            <w:r w:rsidRPr="00C56907">
              <w:rPr>
                <w:color w:val="auto"/>
                <w:sz w:val="16"/>
                <w:szCs w:val="16"/>
              </w:rPr>
              <w:t>8,314,408</w:t>
            </w:r>
          </w:p>
        </w:tc>
      </w:tr>
      <w:tr w:rsidR="00C56907" w:rsidRPr="00C56907" w14:paraId="371BFB57" w14:textId="77777777" w:rsidTr="00321D2C">
        <w:trPr>
          <w:trHeight w:val="225"/>
          <w:jc w:val="center"/>
        </w:trPr>
        <w:tc>
          <w:tcPr>
            <w:tcW w:w="2795" w:type="dxa"/>
            <w:tcBorders>
              <w:top w:val="nil"/>
              <w:left w:val="nil"/>
              <w:bottom w:val="nil"/>
              <w:right w:val="nil"/>
            </w:tcBorders>
            <w:shd w:val="clear" w:color="auto" w:fill="auto"/>
            <w:noWrap/>
            <w:vAlign w:val="bottom"/>
            <w:hideMark/>
          </w:tcPr>
          <w:p w14:paraId="704892F8" w14:textId="77777777" w:rsidR="00C56907" w:rsidRPr="00C56907" w:rsidRDefault="00C56907" w:rsidP="00321D2C">
            <w:pPr>
              <w:spacing w:before="0" w:after="0"/>
              <w:ind w:leftChars="150" w:left="270"/>
              <w:rPr>
                <w:color w:val="auto"/>
                <w:sz w:val="16"/>
                <w:szCs w:val="16"/>
              </w:rPr>
            </w:pPr>
            <w:r w:rsidRPr="00C56907">
              <w:rPr>
                <w:color w:val="auto"/>
                <w:sz w:val="16"/>
                <w:szCs w:val="16"/>
              </w:rPr>
              <w:t>Special account</w:t>
            </w:r>
          </w:p>
        </w:tc>
        <w:tc>
          <w:tcPr>
            <w:tcW w:w="905" w:type="dxa"/>
            <w:tcBorders>
              <w:top w:val="nil"/>
              <w:left w:val="nil"/>
              <w:bottom w:val="nil"/>
              <w:right w:val="nil"/>
            </w:tcBorders>
            <w:shd w:val="clear" w:color="auto" w:fill="auto"/>
            <w:noWrap/>
            <w:tcMar>
              <w:left w:w="0" w:type="dxa"/>
              <w:right w:w="57" w:type="dxa"/>
            </w:tcMar>
            <w:vAlign w:val="bottom"/>
            <w:hideMark/>
          </w:tcPr>
          <w:p w14:paraId="2B3B2D67" w14:textId="77777777" w:rsidR="00C56907" w:rsidRPr="00C56907" w:rsidRDefault="00C56907" w:rsidP="00C56907">
            <w:pPr>
              <w:spacing w:before="0" w:after="0"/>
              <w:jc w:val="right"/>
              <w:rPr>
                <w:color w:val="auto"/>
                <w:sz w:val="16"/>
                <w:szCs w:val="16"/>
              </w:rPr>
            </w:pPr>
            <w:r w:rsidRPr="00C56907">
              <w:rPr>
                <w:color w:val="auto"/>
                <w:sz w:val="16"/>
                <w:szCs w:val="16"/>
              </w:rPr>
              <w:t>45,664,691</w:t>
            </w:r>
          </w:p>
        </w:tc>
        <w:tc>
          <w:tcPr>
            <w:tcW w:w="905" w:type="dxa"/>
            <w:tcBorders>
              <w:top w:val="nil"/>
              <w:left w:val="nil"/>
              <w:bottom w:val="nil"/>
              <w:right w:val="nil"/>
            </w:tcBorders>
            <w:shd w:val="clear" w:color="000000" w:fill="D9D9D9"/>
            <w:noWrap/>
            <w:tcMar>
              <w:left w:w="0" w:type="dxa"/>
              <w:right w:w="57" w:type="dxa"/>
            </w:tcMar>
            <w:vAlign w:val="bottom"/>
            <w:hideMark/>
          </w:tcPr>
          <w:p w14:paraId="1849A542" w14:textId="77777777" w:rsidR="00C56907" w:rsidRPr="00C56907" w:rsidRDefault="00C56907" w:rsidP="00C56907">
            <w:pPr>
              <w:spacing w:before="0" w:after="0"/>
              <w:jc w:val="right"/>
              <w:rPr>
                <w:color w:val="auto"/>
                <w:sz w:val="16"/>
                <w:szCs w:val="16"/>
              </w:rPr>
            </w:pPr>
            <w:r w:rsidRPr="00C56907">
              <w:rPr>
                <w:color w:val="auto"/>
                <w:sz w:val="16"/>
                <w:szCs w:val="16"/>
              </w:rPr>
              <w:t>47,521,044</w:t>
            </w:r>
          </w:p>
        </w:tc>
        <w:tc>
          <w:tcPr>
            <w:tcW w:w="905" w:type="dxa"/>
            <w:tcBorders>
              <w:top w:val="nil"/>
              <w:left w:val="nil"/>
              <w:bottom w:val="nil"/>
              <w:right w:val="nil"/>
            </w:tcBorders>
            <w:shd w:val="clear" w:color="auto" w:fill="auto"/>
            <w:noWrap/>
            <w:tcMar>
              <w:left w:w="0" w:type="dxa"/>
              <w:right w:w="57" w:type="dxa"/>
            </w:tcMar>
            <w:vAlign w:val="bottom"/>
            <w:hideMark/>
          </w:tcPr>
          <w:p w14:paraId="5C558A79" w14:textId="77777777" w:rsidR="00C56907" w:rsidRPr="00C56907" w:rsidRDefault="00C56907" w:rsidP="00C56907">
            <w:pPr>
              <w:spacing w:before="0" w:after="0"/>
              <w:jc w:val="right"/>
              <w:rPr>
                <w:color w:val="auto"/>
                <w:sz w:val="16"/>
                <w:szCs w:val="16"/>
              </w:rPr>
            </w:pPr>
            <w:r w:rsidRPr="00C56907">
              <w:rPr>
                <w:color w:val="auto"/>
                <w:sz w:val="16"/>
                <w:szCs w:val="16"/>
              </w:rPr>
              <w:t>49,421,391</w:t>
            </w:r>
          </w:p>
        </w:tc>
        <w:tc>
          <w:tcPr>
            <w:tcW w:w="905" w:type="dxa"/>
            <w:tcBorders>
              <w:top w:val="nil"/>
              <w:left w:val="nil"/>
              <w:bottom w:val="nil"/>
              <w:right w:val="nil"/>
            </w:tcBorders>
            <w:shd w:val="clear" w:color="auto" w:fill="auto"/>
            <w:noWrap/>
            <w:tcMar>
              <w:left w:w="0" w:type="dxa"/>
              <w:right w:w="57" w:type="dxa"/>
            </w:tcMar>
            <w:vAlign w:val="bottom"/>
            <w:hideMark/>
          </w:tcPr>
          <w:p w14:paraId="58AE3852" w14:textId="77777777" w:rsidR="00C56907" w:rsidRPr="00C56907" w:rsidRDefault="00C56907" w:rsidP="00C56907">
            <w:pPr>
              <w:spacing w:before="0" w:after="0"/>
              <w:jc w:val="right"/>
              <w:rPr>
                <w:color w:val="auto"/>
                <w:sz w:val="16"/>
                <w:szCs w:val="16"/>
              </w:rPr>
            </w:pPr>
            <w:r w:rsidRPr="00C56907">
              <w:rPr>
                <w:color w:val="auto"/>
                <w:sz w:val="16"/>
                <w:szCs w:val="16"/>
              </w:rPr>
              <w:t>51,372,268</w:t>
            </w:r>
          </w:p>
        </w:tc>
        <w:tc>
          <w:tcPr>
            <w:tcW w:w="905" w:type="dxa"/>
            <w:tcBorders>
              <w:top w:val="nil"/>
              <w:left w:val="nil"/>
              <w:bottom w:val="nil"/>
              <w:right w:val="nil"/>
            </w:tcBorders>
            <w:shd w:val="clear" w:color="auto" w:fill="auto"/>
            <w:noWrap/>
            <w:tcMar>
              <w:left w:w="0" w:type="dxa"/>
              <w:right w:w="57" w:type="dxa"/>
            </w:tcMar>
            <w:vAlign w:val="bottom"/>
            <w:hideMark/>
          </w:tcPr>
          <w:p w14:paraId="2EB37F00" w14:textId="77777777" w:rsidR="00C56907" w:rsidRPr="00C56907" w:rsidRDefault="00C56907" w:rsidP="00C56907">
            <w:pPr>
              <w:spacing w:before="0" w:after="0"/>
              <w:jc w:val="right"/>
              <w:rPr>
                <w:color w:val="auto"/>
                <w:sz w:val="16"/>
                <w:szCs w:val="16"/>
              </w:rPr>
            </w:pPr>
            <w:r w:rsidRPr="00C56907">
              <w:rPr>
                <w:color w:val="auto"/>
                <w:sz w:val="16"/>
                <w:szCs w:val="16"/>
              </w:rPr>
              <w:t>53,229,904</w:t>
            </w:r>
          </w:p>
        </w:tc>
      </w:tr>
      <w:tr w:rsidR="00C56907" w:rsidRPr="00C56907" w14:paraId="6DCF2B78" w14:textId="77777777" w:rsidTr="00321D2C">
        <w:trPr>
          <w:trHeight w:val="225"/>
          <w:jc w:val="center"/>
        </w:trPr>
        <w:tc>
          <w:tcPr>
            <w:tcW w:w="2795" w:type="dxa"/>
            <w:tcBorders>
              <w:top w:val="nil"/>
              <w:left w:val="nil"/>
              <w:bottom w:val="nil"/>
              <w:right w:val="nil"/>
            </w:tcBorders>
            <w:shd w:val="clear" w:color="000000" w:fill="FFFFFF"/>
            <w:vAlign w:val="bottom"/>
            <w:hideMark/>
          </w:tcPr>
          <w:p w14:paraId="4786185D" w14:textId="77777777" w:rsidR="00C56907" w:rsidRPr="00C56907" w:rsidRDefault="00C56907" w:rsidP="00321D2C">
            <w:pPr>
              <w:spacing w:before="0" w:after="0"/>
              <w:ind w:leftChars="225" w:left="405"/>
              <w:rPr>
                <w:color w:val="auto"/>
                <w:sz w:val="16"/>
                <w:szCs w:val="16"/>
              </w:rPr>
            </w:pPr>
            <w:r w:rsidRPr="00C56907">
              <w:rPr>
                <w:color w:val="auto"/>
                <w:sz w:val="16"/>
                <w:szCs w:val="16"/>
              </w:rPr>
              <w:t xml:space="preserve">accrual adjustment </w:t>
            </w:r>
          </w:p>
        </w:tc>
        <w:tc>
          <w:tcPr>
            <w:tcW w:w="905" w:type="dxa"/>
            <w:tcBorders>
              <w:top w:val="nil"/>
              <w:left w:val="nil"/>
              <w:bottom w:val="nil"/>
              <w:right w:val="nil"/>
            </w:tcBorders>
            <w:shd w:val="clear" w:color="auto" w:fill="auto"/>
            <w:noWrap/>
            <w:tcMar>
              <w:right w:w="57" w:type="dxa"/>
            </w:tcMar>
            <w:vAlign w:val="bottom"/>
            <w:hideMark/>
          </w:tcPr>
          <w:p w14:paraId="7E6186DE" w14:textId="77777777" w:rsidR="00C56907" w:rsidRPr="00C56907" w:rsidRDefault="00C56907" w:rsidP="00C56907">
            <w:pPr>
              <w:spacing w:before="0" w:after="0"/>
              <w:jc w:val="right"/>
              <w:rPr>
                <w:color w:val="auto"/>
                <w:sz w:val="16"/>
                <w:szCs w:val="16"/>
              </w:rPr>
            </w:pPr>
            <w:r w:rsidRPr="00C56907">
              <w:rPr>
                <w:color w:val="auto"/>
                <w:sz w:val="16"/>
                <w:szCs w:val="16"/>
              </w:rPr>
              <w:t>121,227</w:t>
            </w:r>
          </w:p>
        </w:tc>
        <w:tc>
          <w:tcPr>
            <w:tcW w:w="905" w:type="dxa"/>
            <w:tcBorders>
              <w:top w:val="nil"/>
              <w:left w:val="nil"/>
              <w:bottom w:val="nil"/>
              <w:right w:val="nil"/>
            </w:tcBorders>
            <w:shd w:val="clear" w:color="000000" w:fill="D9D9D9"/>
            <w:noWrap/>
            <w:tcMar>
              <w:right w:w="57" w:type="dxa"/>
            </w:tcMar>
            <w:vAlign w:val="bottom"/>
            <w:hideMark/>
          </w:tcPr>
          <w:p w14:paraId="7E7FDFBE" w14:textId="77777777" w:rsidR="00C56907" w:rsidRPr="00C56907" w:rsidRDefault="00C56907" w:rsidP="00C56907">
            <w:pPr>
              <w:spacing w:before="0" w:after="0"/>
              <w:jc w:val="right"/>
              <w:rPr>
                <w:color w:val="auto"/>
                <w:sz w:val="16"/>
                <w:szCs w:val="16"/>
              </w:rPr>
            </w:pPr>
            <w:r w:rsidRPr="00C56907">
              <w:rPr>
                <w:color w:val="auto"/>
                <w:sz w:val="16"/>
                <w:szCs w:val="16"/>
              </w:rPr>
              <w:t>33,940</w:t>
            </w:r>
          </w:p>
        </w:tc>
        <w:tc>
          <w:tcPr>
            <w:tcW w:w="905" w:type="dxa"/>
            <w:tcBorders>
              <w:top w:val="nil"/>
              <w:left w:val="nil"/>
              <w:bottom w:val="nil"/>
              <w:right w:val="nil"/>
            </w:tcBorders>
            <w:shd w:val="clear" w:color="auto" w:fill="auto"/>
            <w:noWrap/>
            <w:tcMar>
              <w:right w:w="57" w:type="dxa"/>
            </w:tcMar>
            <w:vAlign w:val="bottom"/>
            <w:hideMark/>
          </w:tcPr>
          <w:p w14:paraId="0AB767D9" w14:textId="77777777" w:rsidR="00C56907" w:rsidRPr="00C56907" w:rsidRDefault="00C56907" w:rsidP="00C56907">
            <w:pPr>
              <w:spacing w:before="0" w:after="0"/>
              <w:jc w:val="right"/>
              <w:rPr>
                <w:color w:val="auto"/>
                <w:sz w:val="16"/>
                <w:szCs w:val="16"/>
              </w:rPr>
            </w:pPr>
            <w:r w:rsidRPr="00C56907">
              <w:rPr>
                <w:color w:val="auto"/>
                <w:sz w:val="16"/>
                <w:szCs w:val="16"/>
              </w:rPr>
              <w:t>24,794</w:t>
            </w:r>
          </w:p>
        </w:tc>
        <w:tc>
          <w:tcPr>
            <w:tcW w:w="905" w:type="dxa"/>
            <w:tcBorders>
              <w:top w:val="nil"/>
              <w:left w:val="nil"/>
              <w:bottom w:val="nil"/>
              <w:right w:val="nil"/>
            </w:tcBorders>
            <w:shd w:val="clear" w:color="auto" w:fill="auto"/>
            <w:noWrap/>
            <w:tcMar>
              <w:right w:w="57" w:type="dxa"/>
            </w:tcMar>
            <w:vAlign w:val="bottom"/>
            <w:hideMark/>
          </w:tcPr>
          <w:p w14:paraId="3917B1FF" w14:textId="77777777" w:rsidR="00C56907" w:rsidRPr="00C56907" w:rsidRDefault="00C56907" w:rsidP="00C56907">
            <w:pPr>
              <w:spacing w:before="0" w:after="0"/>
              <w:jc w:val="right"/>
              <w:rPr>
                <w:color w:val="auto"/>
                <w:sz w:val="16"/>
                <w:szCs w:val="16"/>
              </w:rPr>
            </w:pPr>
            <w:r w:rsidRPr="00C56907">
              <w:rPr>
                <w:color w:val="auto"/>
                <w:sz w:val="16"/>
                <w:szCs w:val="16"/>
              </w:rPr>
              <w:t>8,730</w:t>
            </w:r>
          </w:p>
        </w:tc>
        <w:tc>
          <w:tcPr>
            <w:tcW w:w="905" w:type="dxa"/>
            <w:tcBorders>
              <w:top w:val="nil"/>
              <w:left w:val="nil"/>
              <w:bottom w:val="nil"/>
              <w:right w:val="nil"/>
            </w:tcBorders>
            <w:shd w:val="clear" w:color="auto" w:fill="auto"/>
            <w:noWrap/>
            <w:tcMar>
              <w:right w:w="57" w:type="dxa"/>
            </w:tcMar>
            <w:vAlign w:val="bottom"/>
            <w:hideMark/>
          </w:tcPr>
          <w:p w14:paraId="5D144606" w14:textId="77777777" w:rsidR="00C56907" w:rsidRPr="00C56907" w:rsidRDefault="00C56907" w:rsidP="00C56907">
            <w:pPr>
              <w:spacing w:before="0" w:after="0"/>
              <w:jc w:val="right"/>
              <w:rPr>
                <w:color w:val="auto"/>
                <w:sz w:val="16"/>
                <w:szCs w:val="16"/>
              </w:rPr>
            </w:pPr>
            <w:r w:rsidRPr="00C56907">
              <w:rPr>
                <w:color w:val="auto"/>
                <w:sz w:val="16"/>
                <w:szCs w:val="16"/>
              </w:rPr>
              <w:t>10,425</w:t>
            </w:r>
          </w:p>
        </w:tc>
      </w:tr>
      <w:tr w:rsidR="00C56907" w:rsidRPr="00C56907" w14:paraId="228D876F" w14:textId="77777777" w:rsidTr="00321D2C">
        <w:trPr>
          <w:trHeight w:val="300"/>
          <w:jc w:val="center"/>
        </w:trPr>
        <w:tc>
          <w:tcPr>
            <w:tcW w:w="2795" w:type="dxa"/>
            <w:tcBorders>
              <w:top w:val="nil"/>
              <w:left w:val="nil"/>
              <w:bottom w:val="nil"/>
              <w:right w:val="nil"/>
            </w:tcBorders>
            <w:shd w:val="clear" w:color="auto" w:fill="auto"/>
            <w:noWrap/>
            <w:vAlign w:val="bottom"/>
            <w:hideMark/>
          </w:tcPr>
          <w:p w14:paraId="3FC38BE3"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Departmental expenses</w:t>
            </w:r>
          </w:p>
        </w:tc>
        <w:tc>
          <w:tcPr>
            <w:tcW w:w="905" w:type="dxa"/>
            <w:tcBorders>
              <w:top w:val="nil"/>
              <w:left w:val="nil"/>
              <w:bottom w:val="nil"/>
              <w:right w:val="nil"/>
            </w:tcBorders>
            <w:shd w:val="clear" w:color="auto" w:fill="auto"/>
            <w:noWrap/>
            <w:tcMar>
              <w:right w:w="57" w:type="dxa"/>
            </w:tcMar>
            <w:vAlign w:val="bottom"/>
            <w:hideMark/>
          </w:tcPr>
          <w:p w14:paraId="4BDA4F84" w14:textId="77777777" w:rsidR="00C56907" w:rsidRPr="00C56907" w:rsidRDefault="00C56907" w:rsidP="00C56907">
            <w:pPr>
              <w:spacing w:before="0" w:after="0"/>
              <w:ind w:firstLineChars="100" w:firstLine="160"/>
              <w:rPr>
                <w:color w:val="auto"/>
                <w:sz w:val="16"/>
                <w:szCs w:val="16"/>
              </w:rPr>
            </w:pPr>
          </w:p>
        </w:tc>
        <w:tc>
          <w:tcPr>
            <w:tcW w:w="905" w:type="dxa"/>
            <w:tcBorders>
              <w:top w:val="nil"/>
              <w:left w:val="nil"/>
              <w:bottom w:val="nil"/>
              <w:right w:val="nil"/>
            </w:tcBorders>
            <w:shd w:val="clear" w:color="000000" w:fill="D9D9D9"/>
            <w:noWrap/>
            <w:tcMar>
              <w:right w:w="57" w:type="dxa"/>
            </w:tcMar>
            <w:vAlign w:val="bottom"/>
            <w:hideMark/>
          </w:tcPr>
          <w:p w14:paraId="112962CF" w14:textId="77777777" w:rsidR="00C56907" w:rsidRPr="00C56907" w:rsidRDefault="00C56907" w:rsidP="00C56907">
            <w:pPr>
              <w:spacing w:before="0" w:after="0"/>
              <w:jc w:val="right"/>
              <w:rPr>
                <w:color w:val="auto"/>
                <w:sz w:val="16"/>
                <w:szCs w:val="16"/>
              </w:rPr>
            </w:pPr>
            <w:r w:rsidRPr="00C56907">
              <w:rPr>
                <w:color w:val="auto"/>
                <w:sz w:val="16"/>
                <w:szCs w:val="16"/>
              </w:rPr>
              <w:t> </w:t>
            </w:r>
          </w:p>
        </w:tc>
        <w:tc>
          <w:tcPr>
            <w:tcW w:w="905" w:type="dxa"/>
            <w:tcBorders>
              <w:top w:val="nil"/>
              <w:left w:val="nil"/>
              <w:bottom w:val="nil"/>
              <w:right w:val="nil"/>
            </w:tcBorders>
            <w:shd w:val="clear" w:color="auto" w:fill="auto"/>
            <w:noWrap/>
            <w:tcMar>
              <w:right w:w="57" w:type="dxa"/>
            </w:tcMar>
            <w:vAlign w:val="bottom"/>
            <w:hideMark/>
          </w:tcPr>
          <w:p w14:paraId="7BC0493B" w14:textId="77777777" w:rsidR="00C56907" w:rsidRPr="00C56907" w:rsidRDefault="00C56907" w:rsidP="00C56907">
            <w:pPr>
              <w:spacing w:before="0" w:after="0"/>
              <w:jc w:val="right"/>
              <w:rPr>
                <w:color w:val="auto"/>
                <w:sz w:val="16"/>
                <w:szCs w:val="16"/>
              </w:rPr>
            </w:pPr>
          </w:p>
        </w:tc>
        <w:tc>
          <w:tcPr>
            <w:tcW w:w="905" w:type="dxa"/>
            <w:tcBorders>
              <w:top w:val="nil"/>
              <w:left w:val="nil"/>
              <w:bottom w:val="nil"/>
              <w:right w:val="nil"/>
            </w:tcBorders>
            <w:shd w:val="clear" w:color="auto" w:fill="auto"/>
            <w:noWrap/>
            <w:tcMar>
              <w:right w:w="57" w:type="dxa"/>
            </w:tcMar>
            <w:vAlign w:val="bottom"/>
            <w:hideMark/>
          </w:tcPr>
          <w:p w14:paraId="1AC658D1"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05" w:type="dxa"/>
            <w:tcBorders>
              <w:top w:val="nil"/>
              <w:left w:val="nil"/>
              <w:bottom w:val="nil"/>
              <w:right w:val="nil"/>
            </w:tcBorders>
            <w:shd w:val="clear" w:color="auto" w:fill="auto"/>
            <w:noWrap/>
            <w:tcMar>
              <w:right w:w="57" w:type="dxa"/>
            </w:tcMar>
            <w:vAlign w:val="bottom"/>
            <w:hideMark/>
          </w:tcPr>
          <w:p w14:paraId="464A117B"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23747BE4" w14:textId="77777777" w:rsidTr="00321D2C">
        <w:trPr>
          <w:trHeight w:val="225"/>
          <w:jc w:val="center"/>
        </w:trPr>
        <w:tc>
          <w:tcPr>
            <w:tcW w:w="2795" w:type="dxa"/>
            <w:tcBorders>
              <w:top w:val="nil"/>
              <w:left w:val="nil"/>
              <w:bottom w:val="nil"/>
              <w:right w:val="nil"/>
            </w:tcBorders>
            <w:shd w:val="clear" w:color="auto" w:fill="auto"/>
            <w:noWrap/>
            <w:vAlign w:val="bottom"/>
            <w:hideMark/>
          </w:tcPr>
          <w:p w14:paraId="2A916872" w14:textId="77777777" w:rsidR="00C56907" w:rsidRPr="00C56907" w:rsidRDefault="00C56907" w:rsidP="00321D2C">
            <w:pPr>
              <w:spacing w:before="0" w:after="0"/>
              <w:ind w:leftChars="150" w:left="270"/>
              <w:rPr>
                <w:color w:val="auto"/>
                <w:sz w:val="16"/>
                <w:szCs w:val="16"/>
              </w:rPr>
            </w:pPr>
            <w:r w:rsidRPr="00C56907">
              <w:rPr>
                <w:color w:val="auto"/>
                <w:sz w:val="16"/>
                <w:szCs w:val="16"/>
              </w:rPr>
              <w:t xml:space="preserve">Departmental appropriation </w:t>
            </w:r>
            <w:r w:rsidRPr="00C56907">
              <w:rPr>
                <w:color w:val="auto"/>
                <w:sz w:val="16"/>
                <w:szCs w:val="16"/>
                <w:vertAlign w:val="superscript"/>
              </w:rPr>
              <w:t>(c)</w:t>
            </w:r>
          </w:p>
        </w:tc>
        <w:tc>
          <w:tcPr>
            <w:tcW w:w="905" w:type="dxa"/>
            <w:tcBorders>
              <w:top w:val="nil"/>
              <w:left w:val="nil"/>
              <w:bottom w:val="nil"/>
              <w:right w:val="nil"/>
            </w:tcBorders>
            <w:shd w:val="clear" w:color="auto" w:fill="auto"/>
            <w:noWrap/>
            <w:tcMar>
              <w:right w:w="57" w:type="dxa"/>
            </w:tcMar>
            <w:vAlign w:val="bottom"/>
            <w:hideMark/>
          </w:tcPr>
          <w:p w14:paraId="27609CF5" w14:textId="77777777" w:rsidR="00C56907" w:rsidRPr="00C56907" w:rsidRDefault="00C56907" w:rsidP="00C56907">
            <w:pPr>
              <w:spacing w:before="0" w:after="0"/>
              <w:jc w:val="right"/>
              <w:rPr>
                <w:color w:val="auto"/>
                <w:sz w:val="16"/>
                <w:szCs w:val="16"/>
              </w:rPr>
            </w:pPr>
            <w:r w:rsidRPr="00C56907">
              <w:rPr>
                <w:color w:val="auto"/>
                <w:sz w:val="16"/>
                <w:szCs w:val="16"/>
              </w:rPr>
              <w:t>215,280</w:t>
            </w:r>
          </w:p>
        </w:tc>
        <w:tc>
          <w:tcPr>
            <w:tcW w:w="905" w:type="dxa"/>
            <w:tcBorders>
              <w:top w:val="nil"/>
              <w:left w:val="nil"/>
              <w:bottom w:val="nil"/>
              <w:right w:val="nil"/>
            </w:tcBorders>
            <w:shd w:val="clear" w:color="000000" w:fill="D9D9D9"/>
            <w:noWrap/>
            <w:tcMar>
              <w:right w:w="57" w:type="dxa"/>
            </w:tcMar>
            <w:vAlign w:val="bottom"/>
            <w:hideMark/>
          </w:tcPr>
          <w:p w14:paraId="407217AE" w14:textId="77777777" w:rsidR="00C56907" w:rsidRPr="00C56907" w:rsidRDefault="00C56907" w:rsidP="00C56907">
            <w:pPr>
              <w:spacing w:before="0" w:after="0"/>
              <w:jc w:val="right"/>
              <w:rPr>
                <w:color w:val="auto"/>
                <w:sz w:val="16"/>
                <w:szCs w:val="16"/>
              </w:rPr>
            </w:pPr>
            <w:r w:rsidRPr="00C56907">
              <w:rPr>
                <w:color w:val="auto"/>
                <w:sz w:val="16"/>
                <w:szCs w:val="16"/>
              </w:rPr>
              <w:t>234,393</w:t>
            </w:r>
          </w:p>
        </w:tc>
        <w:tc>
          <w:tcPr>
            <w:tcW w:w="905" w:type="dxa"/>
            <w:tcBorders>
              <w:top w:val="nil"/>
              <w:left w:val="nil"/>
              <w:bottom w:val="nil"/>
              <w:right w:val="nil"/>
            </w:tcBorders>
            <w:shd w:val="clear" w:color="auto" w:fill="auto"/>
            <w:noWrap/>
            <w:tcMar>
              <w:right w:w="57" w:type="dxa"/>
            </w:tcMar>
            <w:vAlign w:val="bottom"/>
            <w:hideMark/>
          </w:tcPr>
          <w:p w14:paraId="74033C49" w14:textId="77777777" w:rsidR="00C56907" w:rsidRPr="00C56907" w:rsidRDefault="00C56907" w:rsidP="00C56907">
            <w:pPr>
              <w:spacing w:before="0" w:after="0"/>
              <w:jc w:val="right"/>
              <w:rPr>
                <w:color w:val="auto"/>
                <w:sz w:val="16"/>
                <w:szCs w:val="16"/>
              </w:rPr>
            </w:pPr>
            <w:r w:rsidRPr="00C56907">
              <w:rPr>
                <w:color w:val="auto"/>
                <w:sz w:val="16"/>
                <w:szCs w:val="16"/>
              </w:rPr>
              <w:t>214,349</w:t>
            </w:r>
          </w:p>
        </w:tc>
        <w:tc>
          <w:tcPr>
            <w:tcW w:w="905" w:type="dxa"/>
            <w:tcBorders>
              <w:top w:val="nil"/>
              <w:left w:val="nil"/>
              <w:bottom w:val="nil"/>
              <w:right w:val="nil"/>
            </w:tcBorders>
            <w:shd w:val="clear" w:color="auto" w:fill="auto"/>
            <w:noWrap/>
            <w:tcMar>
              <w:right w:w="57" w:type="dxa"/>
            </w:tcMar>
            <w:vAlign w:val="bottom"/>
            <w:hideMark/>
          </w:tcPr>
          <w:p w14:paraId="3B2CA0B3" w14:textId="77777777" w:rsidR="00C56907" w:rsidRPr="00C56907" w:rsidRDefault="00C56907" w:rsidP="00C56907">
            <w:pPr>
              <w:spacing w:before="0" w:after="0"/>
              <w:jc w:val="right"/>
              <w:rPr>
                <w:color w:val="auto"/>
                <w:sz w:val="16"/>
                <w:szCs w:val="16"/>
              </w:rPr>
            </w:pPr>
            <w:r w:rsidRPr="00C56907">
              <w:rPr>
                <w:color w:val="auto"/>
                <w:sz w:val="16"/>
                <w:szCs w:val="16"/>
              </w:rPr>
              <w:t>211,128</w:t>
            </w:r>
          </w:p>
        </w:tc>
        <w:tc>
          <w:tcPr>
            <w:tcW w:w="905" w:type="dxa"/>
            <w:tcBorders>
              <w:top w:val="nil"/>
              <w:left w:val="nil"/>
              <w:bottom w:val="nil"/>
              <w:right w:val="nil"/>
            </w:tcBorders>
            <w:shd w:val="clear" w:color="auto" w:fill="auto"/>
            <w:noWrap/>
            <w:tcMar>
              <w:right w:w="57" w:type="dxa"/>
            </w:tcMar>
            <w:vAlign w:val="bottom"/>
            <w:hideMark/>
          </w:tcPr>
          <w:p w14:paraId="3A1DC753" w14:textId="77777777" w:rsidR="00C56907" w:rsidRPr="00C56907" w:rsidRDefault="00C56907" w:rsidP="00C56907">
            <w:pPr>
              <w:spacing w:before="0" w:after="0"/>
              <w:jc w:val="right"/>
              <w:rPr>
                <w:color w:val="auto"/>
                <w:sz w:val="16"/>
                <w:szCs w:val="16"/>
              </w:rPr>
            </w:pPr>
            <w:r w:rsidRPr="00C56907">
              <w:rPr>
                <w:color w:val="auto"/>
                <w:sz w:val="16"/>
                <w:szCs w:val="16"/>
              </w:rPr>
              <w:t>209,259</w:t>
            </w:r>
          </w:p>
        </w:tc>
      </w:tr>
      <w:tr w:rsidR="00C56907" w:rsidRPr="00C56907" w14:paraId="321F662C" w14:textId="77777777" w:rsidTr="00321D2C">
        <w:trPr>
          <w:trHeight w:val="675"/>
          <w:jc w:val="center"/>
        </w:trPr>
        <w:tc>
          <w:tcPr>
            <w:tcW w:w="2795" w:type="dxa"/>
            <w:tcBorders>
              <w:top w:val="nil"/>
              <w:left w:val="nil"/>
              <w:bottom w:val="nil"/>
              <w:right w:val="nil"/>
            </w:tcBorders>
            <w:shd w:val="clear" w:color="auto" w:fill="auto"/>
            <w:tcMar>
              <w:right w:w="57" w:type="dxa"/>
            </w:tcMar>
            <w:vAlign w:val="bottom"/>
            <w:hideMark/>
          </w:tcPr>
          <w:p w14:paraId="1A4BEA35" w14:textId="77777777" w:rsidR="00321D2C" w:rsidRDefault="00C56907" w:rsidP="00321D2C">
            <w:pPr>
              <w:spacing w:before="0" w:after="0"/>
              <w:ind w:leftChars="150" w:left="270"/>
              <w:rPr>
                <w:color w:val="auto"/>
                <w:sz w:val="16"/>
                <w:szCs w:val="16"/>
              </w:rPr>
            </w:pPr>
            <w:r w:rsidRPr="00C56907">
              <w:rPr>
                <w:color w:val="auto"/>
                <w:sz w:val="16"/>
                <w:szCs w:val="16"/>
              </w:rPr>
              <w:t xml:space="preserve">Expenses not requiring appropriation in the Budget </w:t>
            </w:r>
          </w:p>
          <w:p w14:paraId="46C1B145" w14:textId="5E811D3F" w:rsidR="00C56907" w:rsidRPr="00C56907" w:rsidRDefault="00C56907" w:rsidP="00321D2C">
            <w:pPr>
              <w:spacing w:before="0" w:after="0"/>
              <w:ind w:leftChars="150" w:left="270"/>
              <w:rPr>
                <w:color w:val="auto"/>
                <w:sz w:val="16"/>
                <w:szCs w:val="16"/>
              </w:rPr>
            </w:pPr>
            <w:r w:rsidRPr="00C56907">
              <w:rPr>
                <w:color w:val="auto"/>
                <w:sz w:val="16"/>
                <w:szCs w:val="16"/>
              </w:rPr>
              <w:t xml:space="preserve">year </w:t>
            </w:r>
            <w:r w:rsidRPr="00C56907">
              <w:rPr>
                <w:color w:val="auto"/>
                <w:sz w:val="16"/>
                <w:szCs w:val="16"/>
                <w:vertAlign w:val="superscript"/>
              </w:rPr>
              <w:t>(d)</w:t>
            </w:r>
          </w:p>
        </w:tc>
        <w:tc>
          <w:tcPr>
            <w:tcW w:w="905" w:type="dxa"/>
            <w:tcBorders>
              <w:top w:val="nil"/>
              <w:left w:val="nil"/>
              <w:bottom w:val="nil"/>
              <w:right w:val="nil"/>
            </w:tcBorders>
            <w:shd w:val="clear" w:color="auto" w:fill="auto"/>
            <w:noWrap/>
            <w:tcMar>
              <w:right w:w="57" w:type="dxa"/>
            </w:tcMar>
            <w:vAlign w:val="bottom"/>
            <w:hideMark/>
          </w:tcPr>
          <w:p w14:paraId="0FBA7CEF" w14:textId="77777777" w:rsidR="00C56907" w:rsidRPr="00C56907" w:rsidRDefault="00C56907" w:rsidP="00C56907">
            <w:pPr>
              <w:spacing w:before="0" w:after="0"/>
              <w:jc w:val="right"/>
              <w:rPr>
                <w:color w:val="auto"/>
                <w:sz w:val="16"/>
                <w:szCs w:val="16"/>
              </w:rPr>
            </w:pPr>
            <w:r w:rsidRPr="00C56907">
              <w:rPr>
                <w:color w:val="auto"/>
                <w:sz w:val="16"/>
                <w:szCs w:val="16"/>
              </w:rPr>
              <w:t>12,504</w:t>
            </w:r>
          </w:p>
        </w:tc>
        <w:tc>
          <w:tcPr>
            <w:tcW w:w="905" w:type="dxa"/>
            <w:tcBorders>
              <w:top w:val="nil"/>
              <w:left w:val="nil"/>
              <w:bottom w:val="nil"/>
              <w:right w:val="nil"/>
            </w:tcBorders>
            <w:shd w:val="clear" w:color="000000" w:fill="D9D9D9"/>
            <w:noWrap/>
            <w:tcMar>
              <w:right w:w="57" w:type="dxa"/>
            </w:tcMar>
            <w:vAlign w:val="bottom"/>
            <w:hideMark/>
          </w:tcPr>
          <w:p w14:paraId="0057A0A3" w14:textId="77777777" w:rsidR="00C56907" w:rsidRPr="00C56907" w:rsidRDefault="00C56907" w:rsidP="00C56907">
            <w:pPr>
              <w:spacing w:before="0" w:after="0"/>
              <w:jc w:val="right"/>
              <w:rPr>
                <w:color w:val="auto"/>
                <w:sz w:val="16"/>
                <w:szCs w:val="16"/>
              </w:rPr>
            </w:pPr>
            <w:r w:rsidRPr="00C56907">
              <w:rPr>
                <w:color w:val="auto"/>
                <w:sz w:val="16"/>
                <w:szCs w:val="16"/>
              </w:rPr>
              <w:t>8,286</w:t>
            </w:r>
          </w:p>
        </w:tc>
        <w:tc>
          <w:tcPr>
            <w:tcW w:w="905" w:type="dxa"/>
            <w:tcBorders>
              <w:top w:val="nil"/>
              <w:left w:val="nil"/>
              <w:bottom w:val="nil"/>
              <w:right w:val="nil"/>
            </w:tcBorders>
            <w:shd w:val="clear" w:color="auto" w:fill="auto"/>
            <w:noWrap/>
            <w:tcMar>
              <w:right w:w="57" w:type="dxa"/>
            </w:tcMar>
            <w:vAlign w:val="bottom"/>
            <w:hideMark/>
          </w:tcPr>
          <w:p w14:paraId="3CBA4F74" w14:textId="77777777" w:rsidR="00C56907" w:rsidRPr="00C56907" w:rsidRDefault="00C56907" w:rsidP="00C56907">
            <w:pPr>
              <w:spacing w:before="0" w:after="0"/>
              <w:jc w:val="right"/>
              <w:rPr>
                <w:color w:val="auto"/>
                <w:sz w:val="16"/>
                <w:szCs w:val="16"/>
              </w:rPr>
            </w:pPr>
            <w:r w:rsidRPr="00C56907">
              <w:rPr>
                <w:color w:val="auto"/>
                <w:sz w:val="16"/>
                <w:szCs w:val="16"/>
              </w:rPr>
              <w:t>6,759</w:t>
            </w:r>
          </w:p>
        </w:tc>
        <w:tc>
          <w:tcPr>
            <w:tcW w:w="905" w:type="dxa"/>
            <w:tcBorders>
              <w:top w:val="nil"/>
              <w:left w:val="nil"/>
              <w:bottom w:val="nil"/>
              <w:right w:val="nil"/>
            </w:tcBorders>
            <w:shd w:val="clear" w:color="auto" w:fill="auto"/>
            <w:noWrap/>
            <w:tcMar>
              <w:right w:w="57" w:type="dxa"/>
            </w:tcMar>
            <w:vAlign w:val="bottom"/>
            <w:hideMark/>
          </w:tcPr>
          <w:p w14:paraId="5286DE7F" w14:textId="77777777" w:rsidR="00C56907" w:rsidRPr="00C56907" w:rsidRDefault="00C56907" w:rsidP="00C56907">
            <w:pPr>
              <w:spacing w:before="0" w:after="0"/>
              <w:jc w:val="right"/>
              <w:rPr>
                <w:color w:val="auto"/>
                <w:sz w:val="16"/>
                <w:szCs w:val="16"/>
              </w:rPr>
            </w:pPr>
            <w:r w:rsidRPr="00C56907">
              <w:rPr>
                <w:color w:val="auto"/>
                <w:sz w:val="16"/>
                <w:szCs w:val="16"/>
              </w:rPr>
              <w:t>6,759</w:t>
            </w:r>
          </w:p>
        </w:tc>
        <w:tc>
          <w:tcPr>
            <w:tcW w:w="905" w:type="dxa"/>
            <w:tcBorders>
              <w:top w:val="nil"/>
              <w:left w:val="nil"/>
              <w:bottom w:val="nil"/>
              <w:right w:val="nil"/>
            </w:tcBorders>
            <w:shd w:val="clear" w:color="auto" w:fill="auto"/>
            <w:noWrap/>
            <w:tcMar>
              <w:right w:w="57" w:type="dxa"/>
            </w:tcMar>
            <w:vAlign w:val="bottom"/>
            <w:hideMark/>
          </w:tcPr>
          <w:p w14:paraId="1B128FB2" w14:textId="77777777" w:rsidR="00C56907" w:rsidRPr="00C56907" w:rsidRDefault="00C56907" w:rsidP="00C56907">
            <w:pPr>
              <w:spacing w:before="0" w:after="0"/>
              <w:jc w:val="right"/>
              <w:rPr>
                <w:color w:val="auto"/>
                <w:sz w:val="16"/>
                <w:szCs w:val="16"/>
              </w:rPr>
            </w:pPr>
            <w:r w:rsidRPr="00C56907">
              <w:rPr>
                <w:color w:val="auto"/>
                <w:sz w:val="16"/>
                <w:szCs w:val="16"/>
              </w:rPr>
              <w:t>6,759</w:t>
            </w:r>
          </w:p>
        </w:tc>
      </w:tr>
      <w:tr w:rsidR="00C56907" w:rsidRPr="00C56907" w14:paraId="7AA4D565" w14:textId="77777777" w:rsidTr="00321D2C">
        <w:trPr>
          <w:trHeight w:val="300"/>
          <w:jc w:val="center"/>
        </w:trPr>
        <w:tc>
          <w:tcPr>
            <w:tcW w:w="2795" w:type="dxa"/>
            <w:tcBorders>
              <w:top w:val="nil"/>
              <w:left w:val="nil"/>
              <w:bottom w:val="single" w:sz="4" w:space="0" w:color="auto"/>
              <w:right w:val="nil"/>
            </w:tcBorders>
            <w:shd w:val="clear" w:color="auto" w:fill="auto"/>
            <w:noWrap/>
            <w:vAlign w:val="bottom"/>
            <w:hideMark/>
          </w:tcPr>
          <w:p w14:paraId="799F7CE6" w14:textId="77777777" w:rsidR="00C56907" w:rsidRPr="00C56907" w:rsidRDefault="00C56907" w:rsidP="00C56907">
            <w:pPr>
              <w:spacing w:before="0" w:after="0"/>
              <w:rPr>
                <w:b/>
                <w:bCs/>
                <w:color w:val="auto"/>
                <w:sz w:val="16"/>
                <w:szCs w:val="16"/>
              </w:rPr>
            </w:pPr>
            <w:r w:rsidRPr="00C56907">
              <w:rPr>
                <w:b/>
                <w:bCs/>
                <w:color w:val="auto"/>
                <w:sz w:val="16"/>
                <w:szCs w:val="16"/>
              </w:rPr>
              <w:t>Total expenses for Outcome 2</w:t>
            </w:r>
          </w:p>
        </w:tc>
        <w:tc>
          <w:tcPr>
            <w:tcW w:w="905"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7687785D" w14:textId="77777777" w:rsidR="00C56907" w:rsidRPr="00C56907" w:rsidRDefault="00C56907" w:rsidP="00C56907">
            <w:pPr>
              <w:spacing w:before="0" w:after="0"/>
              <w:jc w:val="right"/>
              <w:rPr>
                <w:b/>
                <w:bCs/>
                <w:color w:val="auto"/>
                <w:sz w:val="16"/>
                <w:szCs w:val="16"/>
              </w:rPr>
            </w:pPr>
            <w:r w:rsidRPr="00C56907">
              <w:rPr>
                <w:b/>
                <w:bCs/>
                <w:color w:val="auto"/>
                <w:sz w:val="16"/>
                <w:szCs w:val="16"/>
              </w:rPr>
              <w:t>55,411,482</w:t>
            </w:r>
          </w:p>
        </w:tc>
        <w:tc>
          <w:tcPr>
            <w:tcW w:w="905"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46218EE1" w14:textId="77777777" w:rsidR="00C56907" w:rsidRPr="00C56907" w:rsidRDefault="00C56907" w:rsidP="00C56907">
            <w:pPr>
              <w:spacing w:before="0" w:after="0"/>
              <w:jc w:val="right"/>
              <w:rPr>
                <w:b/>
                <w:bCs/>
                <w:color w:val="auto"/>
                <w:sz w:val="16"/>
                <w:szCs w:val="16"/>
              </w:rPr>
            </w:pPr>
            <w:r w:rsidRPr="00C56907">
              <w:rPr>
                <w:b/>
                <w:bCs/>
                <w:color w:val="auto"/>
                <w:sz w:val="16"/>
                <w:szCs w:val="16"/>
              </w:rPr>
              <w:t>57,249,672</w:t>
            </w:r>
          </w:p>
        </w:tc>
        <w:tc>
          <w:tcPr>
            <w:tcW w:w="905"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10733AC3" w14:textId="77777777" w:rsidR="00C56907" w:rsidRPr="00C56907" w:rsidRDefault="00C56907" w:rsidP="00C56907">
            <w:pPr>
              <w:spacing w:before="0" w:after="0"/>
              <w:jc w:val="right"/>
              <w:rPr>
                <w:b/>
                <w:bCs/>
                <w:color w:val="auto"/>
                <w:sz w:val="16"/>
                <w:szCs w:val="16"/>
              </w:rPr>
            </w:pPr>
            <w:r w:rsidRPr="00C56907">
              <w:rPr>
                <w:b/>
                <w:bCs/>
                <w:color w:val="auto"/>
                <w:sz w:val="16"/>
                <w:szCs w:val="16"/>
              </w:rPr>
              <w:t>59,206,795</w:t>
            </w:r>
          </w:p>
        </w:tc>
        <w:tc>
          <w:tcPr>
            <w:tcW w:w="905"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2FA20955" w14:textId="77777777" w:rsidR="00C56907" w:rsidRPr="00C56907" w:rsidRDefault="00C56907" w:rsidP="00C56907">
            <w:pPr>
              <w:spacing w:before="0" w:after="0"/>
              <w:jc w:val="right"/>
              <w:rPr>
                <w:b/>
                <w:bCs/>
                <w:color w:val="auto"/>
                <w:sz w:val="16"/>
                <w:szCs w:val="16"/>
              </w:rPr>
            </w:pPr>
            <w:r w:rsidRPr="00C56907">
              <w:rPr>
                <w:b/>
                <w:bCs/>
                <w:color w:val="auto"/>
                <w:sz w:val="16"/>
                <w:szCs w:val="16"/>
              </w:rPr>
              <w:t>61,465,173</w:t>
            </w:r>
          </w:p>
        </w:tc>
        <w:tc>
          <w:tcPr>
            <w:tcW w:w="905"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764CC815" w14:textId="77777777" w:rsidR="00C56907" w:rsidRPr="00C56907" w:rsidRDefault="00C56907" w:rsidP="00C56907">
            <w:pPr>
              <w:spacing w:before="0" w:after="0"/>
              <w:jc w:val="right"/>
              <w:rPr>
                <w:b/>
                <w:bCs/>
                <w:color w:val="auto"/>
                <w:sz w:val="16"/>
                <w:szCs w:val="16"/>
              </w:rPr>
            </w:pPr>
            <w:r w:rsidRPr="00C56907">
              <w:rPr>
                <w:b/>
                <w:bCs/>
                <w:color w:val="auto"/>
                <w:sz w:val="16"/>
                <w:szCs w:val="16"/>
              </w:rPr>
              <w:t>63,502,815</w:t>
            </w:r>
          </w:p>
        </w:tc>
      </w:tr>
      <w:tr w:rsidR="00C56907" w:rsidRPr="00C56907" w14:paraId="2055B0E9" w14:textId="77777777" w:rsidTr="00C56907">
        <w:trPr>
          <w:trHeight w:val="225"/>
          <w:jc w:val="center"/>
        </w:trPr>
        <w:tc>
          <w:tcPr>
            <w:tcW w:w="2795" w:type="dxa"/>
            <w:tcBorders>
              <w:top w:val="nil"/>
              <w:left w:val="nil"/>
              <w:bottom w:val="nil"/>
              <w:right w:val="nil"/>
            </w:tcBorders>
            <w:shd w:val="clear" w:color="auto" w:fill="auto"/>
            <w:noWrap/>
            <w:vAlign w:val="bottom"/>
            <w:hideMark/>
          </w:tcPr>
          <w:p w14:paraId="209B88FE" w14:textId="77777777" w:rsidR="00C56907" w:rsidRPr="00C56907" w:rsidRDefault="00C56907" w:rsidP="00C56907">
            <w:pPr>
              <w:spacing w:before="0" w:after="0"/>
              <w:jc w:val="right"/>
              <w:rPr>
                <w:b/>
                <w:bCs/>
                <w:color w:val="auto"/>
                <w:sz w:val="16"/>
                <w:szCs w:val="16"/>
              </w:rPr>
            </w:pPr>
          </w:p>
        </w:tc>
        <w:tc>
          <w:tcPr>
            <w:tcW w:w="905" w:type="dxa"/>
            <w:tcBorders>
              <w:top w:val="nil"/>
              <w:left w:val="nil"/>
              <w:bottom w:val="single" w:sz="4" w:space="0" w:color="auto"/>
              <w:right w:val="nil"/>
            </w:tcBorders>
            <w:shd w:val="clear" w:color="auto" w:fill="auto"/>
            <w:noWrap/>
            <w:vAlign w:val="bottom"/>
            <w:hideMark/>
          </w:tcPr>
          <w:p w14:paraId="09E33126" w14:textId="77777777" w:rsidR="00C56907" w:rsidRPr="00C56907" w:rsidRDefault="00C56907" w:rsidP="00C56907">
            <w:pPr>
              <w:spacing w:before="0" w:after="0"/>
              <w:jc w:val="right"/>
              <w:rPr>
                <w:b/>
                <w:bCs/>
                <w:color w:val="auto"/>
                <w:sz w:val="16"/>
                <w:szCs w:val="16"/>
              </w:rPr>
            </w:pPr>
            <w:r w:rsidRPr="00C56907">
              <w:rPr>
                <w:b/>
                <w:bCs/>
                <w:color w:val="auto"/>
                <w:sz w:val="16"/>
                <w:szCs w:val="16"/>
              </w:rPr>
              <w:t> </w:t>
            </w:r>
          </w:p>
        </w:tc>
        <w:tc>
          <w:tcPr>
            <w:tcW w:w="905" w:type="dxa"/>
            <w:tcBorders>
              <w:top w:val="nil"/>
              <w:left w:val="nil"/>
              <w:bottom w:val="single" w:sz="4" w:space="0" w:color="auto"/>
              <w:right w:val="nil"/>
            </w:tcBorders>
            <w:shd w:val="clear" w:color="auto" w:fill="auto"/>
            <w:noWrap/>
            <w:vAlign w:val="bottom"/>
            <w:hideMark/>
          </w:tcPr>
          <w:p w14:paraId="6BE12D1C" w14:textId="77777777" w:rsidR="00C56907" w:rsidRPr="00C56907" w:rsidRDefault="00C56907" w:rsidP="00C56907">
            <w:pPr>
              <w:spacing w:before="0" w:after="0"/>
              <w:jc w:val="right"/>
              <w:rPr>
                <w:b/>
                <w:bCs/>
                <w:color w:val="auto"/>
                <w:sz w:val="16"/>
                <w:szCs w:val="16"/>
              </w:rPr>
            </w:pPr>
            <w:r w:rsidRPr="00C56907">
              <w:rPr>
                <w:b/>
                <w:bCs/>
                <w:color w:val="auto"/>
                <w:sz w:val="16"/>
                <w:szCs w:val="16"/>
              </w:rPr>
              <w:t> </w:t>
            </w:r>
          </w:p>
        </w:tc>
        <w:tc>
          <w:tcPr>
            <w:tcW w:w="905" w:type="dxa"/>
            <w:tcBorders>
              <w:top w:val="nil"/>
              <w:left w:val="nil"/>
              <w:bottom w:val="nil"/>
              <w:right w:val="nil"/>
            </w:tcBorders>
            <w:shd w:val="clear" w:color="auto" w:fill="auto"/>
            <w:noWrap/>
            <w:vAlign w:val="bottom"/>
            <w:hideMark/>
          </w:tcPr>
          <w:p w14:paraId="388C6EC1" w14:textId="77777777" w:rsidR="00C56907" w:rsidRPr="00C56907" w:rsidRDefault="00C56907" w:rsidP="00C56907">
            <w:pPr>
              <w:spacing w:before="0" w:after="0"/>
              <w:jc w:val="right"/>
              <w:rPr>
                <w:b/>
                <w:bCs/>
                <w:color w:val="auto"/>
                <w:sz w:val="16"/>
                <w:szCs w:val="16"/>
              </w:rPr>
            </w:pPr>
          </w:p>
        </w:tc>
        <w:tc>
          <w:tcPr>
            <w:tcW w:w="905" w:type="dxa"/>
            <w:tcBorders>
              <w:top w:val="nil"/>
              <w:left w:val="nil"/>
              <w:bottom w:val="nil"/>
              <w:right w:val="nil"/>
            </w:tcBorders>
            <w:shd w:val="clear" w:color="auto" w:fill="auto"/>
            <w:noWrap/>
            <w:vAlign w:val="bottom"/>
            <w:hideMark/>
          </w:tcPr>
          <w:p w14:paraId="7E81A505"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05" w:type="dxa"/>
            <w:tcBorders>
              <w:top w:val="nil"/>
              <w:left w:val="nil"/>
              <w:bottom w:val="nil"/>
              <w:right w:val="nil"/>
            </w:tcBorders>
            <w:shd w:val="clear" w:color="auto" w:fill="auto"/>
            <w:noWrap/>
            <w:vAlign w:val="bottom"/>
            <w:hideMark/>
          </w:tcPr>
          <w:p w14:paraId="4EA4B8E3"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6B17FB3B" w14:textId="77777777" w:rsidTr="00C56907">
        <w:trPr>
          <w:trHeight w:val="225"/>
          <w:jc w:val="center"/>
        </w:trPr>
        <w:tc>
          <w:tcPr>
            <w:tcW w:w="2795" w:type="dxa"/>
            <w:tcBorders>
              <w:top w:val="single" w:sz="4" w:space="0" w:color="auto"/>
              <w:left w:val="nil"/>
              <w:bottom w:val="nil"/>
              <w:right w:val="nil"/>
            </w:tcBorders>
            <w:shd w:val="clear" w:color="auto" w:fill="auto"/>
            <w:noWrap/>
            <w:vAlign w:val="center"/>
            <w:hideMark/>
          </w:tcPr>
          <w:p w14:paraId="1270A953" w14:textId="77777777" w:rsidR="00C56907" w:rsidRPr="00C56907" w:rsidRDefault="00C56907" w:rsidP="00C56907">
            <w:pPr>
              <w:spacing w:before="0" w:after="0"/>
              <w:ind w:firstLineChars="100" w:firstLine="160"/>
              <w:rPr>
                <w:color w:val="auto"/>
                <w:sz w:val="16"/>
                <w:szCs w:val="16"/>
              </w:rPr>
            </w:pPr>
            <w:r w:rsidRPr="00C56907">
              <w:rPr>
                <w:color w:val="auto"/>
                <w:sz w:val="16"/>
                <w:szCs w:val="16"/>
              </w:rPr>
              <w:t> </w:t>
            </w:r>
          </w:p>
        </w:tc>
        <w:tc>
          <w:tcPr>
            <w:tcW w:w="905" w:type="dxa"/>
            <w:tcBorders>
              <w:top w:val="nil"/>
              <w:left w:val="nil"/>
              <w:bottom w:val="single" w:sz="4" w:space="0" w:color="auto"/>
              <w:right w:val="nil"/>
            </w:tcBorders>
            <w:shd w:val="clear" w:color="auto" w:fill="auto"/>
            <w:noWrap/>
            <w:vAlign w:val="bottom"/>
            <w:hideMark/>
          </w:tcPr>
          <w:p w14:paraId="071C7DFE" w14:textId="77777777" w:rsidR="00C56907" w:rsidRPr="00C56907" w:rsidRDefault="00C56907" w:rsidP="00C56907">
            <w:pPr>
              <w:spacing w:before="0" w:after="0"/>
              <w:jc w:val="right"/>
              <w:rPr>
                <w:b/>
                <w:bCs/>
                <w:color w:val="auto"/>
                <w:sz w:val="16"/>
                <w:szCs w:val="16"/>
              </w:rPr>
            </w:pPr>
            <w:r w:rsidRPr="00C56907">
              <w:rPr>
                <w:b/>
                <w:bCs/>
                <w:color w:val="auto"/>
                <w:sz w:val="16"/>
                <w:szCs w:val="16"/>
              </w:rPr>
              <w:t>2022–23</w:t>
            </w:r>
          </w:p>
        </w:tc>
        <w:tc>
          <w:tcPr>
            <w:tcW w:w="905" w:type="dxa"/>
            <w:tcBorders>
              <w:top w:val="nil"/>
              <w:left w:val="nil"/>
              <w:bottom w:val="single" w:sz="4" w:space="0" w:color="auto"/>
              <w:right w:val="nil"/>
            </w:tcBorders>
            <w:shd w:val="clear" w:color="000000" w:fill="D9D9D9"/>
            <w:noWrap/>
            <w:vAlign w:val="bottom"/>
            <w:hideMark/>
          </w:tcPr>
          <w:p w14:paraId="6B1A2C86" w14:textId="77777777" w:rsidR="00C56907" w:rsidRPr="00C56907" w:rsidRDefault="00C56907" w:rsidP="00C56907">
            <w:pPr>
              <w:spacing w:before="0" w:after="0"/>
              <w:jc w:val="right"/>
              <w:rPr>
                <w:b/>
                <w:bCs/>
                <w:color w:val="auto"/>
                <w:sz w:val="16"/>
                <w:szCs w:val="16"/>
              </w:rPr>
            </w:pPr>
            <w:r w:rsidRPr="00C56907">
              <w:rPr>
                <w:b/>
                <w:bCs/>
                <w:color w:val="auto"/>
                <w:sz w:val="16"/>
                <w:szCs w:val="16"/>
              </w:rPr>
              <w:t>2023–24</w:t>
            </w:r>
          </w:p>
        </w:tc>
        <w:tc>
          <w:tcPr>
            <w:tcW w:w="905" w:type="dxa"/>
            <w:tcBorders>
              <w:top w:val="nil"/>
              <w:left w:val="nil"/>
              <w:bottom w:val="nil"/>
              <w:right w:val="nil"/>
            </w:tcBorders>
            <w:shd w:val="clear" w:color="auto" w:fill="auto"/>
            <w:vAlign w:val="bottom"/>
            <w:hideMark/>
          </w:tcPr>
          <w:p w14:paraId="662AF3CF" w14:textId="77777777" w:rsidR="00C56907" w:rsidRPr="00C56907" w:rsidRDefault="00C56907" w:rsidP="00C56907">
            <w:pPr>
              <w:spacing w:before="0" w:after="0"/>
              <w:jc w:val="right"/>
              <w:rPr>
                <w:b/>
                <w:bCs/>
                <w:color w:val="auto"/>
                <w:sz w:val="16"/>
                <w:szCs w:val="16"/>
              </w:rPr>
            </w:pPr>
          </w:p>
        </w:tc>
        <w:tc>
          <w:tcPr>
            <w:tcW w:w="905" w:type="dxa"/>
            <w:tcBorders>
              <w:top w:val="nil"/>
              <w:left w:val="nil"/>
              <w:bottom w:val="nil"/>
              <w:right w:val="nil"/>
            </w:tcBorders>
            <w:shd w:val="clear" w:color="auto" w:fill="auto"/>
            <w:vAlign w:val="bottom"/>
            <w:hideMark/>
          </w:tcPr>
          <w:p w14:paraId="18D83208" w14:textId="77777777" w:rsidR="00C56907" w:rsidRPr="00C56907" w:rsidRDefault="00C56907" w:rsidP="00C56907">
            <w:pPr>
              <w:spacing w:before="0" w:after="0"/>
              <w:jc w:val="right"/>
              <w:rPr>
                <w:rFonts w:ascii="Times New Roman" w:hAnsi="Times New Roman" w:cs="Times New Roman"/>
                <w:color w:val="auto"/>
                <w:sz w:val="20"/>
                <w:szCs w:val="20"/>
              </w:rPr>
            </w:pPr>
          </w:p>
        </w:tc>
        <w:tc>
          <w:tcPr>
            <w:tcW w:w="905" w:type="dxa"/>
            <w:tcBorders>
              <w:top w:val="nil"/>
              <w:left w:val="nil"/>
              <w:bottom w:val="nil"/>
              <w:right w:val="nil"/>
            </w:tcBorders>
            <w:shd w:val="clear" w:color="auto" w:fill="auto"/>
            <w:vAlign w:val="bottom"/>
            <w:hideMark/>
          </w:tcPr>
          <w:p w14:paraId="39040A9D" w14:textId="77777777" w:rsidR="00C56907" w:rsidRPr="00C56907" w:rsidRDefault="00C56907" w:rsidP="00C56907">
            <w:pPr>
              <w:spacing w:before="0" w:after="0"/>
              <w:jc w:val="right"/>
              <w:rPr>
                <w:rFonts w:ascii="Times New Roman" w:hAnsi="Times New Roman" w:cs="Times New Roman"/>
                <w:color w:val="auto"/>
                <w:sz w:val="20"/>
                <w:szCs w:val="20"/>
              </w:rPr>
            </w:pPr>
          </w:p>
        </w:tc>
      </w:tr>
      <w:tr w:rsidR="00C56907" w:rsidRPr="00C56907" w14:paraId="738CA39F" w14:textId="77777777" w:rsidTr="00C56907">
        <w:trPr>
          <w:trHeight w:val="225"/>
          <w:jc w:val="center"/>
        </w:trPr>
        <w:tc>
          <w:tcPr>
            <w:tcW w:w="2795" w:type="dxa"/>
            <w:tcBorders>
              <w:top w:val="nil"/>
              <w:left w:val="nil"/>
              <w:bottom w:val="single" w:sz="4" w:space="0" w:color="auto"/>
              <w:right w:val="nil"/>
            </w:tcBorders>
            <w:shd w:val="clear" w:color="auto" w:fill="auto"/>
            <w:noWrap/>
            <w:vAlign w:val="bottom"/>
            <w:hideMark/>
          </w:tcPr>
          <w:p w14:paraId="120DEA3E" w14:textId="77777777" w:rsidR="00C56907" w:rsidRPr="00C56907" w:rsidRDefault="00C56907" w:rsidP="00C56907">
            <w:pPr>
              <w:spacing w:before="0" w:after="0"/>
              <w:rPr>
                <w:b/>
                <w:bCs/>
                <w:sz w:val="16"/>
                <w:szCs w:val="16"/>
              </w:rPr>
            </w:pPr>
            <w:r w:rsidRPr="00C56907">
              <w:rPr>
                <w:b/>
                <w:bCs/>
                <w:sz w:val="16"/>
                <w:szCs w:val="16"/>
              </w:rPr>
              <w:t xml:space="preserve">Average </w:t>
            </w:r>
            <w:r w:rsidRPr="00C56907">
              <w:rPr>
                <w:b/>
                <w:bCs/>
                <w:color w:val="auto"/>
                <w:sz w:val="16"/>
                <w:szCs w:val="16"/>
              </w:rPr>
              <w:t>s</w:t>
            </w:r>
            <w:r w:rsidRPr="00C56907">
              <w:rPr>
                <w:b/>
                <w:bCs/>
                <w:sz w:val="16"/>
                <w:szCs w:val="16"/>
              </w:rPr>
              <w:t xml:space="preserve">taffing </w:t>
            </w:r>
            <w:r w:rsidRPr="00C56907">
              <w:rPr>
                <w:b/>
                <w:bCs/>
                <w:color w:val="auto"/>
                <w:sz w:val="16"/>
                <w:szCs w:val="16"/>
              </w:rPr>
              <w:t>l</w:t>
            </w:r>
            <w:r w:rsidRPr="00C56907">
              <w:rPr>
                <w:b/>
                <w:bCs/>
                <w:sz w:val="16"/>
                <w:szCs w:val="16"/>
              </w:rPr>
              <w:t>evel (number)</w:t>
            </w:r>
          </w:p>
        </w:tc>
        <w:tc>
          <w:tcPr>
            <w:tcW w:w="905" w:type="dxa"/>
            <w:tcBorders>
              <w:top w:val="nil"/>
              <w:left w:val="nil"/>
              <w:bottom w:val="single" w:sz="4" w:space="0" w:color="auto"/>
              <w:right w:val="nil"/>
            </w:tcBorders>
            <w:shd w:val="clear" w:color="auto" w:fill="auto"/>
            <w:noWrap/>
            <w:vAlign w:val="bottom"/>
            <w:hideMark/>
          </w:tcPr>
          <w:p w14:paraId="3ADFFDE7" w14:textId="77777777" w:rsidR="00C56907" w:rsidRPr="00C56907" w:rsidRDefault="00C56907" w:rsidP="00C56907">
            <w:pPr>
              <w:spacing w:before="0" w:after="0"/>
              <w:jc w:val="right"/>
              <w:rPr>
                <w:color w:val="auto"/>
                <w:sz w:val="16"/>
                <w:szCs w:val="16"/>
              </w:rPr>
            </w:pPr>
            <w:r w:rsidRPr="00C56907">
              <w:rPr>
                <w:color w:val="auto"/>
                <w:sz w:val="16"/>
                <w:szCs w:val="16"/>
              </w:rPr>
              <w:t>986</w:t>
            </w:r>
          </w:p>
        </w:tc>
        <w:tc>
          <w:tcPr>
            <w:tcW w:w="905" w:type="dxa"/>
            <w:tcBorders>
              <w:top w:val="nil"/>
              <w:left w:val="nil"/>
              <w:bottom w:val="single" w:sz="4" w:space="0" w:color="auto"/>
              <w:right w:val="nil"/>
            </w:tcBorders>
            <w:shd w:val="clear" w:color="000000" w:fill="D9D9D9"/>
            <w:noWrap/>
            <w:vAlign w:val="bottom"/>
            <w:hideMark/>
          </w:tcPr>
          <w:p w14:paraId="3E1C554B" w14:textId="77777777" w:rsidR="00C56907" w:rsidRPr="00C56907" w:rsidRDefault="00C56907" w:rsidP="00C56907">
            <w:pPr>
              <w:spacing w:before="0" w:after="0"/>
              <w:jc w:val="right"/>
              <w:rPr>
                <w:color w:val="auto"/>
                <w:sz w:val="16"/>
                <w:szCs w:val="16"/>
              </w:rPr>
            </w:pPr>
            <w:r w:rsidRPr="00C56907">
              <w:rPr>
                <w:color w:val="auto"/>
                <w:sz w:val="16"/>
                <w:szCs w:val="16"/>
              </w:rPr>
              <w:t>1,033</w:t>
            </w:r>
          </w:p>
        </w:tc>
        <w:tc>
          <w:tcPr>
            <w:tcW w:w="905" w:type="dxa"/>
            <w:tcBorders>
              <w:top w:val="nil"/>
              <w:left w:val="nil"/>
              <w:bottom w:val="nil"/>
              <w:right w:val="nil"/>
            </w:tcBorders>
            <w:shd w:val="clear" w:color="auto" w:fill="auto"/>
            <w:vAlign w:val="bottom"/>
            <w:hideMark/>
          </w:tcPr>
          <w:p w14:paraId="6000F7EF" w14:textId="77777777" w:rsidR="00C56907" w:rsidRPr="00C56907" w:rsidRDefault="00C56907" w:rsidP="00C56907">
            <w:pPr>
              <w:spacing w:before="0" w:after="0"/>
              <w:jc w:val="right"/>
              <w:rPr>
                <w:color w:val="auto"/>
                <w:sz w:val="16"/>
                <w:szCs w:val="16"/>
              </w:rPr>
            </w:pPr>
          </w:p>
        </w:tc>
        <w:tc>
          <w:tcPr>
            <w:tcW w:w="905" w:type="dxa"/>
            <w:tcBorders>
              <w:top w:val="nil"/>
              <w:left w:val="nil"/>
              <w:bottom w:val="nil"/>
              <w:right w:val="nil"/>
            </w:tcBorders>
            <w:shd w:val="clear" w:color="auto" w:fill="auto"/>
            <w:vAlign w:val="bottom"/>
            <w:hideMark/>
          </w:tcPr>
          <w:p w14:paraId="203475ED" w14:textId="77777777" w:rsidR="00C56907" w:rsidRPr="00C56907" w:rsidRDefault="00C56907" w:rsidP="00C56907">
            <w:pPr>
              <w:spacing w:before="0" w:after="0"/>
              <w:rPr>
                <w:rFonts w:ascii="Times New Roman" w:hAnsi="Times New Roman" w:cs="Times New Roman"/>
                <w:color w:val="auto"/>
                <w:sz w:val="20"/>
                <w:szCs w:val="20"/>
              </w:rPr>
            </w:pPr>
          </w:p>
        </w:tc>
        <w:tc>
          <w:tcPr>
            <w:tcW w:w="905" w:type="dxa"/>
            <w:tcBorders>
              <w:top w:val="nil"/>
              <w:left w:val="nil"/>
              <w:bottom w:val="nil"/>
              <w:right w:val="nil"/>
            </w:tcBorders>
            <w:shd w:val="clear" w:color="auto" w:fill="auto"/>
            <w:vAlign w:val="bottom"/>
            <w:hideMark/>
          </w:tcPr>
          <w:p w14:paraId="179CC05E" w14:textId="77777777" w:rsidR="00C56907" w:rsidRPr="00C56907" w:rsidRDefault="00C56907" w:rsidP="00C56907">
            <w:pPr>
              <w:spacing w:before="0" w:after="0"/>
              <w:rPr>
                <w:rFonts w:ascii="Times New Roman" w:hAnsi="Times New Roman" w:cs="Times New Roman"/>
                <w:color w:val="auto"/>
                <w:sz w:val="20"/>
                <w:szCs w:val="20"/>
              </w:rPr>
            </w:pPr>
          </w:p>
        </w:tc>
      </w:tr>
    </w:tbl>
    <w:p w14:paraId="33927ABC" w14:textId="34B53866" w:rsidR="00321D2C" w:rsidRPr="00321D2C" w:rsidRDefault="00321D2C" w:rsidP="00321D2C">
      <w:pPr>
        <w:pStyle w:val="FootnoteText"/>
        <w:spacing w:before="120"/>
      </w:pPr>
      <w:r w:rsidRPr="00321D2C">
        <w:t xml:space="preserve">Table has </w:t>
      </w:r>
      <w:r w:rsidR="00E462B8">
        <w:t>been prepared inclusive of 2022</w:t>
      </w:r>
      <w:r w:rsidR="00E462B8">
        <w:softHyphen/>
      </w:r>
      <w:r w:rsidR="00E462B8" w:rsidRPr="00A22C99">
        <w:t>–</w:t>
      </w:r>
      <w:r w:rsidRPr="00321D2C">
        <w:t>23 Ad</w:t>
      </w:r>
      <w:r>
        <w:t>ditional Estimates figures.</w:t>
      </w:r>
      <w:r>
        <w:tab/>
      </w:r>
    </w:p>
    <w:p w14:paraId="157B3B11" w14:textId="64ACC6B6" w:rsidR="00321D2C" w:rsidRPr="00321D2C" w:rsidRDefault="00321D2C" w:rsidP="00321D2C">
      <w:pPr>
        <w:pStyle w:val="FootnoteText"/>
      </w:pPr>
      <w:r w:rsidRPr="00321D2C">
        <w:rPr>
          <w:vertAlign w:val="superscript"/>
        </w:rPr>
        <w:t>(a)</w:t>
      </w:r>
      <w:r>
        <w:tab/>
      </w:r>
      <w:r w:rsidRPr="00321D2C">
        <w:t>Appropriation Bill (No. 1)</w:t>
      </w:r>
      <w:r>
        <w:t xml:space="preserve"> 2023–24.</w:t>
      </w:r>
    </w:p>
    <w:p w14:paraId="3395BA91" w14:textId="48C57224" w:rsidR="00321D2C" w:rsidRPr="00321D2C" w:rsidRDefault="00321D2C" w:rsidP="00321D2C">
      <w:pPr>
        <w:pStyle w:val="FootnoteText"/>
      </w:pPr>
      <w:r w:rsidRPr="00321D2C">
        <w:rPr>
          <w:vertAlign w:val="superscript"/>
        </w:rPr>
        <w:t>(b)</w:t>
      </w:r>
      <w:r>
        <w:tab/>
      </w:r>
      <w:r w:rsidRPr="00321D2C">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 P</w:t>
      </w:r>
      <w:r>
        <w:t>ortfolio Budget Statements.</w:t>
      </w:r>
    </w:p>
    <w:p w14:paraId="122319C8" w14:textId="52C33037" w:rsidR="00321D2C" w:rsidRPr="00321D2C" w:rsidRDefault="00321D2C" w:rsidP="00321D2C">
      <w:pPr>
        <w:pStyle w:val="FootnoteText"/>
      </w:pPr>
      <w:r w:rsidRPr="00321D2C">
        <w:rPr>
          <w:vertAlign w:val="superscript"/>
        </w:rPr>
        <w:t>(c)</w:t>
      </w:r>
      <w:r>
        <w:tab/>
      </w:r>
      <w:r w:rsidRPr="00321D2C">
        <w:t xml:space="preserve">Departmental appropriation combines 'Ordinary annual services Appropriation Bill (No. 1)' and 'Revenue from </w:t>
      </w:r>
      <w:r>
        <w:t>independent sources (s74)'.</w:t>
      </w:r>
    </w:p>
    <w:p w14:paraId="60211141" w14:textId="72BCF647" w:rsidR="00C56907" w:rsidRPr="00321D2C" w:rsidRDefault="00321D2C" w:rsidP="00321D2C">
      <w:pPr>
        <w:pStyle w:val="FootnoteText"/>
      </w:pPr>
      <w:r w:rsidRPr="00321D2C">
        <w:rPr>
          <w:vertAlign w:val="superscript"/>
        </w:rPr>
        <w:t>(d)</w:t>
      </w:r>
      <w:r>
        <w:tab/>
      </w:r>
      <w:r w:rsidRPr="00321D2C">
        <w:t>Expenses not requiring appropriation in the Budget year are made up of depreciation expense, amortisation expense, makeg</w:t>
      </w:r>
      <w:r>
        <w:t>ood expense and audit fees.</w:t>
      </w:r>
    </w:p>
    <w:p w14:paraId="6C051F33" w14:textId="77777777" w:rsidR="00321D2C" w:rsidRDefault="00321D2C">
      <w:pPr>
        <w:spacing w:before="0" w:after="160" w:line="259" w:lineRule="auto"/>
        <w:rPr>
          <w:b/>
          <w:color w:val="auto"/>
          <w:sz w:val="22"/>
          <w:szCs w:val="20"/>
        </w:rPr>
      </w:pPr>
      <w:r>
        <w:rPr>
          <w:color w:val="auto"/>
        </w:rPr>
        <w:br w:type="page"/>
      </w:r>
    </w:p>
    <w:p w14:paraId="14425774" w14:textId="4BF75F05" w:rsidR="00590938" w:rsidRPr="00150C31" w:rsidRDefault="00590938" w:rsidP="00590938">
      <w:pPr>
        <w:pStyle w:val="Heading4"/>
        <w:rPr>
          <w:color w:val="auto"/>
        </w:rPr>
      </w:pPr>
      <w:r w:rsidRPr="00150C31">
        <w:rPr>
          <w:color w:val="auto"/>
        </w:rPr>
        <w:lastRenderedPageBreak/>
        <w:t>Performance measures for Outcome 2</w:t>
      </w:r>
    </w:p>
    <w:p w14:paraId="5021A753" w14:textId="66FCCC1A" w:rsidR="00590938" w:rsidRPr="00DC720F" w:rsidRDefault="00590938" w:rsidP="00590938">
      <w:pPr>
        <w:pStyle w:val="NormalBookAntiqua"/>
        <w:rPr>
          <w:color w:val="auto"/>
          <w:sz w:val="19"/>
          <w:szCs w:val="19"/>
        </w:rPr>
      </w:pPr>
      <w:r w:rsidRPr="00DC720F">
        <w:rPr>
          <w:color w:val="auto"/>
          <w:sz w:val="19"/>
          <w:szCs w:val="19"/>
        </w:rPr>
        <w:t>Tables 2.</w:t>
      </w:r>
      <w:r>
        <w:rPr>
          <w:color w:val="auto"/>
          <w:sz w:val="19"/>
          <w:szCs w:val="19"/>
        </w:rPr>
        <w:t>2</w:t>
      </w:r>
      <w:r w:rsidRPr="00DC720F">
        <w:rPr>
          <w:color w:val="auto"/>
          <w:sz w:val="19"/>
          <w:szCs w:val="19"/>
        </w:rPr>
        <w:t>.2 – 2.1.</w:t>
      </w:r>
      <w:r>
        <w:rPr>
          <w:color w:val="auto"/>
          <w:sz w:val="19"/>
          <w:szCs w:val="19"/>
        </w:rPr>
        <w:t>8</w:t>
      </w:r>
      <w:r w:rsidRPr="00DC720F">
        <w:rPr>
          <w:color w:val="auto"/>
          <w:sz w:val="19"/>
          <w:szCs w:val="19"/>
        </w:rPr>
        <w:t xml:space="preserve"> details the performance measures for each program associated with Outcome </w:t>
      </w:r>
      <w:r w:rsidR="000D1E25">
        <w:rPr>
          <w:color w:val="auto"/>
          <w:sz w:val="19"/>
          <w:szCs w:val="19"/>
        </w:rPr>
        <w:t>2</w:t>
      </w:r>
      <w:r w:rsidRPr="00DC720F">
        <w:rPr>
          <w:color w:val="auto"/>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w:t>
      </w:r>
      <w:r>
        <w:rPr>
          <w:color w:val="auto"/>
          <w:sz w:val="19"/>
          <w:szCs w:val="19"/>
        </w:rPr>
        <w:t> </w:t>
      </w:r>
      <w:r w:rsidRPr="00DC720F">
        <w:rPr>
          <w:color w:val="auto"/>
          <w:sz w:val="19"/>
          <w:szCs w:val="19"/>
        </w:rPr>
        <w:t>202</w:t>
      </w:r>
      <w:r w:rsidR="000D1E25">
        <w:rPr>
          <w:color w:val="auto"/>
          <w:sz w:val="19"/>
          <w:szCs w:val="19"/>
        </w:rPr>
        <w:t>3</w:t>
      </w:r>
      <w:r>
        <w:rPr>
          <w:color w:val="auto"/>
          <w:sz w:val="19"/>
          <w:szCs w:val="19"/>
        </w:rPr>
        <w:t>–</w:t>
      </w:r>
      <w:r w:rsidRPr="00DC720F">
        <w:rPr>
          <w:color w:val="auto"/>
          <w:sz w:val="19"/>
          <w:szCs w:val="19"/>
        </w:rPr>
        <w:t>2</w:t>
      </w:r>
      <w:r w:rsidR="000D1E25">
        <w:rPr>
          <w:color w:val="auto"/>
          <w:sz w:val="19"/>
          <w:szCs w:val="19"/>
        </w:rPr>
        <w:t>4</w:t>
      </w:r>
      <w:r w:rsidRPr="00DC720F">
        <w:rPr>
          <w:color w:val="auto"/>
          <w:sz w:val="19"/>
          <w:szCs w:val="19"/>
        </w:rPr>
        <w:t xml:space="preserve"> Budget measures that have created new programs or materially changed existing programs are provided.</w:t>
      </w:r>
    </w:p>
    <w:p w14:paraId="04C55CA4" w14:textId="171FD355" w:rsidR="00F76F6B" w:rsidRPr="00FE6768" w:rsidRDefault="006E230F" w:rsidP="00F76F6B">
      <w:pPr>
        <w:pStyle w:val="Tablenumberandreference"/>
        <w:rPr>
          <w:color w:val="auto"/>
        </w:rPr>
      </w:pPr>
      <w:r w:rsidRPr="00FE6768">
        <w:rPr>
          <w:color w:val="auto"/>
        </w:rPr>
        <w:t>Table 2.2</w:t>
      </w:r>
      <w:r w:rsidR="00F76F6B" w:rsidRPr="00FE6768">
        <w:rPr>
          <w:color w:val="auto"/>
        </w:rPr>
        <w:t>.2: Pe</w:t>
      </w:r>
      <w:r w:rsidR="00D26B6C" w:rsidRPr="00FE6768">
        <w:rPr>
          <w:color w:val="auto"/>
        </w:rPr>
        <w:t xml:space="preserve">rformance </w:t>
      </w:r>
      <w:r w:rsidR="002312BC">
        <w:rPr>
          <w:color w:val="auto"/>
        </w:rPr>
        <w:t>m</w:t>
      </w:r>
      <w:r w:rsidR="000F2A3B" w:rsidRPr="00FE6768">
        <w:rPr>
          <w:color w:val="auto"/>
        </w:rPr>
        <w:t>easures</w:t>
      </w:r>
      <w:r w:rsidR="00D26B6C" w:rsidRPr="00FE6768">
        <w:rPr>
          <w:color w:val="auto"/>
        </w:rPr>
        <w:t xml:space="preserve"> for Progra</w:t>
      </w:r>
      <w:r w:rsidRPr="00FE6768">
        <w:rPr>
          <w:color w:val="auto"/>
        </w:rPr>
        <w:t>m 2</w:t>
      </w:r>
      <w:r w:rsidR="00F76F6B" w:rsidRPr="00FE6768">
        <w:rPr>
          <w:color w:val="auto"/>
        </w:rPr>
        <w:t>.</w:t>
      </w:r>
      <w:r w:rsidR="00590938">
        <w:rPr>
          <w:color w:val="auto"/>
        </w:rPr>
        <w:t>1</w:t>
      </w:r>
    </w:p>
    <w:tbl>
      <w:tblPr>
        <w:tblStyle w:val="TableGrid"/>
        <w:tblW w:w="7677" w:type="dxa"/>
        <w:jc w:val="center"/>
        <w:tblLayout w:type="fixed"/>
        <w:tblLook w:val="04A0" w:firstRow="1" w:lastRow="0" w:firstColumn="1" w:lastColumn="0" w:noHBand="0" w:noVBand="1"/>
        <w:tblCaption w:val="Table 2.2.2: Performance Measures for Program 2.1"/>
        <w:tblDescription w:val="This table outlines Outcome 2's outcome statement, Program 2.1's objective and the key activities for Program 2.1"/>
      </w:tblPr>
      <w:tblGrid>
        <w:gridCol w:w="7677"/>
      </w:tblGrid>
      <w:tr w:rsidR="00FE6768" w:rsidRPr="00FE6768" w14:paraId="1A18B9D6" w14:textId="77777777" w:rsidTr="008C63CE">
        <w:trPr>
          <w:trHeight w:val="106"/>
          <w:jc w:val="center"/>
        </w:trPr>
        <w:tc>
          <w:tcPr>
            <w:tcW w:w="7677" w:type="dxa"/>
            <w:shd w:val="clear" w:color="auto" w:fill="D9D9D9" w:themeFill="background1" w:themeFillShade="D9"/>
          </w:tcPr>
          <w:p w14:paraId="227FC0EB" w14:textId="07312A14" w:rsidR="00206CEE" w:rsidRPr="00FE6768" w:rsidRDefault="00564EA0" w:rsidP="006E230F">
            <w:pPr>
              <w:tabs>
                <w:tab w:val="left" w:pos="3119"/>
                <w:tab w:val="left" w:pos="9027"/>
              </w:tabs>
              <w:rPr>
                <w:b/>
                <w:color w:val="auto"/>
              </w:rPr>
            </w:pPr>
            <w:r w:rsidRPr="00FE6768">
              <w:rPr>
                <w:b/>
                <w:color w:val="auto"/>
              </w:rPr>
              <w:t xml:space="preserve">Outcome </w:t>
            </w:r>
            <w:r w:rsidR="006E230F" w:rsidRPr="00FE6768">
              <w:rPr>
                <w:b/>
                <w:color w:val="auto"/>
              </w:rPr>
              <w:t>2</w:t>
            </w:r>
            <w:r w:rsidRPr="00FE6768">
              <w:rPr>
                <w:b/>
                <w:color w:val="auto"/>
              </w:rPr>
              <w:t xml:space="preserve">: </w:t>
            </w:r>
            <w:r w:rsidR="006E230F" w:rsidRPr="00FE6768">
              <w:rPr>
                <w:b/>
                <w:color w:val="auto"/>
              </w:rPr>
              <w:t>Individual Health Benefits</w:t>
            </w:r>
          </w:p>
        </w:tc>
      </w:tr>
      <w:tr w:rsidR="00FE6768" w:rsidRPr="00FE6768" w14:paraId="653EA062" w14:textId="77777777" w:rsidTr="008C63CE">
        <w:trPr>
          <w:jc w:val="center"/>
        </w:trPr>
        <w:tc>
          <w:tcPr>
            <w:tcW w:w="7677" w:type="dxa"/>
          </w:tcPr>
          <w:p w14:paraId="419DFEA4" w14:textId="38B0E2BC" w:rsidR="00807A7C" w:rsidRPr="00807A7C" w:rsidRDefault="006E230F" w:rsidP="00342235">
            <w:pPr>
              <w:pStyle w:val="Heading2"/>
              <w:outlineLvl w:val="1"/>
            </w:pPr>
            <w:r w:rsidRPr="00FE6768">
              <w:rPr>
                <w:color w:val="auto"/>
              </w:rPr>
              <w:t>Ensuring improved access for all Australians to cost-effective and affordable medicines, medical, dental and hearing services; improved choice in healthcare services, through guaranteeing Medicare and the Pharmaceutical Benefits Scheme; supporting targeted assistance strategies and private health insurance.</w:t>
            </w:r>
          </w:p>
        </w:tc>
      </w:tr>
      <w:tr w:rsidR="00FE6768" w:rsidRPr="00FE6768" w14:paraId="287D5AA9" w14:textId="77777777" w:rsidTr="008C63CE">
        <w:trPr>
          <w:trHeight w:val="50"/>
          <w:jc w:val="center"/>
        </w:trPr>
        <w:tc>
          <w:tcPr>
            <w:tcW w:w="7677" w:type="dxa"/>
            <w:shd w:val="clear" w:color="auto" w:fill="D9D9D9" w:themeFill="background1" w:themeFillShade="D9"/>
          </w:tcPr>
          <w:p w14:paraId="2E9BC265" w14:textId="703E76B5" w:rsidR="00206CEE" w:rsidRPr="00096399" w:rsidRDefault="00564EA0" w:rsidP="00B11D80">
            <w:pPr>
              <w:pStyle w:val="Tableheadingrow9pt"/>
              <w:rPr>
                <w:color w:val="auto"/>
              </w:rPr>
            </w:pPr>
            <w:r w:rsidRPr="00FE6768">
              <w:rPr>
                <w:color w:val="auto"/>
              </w:rPr>
              <w:t xml:space="preserve">Program Objective – Program </w:t>
            </w:r>
            <w:r w:rsidR="006E230F" w:rsidRPr="00FE6768">
              <w:rPr>
                <w:color w:val="auto"/>
              </w:rPr>
              <w:t>2</w:t>
            </w:r>
            <w:r w:rsidRPr="00FE6768">
              <w:rPr>
                <w:color w:val="auto"/>
              </w:rPr>
              <w:t xml:space="preserve">.1: </w:t>
            </w:r>
            <w:r w:rsidR="006E230F" w:rsidRPr="00FE6768">
              <w:rPr>
                <w:color w:val="auto"/>
              </w:rPr>
              <w:t>Medical Benefits</w:t>
            </w:r>
          </w:p>
        </w:tc>
      </w:tr>
      <w:tr w:rsidR="00FE6768" w:rsidRPr="00FE6768" w14:paraId="19FF2655" w14:textId="77777777" w:rsidTr="008C63CE">
        <w:trPr>
          <w:jc w:val="center"/>
        </w:trPr>
        <w:tc>
          <w:tcPr>
            <w:tcW w:w="7677" w:type="dxa"/>
          </w:tcPr>
          <w:p w14:paraId="6C0BC12F" w14:textId="6C129CE9" w:rsidR="00564EA0" w:rsidRPr="00FE6768" w:rsidRDefault="002C0A1C" w:rsidP="00DB03BE">
            <w:pPr>
              <w:pStyle w:val="Heading2"/>
              <w:outlineLvl w:val="1"/>
              <w:rPr>
                <w:color w:val="auto"/>
              </w:rPr>
            </w:pPr>
            <w:r w:rsidRPr="00FE6768">
              <w:rPr>
                <w:color w:val="auto"/>
              </w:rPr>
              <w:t xml:space="preserve">Deliver a modern, sustainable Medicare program that supports all Australians to access high quality and cost-effective professional services. </w:t>
            </w:r>
            <w:r w:rsidR="00BE4D0C" w:rsidRPr="00FE6768">
              <w:rPr>
                <w:color w:val="auto"/>
              </w:rPr>
              <w:t>W</w:t>
            </w:r>
            <w:r w:rsidRPr="00FE6768">
              <w:rPr>
                <w:color w:val="auto"/>
              </w:rPr>
              <w:t>ork with consumers, health professionals, private health insurers, and states and territories to continue strengthening Medicare</w:t>
            </w:r>
            <w:r w:rsidR="00DB03BE">
              <w:rPr>
                <w:color w:val="auto"/>
              </w:rPr>
              <w:t>.</w:t>
            </w:r>
            <w:r w:rsidRPr="00FE6768">
              <w:rPr>
                <w:color w:val="auto"/>
              </w:rPr>
              <w:t xml:space="preserve"> </w:t>
            </w:r>
          </w:p>
        </w:tc>
      </w:tr>
      <w:tr w:rsidR="00FE6768" w:rsidRPr="00FE6768" w14:paraId="5CBCB655" w14:textId="77777777" w:rsidTr="008C63CE">
        <w:trPr>
          <w:jc w:val="center"/>
        </w:trPr>
        <w:tc>
          <w:tcPr>
            <w:tcW w:w="7677" w:type="dxa"/>
            <w:shd w:val="clear" w:color="auto" w:fill="D9D9D9" w:themeFill="background1" w:themeFillShade="D9"/>
          </w:tcPr>
          <w:p w14:paraId="6C6E40E6" w14:textId="6F305E14" w:rsidR="00FD389C" w:rsidRPr="00FD389C" w:rsidRDefault="002D03EF" w:rsidP="00FD389C">
            <w:pPr>
              <w:pStyle w:val="Tableheadingrow9pt"/>
              <w:rPr>
                <w:color w:val="auto"/>
              </w:rPr>
            </w:pPr>
            <w:r>
              <w:rPr>
                <w:color w:val="auto"/>
              </w:rPr>
              <w:t>Key Activities</w:t>
            </w:r>
          </w:p>
        </w:tc>
      </w:tr>
      <w:tr w:rsidR="00FE6768" w:rsidRPr="00FE6768" w14:paraId="571E9E2E" w14:textId="77777777" w:rsidTr="008C63CE">
        <w:trPr>
          <w:jc w:val="center"/>
        </w:trPr>
        <w:tc>
          <w:tcPr>
            <w:tcW w:w="7677" w:type="dxa"/>
          </w:tcPr>
          <w:p w14:paraId="20569084" w14:textId="00BF6FA7" w:rsidR="00F67749" w:rsidRDefault="00F67749" w:rsidP="00F67749">
            <w:pPr>
              <w:pStyle w:val="Tabletextnormal9pt"/>
              <w:numPr>
                <w:ilvl w:val="0"/>
                <w:numId w:val="13"/>
              </w:numPr>
              <w:ind w:left="284" w:hanging="284"/>
              <w:rPr>
                <w:color w:val="auto"/>
              </w:rPr>
            </w:pPr>
            <w:r>
              <w:rPr>
                <w:color w:val="auto"/>
              </w:rPr>
              <w:t xml:space="preserve">Supporting access to a contemporary and sustainable Medicare Benefits </w:t>
            </w:r>
            <w:r w:rsidR="00E462B8">
              <w:rPr>
                <w:color w:val="auto"/>
              </w:rPr>
              <w:br/>
            </w:r>
            <w:r>
              <w:rPr>
                <w:color w:val="auto"/>
              </w:rPr>
              <w:t>Schedule (MBS)</w:t>
            </w:r>
            <w:r w:rsidR="003C6B48">
              <w:rPr>
                <w:color w:val="auto"/>
              </w:rPr>
              <w:t>.</w:t>
            </w:r>
          </w:p>
          <w:p w14:paraId="40D87C86" w14:textId="044CA22E" w:rsidR="00F67749" w:rsidRDefault="00F67749" w:rsidP="00F67749">
            <w:pPr>
              <w:pStyle w:val="Tabletextnormal9pt"/>
              <w:numPr>
                <w:ilvl w:val="0"/>
                <w:numId w:val="13"/>
              </w:numPr>
              <w:ind w:left="284" w:hanging="284"/>
              <w:rPr>
                <w:color w:val="auto"/>
              </w:rPr>
            </w:pPr>
            <w:r w:rsidRPr="002D03EF">
              <w:rPr>
                <w:color w:val="auto"/>
              </w:rPr>
              <w:t xml:space="preserve">Implementing recommendations of the MBS Review to ensure MBS </w:t>
            </w:r>
            <w:r>
              <w:rPr>
                <w:color w:val="auto"/>
              </w:rPr>
              <w:t xml:space="preserve">items </w:t>
            </w:r>
            <w:r w:rsidRPr="002D03EF">
              <w:rPr>
                <w:color w:val="auto"/>
              </w:rPr>
              <w:t>are aligned with contemporary clinical evidence and best practice.</w:t>
            </w:r>
          </w:p>
          <w:p w14:paraId="705BDA2F" w14:textId="77777777" w:rsidR="00700BC2" w:rsidRPr="007D542D" w:rsidRDefault="00700BC2" w:rsidP="00700BC2">
            <w:pPr>
              <w:pStyle w:val="Tabletextnormal9pt"/>
              <w:numPr>
                <w:ilvl w:val="0"/>
                <w:numId w:val="13"/>
              </w:numPr>
              <w:ind w:left="284" w:hanging="284"/>
              <w:rPr>
                <w:color w:val="auto"/>
              </w:rPr>
            </w:pPr>
            <w:r w:rsidRPr="00FD389C">
              <w:rPr>
                <w:color w:val="auto"/>
              </w:rPr>
              <w:t xml:space="preserve">Continuing the continuous MBS Review mechanism to ensure the MBS reflects contemporary and </w:t>
            </w:r>
            <w:r w:rsidRPr="007D542D">
              <w:rPr>
                <w:color w:val="auto"/>
              </w:rPr>
              <w:t>evidence-based care.</w:t>
            </w:r>
          </w:p>
          <w:p w14:paraId="7641837D" w14:textId="55C81E5C" w:rsidR="002D03EF" w:rsidRPr="007D542D" w:rsidRDefault="002D03EF" w:rsidP="00B70339">
            <w:pPr>
              <w:pStyle w:val="Tabletextnormal9pt"/>
              <w:numPr>
                <w:ilvl w:val="0"/>
                <w:numId w:val="13"/>
              </w:numPr>
              <w:ind w:left="284" w:hanging="284"/>
              <w:rPr>
                <w:color w:val="auto"/>
              </w:rPr>
            </w:pPr>
            <w:r w:rsidRPr="007D542D">
              <w:rPr>
                <w:color w:val="auto"/>
              </w:rPr>
              <w:t>Supporting patient access to radiation oncology services by providing targeted financial contributions to the capital cost of radiation oncology linear accelerators</w:t>
            </w:r>
            <w:r w:rsidR="00735BCE" w:rsidRPr="007D542D">
              <w:rPr>
                <w:color w:val="auto"/>
              </w:rPr>
              <w:t>.</w:t>
            </w:r>
          </w:p>
          <w:p w14:paraId="1FBF40EB" w14:textId="5C760572" w:rsidR="002D03EF" w:rsidRPr="007D542D" w:rsidRDefault="00D0195E" w:rsidP="00B70339">
            <w:pPr>
              <w:pStyle w:val="Tabletextnormal9pt"/>
              <w:numPr>
                <w:ilvl w:val="0"/>
                <w:numId w:val="13"/>
              </w:numPr>
              <w:ind w:left="284" w:hanging="284"/>
              <w:rPr>
                <w:color w:val="auto"/>
              </w:rPr>
            </w:pPr>
            <w:r w:rsidRPr="007D542D">
              <w:rPr>
                <w:color w:val="auto"/>
              </w:rPr>
              <w:t>Implementing reforms to primary care bulk billing incentives to increase patient rebates for bulk billed services, encouraging primary care providers to bulk bill more of their patients.</w:t>
            </w:r>
          </w:p>
          <w:p w14:paraId="072A4740" w14:textId="688C4E09" w:rsidR="002D03EF" w:rsidRPr="007D542D" w:rsidRDefault="002D03EF" w:rsidP="00B70339">
            <w:pPr>
              <w:pStyle w:val="Tabletextnormal9pt"/>
              <w:numPr>
                <w:ilvl w:val="0"/>
                <w:numId w:val="13"/>
              </w:numPr>
              <w:ind w:left="284" w:hanging="284"/>
              <w:rPr>
                <w:color w:val="auto"/>
              </w:rPr>
            </w:pPr>
            <w:r w:rsidRPr="007D542D">
              <w:rPr>
                <w:color w:val="auto"/>
              </w:rPr>
              <w:t>Assessing applications for, and providing targeted financial assistance to, Australians who require life</w:t>
            </w:r>
            <w:r w:rsidR="00B70339" w:rsidRPr="007D542D">
              <w:rPr>
                <w:color w:val="auto"/>
              </w:rPr>
              <w:t xml:space="preserve"> </w:t>
            </w:r>
            <w:r w:rsidRPr="007D542D">
              <w:rPr>
                <w:color w:val="auto"/>
              </w:rPr>
              <w:t>saving medical treatment not available in Australia</w:t>
            </w:r>
            <w:r w:rsidR="00B70339" w:rsidRPr="007D542D">
              <w:rPr>
                <w:color w:val="auto"/>
              </w:rPr>
              <w:t>,</w:t>
            </w:r>
            <w:r w:rsidRPr="007D542D">
              <w:rPr>
                <w:color w:val="auto"/>
              </w:rPr>
              <w:t xml:space="preserve"> and patients who incur ill health or injury as a result of a specific act of international terrorism.</w:t>
            </w:r>
          </w:p>
          <w:p w14:paraId="42E7F13E" w14:textId="21FBA9DB" w:rsidR="008C688C" w:rsidRPr="00107247" w:rsidRDefault="00700BC2" w:rsidP="00700BC2">
            <w:pPr>
              <w:pStyle w:val="Tabletextnormal9pt"/>
              <w:numPr>
                <w:ilvl w:val="0"/>
                <w:numId w:val="13"/>
              </w:numPr>
              <w:ind w:left="284" w:hanging="284"/>
              <w:rPr>
                <w:color w:val="auto"/>
              </w:rPr>
            </w:pPr>
            <w:r w:rsidRPr="007D542D">
              <w:rPr>
                <w:color w:val="auto"/>
              </w:rPr>
              <w:t>Supporting access to COVID-19 pathology</w:t>
            </w:r>
            <w:r w:rsidRPr="00FD389C">
              <w:rPr>
                <w:color w:val="auto"/>
              </w:rPr>
              <w:t xml:space="preserve"> testing through MBS items and </w:t>
            </w:r>
            <w:r w:rsidR="00E462B8">
              <w:rPr>
                <w:color w:val="auto"/>
              </w:rPr>
              <w:br/>
            </w:r>
            <w:r w:rsidRPr="00FD389C">
              <w:rPr>
                <w:color w:val="auto"/>
              </w:rPr>
              <w:t>targeted programs.</w:t>
            </w:r>
          </w:p>
        </w:tc>
      </w:tr>
    </w:tbl>
    <w:p w14:paraId="558F8533" w14:textId="77777777" w:rsidR="00B11D80" w:rsidRDefault="00B11D80">
      <w:r>
        <w:rPr>
          <w:b/>
        </w:rPr>
        <w:br w:type="page"/>
      </w:r>
    </w:p>
    <w:tbl>
      <w:tblPr>
        <w:tblStyle w:val="TableGrid"/>
        <w:tblW w:w="7677" w:type="dxa"/>
        <w:jc w:val="center"/>
        <w:tblLayout w:type="fixed"/>
        <w:tblLook w:val="04A0" w:firstRow="1" w:lastRow="0" w:firstColumn="1" w:lastColumn="0" w:noHBand="0" w:noVBand="1"/>
        <w:tblCaption w:val="Table 2.2.2: Performance Measures for Program 2.1"/>
        <w:tblDescription w:val="This table outlines Outcome 2's outcome statement, Program 2.1's objective and the key activities for Program 2.1"/>
      </w:tblPr>
      <w:tblGrid>
        <w:gridCol w:w="1645"/>
        <w:gridCol w:w="1425"/>
        <w:gridCol w:w="83"/>
        <w:gridCol w:w="1453"/>
        <w:gridCol w:w="55"/>
        <w:gridCol w:w="1480"/>
        <w:gridCol w:w="28"/>
        <w:gridCol w:w="1508"/>
      </w:tblGrid>
      <w:tr w:rsidR="00FE6768" w:rsidRPr="00FE6768" w14:paraId="44D893E2" w14:textId="77777777" w:rsidTr="008C63CE">
        <w:trPr>
          <w:jc w:val="center"/>
        </w:trPr>
        <w:tc>
          <w:tcPr>
            <w:tcW w:w="7677" w:type="dxa"/>
            <w:gridSpan w:val="8"/>
            <w:shd w:val="clear" w:color="auto" w:fill="D9D9D9" w:themeFill="background1" w:themeFillShade="D9"/>
          </w:tcPr>
          <w:p w14:paraId="4CA72F90" w14:textId="0EB1C998" w:rsidR="00C136AF" w:rsidRPr="00FE6768" w:rsidRDefault="00564EA0" w:rsidP="00B12FB2">
            <w:pPr>
              <w:pStyle w:val="Tableheadingrow9pt"/>
              <w:keepNext/>
              <w:keepLines/>
              <w:rPr>
                <w:color w:val="auto"/>
              </w:rPr>
            </w:pPr>
            <w:r w:rsidRPr="00FE6768">
              <w:rPr>
                <w:color w:val="auto"/>
              </w:rPr>
              <w:lastRenderedPageBreak/>
              <w:t xml:space="preserve">Performance </w:t>
            </w:r>
            <w:r w:rsidR="00C746B7" w:rsidRPr="00FE6768">
              <w:rPr>
                <w:color w:val="auto"/>
              </w:rPr>
              <w:t>Measure</w:t>
            </w:r>
            <w:r w:rsidR="000F6EC3" w:rsidRPr="00FE6768">
              <w:rPr>
                <w:color w:val="auto"/>
              </w:rPr>
              <w:t>s</w:t>
            </w:r>
          </w:p>
        </w:tc>
      </w:tr>
      <w:tr w:rsidR="00FE6768" w:rsidRPr="00FE6768" w14:paraId="0B08282A" w14:textId="77777777" w:rsidTr="008C63CE">
        <w:trPr>
          <w:jc w:val="center"/>
        </w:trPr>
        <w:tc>
          <w:tcPr>
            <w:tcW w:w="7677" w:type="dxa"/>
            <w:gridSpan w:val="8"/>
            <w:shd w:val="clear" w:color="auto" w:fill="D9D9D9" w:themeFill="background1" w:themeFillShade="D9"/>
          </w:tcPr>
          <w:p w14:paraId="43AE2682" w14:textId="3E99DE1D" w:rsidR="00206CEE" w:rsidRPr="00E74291" w:rsidRDefault="002C0A1C" w:rsidP="00B03A2B">
            <w:pPr>
              <w:pStyle w:val="Heading2"/>
              <w:outlineLvl w:val="1"/>
              <w:rPr>
                <w:b/>
                <w:color w:val="auto"/>
                <w:sz w:val="17"/>
                <w:szCs w:val="17"/>
              </w:rPr>
            </w:pPr>
            <w:r w:rsidRPr="00FE6768">
              <w:rPr>
                <w:b/>
                <w:color w:val="auto"/>
                <w:sz w:val="17"/>
                <w:szCs w:val="17"/>
              </w:rPr>
              <w:t xml:space="preserve">Percentage of Australians accessing </w:t>
            </w:r>
            <w:r w:rsidR="0044633E" w:rsidRPr="00FE6768">
              <w:rPr>
                <w:b/>
                <w:color w:val="auto"/>
                <w:sz w:val="17"/>
                <w:szCs w:val="17"/>
              </w:rPr>
              <w:t>Medicare Benefits Schedule</w:t>
            </w:r>
            <w:r w:rsidRPr="00FE6768">
              <w:rPr>
                <w:b/>
                <w:color w:val="auto"/>
                <w:sz w:val="17"/>
                <w:szCs w:val="17"/>
              </w:rPr>
              <w:t xml:space="preserve"> services.</w:t>
            </w:r>
          </w:p>
        </w:tc>
      </w:tr>
      <w:tr w:rsidR="00BF1459" w:rsidRPr="00FE6768" w14:paraId="2D6DFBAB" w14:textId="77777777" w:rsidTr="00D06A06">
        <w:trPr>
          <w:jc w:val="center"/>
        </w:trPr>
        <w:tc>
          <w:tcPr>
            <w:tcW w:w="1645" w:type="dxa"/>
            <w:shd w:val="clear" w:color="auto" w:fill="auto"/>
          </w:tcPr>
          <w:p w14:paraId="52F98C0D" w14:textId="3C95C4CD" w:rsidR="00BF1459" w:rsidRPr="00FE6768" w:rsidRDefault="00BF1459" w:rsidP="00BF1459">
            <w:pPr>
              <w:pStyle w:val="Tableheadingrowmeasures85pt"/>
              <w:rPr>
                <w:color w:val="auto"/>
              </w:rPr>
            </w:pPr>
            <w:r>
              <w:rPr>
                <w:color w:val="auto"/>
              </w:rPr>
              <w:t>Current Year</w:t>
            </w:r>
            <w:r>
              <w:rPr>
                <w:color w:val="auto"/>
              </w:rPr>
              <w:br/>
              <w:t>2022–23 Planned Performance Result</w:t>
            </w:r>
          </w:p>
        </w:tc>
        <w:tc>
          <w:tcPr>
            <w:tcW w:w="1508" w:type="dxa"/>
            <w:gridSpan w:val="2"/>
            <w:shd w:val="clear" w:color="auto" w:fill="auto"/>
          </w:tcPr>
          <w:p w14:paraId="54276F79" w14:textId="4E0C7D74" w:rsidR="00BF1459" w:rsidRPr="00FE6768" w:rsidRDefault="00BF1459" w:rsidP="00BF1459">
            <w:pPr>
              <w:pStyle w:val="Tableheadingrowmeasures85pt"/>
              <w:rPr>
                <w:color w:val="auto"/>
              </w:rPr>
            </w:pPr>
            <w:r>
              <w:rPr>
                <w:color w:val="auto"/>
              </w:rPr>
              <w:t>Budget Year</w:t>
            </w:r>
            <w:r>
              <w:rPr>
                <w:color w:val="auto"/>
              </w:rPr>
              <w:br/>
            </w:r>
            <w:r w:rsidRPr="005D0368">
              <w:rPr>
                <w:color w:val="auto"/>
              </w:rPr>
              <w:t>202</w:t>
            </w:r>
            <w:r>
              <w:rPr>
                <w:color w:val="auto"/>
              </w:rPr>
              <w:t>3–</w:t>
            </w:r>
            <w:r w:rsidRPr="005D0368">
              <w:rPr>
                <w:color w:val="auto"/>
              </w:rPr>
              <w:t>2</w:t>
            </w:r>
            <w:r>
              <w:rPr>
                <w:color w:val="auto"/>
              </w:rPr>
              <w:t>4</w:t>
            </w:r>
            <w:r w:rsidRPr="005D0368">
              <w:rPr>
                <w:color w:val="auto"/>
              </w:rPr>
              <w:t xml:space="preserve"> </w:t>
            </w:r>
            <w:r>
              <w:rPr>
                <w:color w:val="auto"/>
              </w:rPr>
              <w:t>Planned Performance Result</w:t>
            </w:r>
          </w:p>
        </w:tc>
        <w:tc>
          <w:tcPr>
            <w:tcW w:w="1508" w:type="dxa"/>
            <w:gridSpan w:val="2"/>
            <w:shd w:val="clear" w:color="auto" w:fill="auto"/>
          </w:tcPr>
          <w:p w14:paraId="4A7EC2C9" w14:textId="35FB57DD" w:rsidR="00BF1459" w:rsidRPr="00FE6768" w:rsidRDefault="00BF1459" w:rsidP="00BF1459">
            <w:pPr>
              <w:pStyle w:val="Tableheadingrowmeasures85pt"/>
              <w:rPr>
                <w:color w:val="auto"/>
              </w:rPr>
            </w:pPr>
            <w:r>
              <w:rPr>
                <w:color w:val="auto"/>
              </w:rPr>
              <w:t>Forward Estimates</w:t>
            </w:r>
            <w:r>
              <w:rPr>
                <w:color w:val="auto"/>
              </w:rPr>
              <w:br/>
            </w:r>
            <w:r w:rsidRPr="005D0368">
              <w:rPr>
                <w:color w:val="auto"/>
              </w:rPr>
              <w:t>202</w:t>
            </w:r>
            <w:r>
              <w:rPr>
                <w:color w:val="auto"/>
              </w:rPr>
              <w:t>4–</w:t>
            </w:r>
            <w:r w:rsidRPr="005D0368">
              <w:rPr>
                <w:color w:val="auto"/>
              </w:rPr>
              <w:t>2</w:t>
            </w:r>
            <w:r>
              <w:rPr>
                <w:color w:val="auto"/>
              </w:rPr>
              <w:t>5</w:t>
            </w:r>
            <w:r w:rsidRPr="005D0368">
              <w:rPr>
                <w:color w:val="auto"/>
              </w:rPr>
              <w:t xml:space="preserve"> </w:t>
            </w:r>
            <w:r>
              <w:rPr>
                <w:color w:val="auto"/>
              </w:rPr>
              <w:t>Planned Performance Result</w:t>
            </w:r>
          </w:p>
        </w:tc>
        <w:tc>
          <w:tcPr>
            <w:tcW w:w="1508" w:type="dxa"/>
            <w:gridSpan w:val="2"/>
            <w:shd w:val="clear" w:color="auto" w:fill="auto"/>
          </w:tcPr>
          <w:p w14:paraId="7649635D" w14:textId="27552DBD" w:rsidR="00BF1459" w:rsidRPr="00FE6768" w:rsidRDefault="00BF1459" w:rsidP="00BF1459">
            <w:pPr>
              <w:pStyle w:val="Tableheadingrowmeasures85pt"/>
              <w:rPr>
                <w:color w:val="auto"/>
              </w:rPr>
            </w:pPr>
            <w:r>
              <w:rPr>
                <w:color w:val="auto"/>
              </w:rPr>
              <w:t>Forward Estimates</w:t>
            </w:r>
            <w:r>
              <w:rPr>
                <w:color w:val="auto"/>
              </w:rPr>
              <w:br/>
            </w:r>
            <w:r w:rsidRPr="005D0368">
              <w:rPr>
                <w:color w:val="auto"/>
              </w:rPr>
              <w:t>202</w:t>
            </w:r>
            <w:r>
              <w:rPr>
                <w:color w:val="auto"/>
              </w:rPr>
              <w:t>5–</w:t>
            </w:r>
            <w:r w:rsidRPr="005D0368">
              <w:rPr>
                <w:color w:val="auto"/>
              </w:rPr>
              <w:t>2</w:t>
            </w:r>
            <w:r>
              <w:rPr>
                <w:color w:val="auto"/>
              </w:rPr>
              <w:t>6</w:t>
            </w:r>
            <w:r w:rsidRPr="005D0368">
              <w:rPr>
                <w:color w:val="auto"/>
              </w:rPr>
              <w:t xml:space="preserve"> </w:t>
            </w:r>
            <w:r>
              <w:rPr>
                <w:color w:val="auto"/>
              </w:rPr>
              <w:t>Planned Performance Result</w:t>
            </w:r>
          </w:p>
        </w:tc>
        <w:tc>
          <w:tcPr>
            <w:tcW w:w="1508" w:type="dxa"/>
            <w:shd w:val="clear" w:color="auto" w:fill="auto"/>
          </w:tcPr>
          <w:p w14:paraId="7C0380B8" w14:textId="6BBC3C6C" w:rsidR="00BF1459" w:rsidRPr="00FE6768" w:rsidRDefault="00BF1459" w:rsidP="00BF1459">
            <w:pPr>
              <w:pStyle w:val="Tableheadingrowmeasures85pt"/>
              <w:rPr>
                <w:color w:val="auto"/>
              </w:rPr>
            </w:pPr>
            <w:r>
              <w:rPr>
                <w:color w:val="auto"/>
              </w:rPr>
              <w:t>Forward Estimates</w:t>
            </w:r>
            <w:r>
              <w:rPr>
                <w:color w:val="auto"/>
              </w:rPr>
              <w:br/>
            </w:r>
            <w:r w:rsidRPr="005D0368">
              <w:rPr>
                <w:color w:val="auto"/>
              </w:rPr>
              <w:t>202</w:t>
            </w:r>
            <w:r>
              <w:rPr>
                <w:color w:val="auto"/>
              </w:rPr>
              <w:t>6–</w:t>
            </w:r>
            <w:r w:rsidRPr="005D0368">
              <w:rPr>
                <w:color w:val="auto"/>
              </w:rPr>
              <w:t>2</w:t>
            </w:r>
            <w:r>
              <w:rPr>
                <w:color w:val="auto"/>
              </w:rPr>
              <w:t>7</w:t>
            </w:r>
            <w:r w:rsidRPr="005D0368">
              <w:rPr>
                <w:color w:val="auto"/>
              </w:rPr>
              <w:t xml:space="preserve"> </w:t>
            </w:r>
            <w:r>
              <w:rPr>
                <w:color w:val="auto"/>
              </w:rPr>
              <w:t>Planned Performance Result</w:t>
            </w:r>
          </w:p>
        </w:tc>
      </w:tr>
      <w:tr w:rsidR="00FE6768" w:rsidRPr="00FE6768" w14:paraId="5E38EB72" w14:textId="77777777" w:rsidTr="008C63CE">
        <w:trPr>
          <w:jc w:val="center"/>
        </w:trPr>
        <w:tc>
          <w:tcPr>
            <w:tcW w:w="1645" w:type="dxa"/>
            <w:shd w:val="clear" w:color="auto" w:fill="auto"/>
            <w:vAlign w:val="center"/>
          </w:tcPr>
          <w:p w14:paraId="195FDF26" w14:textId="2FBE5342" w:rsidR="0012246B" w:rsidRPr="001A590E" w:rsidRDefault="00017288" w:rsidP="00DD3EB4">
            <w:pPr>
              <w:rPr>
                <w:color w:val="auto"/>
                <w:sz w:val="17"/>
                <w:szCs w:val="17"/>
              </w:rPr>
            </w:pPr>
            <w:r>
              <w:rPr>
                <w:color w:val="auto"/>
                <w:sz w:val="17"/>
                <w:szCs w:val="17"/>
              </w:rPr>
              <w:t>&gt;</w:t>
            </w:r>
            <w:r w:rsidR="00C136AF" w:rsidRPr="001A590E">
              <w:rPr>
                <w:color w:val="auto"/>
                <w:sz w:val="17"/>
                <w:szCs w:val="17"/>
              </w:rPr>
              <w:t>90%</w:t>
            </w:r>
          </w:p>
        </w:tc>
        <w:tc>
          <w:tcPr>
            <w:tcW w:w="1508" w:type="dxa"/>
            <w:gridSpan w:val="2"/>
            <w:vMerge w:val="restart"/>
            <w:shd w:val="clear" w:color="auto" w:fill="auto"/>
          </w:tcPr>
          <w:p w14:paraId="3EE7DD0C" w14:textId="42227511" w:rsidR="00CA43A9" w:rsidRPr="001A590E" w:rsidRDefault="00D25408" w:rsidP="00BE4D0C">
            <w:pPr>
              <w:rPr>
                <w:color w:val="auto"/>
                <w:sz w:val="17"/>
                <w:szCs w:val="17"/>
              </w:rPr>
            </w:pPr>
            <w:r w:rsidRPr="001A590E">
              <w:rPr>
                <w:color w:val="auto"/>
                <w:sz w:val="17"/>
                <w:szCs w:val="17"/>
              </w:rPr>
              <w:t>&gt;90%</w:t>
            </w:r>
          </w:p>
        </w:tc>
        <w:tc>
          <w:tcPr>
            <w:tcW w:w="1508" w:type="dxa"/>
            <w:gridSpan w:val="2"/>
            <w:vMerge w:val="restart"/>
            <w:shd w:val="clear" w:color="auto" w:fill="auto"/>
          </w:tcPr>
          <w:p w14:paraId="0E007CD0" w14:textId="1CAAD874" w:rsidR="0012246B" w:rsidRPr="001A590E" w:rsidRDefault="00D25408" w:rsidP="00BE4D0C">
            <w:pPr>
              <w:rPr>
                <w:color w:val="auto"/>
                <w:sz w:val="17"/>
                <w:szCs w:val="17"/>
              </w:rPr>
            </w:pPr>
            <w:r w:rsidRPr="001A590E">
              <w:rPr>
                <w:color w:val="auto"/>
                <w:sz w:val="17"/>
                <w:szCs w:val="17"/>
              </w:rPr>
              <w:t>&gt;90%</w:t>
            </w:r>
          </w:p>
        </w:tc>
        <w:tc>
          <w:tcPr>
            <w:tcW w:w="1508" w:type="dxa"/>
            <w:gridSpan w:val="2"/>
            <w:vMerge w:val="restart"/>
            <w:shd w:val="clear" w:color="auto" w:fill="auto"/>
          </w:tcPr>
          <w:p w14:paraId="0D7A16D2" w14:textId="47723B0B" w:rsidR="0012246B" w:rsidRPr="001A590E" w:rsidRDefault="0012246B" w:rsidP="0012246B">
            <w:pPr>
              <w:rPr>
                <w:color w:val="auto"/>
                <w:sz w:val="17"/>
                <w:szCs w:val="17"/>
              </w:rPr>
            </w:pPr>
            <w:r w:rsidRPr="001A590E">
              <w:rPr>
                <w:color w:val="auto"/>
                <w:sz w:val="17"/>
                <w:szCs w:val="17"/>
              </w:rPr>
              <w:t>&gt;90%</w:t>
            </w:r>
          </w:p>
        </w:tc>
        <w:tc>
          <w:tcPr>
            <w:tcW w:w="1508" w:type="dxa"/>
            <w:vMerge w:val="restart"/>
            <w:shd w:val="clear" w:color="auto" w:fill="auto"/>
          </w:tcPr>
          <w:p w14:paraId="43C10065" w14:textId="35879582" w:rsidR="0012246B" w:rsidRPr="001A590E" w:rsidRDefault="00E74291" w:rsidP="00BE4D0C">
            <w:pPr>
              <w:rPr>
                <w:color w:val="auto"/>
                <w:sz w:val="17"/>
                <w:szCs w:val="17"/>
              </w:rPr>
            </w:pPr>
            <w:r>
              <w:rPr>
                <w:color w:val="auto"/>
                <w:sz w:val="17"/>
                <w:szCs w:val="17"/>
              </w:rPr>
              <w:t>&gt;90%</w:t>
            </w:r>
          </w:p>
        </w:tc>
      </w:tr>
      <w:tr w:rsidR="00FE6768" w:rsidRPr="00FE6768" w14:paraId="37471065" w14:textId="77777777" w:rsidTr="008C63CE">
        <w:trPr>
          <w:jc w:val="center"/>
        </w:trPr>
        <w:tc>
          <w:tcPr>
            <w:tcW w:w="1645" w:type="dxa"/>
            <w:shd w:val="clear" w:color="auto" w:fill="auto"/>
            <w:vAlign w:val="center"/>
          </w:tcPr>
          <w:p w14:paraId="1FCFE181" w14:textId="79089631" w:rsidR="0012246B" w:rsidRPr="001A590E" w:rsidRDefault="007E5809" w:rsidP="00301F27">
            <w:pPr>
              <w:pStyle w:val="Tableheadingrowmeasures85pt"/>
              <w:rPr>
                <w:color w:val="auto"/>
              </w:rPr>
            </w:pPr>
            <w:r>
              <w:rPr>
                <w:color w:val="auto"/>
              </w:rPr>
              <w:t>2022</w:t>
            </w:r>
            <w:r w:rsidR="00BA122B">
              <w:rPr>
                <w:color w:val="auto"/>
              </w:rPr>
              <w:t>–</w:t>
            </w:r>
            <w:r>
              <w:rPr>
                <w:color w:val="auto"/>
              </w:rPr>
              <w:t>23</w:t>
            </w:r>
            <w:r w:rsidR="00301F27">
              <w:rPr>
                <w:color w:val="auto"/>
              </w:rPr>
              <w:br/>
            </w:r>
            <w:r w:rsidR="00676287">
              <w:rPr>
                <w:color w:val="auto"/>
              </w:rPr>
              <w:t xml:space="preserve">Expected </w:t>
            </w:r>
            <w:r w:rsidR="00CF0C4F" w:rsidRPr="001A590E">
              <w:rPr>
                <w:color w:val="auto"/>
              </w:rPr>
              <w:t>Performance Result</w:t>
            </w:r>
          </w:p>
        </w:tc>
        <w:tc>
          <w:tcPr>
            <w:tcW w:w="1508" w:type="dxa"/>
            <w:gridSpan w:val="2"/>
            <w:vMerge/>
            <w:shd w:val="clear" w:color="auto" w:fill="auto"/>
            <w:vAlign w:val="center"/>
          </w:tcPr>
          <w:p w14:paraId="216464DE" w14:textId="77777777" w:rsidR="0012246B" w:rsidRPr="001A590E" w:rsidRDefault="0012246B" w:rsidP="0012246B">
            <w:pPr>
              <w:rPr>
                <w:color w:val="auto"/>
              </w:rPr>
            </w:pPr>
          </w:p>
        </w:tc>
        <w:tc>
          <w:tcPr>
            <w:tcW w:w="1508" w:type="dxa"/>
            <w:gridSpan w:val="2"/>
            <w:vMerge/>
            <w:shd w:val="clear" w:color="auto" w:fill="auto"/>
            <w:vAlign w:val="center"/>
          </w:tcPr>
          <w:p w14:paraId="050AD7B3" w14:textId="442D856C" w:rsidR="0012246B" w:rsidRPr="001A590E" w:rsidRDefault="0012246B" w:rsidP="0012246B">
            <w:pPr>
              <w:rPr>
                <w:color w:val="auto"/>
              </w:rPr>
            </w:pPr>
          </w:p>
        </w:tc>
        <w:tc>
          <w:tcPr>
            <w:tcW w:w="1508" w:type="dxa"/>
            <w:gridSpan w:val="2"/>
            <w:vMerge/>
            <w:shd w:val="clear" w:color="auto" w:fill="auto"/>
            <w:vAlign w:val="center"/>
          </w:tcPr>
          <w:p w14:paraId="239B2F75" w14:textId="77777777" w:rsidR="0012246B" w:rsidRPr="001A590E" w:rsidRDefault="0012246B" w:rsidP="0012246B">
            <w:pPr>
              <w:rPr>
                <w:color w:val="auto"/>
              </w:rPr>
            </w:pPr>
          </w:p>
        </w:tc>
        <w:tc>
          <w:tcPr>
            <w:tcW w:w="1508" w:type="dxa"/>
            <w:vMerge/>
            <w:shd w:val="clear" w:color="auto" w:fill="auto"/>
            <w:vAlign w:val="center"/>
          </w:tcPr>
          <w:p w14:paraId="0C01AC99" w14:textId="154C1A57" w:rsidR="0012246B" w:rsidRPr="001A590E" w:rsidRDefault="0012246B" w:rsidP="0012246B">
            <w:pPr>
              <w:rPr>
                <w:color w:val="auto"/>
              </w:rPr>
            </w:pPr>
          </w:p>
        </w:tc>
      </w:tr>
      <w:tr w:rsidR="00FE6768" w:rsidRPr="00FE6768" w14:paraId="77A7444F" w14:textId="77777777" w:rsidTr="008C63CE">
        <w:trPr>
          <w:jc w:val="center"/>
        </w:trPr>
        <w:tc>
          <w:tcPr>
            <w:tcW w:w="1645" w:type="dxa"/>
            <w:shd w:val="clear" w:color="auto" w:fill="auto"/>
          </w:tcPr>
          <w:p w14:paraId="6F5CAD74" w14:textId="2803CC78" w:rsidR="0012246B" w:rsidRPr="001A590E" w:rsidRDefault="00E74291" w:rsidP="00DD3EB4">
            <w:pPr>
              <w:rPr>
                <w:color w:val="auto"/>
                <w:sz w:val="17"/>
                <w:szCs w:val="17"/>
              </w:rPr>
            </w:pPr>
            <w:r w:rsidRPr="00E74291">
              <w:rPr>
                <w:color w:val="auto"/>
                <w:sz w:val="17"/>
                <w:szCs w:val="17"/>
              </w:rPr>
              <w:t>94.2%</w:t>
            </w:r>
          </w:p>
        </w:tc>
        <w:tc>
          <w:tcPr>
            <w:tcW w:w="1508" w:type="dxa"/>
            <w:gridSpan w:val="2"/>
            <w:vMerge/>
            <w:shd w:val="clear" w:color="auto" w:fill="auto"/>
          </w:tcPr>
          <w:p w14:paraId="6DCBF2C6" w14:textId="77777777" w:rsidR="0012246B" w:rsidRPr="001A590E" w:rsidRDefault="0012246B" w:rsidP="0012246B">
            <w:pPr>
              <w:rPr>
                <w:color w:val="auto"/>
              </w:rPr>
            </w:pPr>
          </w:p>
        </w:tc>
        <w:tc>
          <w:tcPr>
            <w:tcW w:w="1508" w:type="dxa"/>
            <w:gridSpan w:val="2"/>
            <w:vMerge/>
            <w:shd w:val="clear" w:color="auto" w:fill="auto"/>
          </w:tcPr>
          <w:p w14:paraId="51772F47" w14:textId="3BACC345" w:rsidR="0012246B" w:rsidRPr="001A590E" w:rsidRDefault="0012246B" w:rsidP="0012246B">
            <w:pPr>
              <w:rPr>
                <w:color w:val="auto"/>
              </w:rPr>
            </w:pPr>
          </w:p>
        </w:tc>
        <w:tc>
          <w:tcPr>
            <w:tcW w:w="1508" w:type="dxa"/>
            <w:gridSpan w:val="2"/>
            <w:vMerge/>
            <w:shd w:val="clear" w:color="auto" w:fill="auto"/>
          </w:tcPr>
          <w:p w14:paraId="1E82A6F7" w14:textId="77777777" w:rsidR="0012246B" w:rsidRPr="001A590E" w:rsidRDefault="0012246B" w:rsidP="0012246B">
            <w:pPr>
              <w:rPr>
                <w:b/>
                <w:color w:val="auto"/>
              </w:rPr>
            </w:pPr>
          </w:p>
        </w:tc>
        <w:tc>
          <w:tcPr>
            <w:tcW w:w="1508" w:type="dxa"/>
            <w:vMerge/>
            <w:shd w:val="clear" w:color="auto" w:fill="auto"/>
          </w:tcPr>
          <w:p w14:paraId="645DA59C" w14:textId="0C1F0EAC" w:rsidR="0012246B" w:rsidRPr="001A590E" w:rsidRDefault="0012246B" w:rsidP="0012246B">
            <w:pPr>
              <w:rPr>
                <w:b/>
                <w:color w:val="auto"/>
              </w:rPr>
            </w:pPr>
          </w:p>
        </w:tc>
      </w:tr>
      <w:tr w:rsidR="00FE6768" w:rsidRPr="00FE6768" w14:paraId="31D5DA7D" w14:textId="77777777" w:rsidTr="008C63CE">
        <w:trPr>
          <w:jc w:val="center"/>
        </w:trPr>
        <w:tc>
          <w:tcPr>
            <w:tcW w:w="7677" w:type="dxa"/>
            <w:gridSpan w:val="8"/>
            <w:shd w:val="clear" w:color="auto" w:fill="D0CECE" w:themeFill="background2" w:themeFillShade="E6"/>
          </w:tcPr>
          <w:p w14:paraId="6BCCFB69" w14:textId="73B37F3B" w:rsidR="00BF1459" w:rsidRPr="00BF6849" w:rsidRDefault="00BE4D0C" w:rsidP="00B11D80">
            <w:pPr>
              <w:keepNext/>
              <w:rPr>
                <w:b/>
                <w:bCs/>
                <w:color w:val="auto"/>
                <w:sz w:val="17"/>
                <w:szCs w:val="17"/>
              </w:rPr>
            </w:pPr>
            <w:r w:rsidRPr="00FE6768">
              <w:rPr>
                <w:b/>
                <w:color w:val="auto"/>
                <w:sz w:val="17"/>
                <w:szCs w:val="17"/>
              </w:rPr>
              <w:t>Percentage</w:t>
            </w:r>
            <w:r w:rsidRPr="00FE6768">
              <w:rPr>
                <w:b/>
                <w:bCs/>
                <w:color w:val="auto"/>
                <w:sz w:val="17"/>
                <w:szCs w:val="17"/>
              </w:rPr>
              <w:t xml:space="preserve"> of Government agreed </w:t>
            </w:r>
            <w:r w:rsidR="0044633E" w:rsidRPr="00FE6768">
              <w:rPr>
                <w:b/>
                <w:bCs/>
                <w:color w:val="auto"/>
                <w:sz w:val="17"/>
                <w:szCs w:val="17"/>
              </w:rPr>
              <w:t>Medicare Benefits Schedule</w:t>
            </w:r>
            <w:r w:rsidRPr="00FE6768">
              <w:rPr>
                <w:b/>
                <w:bCs/>
                <w:color w:val="auto"/>
                <w:sz w:val="17"/>
                <w:szCs w:val="17"/>
              </w:rPr>
              <w:t xml:space="preserve"> Taskforce recommendations that have been implemented.</w:t>
            </w:r>
          </w:p>
        </w:tc>
      </w:tr>
      <w:tr w:rsidR="00BF1459" w:rsidRPr="00FE6768" w14:paraId="68E8B806" w14:textId="77777777" w:rsidTr="00D06A06">
        <w:trPr>
          <w:jc w:val="center"/>
        </w:trPr>
        <w:tc>
          <w:tcPr>
            <w:tcW w:w="1645" w:type="dxa"/>
            <w:shd w:val="clear" w:color="auto" w:fill="auto"/>
          </w:tcPr>
          <w:p w14:paraId="55EE68A2" w14:textId="49F35BE8" w:rsidR="00BF1459" w:rsidRPr="00BF1459" w:rsidRDefault="00BF1459" w:rsidP="00BF1459">
            <w:pPr>
              <w:pStyle w:val="Tableheadingrow9pt"/>
              <w:keepNext/>
              <w:rPr>
                <w:color w:val="auto"/>
                <w:sz w:val="17"/>
                <w:szCs w:val="17"/>
              </w:rPr>
            </w:pPr>
            <w:r w:rsidRPr="00BF1459">
              <w:rPr>
                <w:color w:val="auto"/>
                <w:sz w:val="17"/>
                <w:szCs w:val="17"/>
              </w:rPr>
              <w:t>Current Year</w:t>
            </w:r>
            <w:r w:rsidRPr="00BF1459">
              <w:rPr>
                <w:color w:val="auto"/>
                <w:sz w:val="17"/>
                <w:szCs w:val="17"/>
              </w:rPr>
              <w:br/>
              <w:t>2022–23 Planned Performance Result</w:t>
            </w:r>
          </w:p>
        </w:tc>
        <w:tc>
          <w:tcPr>
            <w:tcW w:w="1425" w:type="dxa"/>
            <w:shd w:val="clear" w:color="auto" w:fill="auto"/>
          </w:tcPr>
          <w:p w14:paraId="3630F368" w14:textId="2E4F6D34" w:rsidR="00BF1459" w:rsidRPr="00BF1459" w:rsidRDefault="00BF1459" w:rsidP="00BF1459">
            <w:pPr>
              <w:pStyle w:val="Tableheadingrow9pt"/>
              <w:keepNext/>
              <w:rPr>
                <w:color w:val="auto"/>
                <w:sz w:val="17"/>
                <w:szCs w:val="17"/>
              </w:rPr>
            </w:pPr>
            <w:r w:rsidRPr="00BF1459">
              <w:rPr>
                <w:color w:val="auto"/>
                <w:sz w:val="17"/>
                <w:szCs w:val="17"/>
              </w:rPr>
              <w:t>Budget Year</w:t>
            </w:r>
            <w:r w:rsidRPr="00BF1459">
              <w:rPr>
                <w:color w:val="auto"/>
                <w:sz w:val="17"/>
                <w:szCs w:val="17"/>
              </w:rPr>
              <w:br/>
              <w:t>2023–24 Planned Performance Result</w:t>
            </w:r>
          </w:p>
        </w:tc>
        <w:tc>
          <w:tcPr>
            <w:tcW w:w="1536" w:type="dxa"/>
            <w:gridSpan w:val="2"/>
            <w:shd w:val="clear" w:color="auto" w:fill="auto"/>
          </w:tcPr>
          <w:p w14:paraId="0EF6B8F2" w14:textId="513E29FD" w:rsidR="00BF1459" w:rsidRPr="00BF1459" w:rsidRDefault="00BF1459" w:rsidP="00BF1459">
            <w:pPr>
              <w:pStyle w:val="Tableheadingrow9pt"/>
              <w:keepNext/>
              <w:rPr>
                <w:color w:val="auto"/>
                <w:sz w:val="17"/>
                <w:szCs w:val="17"/>
              </w:rPr>
            </w:pPr>
            <w:r w:rsidRPr="00BF1459">
              <w:rPr>
                <w:color w:val="auto"/>
                <w:sz w:val="17"/>
                <w:szCs w:val="17"/>
              </w:rPr>
              <w:t>Forward Estimates</w:t>
            </w:r>
            <w:r w:rsidRPr="00BF1459">
              <w:rPr>
                <w:color w:val="auto"/>
                <w:sz w:val="17"/>
                <w:szCs w:val="17"/>
              </w:rPr>
              <w:br/>
              <w:t>2024–25 Planned Performance Result</w:t>
            </w:r>
          </w:p>
        </w:tc>
        <w:tc>
          <w:tcPr>
            <w:tcW w:w="1535" w:type="dxa"/>
            <w:gridSpan w:val="2"/>
            <w:shd w:val="clear" w:color="auto" w:fill="auto"/>
          </w:tcPr>
          <w:p w14:paraId="2A21DF6D" w14:textId="4CB6475E" w:rsidR="00BF1459" w:rsidRPr="00BF1459" w:rsidRDefault="00BF1459" w:rsidP="00BF1459">
            <w:pPr>
              <w:pStyle w:val="Tableheadingrow9pt"/>
              <w:keepNext/>
              <w:rPr>
                <w:color w:val="auto"/>
                <w:sz w:val="17"/>
                <w:szCs w:val="17"/>
              </w:rPr>
            </w:pPr>
            <w:r w:rsidRPr="00BF1459">
              <w:rPr>
                <w:color w:val="auto"/>
                <w:sz w:val="17"/>
                <w:szCs w:val="17"/>
              </w:rPr>
              <w:t>Forward Estimates</w:t>
            </w:r>
            <w:r w:rsidRPr="00BF1459">
              <w:rPr>
                <w:color w:val="auto"/>
                <w:sz w:val="17"/>
                <w:szCs w:val="17"/>
              </w:rPr>
              <w:br/>
              <w:t>2025–26 Planned Performance Result</w:t>
            </w:r>
          </w:p>
        </w:tc>
        <w:tc>
          <w:tcPr>
            <w:tcW w:w="1536" w:type="dxa"/>
            <w:gridSpan w:val="2"/>
            <w:shd w:val="clear" w:color="auto" w:fill="auto"/>
          </w:tcPr>
          <w:p w14:paraId="0FA931D0" w14:textId="3A09CD11" w:rsidR="00BF1459" w:rsidRPr="00BF1459" w:rsidRDefault="00BF1459" w:rsidP="00BF1459">
            <w:pPr>
              <w:pStyle w:val="Tableheadingrow9pt"/>
              <w:keepNext/>
              <w:rPr>
                <w:color w:val="auto"/>
                <w:sz w:val="17"/>
                <w:szCs w:val="17"/>
              </w:rPr>
            </w:pPr>
            <w:r w:rsidRPr="00BF1459">
              <w:rPr>
                <w:color w:val="auto"/>
                <w:sz w:val="17"/>
                <w:szCs w:val="17"/>
              </w:rPr>
              <w:t>Forward Estimates</w:t>
            </w:r>
            <w:r w:rsidRPr="00BF1459">
              <w:rPr>
                <w:color w:val="auto"/>
                <w:sz w:val="17"/>
                <w:szCs w:val="17"/>
              </w:rPr>
              <w:br/>
              <w:t>2026–27 Planned Performance Result</w:t>
            </w:r>
          </w:p>
        </w:tc>
      </w:tr>
      <w:tr w:rsidR="00C136AF" w:rsidRPr="00FE6768" w14:paraId="14ED5817" w14:textId="77777777" w:rsidTr="008C63CE">
        <w:trPr>
          <w:jc w:val="center"/>
        </w:trPr>
        <w:tc>
          <w:tcPr>
            <w:tcW w:w="1645" w:type="dxa"/>
            <w:shd w:val="clear" w:color="auto" w:fill="auto"/>
          </w:tcPr>
          <w:p w14:paraId="64324C7B" w14:textId="6BE5FE07" w:rsidR="00C136AF" w:rsidRPr="00FE6768" w:rsidRDefault="00C136AF" w:rsidP="00C136AF">
            <w:pPr>
              <w:pStyle w:val="Tableheadingrow9pt"/>
              <w:keepNext/>
              <w:rPr>
                <w:b w:val="0"/>
                <w:color w:val="auto"/>
                <w:sz w:val="17"/>
                <w:szCs w:val="17"/>
              </w:rPr>
            </w:pPr>
            <w:r w:rsidRPr="00FE6768">
              <w:rPr>
                <w:b w:val="0"/>
                <w:color w:val="auto"/>
                <w:sz w:val="17"/>
                <w:szCs w:val="17"/>
              </w:rPr>
              <w:t>80%</w:t>
            </w:r>
          </w:p>
        </w:tc>
        <w:tc>
          <w:tcPr>
            <w:tcW w:w="1425" w:type="dxa"/>
            <w:vMerge w:val="restart"/>
            <w:shd w:val="clear" w:color="auto" w:fill="auto"/>
          </w:tcPr>
          <w:p w14:paraId="78ACFD19" w14:textId="18333DF1" w:rsidR="00C136AF" w:rsidRPr="00FE6768" w:rsidRDefault="00605196" w:rsidP="00605196">
            <w:pPr>
              <w:pStyle w:val="Tableheadingrow9pt"/>
              <w:keepNext/>
              <w:rPr>
                <w:color w:val="auto"/>
                <w:sz w:val="17"/>
                <w:szCs w:val="17"/>
              </w:rPr>
            </w:pPr>
            <w:r>
              <w:rPr>
                <w:b w:val="0"/>
                <w:color w:val="auto"/>
                <w:sz w:val="17"/>
                <w:szCs w:val="17"/>
              </w:rPr>
              <w:t>80</w:t>
            </w:r>
            <w:r w:rsidR="00C136AF" w:rsidRPr="00FE6768">
              <w:rPr>
                <w:b w:val="0"/>
                <w:color w:val="auto"/>
                <w:sz w:val="17"/>
                <w:szCs w:val="17"/>
              </w:rPr>
              <w:t>%</w:t>
            </w:r>
          </w:p>
        </w:tc>
        <w:tc>
          <w:tcPr>
            <w:tcW w:w="1536" w:type="dxa"/>
            <w:gridSpan w:val="2"/>
            <w:vMerge w:val="restart"/>
            <w:shd w:val="clear" w:color="auto" w:fill="auto"/>
          </w:tcPr>
          <w:p w14:paraId="1F768FEF" w14:textId="1DBADA80" w:rsidR="00C136AF" w:rsidRPr="00FE6768" w:rsidRDefault="00605196" w:rsidP="00C136AF">
            <w:pPr>
              <w:pStyle w:val="Tableheadingrow9pt"/>
              <w:keepNext/>
              <w:rPr>
                <w:color w:val="auto"/>
                <w:sz w:val="17"/>
                <w:szCs w:val="17"/>
              </w:rPr>
            </w:pPr>
            <w:r>
              <w:rPr>
                <w:b w:val="0"/>
                <w:color w:val="auto"/>
                <w:sz w:val="17"/>
                <w:szCs w:val="17"/>
              </w:rPr>
              <w:t>80</w:t>
            </w:r>
            <w:r w:rsidR="00C136AF" w:rsidRPr="00FE6768">
              <w:rPr>
                <w:b w:val="0"/>
                <w:color w:val="auto"/>
                <w:sz w:val="17"/>
                <w:szCs w:val="17"/>
              </w:rPr>
              <w:t>%</w:t>
            </w:r>
          </w:p>
        </w:tc>
        <w:tc>
          <w:tcPr>
            <w:tcW w:w="1535" w:type="dxa"/>
            <w:gridSpan w:val="2"/>
            <w:vMerge w:val="restart"/>
            <w:shd w:val="clear" w:color="auto" w:fill="auto"/>
          </w:tcPr>
          <w:p w14:paraId="227C9460" w14:textId="77C4891C" w:rsidR="00C136AF" w:rsidRPr="00BF6849" w:rsidRDefault="00BF1459" w:rsidP="00605196">
            <w:pPr>
              <w:pStyle w:val="Tableheadingrow9pt"/>
              <w:keepNext/>
              <w:rPr>
                <w:color w:val="auto"/>
                <w:sz w:val="17"/>
                <w:szCs w:val="17"/>
              </w:rPr>
            </w:pPr>
            <w:r>
              <w:rPr>
                <w:b w:val="0"/>
                <w:color w:val="auto"/>
                <w:sz w:val="17"/>
                <w:szCs w:val="17"/>
              </w:rPr>
              <w:t>9</w:t>
            </w:r>
            <w:r w:rsidRPr="00BF6849">
              <w:rPr>
                <w:b w:val="0"/>
                <w:color w:val="auto"/>
                <w:sz w:val="17"/>
                <w:szCs w:val="17"/>
              </w:rPr>
              <w:t>0%</w:t>
            </w:r>
          </w:p>
        </w:tc>
        <w:tc>
          <w:tcPr>
            <w:tcW w:w="1536" w:type="dxa"/>
            <w:gridSpan w:val="2"/>
            <w:vMerge w:val="restart"/>
            <w:shd w:val="clear" w:color="auto" w:fill="auto"/>
          </w:tcPr>
          <w:p w14:paraId="28FD352A" w14:textId="32782550" w:rsidR="00C136AF" w:rsidRPr="00BF6849" w:rsidRDefault="00E74291" w:rsidP="00C136AF">
            <w:pPr>
              <w:pStyle w:val="Tableheadingrow9pt"/>
              <w:keepNext/>
              <w:rPr>
                <w:b w:val="0"/>
                <w:color w:val="auto"/>
                <w:sz w:val="17"/>
                <w:szCs w:val="17"/>
              </w:rPr>
            </w:pPr>
            <w:r w:rsidRPr="00E74291">
              <w:rPr>
                <w:b w:val="0"/>
                <w:color w:val="auto"/>
                <w:sz w:val="17"/>
                <w:szCs w:val="17"/>
              </w:rPr>
              <w:t>90%</w:t>
            </w:r>
          </w:p>
        </w:tc>
      </w:tr>
      <w:tr w:rsidR="00C136AF" w:rsidRPr="00FE6768" w14:paraId="1A39A294" w14:textId="77777777" w:rsidTr="008C63CE">
        <w:trPr>
          <w:trHeight w:val="293"/>
          <w:jc w:val="center"/>
        </w:trPr>
        <w:tc>
          <w:tcPr>
            <w:tcW w:w="1645" w:type="dxa"/>
            <w:shd w:val="clear" w:color="auto" w:fill="auto"/>
          </w:tcPr>
          <w:p w14:paraId="5F1066DC" w14:textId="23197B58" w:rsidR="00C136AF" w:rsidRPr="00F22288" w:rsidRDefault="00BA122B" w:rsidP="00BF1459">
            <w:pPr>
              <w:pStyle w:val="Tableheadingrow9pt"/>
              <w:keepNext/>
              <w:rPr>
                <w:color w:val="auto"/>
                <w:sz w:val="17"/>
                <w:szCs w:val="17"/>
              </w:rPr>
            </w:pPr>
            <w:r w:rsidRPr="00F22288">
              <w:rPr>
                <w:color w:val="auto"/>
                <w:sz w:val="17"/>
                <w:szCs w:val="17"/>
              </w:rPr>
              <w:t>202</w:t>
            </w:r>
            <w:r w:rsidR="00BF1459">
              <w:rPr>
                <w:color w:val="auto"/>
                <w:sz w:val="17"/>
                <w:szCs w:val="17"/>
              </w:rPr>
              <w:t>2</w:t>
            </w:r>
            <w:r w:rsidRPr="00F22288">
              <w:rPr>
                <w:color w:val="auto"/>
                <w:sz w:val="17"/>
                <w:szCs w:val="17"/>
              </w:rPr>
              <w:t>–</w:t>
            </w:r>
            <w:r w:rsidR="00CF0C4F" w:rsidRPr="00F22288">
              <w:rPr>
                <w:color w:val="auto"/>
                <w:sz w:val="17"/>
                <w:szCs w:val="17"/>
              </w:rPr>
              <w:t>2</w:t>
            </w:r>
            <w:r w:rsidR="00BF1459">
              <w:rPr>
                <w:color w:val="auto"/>
                <w:sz w:val="17"/>
                <w:szCs w:val="17"/>
              </w:rPr>
              <w:t>3</w:t>
            </w:r>
            <w:r w:rsidR="00CF0C4F" w:rsidRPr="00F22288">
              <w:rPr>
                <w:color w:val="auto"/>
                <w:sz w:val="17"/>
                <w:szCs w:val="17"/>
              </w:rPr>
              <w:br/>
            </w:r>
            <w:r w:rsidR="00676287" w:rsidRPr="00F22288">
              <w:rPr>
                <w:color w:val="auto"/>
                <w:sz w:val="17"/>
                <w:szCs w:val="17"/>
              </w:rPr>
              <w:t xml:space="preserve">Expected </w:t>
            </w:r>
            <w:r w:rsidR="00CF0C4F" w:rsidRPr="00F22288">
              <w:rPr>
                <w:color w:val="auto"/>
                <w:sz w:val="17"/>
                <w:szCs w:val="17"/>
              </w:rPr>
              <w:t>Performance Result</w:t>
            </w:r>
          </w:p>
        </w:tc>
        <w:tc>
          <w:tcPr>
            <w:tcW w:w="1425" w:type="dxa"/>
            <w:vMerge/>
            <w:shd w:val="clear" w:color="auto" w:fill="auto"/>
          </w:tcPr>
          <w:p w14:paraId="1346E040"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2115BCA3" w14:textId="77777777" w:rsidR="00C136AF" w:rsidRPr="00FE6768" w:rsidRDefault="00C136AF" w:rsidP="00C136AF">
            <w:pPr>
              <w:pStyle w:val="Tableheadingrow9pt"/>
              <w:keepNext/>
              <w:rPr>
                <w:color w:val="auto"/>
              </w:rPr>
            </w:pPr>
          </w:p>
        </w:tc>
        <w:tc>
          <w:tcPr>
            <w:tcW w:w="1535" w:type="dxa"/>
            <w:gridSpan w:val="2"/>
            <w:vMerge/>
            <w:shd w:val="clear" w:color="auto" w:fill="auto"/>
          </w:tcPr>
          <w:p w14:paraId="59F27455"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2F639436" w14:textId="15F47A9C" w:rsidR="00C136AF" w:rsidRPr="00FE6768" w:rsidRDefault="00C136AF" w:rsidP="00C136AF">
            <w:pPr>
              <w:pStyle w:val="Tableheadingrow9pt"/>
              <w:keepNext/>
              <w:rPr>
                <w:color w:val="auto"/>
              </w:rPr>
            </w:pPr>
          </w:p>
        </w:tc>
      </w:tr>
      <w:tr w:rsidR="00C136AF" w:rsidRPr="00FE6768" w14:paraId="7B337A04" w14:textId="77777777" w:rsidTr="008C63CE">
        <w:trPr>
          <w:trHeight w:val="292"/>
          <w:jc w:val="center"/>
        </w:trPr>
        <w:tc>
          <w:tcPr>
            <w:tcW w:w="1645" w:type="dxa"/>
            <w:shd w:val="clear" w:color="auto" w:fill="auto"/>
          </w:tcPr>
          <w:p w14:paraId="0A9E9A40" w14:textId="12C64014" w:rsidR="00C136AF" w:rsidRPr="00F22288" w:rsidRDefault="00E74291" w:rsidP="00C136AF">
            <w:pPr>
              <w:pStyle w:val="Tableheadingrow9pt"/>
              <w:keepNext/>
              <w:rPr>
                <w:color w:val="auto"/>
                <w:sz w:val="17"/>
                <w:szCs w:val="17"/>
              </w:rPr>
            </w:pPr>
            <w:r>
              <w:rPr>
                <w:b w:val="0"/>
                <w:color w:val="auto"/>
                <w:sz w:val="17"/>
                <w:szCs w:val="17"/>
              </w:rPr>
              <w:t>Data not yet available</w:t>
            </w:r>
            <w:r>
              <w:rPr>
                <w:rStyle w:val="FootnoteReference"/>
                <w:b w:val="0"/>
                <w:color w:val="auto"/>
                <w:sz w:val="17"/>
                <w:szCs w:val="17"/>
              </w:rPr>
              <w:footnoteReference w:id="4"/>
            </w:r>
          </w:p>
        </w:tc>
        <w:tc>
          <w:tcPr>
            <w:tcW w:w="1425" w:type="dxa"/>
            <w:vMerge/>
            <w:shd w:val="clear" w:color="auto" w:fill="auto"/>
          </w:tcPr>
          <w:p w14:paraId="01904413"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16903092" w14:textId="77777777" w:rsidR="00C136AF" w:rsidRPr="00FE6768" w:rsidRDefault="00C136AF" w:rsidP="00C136AF">
            <w:pPr>
              <w:pStyle w:val="Tableheadingrow9pt"/>
              <w:keepNext/>
              <w:rPr>
                <w:color w:val="auto"/>
              </w:rPr>
            </w:pPr>
          </w:p>
        </w:tc>
        <w:tc>
          <w:tcPr>
            <w:tcW w:w="1535" w:type="dxa"/>
            <w:gridSpan w:val="2"/>
            <w:vMerge/>
            <w:shd w:val="clear" w:color="auto" w:fill="auto"/>
          </w:tcPr>
          <w:p w14:paraId="34A41633" w14:textId="77777777" w:rsidR="00C136AF" w:rsidRPr="00FE6768" w:rsidRDefault="00C136AF" w:rsidP="00C136AF">
            <w:pPr>
              <w:pStyle w:val="Tableheadingrow9pt"/>
              <w:keepNext/>
              <w:rPr>
                <w:color w:val="auto"/>
              </w:rPr>
            </w:pPr>
          </w:p>
        </w:tc>
        <w:tc>
          <w:tcPr>
            <w:tcW w:w="1536" w:type="dxa"/>
            <w:gridSpan w:val="2"/>
            <w:vMerge/>
            <w:shd w:val="clear" w:color="auto" w:fill="auto"/>
          </w:tcPr>
          <w:p w14:paraId="4D6A1EFC" w14:textId="5BE8BCC4" w:rsidR="00C136AF" w:rsidRPr="00FE6768" w:rsidRDefault="00C136AF" w:rsidP="00C136AF">
            <w:pPr>
              <w:pStyle w:val="Tableheadingrow9pt"/>
              <w:keepNext/>
              <w:rPr>
                <w:color w:val="auto"/>
              </w:rPr>
            </w:pPr>
          </w:p>
        </w:tc>
      </w:tr>
      <w:tr w:rsidR="00C136AF" w:rsidRPr="00FE6768" w14:paraId="2A03479A" w14:textId="77777777" w:rsidTr="008C63CE">
        <w:trPr>
          <w:jc w:val="center"/>
        </w:trPr>
        <w:tc>
          <w:tcPr>
            <w:tcW w:w="7677" w:type="dxa"/>
            <w:gridSpan w:val="8"/>
            <w:shd w:val="clear" w:color="auto" w:fill="auto"/>
          </w:tcPr>
          <w:p w14:paraId="581D2E98" w14:textId="77777777" w:rsidR="00C136AF" w:rsidRPr="00FE6768" w:rsidRDefault="00C136AF" w:rsidP="00C136AF">
            <w:pPr>
              <w:pStyle w:val="Tableheadingrow9pt"/>
              <w:keepNext/>
              <w:rPr>
                <w:color w:val="auto"/>
              </w:rPr>
            </w:pPr>
            <w:r w:rsidRPr="00FE6768">
              <w:rPr>
                <w:color w:val="auto"/>
              </w:rPr>
              <w:t>Material changes to Program 2.1 resulting from the following measures:</w:t>
            </w:r>
          </w:p>
          <w:p w14:paraId="213FDCB8" w14:textId="797E3287" w:rsidR="00C136AF" w:rsidRPr="00C66D1C" w:rsidRDefault="00C97633" w:rsidP="00C97633">
            <w:pPr>
              <w:numPr>
                <w:ilvl w:val="0"/>
                <w:numId w:val="1"/>
              </w:numPr>
              <w:ind w:left="284" w:hanging="284"/>
              <w:rPr>
                <w:bCs/>
                <w:i/>
                <w:color w:val="auto"/>
              </w:rPr>
            </w:pPr>
            <w:r w:rsidRPr="00C97633">
              <w:rPr>
                <w:bCs/>
                <w:i/>
                <w:color w:val="auto"/>
                <w:sz w:val="17"/>
                <w:szCs w:val="17"/>
              </w:rPr>
              <w:t>Strengthening Medicare</w:t>
            </w:r>
            <w:r w:rsidR="00C66D1C" w:rsidRPr="00C97633">
              <w:rPr>
                <w:bCs/>
                <w:i/>
                <w:color w:val="auto"/>
                <w:sz w:val="17"/>
                <w:szCs w:val="17"/>
              </w:rPr>
              <w:t>.</w:t>
            </w:r>
          </w:p>
        </w:tc>
      </w:tr>
    </w:tbl>
    <w:p w14:paraId="742BC440" w14:textId="6B5DF9D8" w:rsidR="00D26B6C" w:rsidRPr="00FE6768" w:rsidRDefault="00D26B6C" w:rsidP="00D26B6C">
      <w:pPr>
        <w:rPr>
          <w:color w:val="auto"/>
          <w:szCs w:val="20"/>
        </w:rPr>
      </w:pPr>
      <w:r w:rsidRPr="00FE6768">
        <w:rPr>
          <w:color w:val="auto"/>
        </w:rPr>
        <w:br w:type="page"/>
      </w:r>
    </w:p>
    <w:p w14:paraId="4E14B918" w14:textId="10570B37" w:rsidR="00D26B6C" w:rsidRPr="00FE6768" w:rsidRDefault="006E230F" w:rsidP="00D26B6C">
      <w:pPr>
        <w:pStyle w:val="Tablenumberandreference"/>
        <w:rPr>
          <w:color w:val="auto"/>
        </w:rPr>
      </w:pPr>
      <w:r w:rsidRPr="00FE6768">
        <w:rPr>
          <w:color w:val="auto"/>
        </w:rPr>
        <w:lastRenderedPageBreak/>
        <w:t>Table 2.2</w:t>
      </w:r>
      <w:r w:rsidR="00D26B6C" w:rsidRPr="00FE6768">
        <w:rPr>
          <w:color w:val="auto"/>
        </w:rPr>
        <w:t>.</w:t>
      </w:r>
      <w:r w:rsidR="00D628C2" w:rsidRPr="00FE6768">
        <w:rPr>
          <w:color w:val="auto"/>
        </w:rPr>
        <w:t>3</w:t>
      </w:r>
      <w:r w:rsidR="00D26B6C" w:rsidRPr="00FE6768">
        <w:rPr>
          <w:color w:val="auto"/>
        </w:rPr>
        <w:t>: Perf</w:t>
      </w:r>
      <w:r w:rsidRPr="00FE6768">
        <w:rPr>
          <w:color w:val="auto"/>
        </w:rPr>
        <w:t xml:space="preserve">ormance </w:t>
      </w:r>
      <w:r w:rsidR="002312BC">
        <w:rPr>
          <w:color w:val="auto"/>
        </w:rPr>
        <w:t>m</w:t>
      </w:r>
      <w:r w:rsidR="000F2A3B" w:rsidRPr="00FE6768">
        <w:rPr>
          <w:color w:val="auto"/>
        </w:rPr>
        <w:t>easures</w:t>
      </w:r>
      <w:r w:rsidRPr="00FE6768">
        <w:rPr>
          <w:color w:val="auto"/>
        </w:rPr>
        <w:t xml:space="preserve"> for Program 2.2</w:t>
      </w:r>
    </w:p>
    <w:tbl>
      <w:tblPr>
        <w:tblStyle w:val="TableGrid"/>
        <w:tblW w:w="7677" w:type="dxa"/>
        <w:jc w:val="center"/>
        <w:tblLayout w:type="fixed"/>
        <w:tblLook w:val="04A0" w:firstRow="1" w:lastRow="0" w:firstColumn="1" w:lastColumn="0" w:noHBand="0" w:noVBand="1"/>
        <w:tblCaption w:val="Table 2.2.3: Performance Measures for Program 2.2"/>
        <w:tblDescription w:val="This table outlines Program 2.2's objective and the key activities for Program 2.2. It also includes a performance measure for Program 2.2, with an expected performance result for 2021-22, and planned performance results for 2022-23 and the forward estimates"/>
      </w:tblPr>
      <w:tblGrid>
        <w:gridCol w:w="1536"/>
        <w:gridCol w:w="1536"/>
        <w:gridCol w:w="1535"/>
        <w:gridCol w:w="1535"/>
        <w:gridCol w:w="1535"/>
      </w:tblGrid>
      <w:tr w:rsidR="00FE6768" w:rsidRPr="00FE6768" w14:paraId="048B577C" w14:textId="77777777" w:rsidTr="005E4D65">
        <w:trPr>
          <w:trHeight w:val="50"/>
          <w:jc w:val="center"/>
        </w:trPr>
        <w:tc>
          <w:tcPr>
            <w:tcW w:w="7677" w:type="dxa"/>
            <w:gridSpan w:val="5"/>
            <w:shd w:val="clear" w:color="auto" w:fill="D9D9D9" w:themeFill="background1" w:themeFillShade="D9"/>
          </w:tcPr>
          <w:p w14:paraId="0C0DB2A7" w14:textId="6A571B8E" w:rsidR="00BD1519" w:rsidRPr="00ED218B" w:rsidRDefault="00D26B6C" w:rsidP="00107EC1">
            <w:pPr>
              <w:pStyle w:val="Tableheadingrow9pt"/>
              <w:rPr>
                <w:color w:val="auto"/>
              </w:rPr>
            </w:pPr>
            <w:r w:rsidRPr="00FE6768">
              <w:rPr>
                <w:color w:val="auto"/>
              </w:rPr>
              <w:t xml:space="preserve">Program Objective – Program </w:t>
            </w:r>
            <w:r w:rsidR="006E230F" w:rsidRPr="00FE6768">
              <w:rPr>
                <w:color w:val="auto"/>
              </w:rPr>
              <w:t>2</w:t>
            </w:r>
            <w:r w:rsidR="00D628C2" w:rsidRPr="00FE6768">
              <w:rPr>
                <w:color w:val="auto"/>
              </w:rPr>
              <w:t xml:space="preserve">.2: </w:t>
            </w:r>
            <w:r w:rsidR="006E230F" w:rsidRPr="00FE6768">
              <w:rPr>
                <w:color w:val="auto"/>
              </w:rPr>
              <w:t>Hearing Services</w:t>
            </w:r>
          </w:p>
        </w:tc>
      </w:tr>
      <w:tr w:rsidR="00FE6768" w:rsidRPr="00FE6768" w14:paraId="74549766" w14:textId="77777777" w:rsidTr="005E4D65">
        <w:trPr>
          <w:jc w:val="center"/>
        </w:trPr>
        <w:tc>
          <w:tcPr>
            <w:tcW w:w="7677" w:type="dxa"/>
            <w:gridSpan w:val="5"/>
          </w:tcPr>
          <w:p w14:paraId="70A7E6F7" w14:textId="7E0EF736" w:rsidR="00D26B6C" w:rsidRPr="00FE6768" w:rsidRDefault="007C3185" w:rsidP="00471C03">
            <w:pPr>
              <w:pStyle w:val="Heading2"/>
              <w:outlineLvl w:val="1"/>
              <w:rPr>
                <w:color w:val="auto"/>
              </w:rPr>
            </w:pPr>
            <w:r w:rsidRPr="00FE6768">
              <w:rPr>
                <w:color w:val="auto"/>
              </w:rPr>
              <w:t>Provide hearing services, including devices, to eligible people to help manage their hearing loss and improve engagement with the community. Continue support for hearing research, with a focus on ways to reduce the impact of hearing loss and the incidence and consequence of avoidable hearing loss.</w:t>
            </w:r>
          </w:p>
        </w:tc>
      </w:tr>
      <w:tr w:rsidR="00FE6768" w:rsidRPr="00FE6768" w14:paraId="1A5DC69F" w14:textId="77777777" w:rsidTr="005E4D65">
        <w:trPr>
          <w:jc w:val="center"/>
        </w:trPr>
        <w:tc>
          <w:tcPr>
            <w:tcW w:w="7677" w:type="dxa"/>
            <w:gridSpan w:val="5"/>
            <w:shd w:val="clear" w:color="auto" w:fill="D9D9D9" w:themeFill="background1" w:themeFillShade="D9"/>
          </w:tcPr>
          <w:p w14:paraId="6C41260E" w14:textId="6A889549" w:rsidR="006C28F6" w:rsidRPr="00ED218B" w:rsidRDefault="002D03EF" w:rsidP="00ED218B">
            <w:pPr>
              <w:pStyle w:val="Tableheadingrow9pt"/>
              <w:rPr>
                <w:color w:val="auto"/>
              </w:rPr>
            </w:pPr>
            <w:r>
              <w:rPr>
                <w:color w:val="auto"/>
              </w:rPr>
              <w:t>Key Activities</w:t>
            </w:r>
          </w:p>
        </w:tc>
      </w:tr>
      <w:tr w:rsidR="000470A8" w:rsidRPr="000470A8" w14:paraId="72E850AC" w14:textId="77777777" w:rsidTr="005E4D65">
        <w:trPr>
          <w:jc w:val="center"/>
        </w:trPr>
        <w:tc>
          <w:tcPr>
            <w:tcW w:w="7677" w:type="dxa"/>
            <w:gridSpan w:val="5"/>
          </w:tcPr>
          <w:p w14:paraId="57B4CDA3" w14:textId="77777777" w:rsidR="00F037DA" w:rsidRPr="000470A8" w:rsidRDefault="00F037DA" w:rsidP="00F037DA">
            <w:pPr>
              <w:pStyle w:val="Tabletextnormal9pt"/>
              <w:numPr>
                <w:ilvl w:val="0"/>
                <w:numId w:val="1"/>
              </w:numPr>
              <w:ind w:left="284" w:hanging="284"/>
              <w:rPr>
                <w:color w:val="auto"/>
              </w:rPr>
            </w:pPr>
            <w:r w:rsidRPr="000470A8">
              <w:rPr>
                <w:color w:val="auto"/>
              </w:rPr>
              <w:t>Supporting access to high quality hearing services through delivery of the voucher component of the Hearing Services Program (HSP).</w:t>
            </w:r>
          </w:p>
          <w:p w14:paraId="4DBA523F" w14:textId="77777777" w:rsidR="00F037DA" w:rsidRPr="000470A8" w:rsidRDefault="00F037DA" w:rsidP="00F037DA">
            <w:pPr>
              <w:pStyle w:val="Tabletextnormal9pt"/>
              <w:numPr>
                <w:ilvl w:val="0"/>
                <w:numId w:val="1"/>
              </w:numPr>
              <w:ind w:left="284" w:hanging="284"/>
              <w:rPr>
                <w:color w:val="auto"/>
              </w:rPr>
            </w:pPr>
            <w:r w:rsidRPr="000470A8">
              <w:rPr>
                <w:color w:val="auto"/>
              </w:rPr>
              <w:t>Administering the Community Service Obligations component of the HSP and providing specialist services to children and other eligible groups through Hearing Australia.</w:t>
            </w:r>
          </w:p>
          <w:p w14:paraId="7303D5B5" w14:textId="77777777" w:rsidR="00BC420C" w:rsidRDefault="002D03EF" w:rsidP="00BC420C">
            <w:pPr>
              <w:pStyle w:val="Tabletextnormal9pt"/>
              <w:numPr>
                <w:ilvl w:val="0"/>
                <w:numId w:val="1"/>
              </w:numPr>
              <w:ind w:left="284" w:hanging="284"/>
              <w:rPr>
                <w:color w:val="auto"/>
              </w:rPr>
            </w:pPr>
            <w:r w:rsidRPr="000470A8">
              <w:rPr>
                <w:color w:val="auto"/>
              </w:rPr>
              <w:t>Supporting hearing research and development projects through t</w:t>
            </w:r>
            <w:r w:rsidR="00A20C87" w:rsidRPr="000470A8">
              <w:rPr>
                <w:color w:val="auto"/>
              </w:rPr>
              <w:t>he National Acoustics Laboratories</w:t>
            </w:r>
            <w:r w:rsidRPr="000470A8">
              <w:rPr>
                <w:color w:val="auto"/>
              </w:rPr>
              <w:t>.</w:t>
            </w:r>
          </w:p>
          <w:p w14:paraId="26AA6B6F" w14:textId="49B2F790" w:rsidR="00BC420C" w:rsidRPr="00BC420C" w:rsidRDefault="00BC420C" w:rsidP="00BC420C">
            <w:pPr>
              <w:pStyle w:val="Tabletextnormal9pt"/>
              <w:numPr>
                <w:ilvl w:val="0"/>
                <w:numId w:val="1"/>
              </w:numPr>
              <w:ind w:left="284" w:hanging="284"/>
              <w:rPr>
                <w:color w:val="auto"/>
              </w:rPr>
            </w:pPr>
            <w:r w:rsidRPr="00BC420C">
              <w:rPr>
                <w:color w:val="auto"/>
              </w:rPr>
              <w:t>Continuing to support the establishment of three The Shepherd Centres, one in NSW and two in Tasmania, to provide better care for Australian children with hearing loss</w:t>
            </w:r>
            <w:r>
              <w:rPr>
                <w:color w:val="auto"/>
              </w:rPr>
              <w:t>.</w:t>
            </w:r>
          </w:p>
        </w:tc>
      </w:tr>
      <w:tr w:rsidR="00FE6768" w:rsidRPr="00FE6768" w14:paraId="21663A4F" w14:textId="77777777" w:rsidTr="005E4D65">
        <w:trPr>
          <w:jc w:val="center"/>
        </w:trPr>
        <w:tc>
          <w:tcPr>
            <w:tcW w:w="7677" w:type="dxa"/>
            <w:gridSpan w:val="5"/>
            <w:shd w:val="clear" w:color="auto" w:fill="D9D9D9" w:themeFill="background1" w:themeFillShade="D9"/>
          </w:tcPr>
          <w:p w14:paraId="556BBE09" w14:textId="0A26590B" w:rsidR="005E4D65" w:rsidRPr="00FE6768" w:rsidRDefault="00D26B6C" w:rsidP="00B12FB2">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138BAE1D" w14:textId="77777777" w:rsidTr="005E4D65">
        <w:trPr>
          <w:jc w:val="center"/>
        </w:trPr>
        <w:tc>
          <w:tcPr>
            <w:tcW w:w="7677" w:type="dxa"/>
            <w:gridSpan w:val="5"/>
            <w:shd w:val="clear" w:color="auto" w:fill="D9D9D9" w:themeFill="background1" w:themeFillShade="D9"/>
          </w:tcPr>
          <w:p w14:paraId="41077AEB" w14:textId="6093A610" w:rsidR="00FC0825" w:rsidRPr="00BD70F5" w:rsidRDefault="007C3185" w:rsidP="00BD70F5">
            <w:pPr>
              <w:pStyle w:val="ListParagraph"/>
              <w:keepNext/>
              <w:keepLines/>
              <w:numPr>
                <w:ilvl w:val="0"/>
                <w:numId w:val="11"/>
              </w:numPr>
              <w:spacing w:before="40" w:after="40"/>
              <w:ind w:left="284" w:hanging="284"/>
              <w:contextualSpacing w:val="0"/>
              <w:rPr>
                <w:rFonts w:ascii="Arial" w:hAnsi="Arial" w:cs="Arial"/>
                <w:b/>
                <w:sz w:val="17"/>
                <w:szCs w:val="17"/>
              </w:rPr>
            </w:pPr>
            <w:r w:rsidRPr="00BD70F5">
              <w:rPr>
                <w:rFonts w:ascii="Arial" w:hAnsi="Arial" w:cs="Arial"/>
                <w:b/>
                <w:sz w:val="17"/>
                <w:szCs w:val="17"/>
              </w:rPr>
              <w:t xml:space="preserve">Number of </w:t>
            </w:r>
            <w:r w:rsidR="001D26DF" w:rsidRPr="00BD70F5">
              <w:rPr>
                <w:rFonts w:ascii="Arial" w:hAnsi="Arial" w:cs="Arial"/>
                <w:b/>
                <w:sz w:val="17"/>
                <w:szCs w:val="17"/>
              </w:rPr>
              <w:t xml:space="preserve">active </w:t>
            </w:r>
            <w:r w:rsidRPr="00BD70F5">
              <w:rPr>
                <w:rFonts w:ascii="Arial" w:hAnsi="Arial" w:cs="Arial"/>
                <w:b/>
                <w:sz w:val="17"/>
                <w:szCs w:val="17"/>
              </w:rPr>
              <w:t>vouchered clients</w:t>
            </w:r>
            <w:r w:rsidR="00901774" w:rsidRPr="00AC58FA">
              <w:rPr>
                <w:rFonts w:ascii="Arial" w:hAnsi="Arial" w:cs="Arial"/>
                <w:sz w:val="17"/>
                <w:szCs w:val="17"/>
                <w:vertAlign w:val="superscript"/>
              </w:rPr>
              <w:footnoteReference w:id="5"/>
            </w:r>
            <w:r w:rsidRPr="00AC58FA">
              <w:rPr>
                <w:rFonts w:ascii="Arial" w:hAnsi="Arial" w:cs="Arial"/>
                <w:b/>
                <w:sz w:val="17"/>
                <w:szCs w:val="17"/>
              </w:rPr>
              <w:t xml:space="preserve"> </w:t>
            </w:r>
            <w:r w:rsidRPr="00BD70F5">
              <w:rPr>
                <w:rFonts w:ascii="Arial" w:hAnsi="Arial" w:cs="Arial"/>
                <w:b/>
                <w:sz w:val="17"/>
                <w:szCs w:val="17"/>
              </w:rPr>
              <w:t>who receive hearing services</w:t>
            </w:r>
            <w:r w:rsidR="00BE4D0C" w:rsidRPr="00BD70F5">
              <w:rPr>
                <w:rFonts w:ascii="Arial" w:hAnsi="Arial" w:cs="Arial"/>
                <w:b/>
                <w:sz w:val="17"/>
                <w:szCs w:val="17"/>
              </w:rPr>
              <w:t>.</w:t>
            </w:r>
          </w:p>
          <w:p w14:paraId="69D7B6C6" w14:textId="38C1F75E" w:rsidR="00BD1519" w:rsidRPr="00ED218B" w:rsidRDefault="007C3185" w:rsidP="00BD1519">
            <w:pPr>
              <w:pStyle w:val="ListParagraph"/>
              <w:keepNext/>
              <w:keepLines/>
              <w:numPr>
                <w:ilvl w:val="0"/>
                <w:numId w:val="11"/>
              </w:numPr>
              <w:spacing w:before="40" w:after="40"/>
              <w:ind w:left="284" w:hanging="284"/>
              <w:contextualSpacing w:val="0"/>
              <w:rPr>
                <w:b/>
                <w:sz w:val="17"/>
                <w:szCs w:val="17"/>
              </w:rPr>
            </w:pPr>
            <w:r w:rsidRPr="00FE6768">
              <w:rPr>
                <w:rFonts w:ascii="Arial" w:hAnsi="Arial" w:cs="Arial"/>
                <w:b/>
                <w:sz w:val="17"/>
                <w:szCs w:val="17"/>
              </w:rPr>
              <w:t xml:space="preserve">Number of </w:t>
            </w:r>
            <w:r w:rsidR="000F6EC3" w:rsidRPr="00FE6768">
              <w:rPr>
                <w:rFonts w:ascii="Arial" w:hAnsi="Arial" w:cs="Arial"/>
                <w:b/>
                <w:sz w:val="17"/>
                <w:szCs w:val="17"/>
              </w:rPr>
              <w:t xml:space="preserve">active </w:t>
            </w:r>
            <w:r w:rsidRPr="00FE6768">
              <w:rPr>
                <w:rFonts w:ascii="Arial" w:hAnsi="Arial" w:cs="Arial"/>
                <w:b/>
                <w:sz w:val="17"/>
                <w:szCs w:val="17"/>
              </w:rPr>
              <w:t>Community Service Obligations clients who receive hearing services</w:t>
            </w:r>
            <w:r w:rsidR="00BE4D0C" w:rsidRPr="00FE6768">
              <w:rPr>
                <w:rFonts w:ascii="Arial" w:hAnsi="Arial" w:cs="Arial"/>
                <w:b/>
                <w:sz w:val="17"/>
                <w:szCs w:val="17"/>
              </w:rPr>
              <w:t>.</w:t>
            </w:r>
          </w:p>
        </w:tc>
      </w:tr>
      <w:tr w:rsidR="00BD1519" w:rsidRPr="00FE6768" w14:paraId="529D1560" w14:textId="77777777" w:rsidTr="005E4D65">
        <w:trPr>
          <w:jc w:val="center"/>
        </w:trPr>
        <w:tc>
          <w:tcPr>
            <w:tcW w:w="1536" w:type="dxa"/>
            <w:shd w:val="clear" w:color="auto" w:fill="auto"/>
          </w:tcPr>
          <w:p w14:paraId="4726246E" w14:textId="2EF98182" w:rsidR="00BD1519" w:rsidRPr="00BD1519" w:rsidRDefault="00BD1519" w:rsidP="00BD1519">
            <w:pPr>
              <w:pStyle w:val="Tableheadingrow9pt"/>
              <w:rPr>
                <w:color w:val="auto"/>
                <w:sz w:val="17"/>
                <w:szCs w:val="17"/>
              </w:rPr>
            </w:pPr>
            <w:r w:rsidRPr="00BD1519">
              <w:rPr>
                <w:color w:val="auto"/>
                <w:sz w:val="17"/>
                <w:szCs w:val="17"/>
              </w:rPr>
              <w:t>Current Year</w:t>
            </w:r>
            <w:r w:rsidRPr="00BD1519">
              <w:rPr>
                <w:color w:val="auto"/>
                <w:sz w:val="17"/>
                <w:szCs w:val="17"/>
              </w:rPr>
              <w:br/>
              <w:t>2022–23 Planned Performance Result</w:t>
            </w:r>
          </w:p>
        </w:tc>
        <w:tc>
          <w:tcPr>
            <w:tcW w:w="1536" w:type="dxa"/>
            <w:shd w:val="clear" w:color="auto" w:fill="auto"/>
          </w:tcPr>
          <w:p w14:paraId="1D5062C2" w14:textId="13E39224" w:rsidR="00BD1519" w:rsidRPr="00BD1519" w:rsidRDefault="00BD1519" w:rsidP="00BD1519">
            <w:pPr>
              <w:pStyle w:val="Tableheadingrow9pt"/>
              <w:rPr>
                <w:color w:val="auto"/>
                <w:sz w:val="17"/>
                <w:szCs w:val="17"/>
              </w:rPr>
            </w:pPr>
            <w:r w:rsidRPr="00BD1519">
              <w:rPr>
                <w:color w:val="auto"/>
                <w:sz w:val="17"/>
                <w:szCs w:val="17"/>
              </w:rPr>
              <w:t>Budget Year</w:t>
            </w:r>
            <w:r w:rsidRPr="00BD1519">
              <w:rPr>
                <w:color w:val="auto"/>
                <w:sz w:val="17"/>
                <w:szCs w:val="17"/>
              </w:rPr>
              <w:br/>
              <w:t>2023–24 Planned Performance Result</w:t>
            </w:r>
          </w:p>
        </w:tc>
        <w:tc>
          <w:tcPr>
            <w:tcW w:w="1535" w:type="dxa"/>
            <w:shd w:val="clear" w:color="auto" w:fill="auto"/>
          </w:tcPr>
          <w:p w14:paraId="2FE97B4D" w14:textId="2F660BA1" w:rsidR="00BD1519" w:rsidRPr="00BD1519" w:rsidRDefault="00BD1519" w:rsidP="00BD1519">
            <w:pPr>
              <w:pStyle w:val="Tableheadingrow9pt"/>
              <w:rPr>
                <w:color w:val="auto"/>
                <w:sz w:val="17"/>
                <w:szCs w:val="17"/>
              </w:rPr>
            </w:pPr>
            <w:r w:rsidRPr="00BD1519">
              <w:rPr>
                <w:color w:val="auto"/>
                <w:sz w:val="17"/>
                <w:szCs w:val="17"/>
              </w:rPr>
              <w:t>Forward Estimates</w:t>
            </w:r>
            <w:r w:rsidRPr="00BD1519">
              <w:rPr>
                <w:color w:val="auto"/>
                <w:sz w:val="17"/>
                <w:szCs w:val="17"/>
              </w:rPr>
              <w:br/>
              <w:t>2024–25 Planned Performance Result</w:t>
            </w:r>
          </w:p>
        </w:tc>
        <w:tc>
          <w:tcPr>
            <w:tcW w:w="1535" w:type="dxa"/>
            <w:shd w:val="clear" w:color="auto" w:fill="auto"/>
          </w:tcPr>
          <w:p w14:paraId="2B2C161C" w14:textId="34DF5456" w:rsidR="00BD1519" w:rsidRPr="00BD1519" w:rsidRDefault="00BD1519" w:rsidP="00BD1519">
            <w:pPr>
              <w:pStyle w:val="Tableheadingrow9pt"/>
              <w:rPr>
                <w:color w:val="auto"/>
                <w:sz w:val="17"/>
                <w:szCs w:val="17"/>
              </w:rPr>
            </w:pPr>
            <w:r w:rsidRPr="00BD1519">
              <w:rPr>
                <w:color w:val="auto"/>
                <w:sz w:val="17"/>
                <w:szCs w:val="17"/>
              </w:rPr>
              <w:t>Forward Estimates</w:t>
            </w:r>
            <w:r w:rsidRPr="00BD1519">
              <w:rPr>
                <w:color w:val="auto"/>
                <w:sz w:val="17"/>
                <w:szCs w:val="17"/>
              </w:rPr>
              <w:br/>
              <w:t>2025–26 Planned Performance Result</w:t>
            </w:r>
          </w:p>
        </w:tc>
        <w:tc>
          <w:tcPr>
            <w:tcW w:w="1535" w:type="dxa"/>
            <w:shd w:val="clear" w:color="auto" w:fill="auto"/>
          </w:tcPr>
          <w:p w14:paraId="5559018B" w14:textId="571685D1" w:rsidR="00BD1519" w:rsidRPr="00BD1519" w:rsidRDefault="00BD1519" w:rsidP="00BD1519">
            <w:pPr>
              <w:pStyle w:val="Tableheadingrow9pt"/>
              <w:rPr>
                <w:color w:val="auto"/>
                <w:sz w:val="17"/>
                <w:szCs w:val="17"/>
              </w:rPr>
            </w:pPr>
            <w:r w:rsidRPr="00BD1519">
              <w:rPr>
                <w:color w:val="auto"/>
                <w:sz w:val="17"/>
                <w:szCs w:val="17"/>
              </w:rPr>
              <w:t>Forward Estimates</w:t>
            </w:r>
            <w:r w:rsidRPr="00BD1519">
              <w:rPr>
                <w:color w:val="auto"/>
                <w:sz w:val="17"/>
                <w:szCs w:val="17"/>
              </w:rPr>
              <w:br/>
              <w:t>2026–27 Planned Performance Result</w:t>
            </w:r>
          </w:p>
        </w:tc>
      </w:tr>
      <w:tr w:rsidR="000F639A" w:rsidRPr="00FE6768" w14:paraId="6F60849D" w14:textId="77777777" w:rsidTr="005E4D65">
        <w:trPr>
          <w:jc w:val="center"/>
        </w:trPr>
        <w:tc>
          <w:tcPr>
            <w:tcW w:w="1536" w:type="dxa"/>
            <w:shd w:val="clear" w:color="auto" w:fill="auto"/>
          </w:tcPr>
          <w:p w14:paraId="036E9F0D" w14:textId="77777777" w:rsidR="000F639A" w:rsidRPr="00FE6768" w:rsidRDefault="000F639A" w:rsidP="000F639A">
            <w:pPr>
              <w:rPr>
                <w:color w:val="auto"/>
                <w:sz w:val="17"/>
                <w:szCs w:val="17"/>
              </w:rPr>
            </w:pPr>
            <w:r w:rsidRPr="00FE6768">
              <w:rPr>
                <w:color w:val="auto"/>
                <w:sz w:val="17"/>
                <w:szCs w:val="17"/>
              </w:rPr>
              <w:t xml:space="preserve">a. </w:t>
            </w:r>
            <w:r w:rsidRPr="001E4EA2">
              <w:rPr>
                <w:color w:val="auto"/>
                <w:sz w:val="17"/>
                <w:szCs w:val="17"/>
              </w:rPr>
              <w:t>843,000</w:t>
            </w:r>
          </w:p>
          <w:p w14:paraId="5F5D363A" w14:textId="45D862AE" w:rsidR="000F639A" w:rsidRPr="00FE6768" w:rsidRDefault="000F639A" w:rsidP="000F639A">
            <w:pPr>
              <w:rPr>
                <w:color w:val="auto"/>
                <w:sz w:val="17"/>
                <w:szCs w:val="17"/>
              </w:rPr>
            </w:pPr>
            <w:r w:rsidRPr="00FE6768">
              <w:rPr>
                <w:color w:val="auto"/>
                <w:sz w:val="17"/>
                <w:szCs w:val="17"/>
              </w:rPr>
              <w:t xml:space="preserve">b. </w:t>
            </w:r>
            <w:r w:rsidRPr="001E4EA2">
              <w:rPr>
                <w:color w:val="auto"/>
                <w:sz w:val="17"/>
                <w:szCs w:val="17"/>
              </w:rPr>
              <w:t>77,000</w:t>
            </w:r>
          </w:p>
        </w:tc>
        <w:tc>
          <w:tcPr>
            <w:tcW w:w="1536" w:type="dxa"/>
            <w:vMerge w:val="restart"/>
            <w:shd w:val="clear" w:color="auto" w:fill="auto"/>
          </w:tcPr>
          <w:p w14:paraId="6F11C88F" w14:textId="5EBA9528" w:rsidR="00CC7143" w:rsidRPr="00046C42" w:rsidRDefault="000F639A" w:rsidP="000F639A">
            <w:pPr>
              <w:pStyle w:val="Tableheadingrow9pt"/>
              <w:rPr>
                <w:b w:val="0"/>
                <w:color w:val="auto"/>
                <w:sz w:val="17"/>
                <w:szCs w:val="17"/>
              </w:rPr>
            </w:pPr>
            <w:r w:rsidRPr="00046C42">
              <w:rPr>
                <w:b w:val="0"/>
                <w:color w:val="auto"/>
                <w:sz w:val="17"/>
                <w:szCs w:val="17"/>
              </w:rPr>
              <w:t xml:space="preserve">852,995 </w:t>
            </w:r>
          </w:p>
          <w:p w14:paraId="15F63161" w14:textId="4AD52C50" w:rsidR="000F639A" w:rsidRPr="00046C42" w:rsidRDefault="000F639A" w:rsidP="000F639A">
            <w:pPr>
              <w:pStyle w:val="Tableheadingrow9pt"/>
              <w:rPr>
                <w:b w:val="0"/>
                <w:color w:val="auto"/>
                <w:sz w:val="17"/>
                <w:szCs w:val="17"/>
              </w:rPr>
            </w:pPr>
            <w:r w:rsidRPr="00046C42">
              <w:rPr>
                <w:b w:val="0"/>
                <w:color w:val="auto"/>
                <w:sz w:val="17"/>
                <w:szCs w:val="17"/>
              </w:rPr>
              <w:t>72,690</w:t>
            </w:r>
          </w:p>
        </w:tc>
        <w:tc>
          <w:tcPr>
            <w:tcW w:w="1535" w:type="dxa"/>
            <w:vMerge w:val="restart"/>
            <w:shd w:val="clear" w:color="auto" w:fill="auto"/>
          </w:tcPr>
          <w:p w14:paraId="1534DC93" w14:textId="10F66999" w:rsidR="00CC7143" w:rsidRPr="00046C42" w:rsidRDefault="000F639A" w:rsidP="000F639A">
            <w:pPr>
              <w:pStyle w:val="Tableheadingrow9pt"/>
              <w:rPr>
                <w:b w:val="0"/>
                <w:color w:val="auto"/>
                <w:sz w:val="17"/>
                <w:szCs w:val="17"/>
              </w:rPr>
            </w:pPr>
            <w:r w:rsidRPr="00046C42">
              <w:rPr>
                <w:b w:val="0"/>
                <w:color w:val="auto"/>
                <w:sz w:val="17"/>
                <w:szCs w:val="17"/>
              </w:rPr>
              <w:t>870,565</w:t>
            </w:r>
          </w:p>
          <w:p w14:paraId="20D115B4" w14:textId="5F3F29D6" w:rsidR="000F639A" w:rsidRPr="00046C42" w:rsidRDefault="000F639A" w:rsidP="000F639A">
            <w:pPr>
              <w:pStyle w:val="Tableheadingrow9pt"/>
              <w:rPr>
                <w:b w:val="0"/>
                <w:color w:val="auto"/>
                <w:sz w:val="17"/>
                <w:szCs w:val="17"/>
              </w:rPr>
            </w:pPr>
            <w:r w:rsidRPr="00046C42">
              <w:rPr>
                <w:b w:val="0"/>
                <w:color w:val="auto"/>
                <w:sz w:val="17"/>
                <w:szCs w:val="17"/>
              </w:rPr>
              <w:t>73,467</w:t>
            </w:r>
          </w:p>
        </w:tc>
        <w:tc>
          <w:tcPr>
            <w:tcW w:w="1535" w:type="dxa"/>
            <w:vMerge w:val="restart"/>
            <w:shd w:val="clear" w:color="auto" w:fill="auto"/>
          </w:tcPr>
          <w:p w14:paraId="41A12B6F" w14:textId="77777777" w:rsidR="00CC7143" w:rsidRDefault="000F639A" w:rsidP="000F639A">
            <w:pPr>
              <w:pStyle w:val="Tableheadingrow9pt"/>
              <w:rPr>
                <w:b w:val="0"/>
                <w:color w:val="auto"/>
                <w:sz w:val="17"/>
                <w:szCs w:val="17"/>
              </w:rPr>
            </w:pPr>
            <w:r>
              <w:rPr>
                <w:b w:val="0"/>
                <w:color w:val="auto"/>
                <w:sz w:val="17"/>
                <w:szCs w:val="17"/>
              </w:rPr>
              <w:t>888,497</w:t>
            </w:r>
          </w:p>
          <w:p w14:paraId="103A6E77" w14:textId="7EA601D4" w:rsidR="000F639A" w:rsidRPr="00FE6768" w:rsidRDefault="000F639A" w:rsidP="000F639A">
            <w:pPr>
              <w:pStyle w:val="Tableheadingrow9pt"/>
              <w:rPr>
                <w:color w:val="auto"/>
                <w:sz w:val="17"/>
                <w:szCs w:val="17"/>
              </w:rPr>
            </w:pPr>
            <w:r>
              <w:rPr>
                <w:b w:val="0"/>
                <w:color w:val="auto"/>
                <w:sz w:val="17"/>
                <w:szCs w:val="17"/>
              </w:rPr>
              <w:t>74,2454</w:t>
            </w:r>
          </w:p>
        </w:tc>
        <w:tc>
          <w:tcPr>
            <w:tcW w:w="1535" w:type="dxa"/>
            <w:vMerge w:val="restart"/>
            <w:shd w:val="clear" w:color="auto" w:fill="auto"/>
          </w:tcPr>
          <w:p w14:paraId="58AC05F4" w14:textId="77777777" w:rsidR="00CC7143" w:rsidRPr="00046C42" w:rsidRDefault="000F639A" w:rsidP="000F639A">
            <w:pPr>
              <w:pStyle w:val="Tableheadingrow9pt"/>
              <w:rPr>
                <w:b w:val="0"/>
                <w:color w:val="auto"/>
                <w:sz w:val="17"/>
                <w:szCs w:val="17"/>
              </w:rPr>
            </w:pPr>
            <w:r w:rsidRPr="00046C42">
              <w:rPr>
                <w:b w:val="0"/>
                <w:color w:val="auto"/>
                <w:sz w:val="17"/>
                <w:szCs w:val="17"/>
              </w:rPr>
              <w:t>906,799</w:t>
            </w:r>
          </w:p>
          <w:p w14:paraId="2CAC7711" w14:textId="2EFDC645" w:rsidR="000F639A" w:rsidRPr="00180DCC" w:rsidRDefault="000F639A" w:rsidP="000F639A">
            <w:pPr>
              <w:pStyle w:val="Tableheadingrow9pt"/>
              <w:rPr>
                <w:b w:val="0"/>
                <w:color w:val="auto"/>
                <w:sz w:val="17"/>
                <w:szCs w:val="17"/>
              </w:rPr>
            </w:pPr>
            <w:r w:rsidRPr="00046C42">
              <w:rPr>
                <w:b w:val="0"/>
                <w:color w:val="auto"/>
                <w:sz w:val="17"/>
                <w:szCs w:val="17"/>
              </w:rPr>
              <w:t>75,022</w:t>
            </w:r>
          </w:p>
        </w:tc>
      </w:tr>
      <w:tr w:rsidR="00BD1519" w:rsidRPr="00FE6768" w14:paraId="470F01F8" w14:textId="77777777" w:rsidTr="005E4D65">
        <w:trPr>
          <w:jc w:val="center"/>
        </w:trPr>
        <w:tc>
          <w:tcPr>
            <w:tcW w:w="1536" w:type="dxa"/>
            <w:shd w:val="clear" w:color="auto" w:fill="auto"/>
            <w:tcMar>
              <w:left w:w="108" w:type="dxa"/>
              <w:right w:w="0" w:type="dxa"/>
            </w:tcMar>
          </w:tcPr>
          <w:p w14:paraId="6BEEC37F" w14:textId="11F05845" w:rsidR="00BD1519" w:rsidRPr="00F22288" w:rsidRDefault="00BD1519" w:rsidP="00BD1519">
            <w:pPr>
              <w:pStyle w:val="Tableheadingrow9pt"/>
              <w:rPr>
                <w:color w:val="auto"/>
                <w:sz w:val="17"/>
                <w:szCs w:val="17"/>
              </w:rPr>
            </w:pPr>
            <w:r w:rsidRPr="00F22288">
              <w:rPr>
                <w:color w:val="auto"/>
                <w:sz w:val="17"/>
                <w:szCs w:val="17"/>
              </w:rPr>
              <w:t>202</w:t>
            </w:r>
            <w:r>
              <w:rPr>
                <w:color w:val="auto"/>
                <w:sz w:val="17"/>
                <w:szCs w:val="17"/>
              </w:rPr>
              <w:t>2</w:t>
            </w:r>
            <w:r w:rsidRPr="00F22288">
              <w:rPr>
                <w:color w:val="auto"/>
                <w:sz w:val="17"/>
                <w:szCs w:val="17"/>
              </w:rPr>
              <w:t>–2</w:t>
            </w:r>
            <w:r>
              <w:rPr>
                <w:color w:val="auto"/>
                <w:sz w:val="17"/>
                <w:szCs w:val="17"/>
              </w:rPr>
              <w:t>3</w:t>
            </w:r>
            <w:r w:rsidRPr="00F22288">
              <w:rPr>
                <w:color w:val="auto"/>
                <w:sz w:val="17"/>
                <w:szCs w:val="17"/>
              </w:rPr>
              <w:br/>
              <w:t>Expected Performance Result</w:t>
            </w:r>
          </w:p>
        </w:tc>
        <w:tc>
          <w:tcPr>
            <w:tcW w:w="1536" w:type="dxa"/>
            <w:vMerge/>
            <w:shd w:val="clear" w:color="auto" w:fill="auto"/>
          </w:tcPr>
          <w:p w14:paraId="41CEC809" w14:textId="6FD03899" w:rsidR="00BD1519" w:rsidRPr="00FE6768" w:rsidRDefault="00BD1519" w:rsidP="00BD1519">
            <w:pPr>
              <w:pStyle w:val="Tableheadingrow9pt"/>
              <w:rPr>
                <w:color w:val="auto"/>
                <w:sz w:val="17"/>
                <w:szCs w:val="17"/>
              </w:rPr>
            </w:pPr>
          </w:p>
        </w:tc>
        <w:tc>
          <w:tcPr>
            <w:tcW w:w="1535" w:type="dxa"/>
            <w:vMerge/>
            <w:shd w:val="clear" w:color="auto" w:fill="auto"/>
          </w:tcPr>
          <w:p w14:paraId="34DCE680" w14:textId="60C91909" w:rsidR="00BD1519" w:rsidRPr="00FE6768" w:rsidRDefault="00BD1519" w:rsidP="00BD1519">
            <w:pPr>
              <w:pStyle w:val="Tableheadingrow9pt"/>
              <w:rPr>
                <w:color w:val="auto"/>
                <w:sz w:val="17"/>
                <w:szCs w:val="17"/>
              </w:rPr>
            </w:pPr>
          </w:p>
        </w:tc>
        <w:tc>
          <w:tcPr>
            <w:tcW w:w="1535" w:type="dxa"/>
            <w:vMerge/>
            <w:shd w:val="clear" w:color="auto" w:fill="auto"/>
          </w:tcPr>
          <w:p w14:paraId="19837F30" w14:textId="0042E273" w:rsidR="00BD1519" w:rsidRPr="00FE6768" w:rsidRDefault="00BD1519" w:rsidP="00BD1519">
            <w:pPr>
              <w:pStyle w:val="Tableheadingrow9pt"/>
              <w:rPr>
                <w:color w:val="auto"/>
                <w:sz w:val="17"/>
                <w:szCs w:val="17"/>
              </w:rPr>
            </w:pPr>
          </w:p>
        </w:tc>
        <w:tc>
          <w:tcPr>
            <w:tcW w:w="1535" w:type="dxa"/>
            <w:vMerge/>
            <w:shd w:val="clear" w:color="auto" w:fill="auto"/>
          </w:tcPr>
          <w:p w14:paraId="64B3213D" w14:textId="18DBF8FB" w:rsidR="00BD1519" w:rsidRPr="00FE6768" w:rsidRDefault="00BD1519" w:rsidP="00BD1519">
            <w:pPr>
              <w:pStyle w:val="Tableheadingrow9pt"/>
              <w:rPr>
                <w:color w:val="auto"/>
                <w:sz w:val="17"/>
                <w:szCs w:val="17"/>
              </w:rPr>
            </w:pPr>
          </w:p>
        </w:tc>
      </w:tr>
      <w:tr w:rsidR="00BD1519" w:rsidRPr="00FE6768" w14:paraId="65C36539" w14:textId="77777777" w:rsidTr="005E4D65">
        <w:trPr>
          <w:trHeight w:val="290"/>
          <w:jc w:val="center"/>
        </w:trPr>
        <w:tc>
          <w:tcPr>
            <w:tcW w:w="1536" w:type="dxa"/>
            <w:shd w:val="clear" w:color="auto" w:fill="auto"/>
          </w:tcPr>
          <w:p w14:paraId="003C1470" w14:textId="78A9CF59" w:rsidR="00CC7143" w:rsidRPr="00046C42" w:rsidRDefault="00CC7143" w:rsidP="00CC7143">
            <w:pPr>
              <w:rPr>
                <w:color w:val="auto"/>
                <w:sz w:val="17"/>
                <w:szCs w:val="17"/>
              </w:rPr>
            </w:pPr>
            <w:r w:rsidRPr="00F22288">
              <w:rPr>
                <w:color w:val="auto"/>
                <w:sz w:val="17"/>
                <w:szCs w:val="17"/>
              </w:rPr>
              <w:t>a.</w:t>
            </w:r>
            <w:r w:rsidR="00ED218B">
              <w:rPr>
                <w:color w:val="auto"/>
                <w:sz w:val="17"/>
                <w:szCs w:val="17"/>
              </w:rPr>
              <w:t xml:space="preserve"> </w:t>
            </w:r>
            <w:r w:rsidRPr="00046C42">
              <w:rPr>
                <w:color w:val="auto"/>
                <w:sz w:val="17"/>
                <w:szCs w:val="17"/>
              </w:rPr>
              <w:t>835,779</w:t>
            </w:r>
          </w:p>
          <w:p w14:paraId="25CB54A5" w14:textId="1BE8BEAB" w:rsidR="00BD1519" w:rsidRPr="00F22288" w:rsidRDefault="00CC7143" w:rsidP="00CC7143">
            <w:pPr>
              <w:rPr>
                <w:b/>
                <w:color w:val="auto"/>
                <w:sz w:val="17"/>
                <w:szCs w:val="17"/>
              </w:rPr>
            </w:pPr>
            <w:r w:rsidRPr="00046C42">
              <w:rPr>
                <w:color w:val="auto"/>
                <w:sz w:val="17"/>
                <w:szCs w:val="17"/>
              </w:rPr>
              <w:t>b. 71,910</w:t>
            </w:r>
          </w:p>
        </w:tc>
        <w:tc>
          <w:tcPr>
            <w:tcW w:w="1536" w:type="dxa"/>
            <w:vMerge/>
            <w:shd w:val="clear" w:color="auto" w:fill="auto"/>
          </w:tcPr>
          <w:p w14:paraId="047B17B6" w14:textId="221836F3" w:rsidR="00BD1519" w:rsidRPr="00FE6768" w:rsidRDefault="00BD1519" w:rsidP="00BD1519">
            <w:pPr>
              <w:pStyle w:val="Tableheadingrow9pt"/>
              <w:rPr>
                <w:b w:val="0"/>
                <w:color w:val="auto"/>
              </w:rPr>
            </w:pPr>
          </w:p>
        </w:tc>
        <w:tc>
          <w:tcPr>
            <w:tcW w:w="1535" w:type="dxa"/>
            <w:vMerge/>
            <w:shd w:val="clear" w:color="auto" w:fill="auto"/>
          </w:tcPr>
          <w:p w14:paraId="01494576" w14:textId="1DD2676E" w:rsidR="00BD1519" w:rsidRPr="00FE6768" w:rsidRDefault="00BD1519" w:rsidP="00BD1519">
            <w:pPr>
              <w:pStyle w:val="Tableheadingrow9pt"/>
              <w:rPr>
                <w:b w:val="0"/>
                <w:color w:val="auto"/>
              </w:rPr>
            </w:pPr>
          </w:p>
        </w:tc>
        <w:tc>
          <w:tcPr>
            <w:tcW w:w="1535" w:type="dxa"/>
            <w:vMerge/>
            <w:shd w:val="clear" w:color="auto" w:fill="auto"/>
          </w:tcPr>
          <w:p w14:paraId="72FA7703" w14:textId="20F6007D" w:rsidR="00BD1519" w:rsidRPr="00FE6768" w:rsidRDefault="00BD1519" w:rsidP="00BD1519">
            <w:pPr>
              <w:pStyle w:val="Tableheadingrow9pt"/>
              <w:rPr>
                <w:b w:val="0"/>
                <w:color w:val="auto"/>
              </w:rPr>
            </w:pPr>
          </w:p>
        </w:tc>
        <w:tc>
          <w:tcPr>
            <w:tcW w:w="1535" w:type="dxa"/>
            <w:vMerge/>
            <w:shd w:val="clear" w:color="auto" w:fill="auto"/>
          </w:tcPr>
          <w:p w14:paraId="0DB4A24F" w14:textId="49EB8030" w:rsidR="00BD1519" w:rsidRPr="00FE6768" w:rsidRDefault="00BD1519" w:rsidP="00BD1519">
            <w:pPr>
              <w:pStyle w:val="Tableheadingrow9pt"/>
              <w:rPr>
                <w:b w:val="0"/>
                <w:color w:val="auto"/>
              </w:rPr>
            </w:pPr>
          </w:p>
        </w:tc>
      </w:tr>
      <w:tr w:rsidR="00BD1519" w:rsidRPr="00FE6768" w14:paraId="3E7BE1BB" w14:textId="77777777" w:rsidTr="005E4D65">
        <w:trPr>
          <w:jc w:val="center"/>
        </w:trPr>
        <w:tc>
          <w:tcPr>
            <w:tcW w:w="7677" w:type="dxa"/>
            <w:gridSpan w:val="5"/>
            <w:shd w:val="clear" w:color="auto" w:fill="auto"/>
          </w:tcPr>
          <w:p w14:paraId="5D6A699B" w14:textId="702066B6" w:rsidR="00BD1519" w:rsidRPr="00FE6768" w:rsidRDefault="00BD1519" w:rsidP="00BD1519">
            <w:pPr>
              <w:pStyle w:val="Tableheadingrow9pt"/>
              <w:rPr>
                <w:color w:val="auto"/>
              </w:rPr>
            </w:pPr>
            <w:r w:rsidRPr="00FE6768">
              <w:rPr>
                <w:color w:val="auto"/>
              </w:rPr>
              <w:t>Material changes to Program 2.2 resulting from the following measures:</w:t>
            </w:r>
          </w:p>
          <w:p w14:paraId="56B024AD" w14:textId="1C2FD194" w:rsidR="00051374" w:rsidRPr="00051374" w:rsidRDefault="00051374" w:rsidP="00051374">
            <w:pPr>
              <w:pStyle w:val="Tableheadingrow9pt"/>
              <w:rPr>
                <w:b w:val="0"/>
                <w:bCs/>
                <w:i/>
                <w:color w:val="auto"/>
              </w:rPr>
            </w:pPr>
            <w:r w:rsidRPr="00051374">
              <w:rPr>
                <w:b w:val="0"/>
                <w:sz w:val="17"/>
                <w:szCs w:val="17"/>
              </w:rPr>
              <w:t xml:space="preserve">There are no material changes to Program </w:t>
            </w:r>
            <w:r>
              <w:rPr>
                <w:b w:val="0"/>
                <w:sz w:val="17"/>
                <w:szCs w:val="17"/>
              </w:rPr>
              <w:t>2</w:t>
            </w:r>
            <w:r w:rsidRPr="00051374">
              <w:rPr>
                <w:b w:val="0"/>
                <w:sz w:val="17"/>
                <w:szCs w:val="17"/>
              </w:rPr>
              <w:t>.</w:t>
            </w:r>
            <w:r>
              <w:rPr>
                <w:b w:val="0"/>
                <w:sz w:val="17"/>
                <w:szCs w:val="17"/>
              </w:rPr>
              <w:t>2</w:t>
            </w:r>
            <w:r w:rsidRPr="00051374">
              <w:rPr>
                <w:b w:val="0"/>
                <w:sz w:val="17"/>
                <w:szCs w:val="17"/>
              </w:rPr>
              <w:t xml:space="preserve"> resulting from measures.</w:t>
            </w:r>
          </w:p>
        </w:tc>
      </w:tr>
    </w:tbl>
    <w:p w14:paraId="318F9774" w14:textId="4BB55C58" w:rsidR="00D26B6C" w:rsidRPr="00FE6768" w:rsidRDefault="006E230F" w:rsidP="00D26B6C">
      <w:pPr>
        <w:pStyle w:val="Tablenumberandreference"/>
        <w:pageBreakBefore/>
        <w:rPr>
          <w:color w:val="auto"/>
        </w:rPr>
      </w:pPr>
      <w:r w:rsidRPr="00FE6768">
        <w:rPr>
          <w:color w:val="auto"/>
        </w:rPr>
        <w:lastRenderedPageBreak/>
        <w:t>Table 2.2</w:t>
      </w:r>
      <w:r w:rsidR="00D628C2" w:rsidRPr="00FE6768">
        <w:rPr>
          <w:color w:val="auto"/>
        </w:rPr>
        <w:t>.4</w:t>
      </w:r>
      <w:r w:rsidR="00D26B6C" w:rsidRPr="00FE6768">
        <w:rPr>
          <w:color w:val="auto"/>
        </w:rPr>
        <w:t>: Pe</w:t>
      </w:r>
      <w:r w:rsidRPr="00FE6768">
        <w:rPr>
          <w:color w:val="auto"/>
        </w:rPr>
        <w:t xml:space="preserve">rformance </w:t>
      </w:r>
      <w:r w:rsidR="002312BC">
        <w:rPr>
          <w:color w:val="auto"/>
        </w:rPr>
        <w:t>m</w:t>
      </w:r>
      <w:r w:rsidR="000F2A3B" w:rsidRPr="00FE6768">
        <w:rPr>
          <w:color w:val="auto"/>
        </w:rPr>
        <w:t>easures</w:t>
      </w:r>
      <w:r w:rsidRPr="00FE6768">
        <w:rPr>
          <w:color w:val="auto"/>
        </w:rPr>
        <w:t xml:space="preserve"> for Program 2.3</w:t>
      </w:r>
    </w:p>
    <w:tbl>
      <w:tblPr>
        <w:tblStyle w:val="TableGrid"/>
        <w:tblW w:w="7677" w:type="dxa"/>
        <w:jc w:val="center"/>
        <w:tblLayout w:type="fixed"/>
        <w:tblLook w:val="04A0" w:firstRow="1" w:lastRow="0" w:firstColumn="1" w:lastColumn="0" w:noHBand="0" w:noVBand="1"/>
        <w:tblCaption w:val="Table 2.2.4: Performance Measures for Program 2.3"/>
        <w:tblDescription w:val="This table outlines Program 2.3's objective and the key activities for Program 2.3. It also includes a performance measure for Program 2.3, with an expected performance result for 2021-22, and planned performance results for 2022-23 and the forward estimates"/>
      </w:tblPr>
      <w:tblGrid>
        <w:gridCol w:w="7659"/>
        <w:gridCol w:w="18"/>
      </w:tblGrid>
      <w:tr w:rsidR="00FE6768" w:rsidRPr="00FE6768" w14:paraId="0687741A" w14:textId="77777777" w:rsidTr="00FB0C67">
        <w:trPr>
          <w:jc w:val="center"/>
        </w:trPr>
        <w:tc>
          <w:tcPr>
            <w:tcW w:w="7677" w:type="dxa"/>
            <w:gridSpan w:val="2"/>
            <w:shd w:val="clear" w:color="auto" w:fill="D9D9D9" w:themeFill="background1" w:themeFillShade="D9"/>
          </w:tcPr>
          <w:p w14:paraId="6CB212C8" w14:textId="6A125101" w:rsidR="00E874BA" w:rsidRPr="005C615E" w:rsidRDefault="00D26B6C" w:rsidP="00107EC1">
            <w:pPr>
              <w:pStyle w:val="Tableheadingrow9pt"/>
              <w:rPr>
                <w:color w:val="auto"/>
              </w:rPr>
            </w:pPr>
            <w:r w:rsidRPr="00FE6768">
              <w:rPr>
                <w:color w:val="auto"/>
              </w:rPr>
              <w:t xml:space="preserve">Program Objective – Program </w:t>
            </w:r>
            <w:r w:rsidR="006E230F" w:rsidRPr="00FE6768">
              <w:rPr>
                <w:color w:val="auto"/>
              </w:rPr>
              <w:t>2</w:t>
            </w:r>
            <w:r w:rsidR="000A74AA" w:rsidRPr="00FE6768">
              <w:rPr>
                <w:color w:val="auto"/>
              </w:rPr>
              <w:t>.3</w:t>
            </w:r>
            <w:r w:rsidRPr="00FE6768">
              <w:rPr>
                <w:color w:val="auto"/>
              </w:rPr>
              <w:t xml:space="preserve">: </w:t>
            </w:r>
            <w:r w:rsidR="006E230F" w:rsidRPr="00FE6768">
              <w:rPr>
                <w:color w:val="auto"/>
              </w:rPr>
              <w:t>Pharmaceutical Benefits</w:t>
            </w:r>
          </w:p>
        </w:tc>
      </w:tr>
      <w:tr w:rsidR="00FE6768" w:rsidRPr="00FE6768" w14:paraId="13D0FAE4" w14:textId="77777777" w:rsidTr="00FB0C67">
        <w:trPr>
          <w:jc w:val="center"/>
        </w:trPr>
        <w:tc>
          <w:tcPr>
            <w:tcW w:w="7677" w:type="dxa"/>
            <w:gridSpan w:val="2"/>
          </w:tcPr>
          <w:p w14:paraId="157DBD39" w14:textId="6176803C" w:rsidR="00573A4A" w:rsidRPr="00C13046" w:rsidRDefault="00326645" w:rsidP="00C13046">
            <w:pPr>
              <w:pStyle w:val="Heading2"/>
              <w:outlineLvl w:val="1"/>
              <w:rPr>
                <w:color w:val="auto"/>
              </w:rPr>
            </w:pPr>
            <w:r w:rsidRPr="00FE6768">
              <w:rPr>
                <w:color w:val="auto"/>
              </w:rPr>
              <w:t>Provide all eligible Australians with reliable, timely, and affordable access to high quality, cost</w:t>
            </w:r>
            <w:r w:rsidRPr="00FE6768">
              <w:rPr>
                <w:color w:val="auto"/>
              </w:rPr>
              <w:noBreakHyphen/>
              <w:t>effective, innovative, clinically effective medicines, and sustainable pharmaceutical services by subsidising the cost of medicines through the Pharmaceutical Benefits Scheme</w:t>
            </w:r>
            <w:r w:rsidR="003C24BF">
              <w:rPr>
                <w:color w:val="auto"/>
              </w:rPr>
              <w:t> </w:t>
            </w:r>
            <w:r w:rsidRPr="00FE6768">
              <w:rPr>
                <w:color w:val="auto"/>
              </w:rPr>
              <w:t>(PBS) and the Life Saving Drugs Program (LSDP).</w:t>
            </w:r>
          </w:p>
        </w:tc>
      </w:tr>
      <w:tr w:rsidR="00FE6768" w:rsidRPr="00FE6768" w14:paraId="6CD53C38" w14:textId="77777777" w:rsidTr="00FB0C67">
        <w:trPr>
          <w:gridAfter w:val="1"/>
          <w:wAfter w:w="18" w:type="dxa"/>
          <w:jc w:val="center"/>
        </w:trPr>
        <w:tc>
          <w:tcPr>
            <w:tcW w:w="7659" w:type="dxa"/>
            <w:shd w:val="clear" w:color="auto" w:fill="D9D9D9" w:themeFill="background1" w:themeFillShade="D9"/>
          </w:tcPr>
          <w:p w14:paraId="7D096784" w14:textId="13A5AE36" w:rsidR="005C615E" w:rsidRPr="005C615E" w:rsidRDefault="005A53D6" w:rsidP="005C615E">
            <w:pPr>
              <w:pStyle w:val="Tableheadingrow9pt"/>
              <w:rPr>
                <w:color w:val="auto"/>
              </w:rPr>
            </w:pPr>
            <w:r>
              <w:rPr>
                <w:color w:val="auto"/>
              </w:rPr>
              <w:t>Key Activities</w:t>
            </w:r>
          </w:p>
        </w:tc>
      </w:tr>
      <w:tr w:rsidR="00FE6768" w:rsidRPr="00FE6768" w14:paraId="2FB01496" w14:textId="77777777" w:rsidTr="00FB0C67">
        <w:trPr>
          <w:jc w:val="center"/>
        </w:trPr>
        <w:tc>
          <w:tcPr>
            <w:tcW w:w="7677" w:type="dxa"/>
            <w:gridSpan w:val="2"/>
          </w:tcPr>
          <w:p w14:paraId="4512DA56" w14:textId="5E15FD51" w:rsidR="00286607" w:rsidRPr="007D542D" w:rsidRDefault="00286607" w:rsidP="00286607">
            <w:pPr>
              <w:pStyle w:val="Tabletextnormal9pt"/>
              <w:keepNext/>
              <w:keepLines/>
              <w:numPr>
                <w:ilvl w:val="0"/>
                <w:numId w:val="1"/>
              </w:numPr>
              <w:ind w:left="314" w:hanging="284"/>
              <w:rPr>
                <w:color w:val="auto"/>
              </w:rPr>
            </w:pPr>
            <w:r w:rsidRPr="00954407">
              <w:rPr>
                <w:color w:val="auto"/>
              </w:rPr>
              <w:t xml:space="preserve">Provide all eligible Australians with reliable, timely, and affordable access to high quality, </w:t>
            </w:r>
            <w:r>
              <w:rPr>
                <w:color w:val="auto"/>
              </w:rPr>
              <w:t xml:space="preserve">clinically effective, </w:t>
            </w:r>
            <w:r w:rsidRPr="00954407">
              <w:rPr>
                <w:color w:val="auto"/>
              </w:rPr>
              <w:t>cost</w:t>
            </w:r>
            <w:r w:rsidRPr="00954407">
              <w:rPr>
                <w:color w:val="auto"/>
              </w:rPr>
              <w:noBreakHyphen/>
              <w:t>effective</w:t>
            </w:r>
            <w:r>
              <w:rPr>
                <w:color w:val="auto"/>
              </w:rPr>
              <w:t xml:space="preserve"> </w:t>
            </w:r>
            <w:r w:rsidRPr="00954407">
              <w:rPr>
                <w:color w:val="auto"/>
              </w:rPr>
              <w:t xml:space="preserve">medicines </w:t>
            </w:r>
            <w:r w:rsidRPr="006C537F">
              <w:rPr>
                <w:color w:val="auto"/>
              </w:rPr>
              <w:t xml:space="preserve">recommended by the Pharmaceutical Benefits Advisory </w:t>
            </w:r>
            <w:r w:rsidRPr="007D542D">
              <w:rPr>
                <w:color w:val="auto"/>
              </w:rPr>
              <w:t>Committee (PBAC), by listing new medicines on the Pharmaceutical Benefits Scheme (PBS)</w:t>
            </w:r>
            <w:r w:rsidR="00D0195E" w:rsidRPr="007D542D">
              <w:rPr>
                <w:color w:val="auto"/>
              </w:rPr>
              <w:t>, and implementing reforms recommended by the PBAC to increase the maximum dispensing quantities of certain PBS listed medicines</w:t>
            </w:r>
            <w:r w:rsidRPr="007D542D">
              <w:rPr>
                <w:color w:val="auto"/>
              </w:rPr>
              <w:t>.</w:t>
            </w:r>
          </w:p>
          <w:p w14:paraId="68010FF3" w14:textId="61166B40" w:rsidR="003F3A92" w:rsidRPr="007D542D" w:rsidRDefault="00F037DA" w:rsidP="005A53D6">
            <w:pPr>
              <w:pStyle w:val="Tabletextnormal9pt"/>
              <w:keepNext/>
              <w:keepLines/>
              <w:numPr>
                <w:ilvl w:val="0"/>
                <w:numId w:val="1"/>
              </w:numPr>
              <w:ind w:left="314" w:hanging="284"/>
              <w:rPr>
                <w:color w:val="auto"/>
              </w:rPr>
            </w:pPr>
            <w:r w:rsidRPr="007D542D">
              <w:rPr>
                <w:color w:val="auto"/>
              </w:rPr>
              <w:t>Providing access to new and existing medicines for patients with life threatening conditions, assessing patient applications, administering medicine orders within agreed timeframes, and supporting the LSDP Expert Panel to assess new medicines for LSDP listing and review existing LSDP medicines.</w:t>
            </w:r>
          </w:p>
          <w:p w14:paraId="5EA13450" w14:textId="2DAA16F1" w:rsidR="005A53D6" w:rsidRPr="007D542D" w:rsidRDefault="005A53D6" w:rsidP="005A53D6">
            <w:pPr>
              <w:pStyle w:val="Tabletextnormal9pt"/>
              <w:keepNext/>
              <w:keepLines/>
              <w:numPr>
                <w:ilvl w:val="0"/>
                <w:numId w:val="1"/>
              </w:numPr>
              <w:ind w:left="314" w:hanging="284"/>
              <w:rPr>
                <w:color w:val="auto"/>
              </w:rPr>
            </w:pPr>
            <w:r w:rsidRPr="007D542D">
              <w:rPr>
                <w:color w:val="auto"/>
              </w:rPr>
              <w:t xml:space="preserve">Facilitating equitable access to essential PBS medicines for all Australians, including people living in remote and </w:t>
            </w:r>
            <w:r w:rsidR="008C743E" w:rsidRPr="007D542D">
              <w:rPr>
                <w:color w:val="auto"/>
              </w:rPr>
              <w:t>First Nations</w:t>
            </w:r>
            <w:r w:rsidRPr="007D542D">
              <w:rPr>
                <w:color w:val="auto"/>
              </w:rPr>
              <w:t xml:space="preserve"> communities</w:t>
            </w:r>
            <w:r w:rsidR="00D0195E" w:rsidRPr="007D542D">
              <w:rPr>
                <w:color w:val="auto"/>
              </w:rPr>
              <w:t>, through making PBS listed medicines more affordable by implementing the PBAC’s recommendations to increase the maximum dispensing quantities of certain medicines</w:t>
            </w:r>
            <w:r w:rsidRPr="007D542D">
              <w:rPr>
                <w:color w:val="auto"/>
              </w:rPr>
              <w:t>.</w:t>
            </w:r>
          </w:p>
          <w:p w14:paraId="3E7926E5" w14:textId="43AEB055" w:rsidR="005A53D6" w:rsidRPr="007D542D" w:rsidRDefault="005A53D6" w:rsidP="005A53D6">
            <w:pPr>
              <w:pStyle w:val="Tabletextnormal9pt"/>
              <w:keepNext/>
              <w:keepLines/>
              <w:numPr>
                <w:ilvl w:val="0"/>
                <w:numId w:val="1"/>
              </w:numPr>
              <w:ind w:left="314" w:hanging="284"/>
              <w:rPr>
                <w:color w:val="auto"/>
              </w:rPr>
            </w:pPr>
            <w:r w:rsidRPr="007D542D">
              <w:rPr>
                <w:color w:val="auto"/>
              </w:rPr>
              <w:t>Ensuring patients have access to medicines and professional pharmacy services that support the safe and quality use of medicines through the Seventh Community Pharmacy Agreement</w:t>
            </w:r>
            <w:r w:rsidR="00D0195E" w:rsidRPr="007D542D">
              <w:rPr>
                <w:color w:val="auto"/>
              </w:rPr>
              <w:t>, and expanding the range of funded pharmacy programs, including administration of vaccines, to recognise the full scope of practice of pharmacists.</w:t>
            </w:r>
          </w:p>
          <w:p w14:paraId="48D5E1BA" w14:textId="17BEA2FF" w:rsidR="005A53D6" w:rsidRPr="007D542D" w:rsidRDefault="005A53D6" w:rsidP="005A53D6">
            <w:pPr>
              <w:pStyle w:val="Tabletextnormal9pt"/>
              <w:keepNext/>
              <w:keepLines/>
              <w:numPr>
                <w:ilvl w:val="0"/>
                <w:numId w:val="1"/>
              </w:numPr>
              <w:ind w:left="314" w:hanging="284"/>
              <w:rPr>
                <w:color w:val="auto"/>
              </w:rPr>
            </w:pPr>
            <w:r w:rsidRPr="007D542D">
              <w:rPr>
                <w:color w:val="auto"/>
              </w:rPr>
              <w:t>Supporting and monitoring pharmaceutical wholesalers participating in the Community Service Obligation Funding Pool to ensure all eligible Australians have timely access to PBS medicines, including delivering subsidised PBS units to community pharmacies within agreed timeframes</w:t>
            </w:r>
            <w:r w:rsidR="00D0195E" w:rsidRPr="007D542D">
              <w:rPr>
                <w:color w:val="auto"/>
              </w:rPr>
              <w:t>, in a way that supports Australians to access medicines through a reliable domestic supply chain</w:t>
            </w:r>
            <w:r w:rsidRPr="007D542D">
              <w:rPr>
                <w:color w:val="auto"/>
              </w:rPr>
              <w:t>.</w:t>
            </w:r>
          </w:p>
          <w:p w14:paraId="5AAA6A8D" w14:textId="61DCDA4B" w:rsidR="001B296E" w:rsidRPr="007D542D" w:rsidRDefault="001B296E" w:rsidP="001B296E">
            <w:pPr>
              <w:pStyle w:val="Tabletextnormal9pt"/>
              <w:keepNext/>
              <w:keepLines/>
              <w:numPr>
                <w:ilvl w:val="0"/>
                <w:numId w:val="1"/>
              </w:numPr>
              <w:ind w:left="314" w:hanging="284"/>
              <w:rPr>
                <w:color w:val="auto"/>
              </w:rPr>
            </w:pPr>
            <w:r w:rsidRPr="007D542D">
              <w:rPr>
                <w:color w:val="auto"/>
              </w:rPr>
              <w:t>Ensuring continuity of medicines supply through the Minimum Stockholding Requirements designed to help protect Australian patients, pharmacists, and prescribers from the impact of global medicines shortages.</w:t>
            </w:r>
          </w:p>
          <w:p w14:paraId="504181CC" w14:textId="752C5026" w:rsidR="005A53D6" w:rsidRPr="006805C2" w:rsidRDefault="005A53D6" w:rsidP="005A53D6">
            <w:pPr>
              <w:pStyle w:val="Tabletextnormal9pt"/>
              <w:keepNext/>
              <w:keepLines/>
              <w:numPr>
                <w:ilvl w:val="0"/>
                <w:numId w:val="1"/>
              </w:numPr>
              <w:ind w:left="314" w:hanging="284"/>
              <w:rPr>
                <w:color w:val="auto"/>
              </w:rPr>
            </w:pPr>
            <w:r w:rsidRPr="007D542D">
              <w:rPr>
                <w:color w:val="auto"/>
              </w:rPr>
              <w:t>Monitoring the number and location of PBS suppliers</w:t>
            </w:r>
            <w:r w:rsidRPr="006805C2">
              <w:rPr>
                <w:color w:val="auto"/>
              </w:rPr>
              <w:t xml:space="preserve"> to ensure suppliers are being approved in appropriate locations.</w:t>
            </w:r>
          </w:p>
          <w:p w14:paraId="6EB601E7" w14:textId="3E9496A1" w:rsidR="001B296E" w:rsidRPr="006805C2" w:rsidRDefault="001B296E" w:rsidP="001B296E">
            <w:pPr>
              <w:pStyle w:val="Tabletextnormal9pt"/>
              <w:keepNext/>
              <w:keepLines/>
              <w:numPr>
                <w:ilvl w:val="0"/>
                <w:numId w:val="1"/>
              </w:numPr>
              <w:ind w:left="314" w:hanging="284"/>
              <w:rPr>
                <w:color w:val="auto"/>
              </w:rPr>
            </w:pPr>
            <w:r w:rsidRPr="006805C2">
              <w:rPr>
                <w:color w:val="auto"/>
              </w:rPr>
              <w:t>Supporting the Health Technology Assessment (HTA) Policy and Methods Review to ensure HTA approaches keep pace with advances in health technology and minimise barriers to access.</w:t>
            </w:r>
          </w:p>
          <w:p w14:paraId="6B6C2ABA" w14:textId="18D9FFD9" w:rsidR="00B70339" w:rsidRPr="003C24BF" w:rsidRDefault="0085437E" w:rsidP="00F037DA">
            <w:pPr>
              <w:pStyle w:val="Tabletextnormal9pt"/>
              <w:keepNext/>
              <w:keepLines/>
              <w:numPr>
                <w:ilvl w:val="0"/>
                <w:numId w:val="1"/>
              </w:numPr>
              <w:ind w:left="314" w:hanging="284"/>
              <w:rPr>
                <w:color w:val="auto"/>
              </w:rPr>
            </w:pPr>
            <w:r w:rsidRPr="006805C2">
              <w:rPr>
                <w:color w:val="auto"/>
              </w:rPr>
              <w:t xml:space="preserve">Undertaking post market health technology assessment and ongoing reviews of PBS listed medicines to ensure they are clinically </w:t>
            </w:r>
            <w:r w:rsidR="00ED6BE2" w:rsidRPr="006805C2">
              <w:rPr>
                <w:color w:val="auto"/>
              </w:rPr>
              <w:t>safe</w:t>
            </w:r>
            <w:r w:rsidRPr="006805C2">
              <w:rPr>
                <w:color w:val="auto"/>
              </w:rPr>
              <w:t xml:space="preserve"> and cost</w:t>
            </w:r>
            <w:r w:rsidR="00BB2922" w:rsidRPr="006805C2">
              <w:rPr>
                <w:color w:val="auto"/>
              </w:rPr>
              <w:t>-</w:t>
            </w:r>
            <w:r w:rsidRPr="006805C2">
              <w:rPr>
                <w:color w:val="auto"/>
              </w:rPr>
              <w:t>effective for patients.</w:t>
            </w:r>
          </w:p>
        </w:tc>
      </w:tr>
    </w:tbl>
    <w:p w14:paraId="20B6880B" w14:textId="77777777" w:rsidR="00294E0C" w:rsidRDefault="00294E0C">
      <w:r>
        <w:rPr>
          <w:b/>
        </w:rPr>
        <w:br w:type="page"/>
      </w:r>
    </w:p>
    <w:tbl>
      <w:tblPr>
        <w:tblStyle w:val="TableGrid"/>
        <w:tblW w:w="7677" w:type="dxa"/>
        <w:jc w:val="center"/>
        <w:tblLayout w:type="fixed"/>
        <w:tblLook w:val="04A0" w:firstRow="1" w:lastRow="0" w:firstColumn="1" w:lastColumn="0" w:noHBand="0" w:noVBand="1"/>
        <w:tblCaption w:val="Table 2.2.4: Performance Measures for Program 2.3"/>
        <w:tblDescription w:val="This table outlines Program 2.3's objective and the key activities for Program 2.3. It also includes a performance measure for Program 2.3, with an expected performance result for 2021-22, and planned performance results for 2022-23 and the forward estimates"/>
      </w:tblPr>
      <w:tblGrid>
        <w:gridCol w:w="1534"/>
        <w:gridCol w:w="1536"/>
        <w:gridCol w:w="1535"/>
        <w:gridCol w:w="1536"/>
        <w:gridCol w:w="1536"/>
      </w:tblGrid>
      <w:tr w:rsidR="00FE6768" w:rsidRPr="00FE6768" w14:paraId="10625274" w14:textId="77777777" w:rsidTr="00FB0C67">
        <w:trPr>
          <w:jc w:val="center"/>
        </w:trPr>
        <w:tc>
          <w:tcPr>
            <w:tcW w:w="7677" w:type="dxa"/>
            <w:gridSpan w:val="5"/>
            <w:shd w:val="clear" w:color="auto" w:fill="D9D9D9" w:themeFill="background1" w:themeFillShade="D9"/>
          </w:tcPr>
          <w:p w14:paraId="11129171" w14:textId="77777777" w:rsidR="001D531E" w:rsidRPr="00FE6768" w:rsidRDefault="00D26B6C" w:rsidP="00193356">
            <w:pPr>
              <w:pStyle w:val="Tableheadingrow9pt"/>
              <w:rPr>
                <w:color w:val="auto"/>
              </w:rPr>
            </w:pPr>
            <w:r w:rsidRPr="00FE6768">
              <w:rPr>
                <w:color w:val="auto"/>
              </w:rPr>
              <w:lastRenderedPageBreak/>
              <w:t xml:space="preserve">Performance </w:t>
            </w:r>
            <w:r w:rsidR="000F2A3B" w:rsidRPr="00FE6768">
              <w:rPr>
                <w:color w:val="auto"/>
              </w:rPr>
              <w:t>Measure</w:t>
            </w:r>
            <w:r w:rsidR="00C76C06" w:rsidRPr="00FE6768">
              <w:rPr>
                <w:color w:val="auto"/>
              </w:rPr>
              <w:t>s</w:t>
            </w:r>
          </w:p>
        </w:tc>
      </w:tr>
      <w:tr w:rsidR="00FE6768" w:rsidRPr="00FE6768" w14:paraId="0D2ECA9C" w14:textId="77777777" w:rsidTr="00FB0C67">
        <w:trPr>
          <w:jc w:val="center"/>
        </w:trPr>
        <w:tc>
          <w:tcPr>
            <w:tcW w:w="7677" w:type="dxa"/>
            <w:gridSpan w:val="5"/>
            <w:shd w:val="clear" w:color="auto" w:fill="D9D9D9" w:themeFill="background1" w:themeFillShade="D9"/>
          </w:tcPr>
          <w:p w14:paraId="2701DAAC" w14:textId="7519B242" w:rsidR="00E874BA" w:rsidRPr="006805C2" w:rsidRDefault="00094FD6" w:rsidP="00B03A2B">
            <w:pPr>
              <w:pStyle w:val="Heading2"/>
              <w:outlineLvl w:val="1"/>
              <w:rPr>
                <w:b/>
                <w:color w:val="auto"/>
                <w:sz w:val="17"/>
                <w:szCs w:val="17"/>
              </w:rPr>
            </w:pPr>
            <w:r w:rsidRPr="00FE6768">
              <w:rPr>
                <w:b/>
                <w:color w:val="auto"/>
                <w:sz w:val="17"/>
                <w:szCs w:val="17"/>
              </w:rPr>
              <w:t>Percentage of new medicines recommended by the Pharmaceutical Benefits Advisory Committee (PBAC)</w:t>
            </w:r>
            <w:r>
              <w:rPr>
                <w:b/>
                <w:color w:val="auto"/>
                <w:sz w:val="17"/>
                <w:szCs w:val="17"/>
              </w:rPr>
              <w:t xml:space="preserve"> that</w:t>
            </w:r>
            <w:r w:rsidRPr="00FE6768">
              <w:rPr>
                <w:b/>
                <w:color w:val="auto"/>
                <w:sz w:val="17"/>
                <w:szCs w:val="17"/>
              </w:rPr>
              <w:t xml:space="preserve"> are listed on the Pharmaceutical Benefits Scheme within 6 months of in</w:t>
            </w:r>
            <w:r w:rsidRPr="00FE6768">
              <w:rPr>
                <w:b/>
                <w:color w:val="auto"/>
                <w:sz w:val="17"/>
                <w:szCs w:val="17"/>
              </w:rPr>
              <w:noBreakHyphen/>
              <w:t>principle agreement to listing arrangements</w:t>
            </w:r>
            <w:r>
              <w:rPr>
                <w:b/>
                <w:color w:val="auto"/>
                <w:sz w:val="17"/>
                <w:szCs w:val="17"/>
              </w:rPr>
              <w:t>.</w:t>
            </w:r>
          </w:p>
        </w:tc>
      </w:tr>
      <w:tr w:rsidR="00E874BA" w:rsidRPr="00FE6768" w14:paraId="0F8851BF" w14:textId="77777777" w:rsidTr="00FB0C67">
        <w:trPr>
          <w:jc w:val="center"/>
        </w:trPr>
        <w:tc>
          <w:tcPr>
            <w:tcW w:w="1534" w:type="dxa"/>
            <w:shd w:val="clear" w:color="auto" w:fill="auto"/>
          </w:tcPr>
          <w:p w14:paraId="4B04F506" w14:textId="1AA173BD" w:rsidR="00E874BA" w:rsidRPr="00FE6768" w:rsidRDefault="00E874BA" w:rsidP="00E874BA">
            <w:pPr>
              <w:pStyle w:val="Tableheadingrowmeasures85pt"/>
              <w:rPr>
                <w:color w:val="auto"/>
              </w:rPr>
            </w:pPr>
            <w:r>
              <w:rPr>
                <w:color w:val="auto"/>
              </w:rPr>
              <w:t>Current Year</w:t>
            </w:r>
            <w:r>
              <w:rPr>
                <w:color w:val="auto"/>
              </w:rPr>
              <w:br/>
              <w:t>2022–23 Planned Performance Result</w:t>
            </w:r>
          </w:p>
        </w:tc>
        <w:tc>
          <w:tcPr>
            <w:tcW w:w="1536" w:type="dxa"/>
            <w:shd w:val="clear" w:color="auto" w:fill="auto"/>
          </w:tcPr>
          <w:p w14:paraId="06E09E24" w14:textId="78E6399B" w:rsidR="00E874BA" w:rsidRPr="00FE6768" w:rsidRDefault="00E874BA" w:rsidP="00E874BA">
            <w:pPr>
              <w:pStyle w:val="Tableheadingrowmeasures85pt"/>
              <w:rPr>
                <w:color w:val="auto"/>
              </w:rPr>
            </w:pPr>
            <w:r>
              <w:rPr>
                <w:color w:val="auto"/>
              </w:rPr>
              <w:t>Budget Year</w:t>
            </w:r>
            <w:r>
              <w:rPr>
                <w:color w:val="auto"/>
              </w:rPr>
              <w:br/>
            </w:r>
            <w:r w:rsidRPr="005D0368">
              <w:rPr>
                <w:color w:val="auto"/>
              </w:rPr>
              <w:t>202</w:t>
            </w:r>
            <w:r>
              <w:rPr>
                <w:color w:val="auto"/>
              </w:rPr>
              <w:t>3–</w:t>
            </w:r>
            <w:r w:rsidRPr="005D0368">
              <w:rPr>
                <w:color w:val="auto"/>
              </w:rPr>
              <w:t>2</w:t>
            </w:r>
            <w:r>
              <w:rPr>
                <w:color w:val="auto"/>
              </w:rPr>
              <w:t>4</w:t>
            </w:r>
            <w:r w:rsidRPr="005D0368">
              <w:rPr>
                <w:color w:val="auto"/>
              </w:rPr>
              <w:t xml:space="preserve"> </w:t>
            </w:r>
            <w:r>
              <w:rPr>
                <w:color w:val="auto"/>
              </w:rPr>
              <w:t>Planned Performance Result</w:t>
            </w:r>
          </w:p>
        </w:tc>
        <w:tc>
          <w:tcPr>
            <w:tcW w:w="1535" w:type="dxa"/>
            <w:shd w:val="clear" w:color="auto" w:fill="auto"/>
          </w:tcPr>
          <w:p w14:paraId="1838CCB6" w14:textId="4310CE19" w:rsidR="00E874BA" w:rsidRPr="00FE6768" w:rsidRDefault="00E874BA" w:rsidP="00E874BA">
            <w:pPr>
              <w:pStyle w:val="Tableheadingrowmeasures85pt"/>
              <w:rPr>
                <w:color w:val="auto"/>
              </w:rPr>
            </w:pPr>
            <w:r>
              <w:rPr>
                <w:color w:val="auto"/>
              </w:rPr>
              <w:t>Forward Estimates</w:t>
            </w:r>
            <w:r>
              <w:rPr>
                <w:color w:val="auto"/>
              </w:rPr>
              <w:br/>
            </w:r>
            <w:r w:rsidRPr="005D0368">
              <w:rPr>
                <w:color w:val="auto"/>
              </w:rPr>
              <w:t>202</w:t>
            </w:r>
            <w:r>
              <w:rPr>
                <w:color w:val="auto"/>
              </w:rPr>
              <w:t>4–</w:t>
            </w:r>
            <w:r w:rsidRPr="005D0368">
              <w:rPr>
                <w:color w:val="auto"/>
              </w:rPr>
              <w:t>2</w:t>
            </w:r>
            <w:r>
              <w:rPr>
                <w:color w:val="auto"/>
              </w:rPr>
              <w:t>5</w:t>
            </w:r>
            <w:r w:rsidRPr="005D0368">
              <w:rPr>
                <w:color w:val="auto"/>
              </w:rPr>
              <w:t xml:space="preserve"> </w:t>
            </w:r>
            <w:r>
              <w:rPr>
                <w:color w:val="auto"/>
              </w:rPr>
              <w:t>Planned Performance Result</w:t>
            </w:r>
          </w:p>
        </w:tc>
        <w:tc>
          <w:tcPr>
            <w:tcW w:w="1536" w:type="dxa"/>
            <w:shd w:val="clear" w:color="auto" w:fill="auto"/>
          </w:tcPr>
          <w:p w14:paraId="1F24FA95" w14:textId="26D8DEE3" w:rsidR="00E874BA" w:rsidRPr="00FE6768" w:rsidRDefault="00E874BA" w:rsidP="00E874BA">
            <w:pPr>
              <w:pStyle w:val="Tableheadingrowmeasures85pt"/>
              <w:rPr>
                <w:color w:val="auto"/>
              </w:rPr>
            </w:pPr>
            <w:r>
              <w:rPr>
                <w:color w:val="auto"/>
              </w:rPr>
              <w:t>Forward Estimates</w:t>
            </w:r>
            <w:r>
              <w:rPr>
                <w:color w:val="auto"/>
              </w:rPr>
              <w:br/>
            </w:r>
            <w:r w:rsidRPr="005D0368">
              <w:rPr>
                <w:color w:val="auto"/>
              </w:rPr>
              <w:t>202</w:t>
            </w:r>
            <w:r>
              <w:rPr>
                <w:color w:val="auto"/>
              </w:rPr>
              <w:t>5–</w:t>
            </w:r>
            <w:r w:rsidRPr="005D0368">
              <w:rPr>
                <w:color w:val="auto"/>
              </w:rPr>
              <w:t>2</w:t>
            </w:r>
            <w:r>
              <w:rPr>
                <w:color w:val="auto"/>
              </w:rPr>
              <w:t>6</w:t>
            </w:r>
            <w:r w:rsidRPr="005D0368">
              <w:rPr>
                <w:color w:val="auto"/>
              </w:rPr>
              <w:t xml:space="preserve"> </w:t>
            </w:r>
            <w:r>
              <w:rPr>
                <w:color w:val="auto"/>
              </w:rPr>
              <w:t>Planned Performance Result</w:t>
            </w:r>
          </w:p>
        </w:tc>
        <w:tc>
          <w:tcPr>
            <w:tcW w:w="1536" w:type="dxa"/>
            <w:shd w:val="clear" w:color="auto" w:fill="auto"/>
          </w:tcPr>
          <w:p w14:paraId="56121A50" w14:textId="295FEE23" w:rsidR="00E874BA" w:rsidRPr="00FE6768" w:rsidRDefault="00E874BA" w:rsidP="00E874BA">
            <w:pPr>
              <w:pStyle w:val="Tableheadingrowmeasures85pt"/>
              <w:rPr>
                <w:color w:val="auto"/>
              </w:rPr>
            </w:pPr>
            <w:r>
              <w:rPr>
                <w:color w:val="auto"/>
              </w:rPr>
              <w:t>Forward Estimates</w:t>
            </w:r>
            <w:r>
              <w:rPr>
                <w:color w:val="auto"/>
              </w:rPr>
              <w:br/>
            </w:r>
            <w:r w:rsidRPr="005D0368">
              <w:rPr>
                <w:color w:val="auto"/>
              </w:rPr>
              <w:t>202</w:t>
            </w:r>
            <w:r>
              <w:rPr>
                <w:color w:val="auto"/>
              </w:rPr>
              <w:t>6–</w:t>
            </w:r>
            <w:r w:rsidRPr="005D0368">
              <w:rPr>
                <w:color w:val="auto"/>
              </w:rPr>
              <w:t>2</w:t>
            </w:r>
            <w:r>
              <w:rPr>
                <w:color w:val="auto"/>
              </w:rPr>
              <w:t>7</w:t>
            </w:r>
            <w:r w:rsidRPr="005D0368">
              <w:rPr>
                <w:color w:val="auto"/>
              </w:rPr>
              <w:t xml:space="preserve"> </w:t>
            </w:r>
            <w:r>
              <w:rPr>
                <w:color w:val="auto"/>
              </w:rPr>
              <w:t>Planned Performance Result</w:t>
            </w:r>
          </w:p>
        </w:tc>
      </w:tr>
      <w:tr w:rsidR="00FE6768" w:rsidRPr="00FE6768" w14:paraId="2490EA10" w14:textId="77777777" w:rsidTr="00FB0C67">
        <w:trPr>
          <w:jc w:val="center"/>
        </w:trPr>
        <w:tc>
          <w:tcPr>
            <w:tcW w:w="1534" w:type="dxa"/>
            <w:shd w:val="clear" w:color="auto" w:fill="auto"/>
            <w:vAlign w:val="center"/>
          </w:tcPr>
          <w:p w14:paraId="6C653644" w14:textId="50EE69D0" w:rsidR="00C770C6" w:rsidRPr="00FE6768" w:rsidRDefault="00C770C6" w:rsidP="00C770C6">
            <w:pPr>
              <w:pStyle w:val="Tableheadingrowmeasures85pt"/>
              <w:rPr>
                <w:color w:val="auto"/>
              </w:rPr>
            </w:pPr>
            <w:r w:rsidRPr="00FE6768">
              <w:rPr>
                <w:b w:val="0"/>
                <w:bCs/>
                <w:color w:val="auto"/>
              </w:rPr>
              <w:t>≥80%</w:t>
            </w:r>
          </w:p>
        </w:tc>
        <w:tc>
          <w:tcPr>
            <w:tcW w:w="1536" w:type="dxa"/>
            <w:vMerge w:val="restart"/>
            <w:shd w:val="clear" w:color="auto" w:fill="auto"/>
          </w:tcPr>
          <w:p w14:paraId="3A1B76C7" w14:textId="77777777" w:rsidR="00C770C6" w:rsidRPr="00FE6768" w:rsidRDefault="00C770C6" w:rsidP="00C770C6">
            <w:pPr>
              <w:pStyle w:val="Tableheadingrowmeasures85pt"/>
              <w:rPr>
                <w:color w:val="auto"/>
              </w:rPr>
            </w:pPr>
            <w:r w:rsidRPr="00FE6768">
              <w:rPr>
                <w:b w:val="0"/>
                <w:bCs/>
                <w:color w:val="auto"/>
              </w:rPr>
              <w:t>≥80%</w:t>
            </w:r>
          </w:p>
        </w:tc>
        <w:tc>
          <w:tcPr>
            <w:tcW w:w="1535" w:type="dxa"/>
            <w:vMerge w:val="restart"/>
            <w:shd w:val="clear" w:color="auto" w:fill="auto"/>
          </w:tcPr>
          <w:p w14:paraId="01DFD0DC" w14:textId="17C6398F" w:rsidR="00C770C6" w:rsidRPr="00FE6768" w:rsidRDefault="00C770C6" w:rsidP="00C770C6">
            <w:pPr>
              <w:pStyle w:val="Tableheadingrowmeasures85pt"/>
              <w:rPr>
                <w:color w:val="auto"/>
              </w:rPr>
            </w:pPr>
            <w:r w:rsidRPr="00FE6768">
              <w:rPr>
                <w:b w:val="0"/>
                <w:bCs/>
                <w:color w:val="auto"/>
              </w:rPr>
              <w:t>≥80%</w:t>
            </w:r>
          </w:p>
        </w:tc>
        <w:tc>
          <w:tcPr>
            <w:tcW w:w="1536" w:type="dxa"/>
            <w:vMerge w:val="restart"/>
            <w:shd w:val="clear" w:color="auto" w:fill="auto"/>
          </w:tcPr>
          <w:p w14:paraId="504ED7F1" w14:textId="1180F51B" w:rsidR="00C770C6" w:rsidRPr="00FE6768" w:rsidRDefault="00C770C6" w:rsidP="00C770C6">
            <w:pPr>
              <w:pStyle w:val="Tableheadingrowmeasures85pt"/>
              <w:rPr>
                <w:color w:val="auto"/>
              </w:rPr>
            </w:pPr>
            <w:r w:rsidRPr="00FE6768">
              <w:rPr>
                <w:b w:val="0"/>
                <w:bCs/>
                <w:color w:val="auto"/>
              </w:rPr>
              <w:t>≥80%</w:t>
            </w:r>
          </w:p>
        </w:tc>
        <w:tc>
          <w:tcPr>
            <w:tcW w:w="1536" w:type="dxa"/>
            <w:vMerge w:val="restart"/>
            <w:shd w:val="clear" w:color="auto" w:fill="auto"/>
          </w:tcPr>
          <w:p w14:paraId="025C28AB" w14:textId="22F91D50" w:rsidR="00C770C6" w:rsidRPr="00FE6768" w:rsidRDefault="00286607" w:rsidP="00C770C6">
            <w:pPr>
              <w:pStyle w:val="Tableheadingrowmeasures85pt"/>
              <w:rPr>
                <w:color w:val="auto"/>
              </w:rPr>
            </w:pPr>
            <w:r w:rsidRPr="00FE6768">
              <w:rPr>
                <w:b w:val="0"/>
                <w:bCs/>
                <w:color w:val="auto"/>
              </w:rPr>
              <w:t>≥80%</w:t>
            </w:r>
          </w:p>
        </w:tc>
      </w:tr>
      <w:tr w:rsidR="00286607" w:rsidRPr="00FE6768" w14:paraId="4B56C287" w14:textId="77777777" w:rsidTr="00FB0C67">
        <w:trPr>
          <w:jc w:val="center"/>
        </w:trPr>
        <w:tc>
          <w:tcPr>
            <w:tcW w:w="1534" w:type="dxa"/>
            <w:shd w:val="clear" w:color="auto" w:fill="auto"/>
            <w:tcMar>
              <w:right w:w="0" w:type="dxa"/>
            </w:tcMar>
            <w:vAlign w:val="center"/>
          </w:tcPr>
          <w:p w14:paraId="571F7925" w14:textId="3E973AB0" w:rsidR="00286607" w:rsidRPr="00FE6768" w:rsidRDefault="00286607" w:rsidP="00286607">
            <w:pPr>
              <w:pStyle w:val="Tableheadingrowmeasures85pt"/>
              <w:rPr>
                <w:color w:val="auto"/>
              </w:rPr>
            </w:pPr>
            <w:r>
              <w:rPr>
                <w:color w:val="auto"/>
              </w:rPr>
              <w:t>2022–23</w:t>
            </w:r>
            <w:r>
              <w:rPr>
                <w:color w:val="auto"/>
              </w:rPr>
              <w:br/>
              <w:t>Expected Performance Result</w:t>
            </w:r>
          </w:p>
        </w:tc>
        <w:tc>
          <w:tcPr>
            <w:tcW w:w="1536" w:type="dxa"/>
            <w:vMerge/>
            <w:shd w:val="clear" w:color="auto" w:fill="auto"/>
            <w:vAlign w:val="center"/>
          </w:tcPr>
          <w:p w14:paraId="3B711E3B" w14:textId="77777777" w:rsidR="00286607" w:rsidRPr="00FE6768" w:rsidRDefault="00286607" w:rsidP="00286607">
            <w:pPr>
              <w:pStyle w:val="Tableheadingrowmeasures85pt"/>
              <w:rPr>
                <w:color w:val="auto"/>
                <w:sz w:val="18"/>
                <w:szCs w:val="18"/>
              </w:rPr>
            </w:pPr>
          </w:p>
        </w:tc>
        <w:tc>
          <w:tcPr>
            <w:tcW w:w="1535" w:type="dxa"/>
            <w:vMerge/>
            <w:shd w:val="clear" w:color="auto" w:fill="auto"/>
            <w:vAlign w:val="center"/>
          </w:tcPr>
          <w:p w14:paraId="6D775C4D" w14:textId="76873109" w:rsidR="00286607" w:rsidRPr="00FE6768" w:rsidRDefault="00286607" w:rsidP="00286607">
            <w:pPr>
              <w:pStyle w:val="Tableheadingrowmeasures85pt"/>
              <w:rPr>
                <w:color w:val="auto"/>
                <w:sz w:val="18"/>
                <w:szCs w:val="18"/>
              </w:rPr>
            </w:pPr>
          </w:p>
        </w:tc>
        <w:tc>
          <w:tcPr>
            <w:tcW w:w="1536" w:type="dxa"/>
            <w:vMerge/>
            <w:shd w:val="clear" w:color="auto" w:fill="auto"/>
            <w:vAlign w:val="center"/>
          </w:tcPr>
          <w:p w14:paraId="1CE598AD" w14:textId="77777777" w:rsidR="00286607" w:rsidRPr="00FE6768" w:rsidRDefault="00286607" w:rsidP="00286607">
            <w:pPr>
              <w:pStyle w:val="Tableheadingrowmeasures85pt"/>
              <w:rPr>
                <w:color w:val="auto"/>
              </w:rPr>
            </w:pPr>
          </w:p>
        </w:tc>
        <w:tc>
          <w:tcPr>
            <w:tcW w:w="1536" w:type="dxa"/>
            <w:vMerge/>
            <w:shd w:val="clear" w:color="auto" w:fill="auto"/>
            <w:vAlign w:val="center"/>
          </w:tcPr>
          <w:p w14:paraId="171CEA57" w14:textId="7BFFBC3E" w:rsidR="00286607" w:rsidRPr="00FE6768" w:rsidRDefault="00286607" w:rsidP="00286607">
            <w:pPr>
              <w:pStyle w:val="Tableheadingrowmeasures85pt"/>
              <w:rPr>
                <w:color w:val="auto"/>
              </w:rPr>
            </w:pPr>
          </w:p>
        </w:tc>
      </w:tr>
      <w:tr w:rsidR="00286607" w:rsidRPr="001E4EA2" w14:paraId="1F0E74D2" w14:textId="77777777" w:rsidTr="00FB0C67">
        <w:trPr>
          <w:jc w:val="center"/>
        </w:trPr>
        <w:tc>
          <w:tcPr>
            <w:tcW w:w="1534" w:type="dxa"/>
            <w:shd w:val="clear" w:color="auto" w:fill="auto"/>
          </w:tcPr>
          <w:p w14:paraId="5A71945A" w14:textId="52389C7A" w:rsidR="006805C2" w:rsidRPr="001E4EA2" w:rsidRDefault="006B2241" w:rsidP="003C6B48">
            <w:pPr>
              <w:pStyle w:val="Tableheadingrowmeasures85pt"/>
              <w:rPr>
                <w:b w:val="0"/>
                <w:color w:val="auto"/>
              </w:rPr>
            </w:pPr>
            <w:r w:rsidRPr="00FE6768">
              <w:rPr>
                <w:b w:val="0"/>
                <w:bCs/>
                <w:color w:val="auto"/>
              </w:rPr>
              <w:t>≥80%</w:t>
            </w:r>
          </w:p>
        </w:tc>
        <w:tc>
          <w:tcPr>
            <w:tcW w:w="1536" w:type="dxa"/>
            <w:vMerge/>
            <w:shd w:val="clear" w:color="auto" w:fill="auto"/>
          </w:tcPr>
          <w:p w14:paraId="330589E0" w14:textId="77777777" w:rsidR="00286607" w:rsidRPr="001E4EA2" w:rsidRDefault="00286607" w:rsidP="00286607">
            <w:pPr>
              <w:pStyle w:val="Tableheadingrow9pt"/>
              <w:rPr>
                <w:b w:val="0"/>
                <w:color w:val="auto"/>
              </w:rPr>
            </w:pPr>
          </w:p>
        </w:tc>
        <w:tc>
          <w:tcPr>
            <w:tcW w:w="1535" w:type="dxa"/>
            <w:vMerge/>
            <w:shd w:val="clear" w:color="auto" w:fill="auto"/>
          </w:tcPr>
          <w:p w14:paraId="52551C55" w14:textId="3F8A2DA3" w:rsidR="00286607" w:rsidRPr="001E4EA2" w:rsidRDefault="00286607" w:rsidP="00286607">
            <w:pPr>
              <w:pStyle w:val="Tableheadingrow9pt"/>
              <w:rPr>
                <w:b w:val="0"/>
                <w:color w:val="auto"/>
              </w:rPr>
            </w:pPr>
          </w:p>
        </w:tc>
        <w:tc>
          <w:tcPr>
            <w:tcW w:w="1536" w:type="dxa"/>
            <w:vMerge/>
            <w:shd w:val="clear" w:color="auto" w:fill="auto"/>
          </w:tcPr>
          <w:p w14:paraId="366C838E" w14:textId="77777777" w:rsidR="00286607" w:rsidRPr="001E4EA2" w:rsidRDefault="00286607" w:rsidP="00286607">
            <w:pPr>
              <w:pStyle w:val="Tableheadingrow9pt"/>
              <w:rPr>
                <w:b w:val="0"/>
                <w:color w:val="auto"/>
                <w:sz w:val="17"/>
                <w:szCs w:val="17"/>
              </w:rPr>
            </w:pPr>
          </w:p>
        </w:tc>
        <w:tc>
          <w:tcPr>
            <w:tcW w:w="1536" w:type="dxa"/>
            <w:vMerge/>
            <w:shd w:val="clear" w:color="auto" w:fill="auto"/>
          </w:tcPr>
          <w:p w14:paraId="262CC857" w14:textId="411DFC80" w:rsidR="00286607" w:rsidRPr="001E4EA2" w:rsidRDefault="00286607" w:rsidP="00286607">
            <w:pPr>
              <w:pStyle w:val="Tableheadingrow9pt"/>
              <w:rPr>
                <w:b w:val="0"/>
                <w:color w:val="auto"/>
                <w:sz w:val="17"/>
                <w:szCs w:val="17"/>
              </w:rPr>
            </w:pPr>
          </w:p>
        </w:tc>
      </w:tr>
    </w:tbl>
    <w:p w14:paraId="54218019" w14:textId="77777777" w:rsidR="00356EBA" w:rsidRDefault="00356EBA">
      <w:r>
        <w:br w:type="page"/>
      </w:r>
    </w:p>
    <w:tbl>
      <w:tblPr>
        <w:tblStyle w:val="TableGrid"/>
        <w:tblW w:w="7677" w:type="dxa"/>
        <w:jc w:val="center"/>
        <w:tblLayout w:type="fixed"/>
        <w:tblLook w:val="04A0" w:firstRow="1" w:lastRow="0" w:firstColumn="1" w:lastColumn="0" w:noHBand="0" w:noVBand="1"/>
        <w:tblCaption w:val="Table 2.2.4: Performance Measures for Program 2.3"/>
        <w:tblDescription w:val="This table outlines Program 2.3's objective and the key activities for Program 2.3. It also includes a performance measure for Program 2.3, with an expected performance result for 2021-22, and planned performance results for 2022-23 and the forward estimates"/>
      </w:tblPr>
      <w:tblGrid>
        <w:gridCol w:w="1534"/>
        <w:gridCol w:w="1536"/>
        <w:gridCol w:w="1535"/>
        <w:gridCol w:w="1536"/>
        <w:gridCol w:w="1536"/>
      </w:tblGrid>
      <w:tr w:rsidR="00FE6768" w:rsidRPr="00FE6768" w14:paraId="22304867" w14:textId="77777777" w:rsidTr="00FB0C67">
        <w:trPr>
          <w:jc w:val="center"/>
        </w:trPr>
        <w:tc>
          <w:tcPr>
            <w:tcW w:w="7677" w:type="dxa"/>
            <w:gridSpan w:val="5"/>
            <w:shd w:val="clear" w:color="auto" w:fill="D9D9D9" w:themeFill="background1" w:themeFillShade="D9"/>
          </w:tcPr>
          <w:p w14:paraId="08A44D25" w14:textId="460ACBC8" w:rsidR="006E645D" w:rsidRPr="00FE6768" w:rsidRDefault="00B84DCE" w:rsidP="00FD17E7">
            <w:pPr>
              <w:keepNext/>
              <w:keepLines/>
              <w:rPr>
                <w:b/>
                <w:color w:val="auto"/>
                <w:sz w:val="17"/>
                <w:szCs w:val="17"/>
              </w:rPr>
            </w:pPr>
            <w:r w:rsidRPr="00FE6768">
              <w:rPr>
                <w:b/>
                <w:color w:val="auto"/>
                <w:sz w:val="17"/>
                <w:szCs w:val="17"/>
              </w:rPr>
              <w:lastRenderedPageBreak/>
              <w:t>P</w:t>
            </w:r>
            <w:r w:rsidR="00C770C6" w:rsidRPr="00FE6768">
              <w:rPr>
                <w:b/>
                <w:color w:val="auto"/>
                <w:sz w:val="17"/>
                <w:szCs w:val="17"/>
              </w:rPr>
              <w:t>rocessing time of applications</w:t>
            </w:r>
            <w:r w:rsidR="00933D4B" w:rsidRPr="00FE6768">
              <w:rPr>
                <w:b/>
                <w:color w:val="auto"/>
                <w:sz w:val="17"/>
                <w:szCs w:val="17"/>
              </w:rPr>
              <w:t xml:space="preserve"> </w:t>
            </w:r>
            <w:r w:rsidRPr="00FE6768">
              <w:rPr>
                <w:b/>
                <w:color w:val="auto"/>
                <w:sz w:val="17"/>
                <w:szCs w:val="17"/>
              </w:rPr>
              <w:t xml:space="preserve">for access to the Life Saving Drugs Program </w:t>
            </w:r>
            <w:r w:rsidR="00933D4B" w:rsidRPr="00FE6768">
              <w:rPr>
                <w:b/>
                <w:color w:val="auto"/>
                <w:sz w:val="17"/>
                <w:szCs w:val="17"/>
              </w:rPr>
              <w:t>f</w:t>
            </w:r>
            <w:r w:rsidR="00C770C6" w:rsidRPr="00FE6768">
              <w:rPr>
                <w:b/>
                <w:color w:val="auto"/>
                <w:sz w:val="17"/>
                <w:szCs w:val="17"/>
              </w:rPr>
              <w:t>ollowing receipt of a complete application</w:t>
            </w:r>
            <w:r w:rsidRPr="00FE6768">
              <w:rPr>
                <w:b/>
                <w:color w:val="auto"/>
                <w:sz w:val="17"/>
                <w:szCs w:val="17"/>
              </w:rPr>
              <w:t>.</w:t>
            </w:r>
          </w:p>
        </w:tc>
      </w:tr>
      <w:tr w:rsidR="006E645D" w:rsidRPr="00FE6768" w14:paraId="21924EC4" w14:textId="77777777" w:rsidTr="00FB0C67">
        <w:trPr>
          <w:jc w:val="center"/>
        </w:trPr>
        <w:tc>
          <w:tcPr>
            <w:tcW w:w="1534" w:type="dxa"/>
            <w:shd w:val="clear" w:color="auto" w:fill="auto"/>
          </w:tcPr>
          <w:p w14:paraId="125CBE37" w14:textId="7B4E97BF" w:rsidR="006E645D" w:rsidRPr="006E645D" w:rsidRDefault="006E645D" w:rsidP="006E645D">
            <w:pPr>
              <w:pStyle w:val="Tableheadingrow9pt"/>
              <w:keepNext/>
              <w:keepLines/>
              <w:rPr>
                <w:color w:val="auto"/>
                <w:sz w:val="17"/>
                <w:szCs w:val="17"/>
              </w:rPr>
            </w:pPr>
            <w:r w:rsidRPr="006E645D">
              <w:rPr>
                <w:color w:val="auto"/>
                <w:sz w:val="17"/>
                <w:szCs w:val="17"/>
              </w:rPr>
              <w:t>Current Year</w:t>
            </w:r>
            <w:r w:rsidRPr="006E645D">
              <w:rPr>
                <w:color w:val="auto"/>
                <w:sz w:val="17"/>
                <w:szCs w:val="17"/>
              </w:rPr>
              <w:br/>
              <w:t>2022–23 Planned Performance Result</w:t>
            </w:r>
          </w:p>
        </w:tc>
        <w:tc>
          <w:tcPr>
            <w:tcW w:w="1536" w:type="dxa"/>
            <w:shd w:val="clear" w:color="auto" w:fill="auto"/>
          </w:tcPr>
          <w:p w14:paraId="4B4B47EE" w14:textId="261D03D4" w:rsidR="006E645D" w:rsidRPr="006E645D" w:rsidRDefault="006E645D" w:rsidP="006E645D">
            <w:pPr>
              <w:pStyle w:val="Tableheadingrow9pt"/>
              <w:keepNext/>
              <w:keepLines/>
              <w:rPr>
                <w:color w:val="auto"/>
                <w:sz w:val="17"/>
                <w:szCs w:val="17"/>
              </w:rPr>
            </w:pPr>
            <w:r w:rsidRPr="006E645D">
              <w:rPr>
                <w:color w:val="auto"/>
                <w:sz w:val="17"/>
                <w:szCs w:val="17"/>
              </w:rPr>
              <w:t>Budget Year</w:t>
            </w:r>
            <w:r w:rsidRPr="006E645D">
              <w:rPr>
                <w:color w:val="auto"/>
                <w:sz w:val="17"/>
                <w:szCs w:val="17"/>
              </w:rPr>
              <w:br/>
              <w:t>2023–24 Planned Performance Result</w:t>
            </w:r>
          </w:p>
        </w:tc>
        <w:tc>
          <w:tcPr>
            <w:tcW w:w="1535" w:type="dxa"/>
            <w:shd w:val="clear" w:color="auto" w:fill="auto"/>
          </w:tcPr>
          <w:p w14:paraId="0AFA101C" w14:textId="2C1AE3A8" w:rsidR="006E645D" w:rsidRPr="006E645D" w:rsidRDefault="006E645D" w:rsidP="006E645D">
            <w:pPr>
              <w:pStyle w:val="Tableheadingrow9pt"/>
              <w:keepNext/>
              <w:keepLines/>
              <w:rPr>
                <w:color w:val="auto"/>
                <w:sz w:val="17"/>
                <w:szCs w:val="17"/>
              </w:rPr>
            </w:pPr>
            <w:r w:rsidRPr="006E645D">
              <w:rPr>
                <w:color w:val="auto"/>
                <w:sz w:val="17"/>
                <w:szCs w:val="17"/>
              </w:rPr>
              <w:t>Forward Estimates</w:t>
            </w:r>
            <w:r w:rsidRPr="006E645D">
              <w:rPr>
                <w:color w:val="auto"/>
                <w:sz w:val="17"/>
                <w:szCs w:val="17"/>
              </w:rPr>
              <w:br/>
              <w:t>2024–25 Planned Performance Result</w:t>
            </w:r>
          </w:p>
        </w:tc>
        <w:tc>
          <w:tcPr>
            <w:tcW w:w="1536" w:type="dxa"/>
            <w:shd w:val="clear" w:color="auto" w:fill="auto"/>
          </w:tcPr>
          <w:p w14:paraId="26AEFDD3" w14:textId="751CBF9A" w:rsidR="006E645D" w:rsidRPr="006E645D" w:rsidRDefault="006E645D" w:rsidP="006E645D">
            <w:pPr>
              <w:pStyle w:val="Tableheadingrow9pt"/>
              <w:keepNext/>
              <w:keepLines/>
              <w:rPr>
                <w:color w:val="auto"/>
                <w:sz w:val="17"/>
                <w:szCs w:val="17"/>
              </w:rPr>
            </w:pPr>
            <w:r w:rsidRPr="006E645D">
              <w:rPr>
                <w:color w:val="auto"/>
                <w:sz w:val="17"/>
                <w:szCs w:val="17"/>
              </w:rPr>
              <w:t>Forward Estimates</w:t>
            </w:r>
            <w:r w:rsidRPr="006E645D">
              <w:rPr>
                <w:color w:val="auto"/>
                <w:sz w:val="17"/>
                <w:szCs w:val="17"/>
              </w:rPr>
              <w:br/>
              <w:t>2025–26 Planned Performance Result</w:t>
            </w:r>
          </w:p>
        </w:tc>
        <w:tc>
          <w:tcPr>
            <w:tcW w:w="1536" w:type="dxa"/>
            <w:shd w:val="clear" w:color="auto" w:fill="auto"/>
          </w:tcPr>
          <w:p w14:paraId="3648CAA1" w14:textId="7F61A27B" w:rsidR="006E645D" w:rsidRPr="006E645D" w:rsidRDefault="006E645D" w:rsidP="006E645D">
            <w:pPr>
              <w:pStyle w:val="Tableheadingrow9pt"/>
              <w:keepNext/>
              <w:keepLines/>
              <w:rPr>
                <w:color w:val="auto"/>
                <w:sz w:val="17"/>
                <w:szCs w:val="17"/>
              </w:rPr>
            </w:pPr>
            <w:r w:rsidRPr="006E645D">
              <w:rPr>
                <w:color w:val="auto"/>
                <w:sz w:val="17"/>
                <w:szCs w:val="17"/>
              </w:rPr>
              <w:t>Forward Estimates</w:t>
            </w:r>
            <w:r w:rsidRPr="006E645D">
              <w:rPr>
                <w:color w:val="auto"/>
                <w:sz w:val="17"/>
                <w:szCs w:val="17"/>
              </w:rPr>
              <w:br/>
              <w:t>2026–27 Planned Performance Result</w:t>
            </w:r>
          </w:p>
        </w:tc>
      </w:tr>
      <w:tr w:rsidR="00FE6768" w:rsidRPr="00FE6768" w14:paraId="54097A60" w14:textId="77777777" w:rsidTr="00FB0C67">
        <w:trPr>
          <w:jc w:val="center"/>
        </w:trPr>
        <w:tc>
          <w:tcPr>
            <w:tcW w:w="1534" w:type="dxa"/>
            <w:shd w:val="clear" w:color="auto" w:fill="auto"/>
          </w:tcPr>
          <w:p w14:paraId="248BFF2E"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90% within 8 calendar days.</w:t>
            </w:r>
          </w:p>
          <w:p w14:paraId="29C9509E"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100% within 30 calendar days.</w:t>
            </w:r>
          </w:p>
          <w:p w14:paraId="7AA78BDE" w14:textId="2B268D20" w:rsidR="00C770C6" w:rsidRPr="00FE6768" w:rsidRDefault="0096648B" w:rsidP="0096648B">
            <w:pPr>
              <w:pStyle w:val="Tableheadingrow9pt"/>
              <w:keepNext/>
              <w:keepLines/>
              <w:rPr>
                <w:b w:val="0"/>
                <w:color w:val="auto"/>
                <w:sz w:val="17"/>
                <w:szCs w:val="17"/>
              </w:rPr>
            </w:pPr>
            <w:r w:rsidRPr="00FE6768">
              <w:rPr>
                <w:b w:val="0"/>
                <w:color w:val="auto"/>
                <w:sz w:val="17"/>
                <w:szCs w:val="17"/>
              </w:rPr>
              <w:t>100% of urgent applications within 48 hours.</w:t>
            </w:r>
          </w:p>
        </w:tc>
        <w:tc>
          <w:tcPr>
            <w:tcW w:w="1536" w:type="dxa"/>
            <w:vMerge w:val="restart"/>
            <w:shd w:val="clear" w:color="auto" w:fill="auto"/>
          </w:tcPr>
          <w:p w14:paraId="5AC63D19"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90% within 8 calendar days.</w:t>
            </w:r>
          </w:p>
          <w:p w14:paraId="0222D6E8" w14:textId="77777777" w:rsidR="0096648B" w:rsidRPr="00FE6768" w:rsidRDefault="0096648B" w:rsidP="0096648B">
            <w:pPr>
              <w:pStyle w:val="Tableheadingrow9pt"/>
              <w:keepNext/>
              <w:keepLines/>
              <w:rPr>
                <w:b w:val="0"/>
                <w:color w:val="auto"/>
                <w:sz w:val="17"/>
                <w:szCs w:val="17"/>
              </w:rPr>
            </w:pPr>
            <w:r w:rsidRPr="00FE6768">
              <w:rPr>
                <w:b w:val="0"/>
                <w:color w:val="auto"/>
                <w:sz w:val="17"/>
                <w:szCs w:val="17"/>
              </w:rPr>
              <w:t>100% within 30 calendar days.</w:t>
            </w:r>
          </w:p>
          <w:p w14:paraId="1CEF8E12" w14:textId="0D9B2833" w:rsidR="00C770C6" w:rsidRPr="00FE6768" w:rsidRDefault="0096648B" w:rsidP="0096648B">
            <w:pPr>
              <w:pStyle w:val="Tableheadingrow9pt"/>
              <w:keepNext/>
              <w:keepLines/>
              <w:rPr>
                <w:b w:val="0"/>
                <w:color w:val="auto"/>
                <w:sz w:val="17"/>
                <w:szCs w:val="17"/>
              </w:rPr>
            </w:pPr>
            <w:r w:rsidRPr="00FE6768">
              <w:rPr>
                <w:b w:val="0"/>
                <w:color w:val="auto"/>
                <w:sz w:val="17"/>
                <w:szCs w:val="17"/>
              </w:rPr>
              <w:t>100% of urgent applications within 48 hours.</w:t>
            </w:r>
          </w:p>
        </w:tc>
        <w:tc>
          <w:tcPr>
            <w:tcW w:w="1535" w:type="dxa"/>
            <w:vMerge w:val="restart"/>
            <w:shd w:val="clear" w:color="auto" w:fill="auto"/>
          </w:tcPr>
          <w:p w14:paraId="62EBA027"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90% within 8 calendar days.</w:t>
            </w:r>
          </w:p>
          <w:p w14:paraId="046BD6CE"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100% within 30 calendar days.</w:t>
            </w:r>
          </w:p>
          <w:p w14:paraId="08ADAE33" w14:textId="381C601F" w:rsidR="00C770C6" w:rsidRPr="00FE6768" w:rsidRDefault="00F84057" w:rsidP="00F84057">
            <w:pPr>
              <w:pStyle w:val="Tableheadingrow9pt"/>
              <w:keepNext/>
              <w:keepLines/>
              <w:rPr>
                <w:color w:val="auto"/>
                <w:sz w:val="17"/>
                <w:szCs w:val="17"/>
              </w:rPr>
            </w:pPr>
            <w:r w:rsidRPr="00FE6768">
              <w:rPr>
                <w:b w:val="0"/>
                <w:color w:val="auto"/>
                <w:sz w:val="17"/>
                <w:szCs w:val="17"/>
              </w:rPr>
              <w:t>100% of urgent applications within 48 hours.</w:t>
            </w:r>
          </w:p>
        </w:tc>
        <w:tc>
          <w:tcPr>
            <w:tcW w:w="1536" w:type="dxa"/>
            <w:vMerge w:val="restart"/>
            <w:shd w:val="clear" w:color="auto" w:fill="auto"/>
          </w:tcPr>
          <w:p w14:paraId="49236FA5"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90% within 8 calendar days.</w:t>
            </w:r>
          </w:p>
          <w:p w14:paraId="6F7EE834" w14:textId="77777777" w:rsidR="00F84057" w:rsidRPr="00FE6768" w:rsidRDefault="00F84057" w:rsidP="00F84057">
            <w:pPr>
              <w:pStyle w:val="Tableheadingrow9pt"/>
              <w:keepNext/>
              <w:keepLines/>
              <w:rPr>
                <w:b w:val="0"/>
                <w:color w:val="auto"/>
                <w:sz w:val="17"/>
                <w:szCs w:val="17"/>
              </w:rPr>
            </w:pPr>
            <w:r w:rsidRPr="00FE6768">
              <w:rPr>
                <w:b w:val="0"/>
                <w:color w:val="auto"/>
                <w:sz w:val="17"/>
                <w:szCs w:val="17"/>
              </w:rPr>
              <w:t>100% within 30 calendar days.</w:t>
            </w:r>
          </w:p>
          <w:p w14:paraId="423DC443" w14:textId="729EF5DE" w:rsidR="00C770C6" w:rsidRPr="00FE6768" w:rsidRDefault="00F84057" w:rsidP="00F84057">
            <w:pPr>
              <w:pStyle w:val="Tableheadingrow9pt"/>
              <w:keepNext/>
              <w:keepLines/>
              <w:rPr>
                <w:color w:val="auto"/>
                <w:sz w:val="17"/>
                <w:szCs w:val="17"/>
              </w:rPr>
            </w:pPr>
            <w:r w:rsidRPr="00FE6768">
              <w:rPr>
                <w:b w:val="0"/>
                <w:color w:val="auto"/>
                <w:sz w:val="17"/>
                <w:szCs w:val="17"/>
              </w:rPr>
              <w:t>100% of urgent applications within 48 hours.</w:t>
            </w:r>
          </w:p>
        </w:tc>
        <w:tc>
          <w:tcPr>
            <w:tcW w:w="1536" w:type="dxa"/>
            <w:vMerge w:val="restart"/>
            <w:shd w:val="clear" w:color="auto" w:fill="auto"/>
          </w:tcPr>
          <w:p w14:paraId="4C157814" w14:textId="77777777" w:rsidR="00286607" w:rsidRPr="00FE6768" w:rsidRDefault="00286607" w:rsidP="00286607">
            <w:pPr>
              <w:pStyle w:val="Tableheadingrow9pt"/>
              <w:keepNext/>
              <w:keepLines/>
              <w:rPr>
                <w:b w:val="0"/>
                <w:color w:val="auto"/>
                <w:sz w:val="17"/>
                <w:szCs w:val="17"/>
              </w:rPr>
            </w:pPr>
            <w:r w:rsidRPr="00FE6768">
              <w:rPr>
                <w:b w:val="0"/>
                <w:color w:val="auto"/>
                <w:sz w:val="17"/>
                <w:szCs w:val="17"/>
              </w:rPr>
              <w:t>90% within 8 calendar days.</w:t>
            </w:r>
          </w:p>
          <w:p w14:paraId="6EAC6D22" w14:textId="77777777" w:rsidR="00286607" w:rsidRPr="00FE6768" w:rsidRDefault="00286607" w:rsidP="00286607">
            <w:pPr>
              <w:pStyle w:val="Tableheadingrow9pt"/>
              <w:keepNext/>
              <w:keepLines/>
              <w:rPr>
                <w:b w:val="0"/>
                <w:color w:val="auto"/>
                <w:sz w:val="17"/>
                <w:szCs w:val="17"/>
              </w:rPr>
            </w:pPr>
            <w:r w:rsidRPr="00FE6768">
              <w:rPr>
                <w:b w:val="0"/>
                <w:color w:val="auto"/>
                <w:sz w:val="17"/>
                <w:szCs w:val="17"/>
              </w:rPr>
              <w:t>100% within 30 calendar days.</w:t>
            </w:r>
          </w:p>
          <w:p w14:paraId="0A009965" w14:textId="67E39155" w:rsidR="00C770C6" w:rsidRPr="0096648B" w:rsidRDefault="00286607" w:rsidP="00286607">
            <w:pPr>
              <w:pStyle w:val="Tableheadingrow9pt"/>
              <w:keepNext/>
              <w:keepLines/>
              <w:rPr>
                <w:b w:val="0"/>
                <w:color w:val="auto"/>
                <w:sz w:val="17"/>
                <w:szCs w:val="17"/>
              </w:rPr>
            </w:pPr>
            <w:r w:rsidRPr="00FE6768">
              <w:rPr>
                <w:b w:val="0"/>
                <w:color w:val="auto"/>
                <w:sz w:val="17"/>
                <w:szCs w:val="17"/>
              </w:rPr>
              <w:t>100% of urgent applications within 48 hours</w:t>
            </w:r>
          </w:p>
        </w:tc>
      </w:tr>
      <w:tr w:rsidR="00286607" w:rsidRPr="00FE6768" w14:paraId="46E3902D" w14:textId="77777777" w:rsidTr="00FB0C67">
        <w:trPr>
          <w:jc w:val="center"/>
        </w:trPr>
        <w:tc>
          <w:tcPr>
            <w:tcW w:w="1534" w:type="dxa"/>
            <w:shd w:val="clear" w:color="auto" w:fill="auto"/>
            <w:tcMar>
              <w:right w:w="0" w:type="dxa"/>
            </w:tcMar>
          </w:tcPr>
          <w:p w14:paraId="31566798" w14:textId="201864C5" w:rsidR="00286607" w:rsidRPr="00FE6768" w:rsidRDefault="00286607" w:rsidP="00286607">
            <w:pPr>
              <w:pStyle w:val="Tableheadingrow9pt"/>
              <w:keepNext/>
              <w:keepLines/>
              <w:rPr>
                <w:color w:val="auto"/>
                <w:sz w:val="17"/>
                <w:szCs w:val="17"/>
              </w:rPr>
            </w:pPr>
            <w:r>
              <w:rPr>
                <w:color w:val="auto"/>
                <w:sz w:val="17"/>
                <w:szCs w:val="17"/>
              </w:rPr>
              <w:t>2022–23</w:t>
            </w:r>
            <w:r>
              <w:rPr>
                <w:color w:val="auto"/>
                <w:sz w:val="17"/>
                <w:szCs w:val="17"/>
              </w:rPr>
              <w:br/>
            </w:r>
            <w:r w:rsidRPr="00676287">
              <w:rPr>
                <w:color w:val="auto"/>
                <w:sz w:val="17"/>
                <w:szCs w:val="17"/>
              </w:rPr>
              <w:t xml:space="preserve">Expected </w:t>
            </w:r>
            <w:r>
              <w:rPr>
                <w:color w:val="auto"/>
                <w:sz w:val="17"/>
                <w:szCs w:val="17"/>
              </w:rPr>
              <w:t>Performance Result</w:t>
            </w:r>
          </w:p>
        </w:tc>
        <w:tc>
          <w:tcPr>
            <w:tcW w:w="1536" w:type="dxa"/>
            <w:vMerge/>
            <w:shd w:val="clear" w:color="auto" w:fill="auto"/>
          </w:tcPr>
          <w:p w14:paraId="46C71B9F" w14:textId="77777777" w:rsidR="00286607" w:rsidRPr="00FE6768" w:rsidRDefault="00286607" w:rsidP="00286607">
            <w:pPr>
              <w:pStyle w:val="Tableheadingrow9pt"/>
              <w:keepNext/>
              <w:keepLines/>
              <w:rPr>
                <w:color w:val="auto"/>
                <w:sz w:val="17"/>
                <w:szCs w:val="17"/>
              </w:rPr>
            </w:pPr>
          </w:p>
        </w:tc>
        <w:tc>
          <w:tcPr>
            <w:tcW w:w="1535" w:type="dxa"/>
            <w:vMerge/>
            <w:shd w:val="clear" w:color="auto" w:fill="auto"/>
          </w:tcPr>
          <w:p w14:paraId="5AD0F355" w14:textId="0DA324CA" w:rsidR="00286607" w:rsidRPr="00FE6768" w:rsidRDefault="00286607" w:rsidP="00286607">
            <w:pPr>
              <w:pStyle w:val="Tableheadingrow9pt"/>
              <w:keepNext/>
              <w:keepLines/>
              <w:rPr>
                <w:color w:val="auto"/>
              </w:rPr>
            </w:pPr>
          </w:p>
        </w:tc>
        <w:tc>
          <w:tcPr>
            <w:tcW w:w="1536" w:type="dxa"/>
            <w:vMerge/>
            <w:shd w:val="clear" w:color="auto" w:fill="auto"/>
          </w:tcPr>
          <w:p w14:paraId="6C91B55B" w14:textId="77777777" w:rsidR="00286607" w:rsidRPr="00FE6768" w:rsidRDefault="00286607" w:rsidP="00286607">
            <w:pPr>
              <w:pStyle w:val="Tableheadingrow9pt"/>
              <w:keepNext/>
              <w:keepLines/>
              <w:rPr>
                <w:color w:val="auto"/>
                <w:sz w:val="17"/>
                <w:szCs w:val="17"/>
              </w:rPr>
            </w:pPr>
          </w:p>
        </w:tc>
        <w:tc>
          <w:tcPr>
            <w:tcW w:w="1536" w:type="dxa"/>
            <w:vMerge/>
            <w:shd w:val="clear" w:color="auto" w:fill="auto"/>
          </w:tcPr>
          <w:p w14:paraId="1D13D7CD" w14:textId="4FD9AB69" w:rsidR="00286607" w:rsidRPr="00FE6768" w:rsidRDefault="00286607" w:rsidP="00286607">
            <w:pPr>
              <w:pStyle w:val="Tableheadingrow9pt"/>
              <w:keepNext/>
              <w:keepLines/>
              <w:rPr>
                <w:color w:val="auto"/>
                <w:sz w:val="17"/>
                <w:szCs w:val="17"/>
              </w:rPr>
            </w:pPr>
          </w:p>
        </w:tc>
      </w:tr>
      <w:tr w:rsidR="00286607" w:rsidRPr="00FE6768" w14:paraId="411A719D" w14:textId="77777777" w:rsidTr="00FB0C67">
        <w:trPr>
          <w:trHeight w:val="96"/>
          <w:jc w:val="center"/>
        </w:trPr>
        <w:tc>
          <w:tcPr>
            <w:tcW w:w="1534" w:type="dxa"/>
            <w:shd w:val="clear" w:color="auto" w:fill="auto"/>
          </w:tcPr>
          <w:p w14:paraId="12FA60F3" w14:textId="77777777" w:rsidR="00286607" w:rsidRPr="00FE6768" w:rsidRDefault="00286607" w:rsidP="00286607">
            <w:pPr>
              <w:pStyle w:val="Tableheadingrow9pt"/>
              <w:keepNext/>
              <w:keepLines/>
              <w:rPr>
                <w:b w:val="0"/>
                <w:color w:val="auto"/>
                <w:sz w:val="17"/>
                <w:szCs w:val="17"/>
              </w:rPr>
            </w:pPr>
            <w:r w:rsidRPr="00FE6768">
              <w:rPr>
                <w:b w:val="0"/>
                <w:color w:val="auto"/>
                <w:sz w:val="17"/>
                <w:szCs w:val="17"/>
              </w:rPr>
              <w:t>90% within 8 calendar days.</w:t>
            </w:r>
          </w:p>
          <w:p w14:paraId="2A660B2B" w14:textId="77777777" w:rsidR="00286607" w:rsidRPr="00FE6768" w:rsidRDefault="00286607" w:rsidP="00286607">
            <w:pPr>
              <w:pStyle w:val="Tableheadingrow9pt"/>
              <w:keepNext/>
              <w:keepLines/>
              <w:rPr>
                <w:b w:val="0"/>
                <w:color w:val="auto"/>
                <w:sz w:val="17"/>
                <w:szCs w:val="17"/>
              </w:rPr>
            </w:pPr>
            <w:r w:rsidRPr="00FE6768">
              <w:rPr>
                <w:b w:val="0"/>
                <w:color w:val="auto"/>
                <w:sz w:val="17"/>
                <w:szCs w:val="17"/>
              </w:rPr>
              <w:t>100% within 30 calendar days.</w:t>
            </w:r>
          </w:p>
          <w:p w14:paraId="231EE3C5" w14:textId="27C72FA3" w:rsidR="00286607" w:rsidRPr="00FE6768" w:rsidRDefault="00286607" w:rsidP="00286607">
            <w:pPr>
              <w:pStyle w:val="Tableheadingrow9pt"/>
              <w:keepNext/>
              <w:keepLines/>
              <w:rPr>
                <w:b w:val="0"/>
                <w:color w:val="auto"/>
                <w:sz w:val="17"/>
                <w:szCs w:val="17"/>
              </w:rPr>
            </w:pPr>
            <w:r w:rsidRPr="00FE6768">
              <w:rPr>
                <w:b w:val="0"/>
                <w:color w:val="auto"/>
                <w:sz w:val="17"/>
                <w:szCs w:val="17"/>
              </w:rPr>
              <w:t>100% of urgent applications within 48 hours.</w:t>
            </w:r>
          </w:p>
        </w:tc>
        <w:tc>
          <w:tcPr>
            <w:tcW w:w="1536" w:type="dxa"/>
            <w:vMerge/>
            <w:shd w:val="clear" w:color="auto" w:fill="auto"/>
          </w:tcPr>
          <w:p w14:paraId="455CA141" w14:textId="77777777" w:rsidR="00286607" w:rsidRPr="00FE6768" w:rsidRDefault="00286607" w:rsidP="00286607">
            <w:pPr>
              <w:pStyle w:val="Tableheadingrow9pt"/>
              <w:keepNext/>
              <w:keepLines/>
              <w:rPr>
                <w:b w:val="0"/>
                <w:color w:val="auto"/>
                <w:sz w:val="17"/>
                <w:szCs w:val="17"/>
              </w:rPr>
            </w:pPr>
          </w:p>
        </w:tc>
        <w:tc>
          <w:tcPr>
            <w:tcW w:w="1535" w:type="dxa"/>
            <w:vMerge/>
            <w:shd w:val="clear" w:color="auto" w:fill="auto"/>
          </w:tcPr>
          <w:p w14:paraId="7314B2BD" w14:textId="6A3D1BB3" w:rsidR="00286607" w:rsidRPr="00FE6768" w:rsidRDefault="00286607" w:rsidP="00286607">
            <w:pPr>
              <w:pStyle w:val="Tableheadingrow9pt"/>
              <w:keepNext/>
              <w:keepLines/>
              <w:rPr>
                <w:b w:val="0"/>
                <w:color w:val="auto"/>
              </w:rPr>
            </w:pPr>
          </w:p>
        </w:tc>
        <w:tc>
          <w:tcPr>
            <w:tcW w:w="1536" w:type="dxa"/>
            <w:vMerge/>
            <w:shd w:val="clear" w:color="auto" w:fill="auto"/>
          </w:tcPr>
          <w:p w14:paraId="08EEE526" w14:textId="77777777" w:rsidR="00286607" w:rsidRPr="00FE6768" w:rsidRDefault="00286607" w:rsidP="00286607">
            <w:pPr>
              <w:pStyle w:val="Tableheadingrow9pt"/>
              <w:keepNext/>
              <w:keepLines/>
              <w:rPr>
                <w:b w:val="0"/>
                <w:color w:val="auto"/>
                <w:sz w:val="17"/>
                <w:szCs w:val="17"/>
              </w:rPr>
            </w:pPr>
          </w:p>
        </w:tc>
        <w:tc>
          <w:tcPr>
            <w:tcW w:w="1536" w:type="dxa"/>
            <w:vMerge/>
            <w:shd w:val="clear" w:color="auto" w:fill="auto"/>
          </w:tcPr>
          <w:p w14:paraId="7C19E302" w14:textId="3BB424A7" w:rsidR="00286607" w:rsidRPr="00FE6768" w:rsidRDefault="00286607" w:rsidP="00286607">
            <w:pPr>
              <w:pStyle w:val="Tableheadingrow9pt"/>
              <w:keepNext/>
              <w:keepLines/>
              <w:rPr>
                <w:b w:val="0"/>
                <w:color w:val="auto"/>
                <w:sz w:val="17"/>
                <w:szCs w:val="17"/>
              </w:rPr>
            </w:pPr>
          </w:p>
        </w:tc>
      </w:tr>
      <w:tr w:rsidR="00FE6768" w:rsidRPr="00FE6768" w14:paraId="18908E44" w14:textId="77777777" w:rsidTr="00FB0C67">
        <w:trPr>
          <w:jc w:val="center"/>
        </w:trPr>
        <w:tc>
          <w:tcPr>
            <w:tcW w:w="7677" w:type="dxa"/>
            <w:gridSpan w:val="5"/>
            <w:shd w:val="clear" w:color="auto" w:fill="auto"/>
          </w:tcPr>
          <w:p w14:paraId="681713D5" w14:textId="77777777" w:rsidR="00C770C6" w:rsidRPr="00FE6768" w:rsidRDefault="00C770C6" w:rsidP="00C770C6">
            <w:pPr>
              <w:pStyle w:val="Tableheadingrow9pt"/>
              <w:keepNext/>
              <w:keepLines/>
              <w:rPr>
                <w:color w:val="auto"/>
              </w:rPr>
            </w:pPr>
            <w:r w:rsidRPr="00FE6768">
              <w:rPr>
                <w:color w:val="auto"/>
              </w:rPr>
              <w:t>Material changes to Program 2.3 resulting from the following measures:</w:t>
            </w:r>
          </w:p>
          <w:p w14:paraId="76BBAAB3" w14:textId="31C7C6F5" w:rsidR="00C770C6" w:rsidRPr="00C66D1C" w:rsidRDefault="00C97633" w:rsidP="00C97633">
            <w:pPr>
              <w:numPr>
                <w:ilvl w:val="0"/>
                <w:numId w:val="1"/>
              </w:numPr>
              <w:ind w:left="284" w:hanging="284"/>
              <w:jc w:val="both"/>
              <w:rPr>
                <w:bCs/>
                <w:i/>
                <w:color w:val="auto"/>
              </w:rPr>
            </w:pPr>
            <w:r w:rsidRPr="00C97633">
              <w:rPr>
                <w:bCs/>
                <w:i/>
                <w:color w:val="auto"/>
                <w:sz w:val="17"/>
                <w:szCs w:val="17"/>
              </w:rPr>
              <w:t>Reducing Patient Cost and Improving Services through Community Pharmacies.</w:t>
            </w:r>
          </w:p>
        </w:tc>
      </w:tr>
    </w:tbl>
    <w:p w14:paraId="7CAE7647" w14:textId="0015AC86" w:rsidR="002A7508" w:rsidRPr="00FE6768" w:rsidRDefault="002A7508" w:rsidP="002A7508">
      <w:pPr>
        <w:pStyle w:val="Tablenumberandreference"/>
        <w:pageBreakBefore/>
        <w:rPr>
          <w:color w:val="auto"/>
        </w:rPr>
      </w:pPr>
      <w:r w:rsidRPr="00FE6768">
        <w:rPr>
          <w:color w:val="auto"/>
        </w:rPr>
        <w:lastRenderedPageBreak/>
        <w:t xml:space="preserve">Table 2.2.5: Performance </w:t>
      </w:r>
      <w:r w:rsidR="002312BC">
        <w:rPr>
          <w:color w:val="auto"/>
        </w:rPr>
        <w:t>m</w:t>
      </w:r>
      <w:r w:rsidR="000F2A3B" w:rsidRPr="00FE6768">
        <w:rPr>
          <w:color w:val="auto"/>
        </w:rPr>
        <w:t>easures</w:t>
      </w:r>
      <w:r w:rsidRPr="00FE6768">
        <w:rPr>
          <w:color w:val="auto"/>
        </w:rPr>
        <w:t xml:space="preserve"> for Program 2.4</w:t>
      </w:r>
    </w:p>
    <w:tbl>
      <w:tblPr>
        <w:tblStyle w:val="TableGrid"/>
        <w:tblW w:w="7677" w:type="dxa"/>
        <w:jc w:val="center"/>
        <w:tblLayout w:type="fixed"/>
        <w:tblLook w:val="04A0" w:firstRow="1" w:lastRow="0" w:firstColumn="1" w:lastColumn="0" w:noHBand="0" w:noVBand="1"/>
        <w:tblCaption w:val="Table 2.2.5: Performance Measures for Program 2.4"/>
        <w:tblDescription w:val="This table outlines Program 2.4's objective and the key activities for Program 2.4. It also includes a performance measure for Program 2.4, with an expected performance result for 2021-22, and planned performance results for 2022-23 and the forward estimates"/>
      </w:tblPr>
      <w:tblGrid>
        <w:gridCol w:w="1696"/>
        <w:gridCol w:w="1418"/>
        <w:gridCol w:w="1492"/>
        <w:gridCol w:w="1535"/>
        <w:gridCol w:w="1536"/>
      </w:tblGrid>
      <w:tr w:rsidR="00FE6768" w:rsidRPr="00FE6768" w14:paraId="330AEED4" w14:textId="77777777" w:rsidTr="00471C03">
        <w:trPr>
          <w:trHeight w:val="50"/>
          <w:jc w:val="center"/>
        </w:trPr>
        <w:tc>
          <w:tcPr>
            <w:tcW w:w="7677" w:type="dxa"/>
            <w:gridSpan w:val="5"/>
            <w:shd w:val="clear" w:color="auto" w:fill="D9D9D9" w:themeFill="background1" w:themeFillShade="D9"/>
          </w:tcPr>
          <w:p w14:paraId="4BFC8F1B" w14:textId="1FCD0ED3" w:rsidR="00F82A5F" w:rsidRPr="00356EBA" w:rsidRDefault="002A7508" w:rsidP="00205DED">
            <w:pPr>
              <w:pStyle w:val="Tableheadingrow9pt"/>
              <w:rPr>
                <w:color w:val="auto"/>
              </w:rPr>
            </w:pPr>
            <w:r w:rsidRPr="00FE6768">
              <w:rPr>
                <w:color w:val="auto"/>
              </w:rPr>
              <w:t>Program Objective – Program 2.4: Private Health Insurance</w:t>
            </w:r>
          </w:p>
        </w:tc>
      </w:tr>
      <w:tr w:rsidR="00FE6768" w:rsidRPr="00FE6768" w14:paraId="4E8FA4D8" w14:textId="77777777" w:rsidTr="00471C03">
        <w:trPr>
          <w:jc w:val="center"/>
        </w:trPr>
        <w:tc>
          <w:tcPr>
            <w:tcW w:w="7677" w:type="dxa"/>
            <w:gridSpan w:val="5"/>
          </w:tcPr>
          <w:p w14:paraId="457903B2" w14:textId="540445EB" w:rsidR="002A7508" w:rsidRPr="00FE6768" w:rsidRDefault="0002109E" w:rsidP="00471C03">
            <w:pPr>
              <w:pStyle w:val="Heading2"/>
              <w:outlineLvl w:val="1"/>
              <w:rPr>
                <w:b/>
                <w:color w:val="auto"/>
              </w:rPr>
            </w:pPr>
            <w:r w:rsidRPr="00FE6768">
              <w:rPr>
                <w:color w:val="auto"/>
              </w:rPr>
              <w:t xml:space="preserve">Promote affordable, quality private health insurance </w:t>
            </w:r>
            <w:r w:rsidR="00733A6D" w:rsidRPr="00FE6768">
              <w:rPr>
                <w:color w:val="auto"/>
              </w:rPr>
              <w:t xml:space="preserve">(PHI) </w:t>
            </w:r>
            <w:r w:rsidRPr="00FE6768">
              <w:rPr>
                <w:color w:val="auto"/>
              </w:rPr>
              <w:t>and greater choice for consumers.</w:t>
            </w:r>
          </w:p>
        </w:tc>
      </w:tr>
      <w:tr w:rsidR="00FE6768" w:rsidRPr="00FE6768" w14:paraId="4B12FD72" w14:textId="77777777" w:rsidTr="00471C03">
        <w:trPr>
          <w:jc w:val="center"/>
        </w:trPr>
        <w:tc>
          <w:tcPr>
            <w:tcW w:w="7677" w:type="dxa"/>
            <w:gridSpan w:val="5"/>
            <w:shd w:val="clear" w:color="auto" w:fill="D9D9D9" w:themeFill="background1" w:themeFillShade="D9"/>
          </w:tcPr>
          <w:p w14:paraId="77B3E2DC" w14:textId="340DFAB4" w:rsidR="006C28F6" w:rsidRPr="00610C7C" w:rsidRDefault="00F815B7" w:rsidP="00610C7C">
            <w:pPr>
              <w:pStyle w:val="Tableheadingrow9pt"/>
              <w:rPr>
                <w:color w:val="auto"/>
              </w:rPr>
            </w:pPr>
            <w:r>
              <w:rPr>
                <w:color w:val="auto"/>
              </w:rPr>
              <w:t>Key Activities</w:t>
            </w:r>
          </w:p>
        </w:tc>
      </w:tr>
      <w:tr w:rsidR="00FE6768" w:rsidRPr="00FE6768" w14:paraId="0010E5A7" w14:textId="77777777" w:rsidTr="00471C03">
        <w:trPr>
          <w:jc w:val="center"/>
        </w:trPr>
        <w:tc>
          <w:tcPr>
            <w:tcW w:w="7677" w:type="dxa"/>
            <w:gridSpan w:val="5"/>
          </w:tcPr>
          <w:p w14:paraId="0122033E" w14:textId="7A111343" w:rsidR="00286607" w:rsidRPr="00F815B7" w:rsidRDefault="00286607" w:rsidP="00286607">
            <w:pPr>
              <w:pStyle w:val="Tabletextnormal9pt"/>
              <w:numPr>
                <w:ilvl w:val="0"/>
                <w:numId w:val="1"/>
              </w:numPr>
              <w:ind w:left="284" w:hanging="284"/>
              <w:rPr>
                <w:color w:val="auto"/>
              </w:rPr>
            </w:pPr>
            <w:r w:rsidRPr="00F815B7">
              <w:rPr>
                <w:color w:val="auto"/>
              </w:rPr>
              <w:t>Supporting a viable, sustainable and cost effective PHI sector, including through the PHI rebate</w:t>
            </w:r>
            <w:r>
              <w:rPr>
                <w:color w:val="auto"/>
              </w:rPr>
              <w:t xml:space="preserve"> and reforms to the Prostheses List which will reduce the cost of medical devices for privately insured consumers.</w:t>
            </w:r>
          </w:p>
          <w:p w14:paraId="4973F1D2" w14:textId="4408C46D" w:rsidR="00634E46" w:rsidRPr="00B33215" w:rsidRDefault="007C3B5E" w:rsidP="00204023">
            <w:pPr>
              <w:pStyle w:val="Tabletextnormal9pt"/>
              <w:numPr>
                <w:ilvl w:val="0"/>
                <w:numId w:val="1"/>
              </w:numPr>
              <w:ind w:left="284" w:hanging="284"/>
              <w:rPr>
                <w:color w:val="auto"/>
              </w:rPr>
            </w:pPr>
            <w:r w:rsidRPr="00F815B7">
              <w:rPr>
                <w:color w:val="auto"/>
              </w:rPr>
              <w:t>Worki</w:t>
            </w:r>
            <w:r>
              <w:rPr>
                <w:color w:val="auto"/>
              </w:rPr>
              <w:t>ng with private health insurers, private hospitals</w:t>
            </w:r>
            <w:r w:rsidR="00A10F3F">
              <w:rPr>
                <w:color w:val="auto"/>
              </w:rPr>
              <w:t>,</w:t>
            </w:r>
            <w:r>
              <w:rPr>
                <w:color w:val="auto"/>
              </w:rPr>
              <w:t xml:space="preserve"> and private healthcare providers </w:t>
            </w:r>
            <w:r w:rsidRPr="00F815B7">
              <w:rPr>
                <w:color w:val="auto"/>
              </w:rPr>
              <w:t>to ensure choice to consumers across a range of cost</w:t>
            </w:r>
            <w:r>
              <w:rPr>
                <w:color w:val="auto"/>
              </w:rPr>
              <w:t>-</w:t>
            </w:r>
            <w:r w:rsidRPr="00F815B7">
              <w:rPr>
                <w:color w:val="auto"/>
              </w:rPr>
              <w:t>effective PHI products</w:t>
            </w:r>
            <w:r>
              <w:rPr>
                <w:color w:val="auto"/>
              </w:rPr>
              <w:t xml:space="preserve"> and </w:t>
            </w:r>
            <w:r w:rsidR="00A10361">
              <w:rPr>
                <w:color w:val="auto"/>
              </w:rPr>
              <w:br/>
            </w:r>
            <w:r>
              <w:rPr>
                <w:color w:val="auto"/>
              </w:rPr>
              <w:t>healthcare services</w:t>
            </w:r>
            <w:r w:rsidRPr="00F815B7">
              <w:rPr>
                <w:color w:val="auto"/>
              </w:rPr>
              <w:t>.</w:t>
            </w:r>
          </w:p>
        </w:tc>
      </w:tr>
      <w:tr w:rsidR="00FE6768" w:rsidRPr="00FE6768" w14:paraId="705C1745" w14:textId="77777777" w:rsidTr="00471C03">
        <w:trPr>
          <w:jc w:val="center"/>
        </w:trPr>
        <w:tc>
          <w:tcPr>
            <w:tcW w:w="7677" w:type="dxa"/>
            <w:gridSpan w:val="5"/>
            <w:shd w:val="clear" w:color="auto" w:fill="D9D9D9" w:themeFill="background1" w:themeFillShade="D9"/>
          </w:tcPr>
          <w:p w14:paraId="2346DB69" w14:textId="1116C6A3" w:rsidR="001D531E" w:rsidRPr="00FE6768" w:rsidRDefault="002A7508" w:rsidP="00CF0C4F">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FE6768" w:rsidRPr="00FE6768" w14:paraId="47351948" w14:textId="77777777" w:rsidTr="00471C03">
        <w:trPr>
          <w:jc w:val="center"/>
        </w:trPr>
        <w:tc>
          <w:tcPr>
            <w:tcW w:w="7677" w:type="dxa"/>
            <w:gridSpan w:val="5"/>
            <w:shd w:val="clear" w:color="auto" w:fill="D9D9D9" w:themeFill="background1" w:themeFillShade="D9"/>
          </w:tcPr>
          <w:p w14:paraId="17F5AE86" w14:textId="0ABEFCEF" w:rsidR="00F82A5F" w:rsidRPr="00F22288" w:rsidRDefault="0002109E" w:rsidP="00BB20BA">
            <w:pPr>
              <w:pStyle w:val="Tableheadingrow9pt"/>
              <w:rPr>
                <w:b w:val="0"/>
                <w:color w:val="auto"/>
                <w:sz w:val="17"/>
                <w:szCs w:val="17"/>
              </w:rPr>
            </w:pPr>
            <w:r w:rsidRPr="00F22288">
              <w:rPr>
                <w:color w:val="auto"/>
                <w:sz w:val="17"/>
                <w:szCs w:val="17"/>
              </w:rPr>
              <w:t>Percentage of applications to the Minister from private health insurers to change premiums charged under a complying health insurance product that are assessed within approved timeframes</w:t>
            </w:r>
            <w:r w:rsidR="003C3706" w:rsidRPr="00F22288">
              <w:rPr>
                <w:color w:val="auto"/>
                <w:sz w:val="17"/>
                <w:szCs w:val="17"/>
              </w:rPr>
              <w:t>.</w:t>
            </w:r>
            <w:r w:rsidR="00231817" w:rsidRPr="00F22288">
              <w:rPr>
                <w:rStyle w:val="FootnoteReference"/>
                <w:color w:val="auto"/>
                <w:sz w:val="17"/>
                <w:szCs w:val="17"/>
              </w:rPr>
              <w:footnoteReference w:id="6"/>
            </w:r>
          </w:p>
        </w:tc>
      </w:tr>
      <w:tr w:rsidR="00F82A5F" w:rsidRPr="00FE6768" w14:paraId="0D4A70EF" w14:textId="77777777" w:rsidTr="00D06A06">
        <w:trPr>
          <w:jc w:val="center"/>
        </w:trPr>
        <w:tc>
          <w:tcPr>
            <w:tcW w:w="1696" w:type="dxa"/>
            <w:shd w:val="clear" w:color="auto" w:fill="auto"/>
          </w:tcPr>
          <w:p w14:paraId="5B17A763" w14:textId="65D2A337" w:rsidR="00F82A5F" w:rsidRPr="00F22288" w:rsidRDefault="00F82A5F" w:rsidP="00F82A5F">
            <w:pPr>
              <w:pStyle w:val="Tableheadingrowmeasures85pt"/>
              <w:rPr>
                <w:color w:val="auto"/>
              </w:rPr>
            </w:pPr>
            <w:r>
              <w:rPr>
                <w:color w:val="auto"/>
              </w:rPr>
              <w:t>Current Year</w:t>
            </w:r>
            <w:r>
              <w:rPr>
                <w:color w:val="auto"/>
              </w:rPr>
              <w:br/>
              <w:t>2022–23 Planned Performance Result</w:t>
            </w:r>
          </w:p>
        </w:tc>
        <w:tc>
          <w:tcPr>
            <w:tcW w:w="1418" w:type="dxa"/>
            <w:shd w:val="clear" w:color="auto" w:fill="auto"/>
          </w:tcPr>
          <w:p w14:paraId="37B821D5" w14:textId="27236701" w:rsidR="00F82A5F" w:rsidRPr="00F22288" w:rsidRDefault="00F82A5F" w:rsidP="00F82A5F">
            <w:pPr>
              <w:pStyle w:val="Tableheadingrowmeasures85pt"/>
              <w:rPr>
                <w:color w:val="auto"/>
              </w:rPr>
            </w:pPr>
            <w:r>
              <w:rPr>
                <w:color w:val="auto"/>
              </w:rPr>
              <w:t>Budget Year</w:t>
            </w:r>
            <w:r>
              <w:rPr>
                <w:color w:val="auto"/>
              </w:rPr>
              <w:br/>
            </w:r>
            <w:r w:rsidRPr="005D0368">
              <w:rPr>
                <w:color w:val="auto"/>
              </w:rPr>
              <w:t>202</w:t>
            </w:r>
            <w:r>
              <w:rPr>
                <w:color w:val="auto"/>
              </w:rPr>
              <w:t>3–</w:t>
            </w:r>
            <w:r w:rsidRPr="005D0368">
              <w:rPr>
                <w:color w:val="auto"/>
              </w:rPr>
              <w:t>2</w:t>
            </w:r>
            <w:r>
              <w:rPr>
                <w:color w:val="auto"/>
              </w:rPr>
              <w:t>4</w:t>
            </w:r>
            <w:r w:rsidRPr="005D0368">
              <w:rPr>
                <w:color w:val="auto"/>
              </w:rPr>
              <w:t xml:space="preserve"> </w:t>
            </w:r>
            <w:r>
              <w:rPr>
                <w:color w:val="auto"/>
              </w:rPr>
              <w:t>Planned Performance Result</w:t>
            </w:r>
          </w:p>
        </w:tc>
        <w:tc>
          <w:tcPr>
            <w:tcW w:w="1492" w:type="dxa"/>
            <w:shd w:val="clear" w:color="auto" w:fill="auto"/>
          </w:tcPr>
          <w:p w14:paraId="357D5EB3" w14:textId="0F5D4CD7" w:rsidR="00F82A5F" w:rsidRPr="00F22288" w:rsidRDefault="00F82A5F" w:rsidP="00F82A5F">
            <w:pPr>
              <w:pStyle w:val="Tableheadingrowmeasures85pt"/>
              <w:rPr>
                <w:color w:val="auto"/>
              </w:rPr>
            </w:pPr>
            <w:r>
              <w:rPr>
                <w:color w:val="auto"/>
              </w:rPr>
              <w:t>Forward Estimates</w:t>
            </w:r>
            <w:r>
              <w:rPr>
                <w:color w:val="auto"/>
              </w:rPr>
              <w:br/>
            </w:r>
            <w:r w:rsidRPr="005D0368">
              <w:rPr>
                <w:color w:val="auto"/>
              </w:rPr>
              <w:t>202</w:t>
            </w:r>
            <w:r>
              <w:rPr>
                <w:color w:val="auto"/>
              </w:rPr>
              <w:t>4–</w:t>
            </w:r>
            <w:r w:rsidRPr="005D0368">
              <w:rPr>
                <w:color w:val="auto"/>
              </w:rPr>
              <w:t>2</w:t>
            </w:r>
            <w:r>
              <w:rPr>
                <w:color w:val="auto"/>
              </w:rPr>
              <w:t>5</w:t>
            </w:r>
            <w:r w:rsidRPr="005D0368">
              <w:rPr>
                <w:color w:val="auto"/>
              </w:rPr>
              <w:t xml:space="preserve"> </w:t>
            </w:r>
            <w:r>
              <w:rPr>
                <w:color w:val="auto"/>
              </w:rPr>
              <w:t>Planned Performance Result</w:t>
            </w:r>
          </w:p>
        </w:tc>
        <w:tc>
          <w:tcPr>
            <w:tcW w:w="1535" w:type="dxa"/>
            <w:shd w:val="clear" w:color="auto" w:fill="auto"/>
          </w:tcPr>
          <w:p w14:paraId="01BF9A5F" w14:textId="4A37965D" w:rsidR="00F82A5F" w:rsidRPr="00F22288" w:rsidRDefault="00F82A5F" w:rsidP="00F82A5F">
            <w:pPr>
              <w:pStyle w:val="Tableheadingrowmeasures85pt"/>
              <w:rPr>
                <w:color w:val="auto"/>
              </w:rPr>
            </w:pPr>
            <w:r>
              <w:rPr>
                <w:color w:val="auto"/>
              </w:rPr>
              <w:t>Forward Estimates</w:t>
            </w:r>
            <w:r>
              <w:rPr>
                <w:color w:val="auto"/>
              </w:rPr>
              <w:br/>
            </w:r>
            <w:r w:rsidRPr="005D0368">
              <w:rPr>
                <w:color w:val="auto"/>
              </w:rPr>
              <w:t>202</w:t>
            </w:r>
            <w:r>
              <w:rPr>
                <w:color w:val="auto"/>
              </w:rPr>
              <w:t>5–</w:t>
            </w:r>
            <w:r w:rsidRPr="005D0368">
              <w:rPr>
                <w:color w:val="auto"/>
              </w:rPr>
              <w:t>2</w:t>
            </w:r>
            <w:r>
              <w:rPr>
                <w:color w:val="auto"/>
              </w:rPr>
              <w:t>6</w:t>
            </w:r>
            <w:r w:rsidRPr="005D0368">
              <w:rPr>
                <w:color w:val="auto"/>
              </w:rPr>
              <w:t xml:space="preserve"> </w:t>
            </w:r>
            <w:r>
              <w:rPr>
                <w:color w:val="auto"/>
              </w:rPr>
              <w:t>Planned Performance Result</w:t>
            </w:r>
          </w:p>
        </w:tc>
        <w:tc>
          <w:tcPr>
            <w:tcW w:w="1536" w:type="dxa"/>
            <w:shd w:val="clear" w:color="auto" w:fill="auto"/>
          </w:tcPr>
          <w:p w14:paraId="25A6DBC9" w14:textId="24D6D0CB" w:rsidR="00F82A5F" w:rsidRPr="00F22288" w:rsidRDefault="00F82A5F" w:rsidP="00F82A5F">
            <w:pPr>
              <w:pStyle w:val="Tableheadingrowmeasures85pt"/>
              <w:rPr>
                <w:color w:val="auto"/>
              </w:rPr>
            </w:pPr>
            <w:r>
              <w:rPr>
                <w:color w:val="auto"/>
              </w:rPr>
              <w:t>Forward Estimates</w:t>
            </w:r>
            <w:r>
              <w:rPr>
                <w:color w:val="auto"/>
              </w:rPr>
              <w:br/>
            </w:r>
            <w:r w:rsidRPr="005D0368">
              <w:rPr>
                <w:color w:val="auto"/>
              </w:rPr>
              <w:t>202</w:t>
            </w:r>
            <w:r>
              <w:rPr>
                <w:color w:val="auto"/>
              </w:rPr>
              <w:t>6–</w:t>
            </w:r>
            <w:r w:rsidRPr="005D0368">
              <w:rPr>
                <w:color w:val="auto"/>
              </w:rPr>
              <w:t>2</w:t>
            </w:r>
            <w:r>
              <w:rPr>
                <w:color w:val="auto"/>
              </w:rPr>
              <w:t>7</w:t>
            </w:r>
            <w:r w:rsidRPr="005D0368">
              <w:rPr>
                <w:color w:val="auto"/>
              </w:rPr>
              <w:t xml:space="preserve"> </w:t>
            </w:r>
            <w:r>
              <w:rPr>
                <w:color w:val="auto"/>
              </w:rPr>
              <w:t>Planned Performance Result</w:t>
            </w:r>
          </w:p>
        </w:tc>
      </w:tr>
      <w:tr w:rsidR="00FE6768" w:rsidRPr="00FE6768" w14:paraId="14182E45" w14:textId="77777777" w:rsidTr="00146C3D">
        <w:trPr>
          <w:jc w:val="center"/>
        </w:trPr>
        <w:tc>
          <w:tcPr>
            <w:tcW w:w="1696" w:type="dxa"/>
            <w:shd w:val="clear" w:color="auto" w:fill="auto"/>
          </w:tcPr>
          <w:p w14:paraId="7BDB3C2A" w14:textId="4BAC27F9" w:rsidR="003C3706" w:rsidRPr="00F22288" w:rsidRDefault="001D531E" w:rsidP="00DD3EB4">
            <w:pPr>
              <w:pStyle w:val="Tableheadingrow9pt"/>
              <w:rPr>
                <w:b w:val="0"/>
                <w:color w:val="auto"/>
                <w:sz w:val="17"/>
                <w:szCs w:val="17"/>
                <w:highlight w:val="yellow"/>
              </w:rPr>
            </w:pPr>
            <w:r w:rsidRPr="00F22288">
              <w:rPr>
                <w:b w:val="0"/>
                <w:color w:val="auto"/>
                <w:sz w:val="17"/>
                <w:szCs w:val="17"/>
              </w:rPr>
              <w:t>100%</w:t>
            </w:r>
          </w:p>
        </w:tc>
        <w:tc>
          <w:tcPr>
            <w:tcW w:w="1418" w:type="dxa"/>
            <w:vMerge w:val="restart"/>
            <w:shd w:val="clear" w:color="auto" w:fill="auto"/>
          </w:tcPr>
          <w:p w14:paraId="7F3FF83D" w14:textId="77777777" w:rsidR="003C3706" w:rsidRPr="00F22288" w:rsidRDefault="003C3706" w:rsidP="003C3706">
            <w:pPr>
              <w:pStyle w:val="Tableheadingrow9pt"/>
              <w:rPr>
                <w:b w:val="0"/>
                <w:color w:val="auto"/>
                <w:sz w:val="17"/>
                <w:szCs w:val="17"/>
              </w:rPr>
            </w:pPr>
            <w:r w:rsidRPr="00F22288">
              <w:rPr>
                <w:b w:val="0"/>
                <w:color w:val="auto"/>
                <w:sz w:val="17"/>
                <w:szCs w:val="17"/>
              </w:rPr>
              <w:t>100%</w:t>
            </w:r>
          </w:p>
        </w:tc>
        <w:tc>
          <w:tcPr>
            <w:tcW w:w="1492" w:type="dxa"/>
            <w:vMerge w:val="restart"/>
            <w:shd w:val="clear" w:color="auto" w:fill="auto"/>
          </w:tcPr>
          <w:p w14:paraId="24A01211" w14:textId="4795603B" w:rsidR="003C3706" w:rsidRPr="00F22288" w:rsidRDefault="003C3706" w:rsidP="003C3706">
            <w:pPr>
              <w:pStyle w:val="Tableheadingrow9pt"/>
              <w:rPr>
                <w:b w:val="0"/>
                <w:color w:val="auto"/>
                <w:sz w:val="17"/>
                <w:szCs w:val="17"/>
              </w:rPr>
            </w:pPr>
            <w:r w:rsidRPr="00F22288">
              <w:rPr>
                <w:b w:val="0"/>
                <w:color w:val="auto"/>
                <w:sz w:val="17"/>
                <w:szCs w:val="17"/>
              </w:rPr>
              <w:t>100%</w:t>
            </w:r>
          </w:p>
        </w:tc>
        <w:tc>
          <w:tcPr>
            <w:tcW w:w="1535" w:type="dxa"/>
            <w:vMerge w:val="restart"/>
            <w:shd w:val="clear" w:color="auto" w:fill="auto"/>
          </w:tcPr>
          <w:p w14:paraId="5A0657FF" w14:textId="52284C7E" w:rsidR="003C3706" w:rsidRPr="00F22288" w:rsidRDefault="003C3706" w:rsidP="003C3706">
            <w:pPr>
              <w:pStyle w:val="Tableheadingrow9pt"/>
              <w:rPr>
                <w:b w:val="0"/>
                <w:color w:val="auto"/>
                <w:sz w:val="17"/>
                <w:szCs w:val="17"/>
              </w:rPr>
            </w:pPr>
            <w:r w:rsidRPr="00F22288">
              <w:rPr>
                <w:b w:val="0"/>
                <w:color w:val="auto"/>
                <w:sz w:val="17"/>
                <w:szCs w:val="17"/>
              </w:rPr>
              <w:t>100%</w:t>
            </w:r>
          </w:p>
        </w:tc>
        <w:tc>
          <w:tcPr>
            <w:tcW w:w="1536" w:type="dxa"/>
            <w:vMerge w:val="restart"/>
            <w:shd w:val="clear" w:color="auto" w:fill="auto"/>
          </w:tcPr>
          <w:p w14:paraId="2BE1E4ED" w14:textId="04CC70B8" w:rsidR="003C3706" w:rsidRPr="00F82A5F" w:rsidRDefault="00F2145C" w:rsidP="003C3706">
            <w:pPr>
              <w:pStyle w:val="Tableheadingrow9pt"/>
              <w:rPr>
                <w:b w:val="0"/>
                <w:color w:val="auto"/>
                <w:sz w:val="17"/>
                <w:szCs w:val="17"/>
                <w:highlight w:val="yellow"/>
              </w:rPr>
            </w:pPr>
            <w:r w:rsidRPr="00F2145C">
              <w:rPr>
                <w:b w:val="0"/>
                <w:color w:val="auto"/>
                <w:sz w:val="17"/>
                <w:szCs w:val="17"/>
              </w:rPr>
              <w:t>100%</w:t>
            </w:r>
          </w:p>
        </w:tc>
      </w:tr>
      <w:tr w:rsidR="00FE6768" w:rsidRPr="00FE6768" w14:paraId="06479577" w14:textId="77777777" w:rsidTr="00146C3D">
        <w:trPr>
          <w:jc w:val="center"/>
        </w:trPr>
        <w:tc>
          <w:tcPr>
            <w:tcW w:w="1696" w:type="dxa"/>
            <w:shd w:val="clear" w:color="auto" w:fill="auto"/>
            <w:tcMar>
              <w:right w:w="0" w:type="dxa"/>
            </w:tcMar>
            <w:vAlign w:val="center"/>
          </w:tcPr>
          <w:p w14:paraId="67B8C903" w14:textId="58BBA701" w:rsidR="003C3706" w:rsidRPr="00FE6768" w:rsidRDefault="00BA122B" w:rsidP="00F82A5F">
            <w:pPr>
              <w:pStyle w:val="Tableheadingrow9pt"/>
              <w:rPr>
                <w:bCs/>
                <w:color w:val="auto"/>
                <w:sz w:val="17"/>
                <w:szCs w:val="17"/>
                <w:highlight w:val="yellow"/>
              </w:rPr>
            </w:pPr>
            <w:r>
              <w:rPr>
                <w:color w:val="auto"/>
                <w:sz w:val="17"/>
                <w:szCs w:val="17"/>
              </w:rPr>
              <w:t>202</w:t>
            </w:r>
            <w:r w:rsidR="00F82A5F">
              <w:rPr>
                <w:color w:val="auto"/>
                <w:sz w:val="17"/>
                <w:szCs w:val="17"/>
              </w:rPr>
              <w:t>2</w:t>
            </w:r>
            <w:r>
              <w:rPr>
                <w:color w:val="auto"/>
                <w:sz w:val="17"/>
                <w:szCs w:val="17"/>
              </w:rPr>
              <w:t>–</w:t>
            </w:r>
            <w:r w:rsidR="00CF0C4F">
              <w:rPr>
                <w:color w:val="auto"/>
                <w:sz w:val="17"/>
                <w:szCs w:val="17"/>
              </w:rPr>
              <w:t>2</w:t>
            </w:r>
            <w:r w:rsidR="00F82A5F">
              <w:rPr>
                <w:color w:val="auto"/>
                <w:sz w:val="17"/>
                <w:szCs w:val="17"/>
              </w:rPr>
              <w:t>3</w:t>
            </w:r>
            <w:r w:rsidR="00CF0C4F">
              <w:rPr>
                <w:color w:val="auto"/>
                <w:sz w:val="17"/>
                <w:szCs w:val="17"/>
              </w:rPr>
              <w:br/>
            </w:r>
            <w:r w:rsidR="00676287" w:rsidRPr="00676287">
              <w:rPr>
                <w:color w:val="auto"/>
                <w:sz w:val="17"/>
                <w:szCs w:val="17"/>
              </w:rPr>
              <w:t xml:space="preserve">Expected </w:t>
            </w:r>
            <w:r w:rsidR="00CF0C4F">
              <w:rPr>
                <w:color w:val="auto"/>
                <w:sz w:val="17"/>
                <w:szCs w:val="17"/>
              </w:rPr>
              <w:t>Performance Result</w:t>
            </w:r>
          </w:p>
        </w:tc>
        <w:tc>
          <w:tcPr>
            <w:tcW w:w="1418" w:type="dxa"/>
            <w:vMerge/>
            <w:shd w:val="clear" w:color="auto" w:fill="auto"/>
          </w:tcPr>
          <w:p w14:paraId="4413E229" w14:textId="77777777" w:rsidR="003C3706" w:rsidRPr="00FE6768" w:rsidRDefault="003C3706" w:rsidP="003C3706">
            <w:pPr>
              <w:pStyle w:val="Tableheadingrow9pt"/>
              <w:rPr>
                <w:b w:val="0"/>
                <w:color w:val="auto"/>
              </w:rPr>
            </w:pPr>
          </w:p>
        </w:tc>
        <w:tc>
          <w:tcPr>
            <w:tcW w:w="1492" w:type="dxa"/>
            <w:vMerge/>
            <w:shd w:val="clear" w:color="auto" w:fill="auto"/>
          </w:tcPr>
          <w:p w14:paraId="37047512" w14:textId="4E6CEED9" w:rsidR="003C3706" w:rsidRPr="00FE6768" w:rsidRDefault="003C3706" w:rsidP="003C3706">
            <w:pPr>
              <w:pStyle w:val="Tableheadingrow9pt"/>
              <w:rPr>
                <w:b w:val="0"/>
                <w:color w:val="auto"/>
              </w:rPr>
            </w:pPr>
          </w:p>
        </w:tc>
        <w:tc>
          <w:tcPr>
            <w:tcW w:w="1535" w:type="dxa"/>
            <w:vMerge/>
            <w:shd w:val="clear" w:color="auto" w:fill="auto"/>
          </w:tcPr>
          <w:p w14:paraId="2D5FC536" w14:textId="77777777" w:rsidR="003C3706" w:rsidRPr="00FE6768" w:rsidRDefault="003C3706" w:rsidP="003C3706">
            <w:pPr>
              <w:pStyle w:val="Tableheadingrow9pt"/>
              <w:rPr>
                <w:b w:val="0"/>
                <w:color w:val="auto"/>
              </w:rPr>
            </w:pPr>
          </w:p>
        </w:tc>
        <w:tc>
          <w:tcPr>
            <w:tcW w:w="1536" w:type="dxa"/>
            <w:vMerge/>
            <w:shd w:val="clear" w:color="auto" w:fill="auto"/>
          </w:tcPr>
          <w:p w14:paraId="410C0C7B" w14:textId="36852817" w:rsidR="003C3706" w:rsidRPr="00FE6768" w:rsidRDefault="003C3706" w:rsidP="003C3706">
            <w:pPr>
              <w:pStyle w:val="Tableheadingrow9pt"/>
              <w:rPr>
                <w:b w:val="0"/>
                <w:color w:val="auto"/>
              </w:rPr>
            </w:pPr>
          </w:p>
        </w:tc>
      </w:tr>
      <w:tr w:rsidR="00FE6768" w:rsidRPr="00FE6768" w14:paraId="0EAABB0A" w14:textId="77777777" w:rsidTr="00146C3D">
        <w:trPr>
          <w:jc w:val="center"/>
        </w:trPr>
        <w:tc>
          <w:tcPr>
            <w:tcW w:w="1696" w:type="dxa"/>
            <w:shd w:val="clear" w:color="auto" w:fill="auto"/>
          </w:tcPr>
          <w:p w14:paraId="36EE693E" w14:textId="323BE5A8" w:rsidR="003C3706" w:rsidRPr="00FE6768" w:rsidRDefault="00F2145C" w:rsidP="00DD3EB4">
            <w:pPr>
              <w:pStyle w:val="Tableheadingrow9pt"/>
              <w:rPr>
                <w:b w:val="0"/>
                <w:bCs/>
                <w:color w:val="auto"/>
                <w:sz w:val="17"/>
                <w:szCs w:val="17"/>
                <w:highlight w:val="yellow"/>
              </w:rPr>
            </w:pPr>
            <w:r w:rsidRPr="00F2145C">
              <w:rPr>
                <w:b w:val="0"/>
                <w:color w:val="auto"/>
                <w:sz w:val="17"/>
                <w:szCs w:val="17"/>
              </w:rPr>
              <w:t>100%</w:t>
            </w:r>
          </w:p>
        </w:tc>
        <w:tc>
          <w:tcPr>
            <w:tcW w:w="1418" w:type="dxa"/>
            <w:vMerge/>
            <w:shd w:val="clear" w:color="auto" w:fill="auto"/>
          </w:tcPr>
          <w:p w14:paraId="6C31D2B2" w14:textId="77777777" w:rsidR="003C3706" w:rsidRPr="00FE6768" w:rsidRDefault="003C3706" w:rsidP="003C3706">
            <w:pPr>
              <w:pStyle w:val="Tableheadingrow9pt"/>
              <w:rPr>
                <w:b w:val="0"/>
                <w:color w:val="auto"/>
              </w:rPr>
            </w:pPr>
          </w:p>
        </w:tc>
        <w:tc>
          <w:tcPr>
            <w:tcW w:w="1492" w:type="dxa"/>
            <w:vMerge/>
            <w:shd w:val="clear" w:color="auto" w:fill="auto"/>
          </w:tcPr>
          <w:p w14:paraId="73482E89" w14:textId="66E7F869" w:rsidR="003C3706" w:rsidRPr="00FE6768" w:rsidRDefault="003C3706" w:rsidP="003C3706">
            <w:pPr>
              <w:pStyle w:val="Tableheadingrow9pt"/>
              <w:rPr>
                <w:b w:val="0"/>
                <w:color w:val="auto"/>
              </w:rPr>
            </w:pPr>
          </w:p>
        </w:tc>
        <w:tc>
          <w:tcPr>
            <w:tcW w:w="1535" w:type="dxa"/>
            <w:vMerge/>
            <w:shd w:val="clear" w:color="auto" w:fill="auto"/>
          </w:tcPr>
          <w:p w14:paraId="2C077E4D" w14:textId="77777777" w:rsidR="003C3706" w:rsidRPr="00FE6768" w:rsidRDefault="003C3706" w:rsidP="003C3706">
            <w:pPr>
              <w:pStyle w:val="Tableheadingrow9pt"/>
              <w:rPr>
                <w:b w:val="0"/>
                <w:color w:val="auto"/>
              </w:rPr>
            </w:pPr>
          </w:p>
        </w:tc>
        <w:tc>
          <w:tcPr>
            <w:tcW w:w="1536" w:type="dxa"/>
            <w:vMerge/>
            <w:shd w:val="clear" w:color="auto" w:fill="auto"/>
          </w:tcPr>
          <w:p w14:paraId="332E34C2" w14:textId="3DA63336" w:rsidR="003C3706" w:rsidRPr="00FE6768" w:rsidRDefault="003C3706" w:rsidP="003C3706">
            <w:pPr>
              <w:pStyle w:val="Tableheadingrow9pt"/>
              <w:rPr>
                <w:b w:val="0"/>
                <w:color w:val="auto"/>
              </w:rPr>
            </w:pPr>
          </w:p>
        </w:tc>
      </w:tr>
      <w:tr w:rsidR="00FE6768" w:rsidRPr="00FE6768" w14:paraId="1C997FB7" w14:textId="77777777" w:rsidTr="00471C03">
        <w:trPr>
          <w:jc w:val="center"/>
        </w:trPr>
        <w:tc>
          <w:tcPr>
            <w:tcW w:w="7677" w:type="dxa"/>
            <w:gridSpan w:val="5"/>
            <w:shd w:val="clear" w:color="auto" w:fill="auto"/>
          </w:tcPr>
          <w:p w14:paraId="617DC6A5" w14:textId="4ECC30CF" w:rsidR="003C3706" w:rsidRPr="00FE6768" w:rsidRDefault="003C3706" w:rsidP="003C3706">
            <w:pPr>
              <w:pStyle w:val="Tableheadingrow9pt"/>
              <w:rPr>
                <w:color w:val="auto"/>
              </w:rPr>
            </w:pPr>
            <w:r w:rsidRPr="00FE6768">
              <w:rPr>
                <w:color w:val="auto"/>
              </w:rPr>
              <w:t>Material changes to Program 2.4 resulting from the following measures:</w:t>
            </w:r>
          </w:p>
          <w:p w14:paraId="331DE2FB" w14:textId="1EC9DACE" w:rsidR="003C3706" w:rsidRPr="00FE6768" w:rsidRDefault="00F82A5F" w:rsidP="00F82A5F">
            <w:pPr>
              <w:rPr>
                <w:color w:val="auto"/>
              </w:rPr>
            </w:pPr>
            <w:r w:rsidRPr="00473719">
              <w:rPr>
                <w:sz w:val="17"/>
                <w:szCs w:val="17"/>
              </w:rPr>
              <w:t xml:space="preserve">There are no material changes to Program </w:t>
            </w:r>
            <w:r>
              <w:rPr>
                <w:sz w:val="17"/>
                <w:szCs w:val="17"/>
              </w:rPr>
              <w:t>2.4</w:t>
            </w:r>
            <w:r w:rsidRPr="00473719">
              <w:rPr>
                <w:sz w:val="17"/>
                <w:szCs w:val="17"/>
              </w:rPr>
              <w:t xml:space="preserve"> resulting from measures.</w:t>
            </w:r>
          </w:p>
        </w:tc>
      </w:tr>
    </w:tbl>
    <w:p w14:paraId="47C562BA" w14:textId="726F9DAE" w:rsidR="002A7508" w:rsidRPr="00FE6768" w:rsidRDefault="002A7508" w:rsidP="002A7508">
      <w:pPr>
        <w:pStyle w:val="Tablenumberandreference"/>
        <w:pageBreakBefore/>
        <w:rPr>
          <w:color w:val="auto"/>
        </w:rPr>
      </w:pPr>
      <w:r w:rsidRPr="00FE6768">
        <w:rPr>
          <w:color w:val="auto"/>
        </w:rPr>
        <w:lastRenderedPageBreak/>
        <w:t xml:space="preserve">Table 2.2.6: Performance </w:t>
      </w:r>
      <w:r w:rsidR="002312BC">
        <w:rPr>
          <w:color w:val="auto"/>
        </w:rPr>
        <w:t>m</w:t>
      </w:r>
      <w:r w:rsidR="000F2A3B" w:rsidRPr="00FE6768">
        <w:rPr>
          <w:color w:val="auto"/>
        </w:rPr>
        <w:t>easures</w:t>
      </w:r>
      <w:r w:rsidRPr="00FE6768">
        <w:rPr>
          <w:color w:val="auto"/>
        </w:rPr>
        <w:t xml:space="preserve"> for Program 2.5</w:t>
      </w:r>
    </w:p>
    <w:tbl>
      <w:tblPr>
        <w:tblStyle w:val="TableGrid"/>
        <w:tblW w:w="7792" w:type="dxa"/>
        <w:jc w:val="center"/>
        <w:tblLayout w:type="fixed"/>
        <w:tblLook w:val="04A0" w:firstRow="1" w:lastRow="0" w:firstColumn="1" w:lastColumn="0" w:noHBand="0" w:noVBand="1"/>
        <w:tblCaption w:val="Table 2.2.6: Performance Measures for Program 2.5"/>
        <w:tblDescription w:val="This table outlines Program 2.5's objective and the key activities for Program 2.5. It also includes a performance measure for Program 2.5, with an expected performance result for 2021-22, and planned performance results for 2022-23 and the forward estimates"/>
      </w:tblPr>
      <w:tblGrid>
        <w:gridCol w:w="1696"/>
        <w:gridCol w:w="1524"/>
        <w:gridCol w:w="1524"/>
        <w:gridCol w:w="1524"/>
        <w:gridCol w:w="1524"/>
      </w:tblGrid>
      <w:tr w:rsidR="00FE6768" w:rsidRPr="00FE6768" w14:paraId="348F61E1" w14:textId="77777777" w:rsidTr="00297FE9">
        <w:trPr>
          <w:trHeight w:val="50"/>
          <w:jc w:val="center"/>
        </w:trPr>
        <w:tc>
          <w:tcPr>
            <w:tcW w:w="7792" w:type="dxa"/>
            <w:gridSpan w:val="5"/>
            <w:shd w:val="clear" w:color="auto" w:fill="D9D9D9" w:themeFill="background1" w:themeFillShade="D9"/>
          </w:tcPr>
          <w:p w14:paraId="7A694BD7" w14:textId="58F46F13" w:rsidR="005572C8" w:rsidRPr="00A10F3F" w:rsidRDefault="002A7508" w:rsidP="00F1731F">
            <w:pPr>
              <w:pStyle w:val="Tableheadingrow9pt"/>
              <w:rPr>
                <w:color w:val="auto"/>
              </w:rPr>
            </w:pPr>
            <w:r w:rsidRPr="00FE6768">
              <w:rPr>
                <w:color w:val="auto"/>
              </w:rPr>
              <w:t xml:space="preserve">Program Objective – Program 2.5: Dental </w:t>
            </w:r>
            <w:r w:rsidR="00C72BCE" w:rsidRPr="00FE6768">
              <w:rPr>
                <w:color w:val="auto"/>
              </w:rPr>
              <w:t>Services</w:t>
            </w:r>
          </w:p>
        </w:tc>
      </w:tr>
      <w:tr w:rsidR="00FE6768" w:rsidRPr="00FE6768" w14:paraId="61D8200A" w14:textId="77777777" w:rsidTr="00297FE9">
        <w:trPr>
          <w:jc w:val="center"/>
        </w:trPr>
        <w:tc>
          <w:tcPr>
            <w:tcW w:w="7792" w:type="dxa"/>
            <w:gridSpan w:val="5"/>
          </w:tcPr>
          <w:p w14:paraId="7BAAC86E" w14:textId="6E7295BE" w:rsidR="004815F1" w:rsidRPr="009F35AC" w:rsidRDefault="009F35AC" w:rsidP="009F35AC">
            <w:pPr>
              <w:pStyle w:val="Heading2"/>
              <w:outlineLvl w:val="1"/>
              <w:rPr>
                <w:color w:val="auto"/>
              </w:rPr>
            </w:pPr>
            <w:r>
              <w:rPr>
                <w:color w:val="auto"/>
              </w:rPr>
              <w:t>Support</w:t>
            </w:r>
            <w:r w:rsidR="00F43BB4" w:rsidRPr="00FE6768">
              <w:rPr>
                <w:color w:val="auto"/>
              </w:rPr>
              <w:t xml:space="preserve"> eligible children to access essential dental health services through the Child Dental Benefits Schedule (CDBS)</w:t>
            </w:r>
            <w:r w:rsidR="00414A05">
              <w:rPr>
                <w:color w:val="auto"/>
              </w:rPr>
              <w:t>.</w:t>
            </w:r>
          </w:p>
        </w:tc>
      </w:tr>
      <w:tr w:rsidR="002B3EA2" w:rsidRPr="00FE6768" w14:paraId="577133DD" w14:textId="77777777" w:rsidTr="00297FE9">
        <w:trPr>
          <w:jc w:val="center"/>
        </w:trPr>
        <w:tc>
          <w:tcPr>
            <w:tcW w:w="7792" w:type="dxa"/>
            <w:gridSpan w:val="5"/>
            <w:shd w:val="clear" w:color="auto" w:fill="D9D9D9" w:themeFill="background1" w:themeFillShade="D9"/>
          </w:tcPr>
          <w:p w14:paraId="3B52180B" w14:textId="187AD328" w:rsidR="006C28F6" w:rsidRPr="00A10F3F" w:rsidRDefault="002B3EA2" w:rsidP="00A10F3F">
            <w:pPr>
              <w:pStyle w:val="Tableheadingrow9pt"/>
              <w:rPr>
                <w:color w:val="auto"/>
              </w:rPr>
            </w:pPr>
            <w:r>
              <w:rPr>
                <w:color w:val="auto"/>
              </w:rPr>
              <w:t>Key Activities</w:t>
            </w:r>
          </w:p>
        </w:tc>
      </w:tr>
      <w:tr w:rsidR="002B3EA2" w:rsidRPr="00FE6768" w14:paraId="27AD67DB" w14:textId="77777777" w:rsidTr="00297FE9">
        <w:trPr>
          <w:jc w:val="center"/>
        </w:trPr>
        <w:tc>
          <w:tcPr>
            <w:tcW w:w="7792" w:type="dxa"/>
            <w:gridSpan w:val="5"/>
          </w:tcPr>
          <w:p w14:paraId="3AC02D75" w14:textId="55FB83B0" w:rsidR="0082141A" w:rsidRDefault="002B3EA2" w:rsidP="00771303">
            <w:pPr>
              <w:pStyle w:val="Tabletextnormal9pt"/>
              <w:numPr>
                <w:ilvl w:val="0"/>
                <w:numId w:val="1"/>
              </w:numPr>
              <w:ind w:left="284" w:hanging="284"/>
              <w:rPr>
                <w:color w:val="auto"/>
              </w:rPr>
            </w:pPr>
            <w:r w:rsidRPr="002B3EA2">
              <w:rPr>
                <w:color w:val="auto"/>
              </w:rPr>
              <w:t>Working with Services Australia to support access to dental health services for eligible children through the CDBS.</w:t>
            </w:r>
          </w:p>
          <w:p w14:paraId="5D97E808" w14:textId="7FFE981B" w:rsidR="002B3EA2" w:rsidRPr="00FE6768" w:rsidRDefault="002620B7" w:rsidP="00771303">
            <w:pPr>
              <w:pStyle w:val="Tabletextnormal9pt"/>
              <w:numPr>
                <w:ilvl w:val="0"/>
                <w:numId w:val="1"/>
              </w:numPr>
              <w:ind w:left="284" w:hanging="284"/>
              <w:rPr>
                <w:color w:val="auto"/>
              </w:rPr>
            </w:pPr>
            <w:r>
              <w:rPr>
                <w:color w:val="auto"/>
              </w:rPr>
              <w:t xml:space="preserve">Finalising </w:t>
            </w:r>
            <w:r w:rsidR="0082141A" w:rsidRPr="00A10F3F">
              <w:rPr>
                <w:color w:val="auto"/>
              </w:rPr>
              <w:t xml:space="preserve">the Fifth Review of the </w:t>
            </w:r>
            <w:r w:rsidR="0082141A" w:rsidRPr="00A10F3F">
              <w:rPr>
                <w:i/>
                <w:color w:val="auto"/>
              </w:rPr>
              <w:t>Dental Benefits Act 2008</w:t>
            </w:r>
            <w:r w:rsidR="00331F52" w:rsidRPr="00A10F3F">
              <w:rPr>
                <w:i/>
                <w:color w:val="auto"/>
              </w:rPr>
              <w:t>.</w:t>
            </w:r>
          </w:p>
        </w:tc>
      </w:tr>
      <w:tr w:rsidR="002B3EA2" w:rsidRPr="00FE6768" w14:paraId="422193F5" w14:textId="77777777" w:rsidTr="00297FE9">
        <w:trPr>
          <w:jc w:val="center"/>
        </w:trPr>
        <w:tc>
          <w:tcPr>
            <w:tcW w:w="7792" w:type="dxa"/>
            <w:gridSpan w:val="5"/>
            <w:shd w:val="clear" w:color="auto" w:fill="D9D9D9" w:themeFill="background1" w:themeFillShade="D9"/>
          </w:tcPr>
          <w:p w14:paraId="4275F415" w14:textId="5C3F614F" w:rsidR="002B3EA2" w:rsidRPr="00FE6768" w:rsidRDefault="002B3EA2" w:rsidP="002B3EA2">
            <w:pPr>
              <w:pStyle w:val="Tableheadingrow9pt"/>
              <w:rPr>
                <w:color w:val="auto"/>
              </w:rPr>
            </w:pPr>
            <w:r w:rsidRPr="00FE6768">
              <w:rPr>
                <w:color w:val="auto"/>
              </w:rPr>
              <w:t>Performance Measures</w:t>
            </w:r>
          </w:p>
        </w:tc>
      </w:tr>
      <w:tr w:rsidR="002B3EA2" w:rsidRPr="00FE6768" w14:paraId="3B85DEBA" w14:textId="77777777" w:rsidTr="00297FE9">
        <w:trPr>
          <w:jc w:val="center"/>
        </w:trPr>
        <w:tc>
          <w:tcPr>
            <w:tcW w:w="7792" w:type="dxa"/>
            <w:gridSpan w:val="5"/>
            <w:shd w:val="clear" w:color="auto" w:fill="D9D9D9" w:themeFill="background1" w:themeFillShade="D9"/>
          </w:tcPr>
          <w:p w14:paraId="1D35FF0A" w14:textId="6BE1A8CC" w:rsidR="005572C8" w:rsidRPr="005572C8" w:rsidRDefault="002B3EA2" w:rsidP="002620B7">
            <w:pPr>
              <w:pStyle w:val="Heading2"/>
              <w:outlineLvl w:val="1"/>
            </w:pPr>
            <w:r w:rsidRPr="00FE6768">
              <w:rPr>
                <w:b/>
                <w:color w:val="auto"/>
                <w:sz w:val="17"/>
                <w:szCs w:val="17"/>
              </w:rPr>
              <w:t>The percentage of eligible children</w:t>
            </w:r>
            <w:r w:rsidR="005072F6">
              <w:rPr>
                <w:rStyle w:val="FootnoteReference"/>
                <w:b/>
                <w:color w:val="auto"/>
                <w:sz w:val="17"/>
                <w:szCs w:val="17"/>
              </w:rPr>
              <w:footnoteReference w:id="7"/>
            </w:r>
            <w:r w:rsidRPr="00FE6768">
              <w:rPr>
                <w:b/>
                <w:color w:val="auto"/>
                <w:sz w:val="17"/>
                <w:szCs w:val="17"/>
              </w:rPr>
              <w:t xml:space="preserve"> accessing essential dental health services through the Child Dental Benefits Schedule.</w:t>
            </w:r>
          </w:p>
        </w:tc>
      </w:tr>
      <w:tr w:rsidR="005572C8" w:rsidRPr="00FE6768" w14:paraId="38A3A0EB" w14:textId="77777777" w:rsidTr="007B30D2">
        <w:trPr>
          <w:jc w:val="center"/>
        </w:trPr>
        <w:tc>
          <w:tcPr>
            <w:tcW w:w="1696" w:type="dxa"/>
            <w:shd w:val="clear" w:color="auto" w:fill="auto"/>
          </w:tcPr>
          <w:p w14:paraId="32C16388" w14:textId="511EFBF0" w:rsidR="005572C8" w:rsidRPr="005572C8" w:rsidRDefault="005572C8" w:rsidP="005572C8">
            <w:pPr>
              <w:pStyle w:val="Tableheadingrow9pt"/>
              <w:rPr>
                <w:color w:val="auto"/>
                <w:sz w:val="17"/>
                <w:szCs w:val="17"/>
              </w:rPr>
            </w:pPr>
            <w:r w:rsidRPr="005572C8">
              <w:rPr>
                <w:color w:val="auto"/>
                <w:sz w:val="17"/>
                <w:szCs w:val="17"/>
              </w:rPr>
              <w:t>Current Year</w:t>
            </w:r>
            <w:r w:rsidRPr="005572C8">
              <w:rPr>
                <w:color w:val="auto"/>
                <w:sz w:val="17"/>
                <w:szCs w:val="17"/>
              </w:rPr>
              <w:br/>
              <w:t>2022–23 Planned Performance Result</w:t>
            </w:r>
          </w:p>
        </w:tc>
        <w:tc>
          <w:tcPr>
            <w:tcW w:w="1524" w:type="dxa"/>
            <w:shd w:val="clear" w:color="auto" w:fill="auto"/>
          </w:tcPr>
          <w:p w14:paraId="401431CC" w14:textId="121E2AF3" w:rsidR="005572C8" w:rsidRPr="005572C8" w:rsidRDefault="005572C8" w:rsidP="005572C8">
            <w:pPr>
              <w:pStyle w:val="Tableheadingrow9pt"/>
              <w:rPr>
                <w:color w:val="auto"/>
                <w:sz w:val="17"/>
                <w:szCs w:val="17"/>
              </w:rPr>
            </w:pPr>
            <w:r w:rsidRPr="005572C8">
              <w:rPr>
                <w:color w:val="auto"/>
                <w:sz w:val="17"/>
                <w:szCs w:val="17"/>
              </w:rPr>
              <w:t>Budget Year</w:t>
            </w:r>
            <w:r w:rsidRPr="005572C8">
              <w:rPr>
                <w:color w:val="auto"/>
                <w:sz w:val="17"/>
                <w:szCs w:val="17"/>
              </w:rPr>
              <w:br/>
              <w:t>2023–24 Planned Performance Result</w:t>
            </w:r>
          </w:p>
        </w:tc>
        <w:tc>
          <w:tcPr>
            <w:tcW w:w="1524" w:type="dxa"/>
            <w:shd w:val="clear" w:color="auto" w:fill="auto"/>
          </w:tcPr>
          <w:p w14:paraId="61C72D55" w14:textId="1AE661F4" w:rsidR="005572C8" w:rsidRPr="005572C8" w:rsidRDefault="005572C8" w:rsidP="005572C8">
            <w:pPr>
              <w:pStyle w:val="Tableheadingrow9pt"/>
              <w:rPr>
                <w:color w:val="auto"/>
                <w:sz w:val="17"/>
                <w:szCs w:val="17"/>
              </w:rPr>
            </w:pPr>
            <w:r w:rsidRPr="005572C8">
              <w:rPr>
                <w:color w:val="auto"/>
                <w:sz w:val="17"/>
                <w:szCs w:val="17"/>
              </w:rPr>
              <w:t>Forward Estimates</w:t>
            </w:r>
            <w:r w:rsidRPr="005572C8">
              <w:rPr>
                <w:color w:val="auto"/>
                <w:sz w:val="17"/>
                <w:szCs w:val="17"/>
              </w:rPr>
              <w:br/>
              <w:t>2024–25 Planned Performance Result</w:t>
            </w:r>
          </w:p>
        </w:tc>
        <w:tc>
          <w:tcPr>
            <w:tcW w:w="1524" w:type="dxa"/>
            <w:shd w:val="clear" w:color="auto" w:fill="auto"/>
          </w:tcPr>
          <w:p w14:paraId="312307FF" w14:textId="5F4C108B" w:rsidR="005572C8" w:rsidRPr="005572C8" w:rsidRDefault="005572C8" w:rsidP="005572C8">
            <w:pPr>
              <w:pStyle w:val="Tableheadingrow9pt"/>
              <w:rPr>
                <w:color w:val="auto"/>
                <w:sz w:val="17"/>
                <w:szCs w:val="17"/>
              </w:rPr>
            </w:pPr>
            <w:r w:rsidRPr="005572C8">
              <w:rPr>
                <w:color w:val="auto"/>
                <w:sz w:val="17"/>
                <w:szCs w:val="17"/>
              </w:rPr>
              <w:t>Forward Estimates</w:t>
            </w:r>
            <w:r w:rsidRPr="005572C8">
              <w:rPr>
                <w:color w:val="auto"/>
                <w:sz w:val="17"/>
                <w:szCs w:val="17"/>
              </w:rPr>
              <w:br/>
              <w:t>2025–26 Planned Performance Result</w:t>
            </w:r>
          </w:p>
        </w:tc>
        <w:tc>
          <w:tcPr>
            <w:tcW w:w="1524" w:type="dxa"/>
            <w:shd w:val="clear" w:color="auto" w:fill="auto"/>
          </w:tcPr>
          <w:p w14:paraId="27F68D9E" w14:textId="6355FC85" w:rsidR="005572C8" w:rsidRPr="005572C8" w:rsidRDefault="005572C8" w:rsidP="005572C8">
            <w:pPr>
              <w:pStyle w:val="Tableheadingrow9pt"/>
              <w:rPr>
                <w:color w:val="auto"/>
                <w:sz w:val="17"/>
                <w:szCs w:val="17"/>
              </w:rPr>
            </w:pPr>
            <w:r w:rsidRPr="005572C8">
              <w:rPr>
                <w:color w:val="auto"/>
                <w:sz w:val="17"/>
                <w:szCs w:val="17"/>
              </w:rPr>
              <w:t>Forward Estimates</w:t>
            </w:r>
            <w:r w:rsidRPr="005572C8">
              <w:rPr>
                <w:color w:val="auto"/>
                <w:sz w:val="17"/>
                <w:szCs w:val="17"/>
              </w:rPr>
              <w:br/>
              <w:t>2026–27 Planned Performance Result</w:t>
            </w:r>
          </w:p>
        </w:tc>
      </w:tr>
      <w:tr w:rsidR="005572C8" w:rsidRPr="00FE6768" w14:paraId="471DEDD8" w14:textId="77777777" w:rsidTr="007B30D2">
        <w:trPr>
          <w:trHeight w:val="96"/>
          <w:jc w:val="center"/>
        </w:trPr>
        <w:tc>
          <w:tcPr>
            <w:tcW w:w="1696" w:type="dxa"/>
            <w:shd w:val="clear" w:color="auto" w:fill="auto"/>
          </w:tcPr>
          <w:p w14:paraId="78612BE3" w14:textId="5022ED67" w:rsidR="005572C8" w:rsidRPr="00FE6768" w:rsidRDefault="005572C8" w:rsidP="005572C8">
            <w:pPr>
              <w:pStyle w:val="Tableheadingrow9pt"/>
              <w:rPr>
                <w:b w:val="0"/>
                <w:color w:val="auto"/>
                <w:sz w:val="17"/>
                <w:szCs w:val="17"/>
              </w:rPr>
            </w:pPr>
            <w:r w:rsidRPr="00FE6768">
              <w:rPr>
                <w:b w:val="0"/>
                <w:color w:val="auto"/>
                <w:sz w:val="17"/>
                <w:szCs w:val="17"/>
              </w:rPr>
              <w:t>41.8%</w:t>
            </w:r>
          </w:p>
        </w:tc>
        <w:tc>
          <w:tcPr>
            <w:tcW w:w="1524" w:type="dxa"/>
            <w:vMerge w:val="restart"/>
            <w:shd w:val="clear" w:color="auto" w:fill="auto"/>
          </w:tcPr>
          <w:p w14:paraId="42DD9F79" w14:textId="66FA7908" w:rsidR="005572C8" w:rsidRPr="00FE6768" w:rsidRDefault="005572C8" w:rsidP="005572C8">
            <w:pPr>
              <w:pStyle w:val="Tableheadingrow9pt"/>
              <w:jc w:val="both"/>
              <w:rPr>
                <w:b w:val="0"/>
                <w:color w:val="auto"/>
                <w:sz w:val="17"/>
                <w:szCs w:val="17"/>
              </w:rPr>
            </w:pPr>
            <w:r w:rsidRPr="00FE6768">
              <w:rPr>
                <w:b w:val="0"/>
                <w:color w:val="auto"/>
                <w:sz w:val="17"/>
                <w:szCs w:val="17"/>
              </w:rPr>
              <w:t>42.7%</w:t>
            </w:r>
          </w:p>
        </w:tc>
        <w:tc>
          <w:tcPr>
            <w:tcW w:w="1524" w:type="dxa"/>
            <w:vMerge w:val="restart"/>
            <w:shd w:val="clear" w:color="auto" w:fill="auto"/>
          </w:tcPr>
          <w:p w14:paraId="4B3BB01C" w14:textId="32022856" w:rsidR="005572C8" w:rsidRPr="00FE6768" w:rsidRDefault="005572C8" w:rsidP="005572C8">
            <w:pPr>
              <w:pStyle w:val="Tableheadingrow9pt"/>
              <w:rPr>
                <w:b w:val="0"/>
                <w:color w:val="auto"/>
                <w:sz w:val="17"/>
                <w:szCs w:val="17"/>
              </w:rPr>
            </w:pPr>
            <w:r w:rsidRPr="00FE6768">
              <w:rPr>
                <w:b w:val="0"/>
                <w:color w:val="auto"/>
                <w:sz w:val="17"/>
                <w:szCs w:val="17"/>
              </w:rPr>
              <w:t>43.6%</w:t>
            </w:r>
          </w:p>
        </w:tc>
        <w:tc>
          <w:tcPr>
            <w:tcW w:w="1524" w:type="dxa"/>
            <w:vMerge w:val="restart"/>
            <w:shd w:val="clear" w:color="auto" w:fill="auto"/>
          </w:tcPr>
          <w:p w14:paraId="4BE00321" w14:textId="17D22B75" w:rsidR="005572C8" w:rsidRPr="00FE6768" w:rsidRDefault="005572C8" w:rsidP="005572C8">
            <w:pPr>
              <w:pStyle w:val="Tableheadingrow9pt"/>
              <w:rPr>
                <w:b w:val="0"/>
                <w:color w:val="auto"/>
                <w:sz w:val="17"/>
                <w:szCs w:val="17"/>
              </w:rPr>
            </w:pPr>
            <w:r w:rsidRPr="006B5D15">
              <w:rPr>
                <w:b w:val="0"/>
                <w:color w:val="auto"/>
                <w:sz w:val="17"/>
                <w:szCs w:val="17"/>
              </w:rPr>
              <w:t>44.5%</w:t>
            </w:r>
          </w:p>
        </w:tc>
        <w:tc>
          <w:tcPr>
            <w:tcW w:w="1524" w:type="dxa"/>
            <w:vMerge w:val="restart"/>
            <w:shd w:val="clear" w:color="auto" w:fill="auto"/>
          </w:tcPr>
          <w:p w14:paraId="6BE4E479" w14:textId="0CC0AF53" w:rsidR="005572C8" w:rsidRPr="00FE6768" w:rsidRDefault="002620B7" w:rsidP="005572C8">
            <w:pPr>
              <w:pStyle w:val="Tableheadingrow9pt"/>
              <w:rPr>
                <w:b w:val="0"/>
                <w:color w:val="auto"/>
                <w:sz w:val="17"/>
                <w:szCs w:val="17"/>
              </w:rPr>
            </w:pPr>
            <w:r>
              <w:rPr>
                <w:b w:val="0"/>
                <w:color w:val="auto"/>
                <w:sz w:val="17"/>
                <w:szCs w:val="17"/>
              </w:rPr>
              <w:t>45.4%</w:t>
            </w:r>
          </w:p>
        </w:tc>
      </w:tr>
      <w:tr w:rsidR="005572C8" w:rsidRPr="00FE6768" w14:paraId="59041B4F" w14:textId="77777777" w:rsidTr="007B30D2">
        <w:trPr>
          <w:trHeight w:val="96"/>
          <w:jc w:val="center"/>
        </w:trPr>
        <w:tc>
          <w:tcPr>
            <w:tcW w:w="1696" w:type="dxa"/>
            <w:shd w:val="clear" w:color="auto" w:fill="auto"/>
          </w:tcPr>
          <w:p w14:paraId="40457CD7" w14:textId="73FFCB4C" w:rsidR="005572C8" w:rsidRPr="00FE6768" w:rsidRDefault="005572C8" w:rsidP="005572C8">
            <w:pPr>
              <w:pStyle w:val="Tableheadingrow9pt"/>
              <w:rPr>
                <w:b w:val="0"/>
                <w:bCs/>
                <w:color w:val="auto"/>
                <w:sz w:val="17"/>
                <w:szCs w:val="17"/>
                <w:highlight w:val="yellow"/>
              </w:rPr>
            </w:pPr>
            <w:r>
              <w:rPr>
                <w:color w:val="auto"/>
                <w:sz w:val="17"/>
                <w:szCs w:val="17"/>
              </w:rPr>
              <w:t>2022–23</w:t>
            </w:r>
            <w:r>
              <w:rPr>
                <w:color w:val="auto"/>
                <w:sz w:val="17"/>
                <w:szCs w:val="17"/>
              </w:rPr>
              <w:br/>
            </w:r>
            <w:r w:rsidRPr="00676287">
              <w:rPr>
                <w:color w:val="auto"/>
                <w:sz w:val="17"/>
                <w:szCs w:val="17"/>
              </w:rPr>
              <w:t xml:space="preserve">Expected </w:t>
            </w:r>
            <w:r>
              <w:rPr>
                <w:color w:val="auto"/>
                <w:sz w:val="17"/>
                <w:szCs w:val="17"/>
              </w:rPr>
              <w:t>Performance Result</w:t>
            </w:r>
          </w:p>
        </w:tc>
        <w:tc>
          <w:tcPr>
            <w:tcW w:w="1524" w:type="dxa"/>
            <w:vMerge/>
            <w:shd w:val="clear" w:color="auto" w:fill="auto"/>
          </w:tcPr>
          <w:p w14:paraId="44D318B3" w14:textId="77777777" w:rsidR="005572C8" w:rsidRPr="00FE6768" w:rsidRDefault="005572C8" w:rsidP="005572C8">
            <w:pPr>
              <w:pStyle w:val="Tableheadingrow9pt"/>
              <w:jc w:val="both"/>
              <w:rPr>
                <w:b w:val="0"/>
                <w:color w:val="auto"/>
              </w:rPr>
            </w:pPr>
          </w:p>
        </w:tc>
        <w:tc>
          <w:tcPr>
            <w:tcW w:w="1524" w:type="dxa"/>
            <w:vMerge/>
            <w:shd w:val="clear" w:color="auto" w:fill="auto"/>
          </w:tcPr>
          <w:p w14:paraId="716767A3" w14:textId="77777777" w:rsidR="005572C8" w:rsidRPr="00FE6768" w:rsidRDefault="005572C8" w:rsidP="005572C8">
            <w:pPr>
              <w:pStyle w:val="Tableheadingrow9pt"/>
              <w:rPr>
                <w:b w:val="0"/>
                <w:color w:val="auto"/>
              </w:rPr>
            </w:pPr>
          </w:p>
        </w:tc>
        <w:tc>
          <w:tcPr>
            <w:tcW w:w="1524" w:type="dxa"/>
            <w:vMerge/>
            <w:shd w:val="clear" w:color="auto" w:fill="auto"/>
          </w:tcPr>
          <w:p w14:paraId="26FFC589" w14:textId="77777777" w:rsidR="005572C8" w:rsidRPr="00FE6768" w:rsidRDefault="005572C8" w:rsidP="005572C8">
            <w:pPr>
              <w:pStyle w:val="Tableheadingrow9pt"/>
              <w:rPr>
                <w:b w:val="0"/>
                <w:color w:val="auto"/>
              </w:rPr>
            </w:pPr>
          </w:p>
        </w:tc>
        <w:tc>
          <w:tcPr>
            <w:tcW w:w="1524" w:type="dxa"/>
            <w:vMerge/>
            <w:shd w:val="clear" w:color="auto" w:fill="auto"/>
          </w:tcPr>
          <w:p w14:paraId="3D49F335" w14:textId="77777777" w:rsidR="005572C8" w:rsidRPr="00FE6768" w:rsidRDefault="005572C8" w:rsidP="005572C8">
            <w:pPr>
              <w:pStyle w:val="Tableheadingrow9pt"/>
              <w:rPr>
                <w:b w:val="0"/>
                <w:color w:val="auto"/>
              </w:rPr>
            </w:pPr>
          </w:p>
        </w:tc>
      </w:tr>
      <w:tr w:rsidR="005572C8" w:rsidRPr="00FE6768" w14:paraId="226FCA5D" w14:textId="77777777" w:rsidTr="007B30D2">
        <w:trPr>
          <w:trHeight w:val="96"/>
          <w:jc w:val="center"/>
        </w:trPr>
        <w:tc>
          <w:tcPr>
            <w:tcW w:w="1696" w:type="dxa"/>
            <w:shd w:val="clear" w:color="auto" w:fill="auto"/>
          </w:tcPr>
          <w:p w14:paraId="2269490A" w14:textId="1A2304B5" w:rsidR="005572C8" w:rsidRPr="00FE6768" w:rsidRDefault="002620B7" w:rsidP="00E93E25">
            <w:pPr>
              <w:pStyle w:val="Tableheadingrow9pt"/>
              <w:rPr>
                <w:b w:val="0"/>
                <w:bCs/>
                <w:color w:val="auto"/>
                <w:sz w:val="17"/>
                <w:szCs w:val="17"/>
                <w:highlight w:val="yellow"/>
              </w:rPr>
            </w:pPr>
            <w:r w:rsidRPr="002620B7">
              <w:rPr>
                <w:b w:val="0"/>
                <w:color w:val="auto"/>
                <w:sz w:val="17"/>
                <w:szCs w:val="17"/>
              </w:rPr>
              <w:t>37.</w:t>
            </w:r>
            <w:r w:rsidR="00E93E25">
              <w:rPr>
                <w:b w:val="0"/>
                <w:color w:val="auto"/>
                <w:sz w:val="17"/>
                <w:szCs w:val="17"/>
              </w:rPr>
              <w:t>2</w:t>
            </w:r>
            <w:r w:rsidRPr="002620B7">
              <w:rPr>
                <w:b w:val="0"/>
                <w:color w:val="auto"/>
                <w:sz w:val="17"/>
                <w:szCs w:val="17"/>
              </w:rPr>
              <w:t>%</w:t>
            </w:r>
          </w:p>
        </w:tc>
        <w:tc>
          <w:tcPr>
            <w:tcW w:w="1524" w:type="dxa"/>
            <w:vMerge/>
            <w:shd w:val="clear" w:color="auto" w:fill="auto"/>
          </w:tcPr>
          <w:p w14:paraId="3C23CED0" w14:textId="77777777" w:rsidR="005572C8" w:rsidRPr="00FE6768" w:rsidRDefault="005572C8" w:rsidP="005572C8">
            <w:pPr>
              <w:pStyle w:val="Tableheadingrow9pt"/>
              <w:jc w:val="both"/>
              <w:rPr>
                <w:b w:val="0"/>
                <w:color w:val="auto"/>
              </w:rPr>
            </w:pPr>
          </w:p>
        </w:tc>
        <w:tc>
          <w:tcPr>
            <w:tcW w:w="1524" w:type="dxa"/>
            <w:vMerge/>
            <w:shd w:val="clear" w:color="auto" w:fill="auto"/>
          </w:tcPr>
          <w:p w14:paraId="44C1D4A8" w14:textId="77777777" w:rsidR="005572C8" w:rsidRPr="00FE6768" w:rsidRDefault="005572C8" w:rsidP="005572C8">
            <w:pPr>
              <w:pStyle w:val="Tableheadingrow9pt"/>
              <w:rPr>
                <w:b w:val="0"/>
                <w:color w:val="auto"/>
              </w:rPr>
            </w:pPr>
          </w:p>
        </w:tc>
        <w:tc>
          <w:tcPr>
            <w:tcW w:w="1524" w:type="dxa"/>
            <w:vMerge/>
            <w:shd w:val="clear" w:color="auto" w:fill="auto"/>
          </w:tcPr>
          <w:p w14:paraId="5B081BBA" w14:textId="77777777" w:rsidR="005572C8" w:rsidRPr="00FE6768" w:rsidRDefault="005572C8" w:rsidP="005572C8">
            <w:pPr>
              <w:pStyle w:val="Tableheadingrow9pt"/>
              <w:rPr>
                <w:b w:val="0"/>
                <w:color w:val="auto"/>
              </w:rPr>
            </w:pPr>
          </w:p>
        </w:tc>
        <w:tc>
          <w:tcPr>
            <w:tcW w:w="1524" w:type="dxa"/>
            <w:vMerge/>
            <w:shd w:val="clear" w:color="auto" w:fill="auto"/>
          </w:tcPr>
          <w:p w14:paraId="611CA195" w14:textId="77777777" w:rsidR="005572C8" w:rsidRPr="00FE6768" w:rsidRDefault="005572C8" w:rsidP="005572C8">
            <w:pPr>
              <w:pStyle w:val="Tableheadingrow9pt"/>
              <w:rPr>
                <w:b w:val="0"/>
                <w:color w:val="auto"/>
              </w:rPr>
            </w:pPr>
          </w:p>
        </w:tc>
      </w:tr>
      <w:tr w:rsidR="005572C8" w:rsidRPr="00FE6768" w14:paraId="3C09256A" w14:textId="77777777" w:rsidTr="00297FE9">
        <w:trPr>
          <w:jc w:val="center"/>
        </w:trPr>
        <w:tc>
          <w:tcPr>
            <w:tcW w:w="7792" w:type="dxa"/>
            <w:gridSpan w:val="5"/>
            <w:shd w:val="clear" w:color="auto" w:fill="auto"/>
          </w:tcPr>
          <w:p w14:paraId="02B9B78A" w14:textId="15E3A8FC" w:rsidR="005572C8" w:rsidRPr="00FE6768" w:rsidRDefault="005572C8" w:rsidP="005572C8">
            <w:pPr>
              <w:pStyle w:val="Tableheadingrow9pt"/>
              <w:rPr>
                <w:color w:val="auto"/>
              </w:rPr>
            </w:pPr>
            <w:r w:rsidRPr="00FE6768">
              <w:rPr>
                <w:color w:val="auto"/>
              </w:rPr>
              <w:t>Material changes to Program 2.5 resulting from the following measures:</w:t>
            </w:r>
          </w:p>
          <w:p w14:paraId="5BD957C6" w14:textId="4950B142" w:rsidR="005572C8" w:rsidRPr="00FE6768" w:rsidRDefault="005572C8" w:rsidP="005572C8">
            <w:pPr>
              <w:rPr>
                <w:color w:val="auto"/>
              </w:rPr>
            </w:pPr>
            <w:r w:rsidRPr="00473719">
              <w:rPr>
                <w:sz w:val="17"/>
                <w:szCs w:val="17"/>
              </w:rPr>
              <w:t xml:space="preserve">There are no material changes to Program </w:t>
            </w:r>
            <w:r>
              <w:rPr>
                <w:sz w:val="17"/>
                <w:szCs w:val="17"/>
              </w:rPr>
              <w:t>2.5</w:t>
            </w:r>
            <w:r w:rsidRPr="00473719">
              <w:rPr>
                <w:sz w:val="17"/>
                <w:szCs w:val="17"/>
              </w:rPr>
              <w:t xml:space="preserve"> resulting from measures.</w:t>
            </w:r>
          </w:p>
        </w:tc>
      </w:tr>
    </w:tbl>
    <w:p w14:paraId="45ED2F38" w14:textId="1284DDF9" w:rsidR="002A7508" w:rsidRDefault="002A7508" w:rsidP="002A7508">
      <w:pPr>
        <w:pStyle w:val="Tablenumberandreference"/>
        <w:pageBreakBefore/>
        <w:rPr>
          <w:color w:val="auto"/>
        </w:rPr>
      </w:pPr>
      <w:r w:rsidRPr="00FE6768">
        <w:rPr>
          <w:color w:val="auto"/>
        </w:rPr>
        <w:lastRenderedPageBreak/>
        <w:t xml:space="preserve">Table 2.2.7: Performance </w:t>
      </w:r>
      <w:r w:rsidR="002312BC">
        <w:rPr>
          <w:color w:val="auto"/>
        </w:rPr>
        <w:t>m</w:t>
      </w:r>
      <w:r w:rsidR="000F2A3B" w:rsidRPr="00FE6768">
        <w:rPr>
          <w:color w:val="auto"/>
        </w:rPr>
        <w:t>easures</w:t>
      </w:r>
      <w:r w:rsidRPr="00FE6768">
        <w:rPr>
          <w:color w:val="auto"/>
        </w:rPr>
        <w:t xml:space="preserve"> for Program 2.6</w:t>
      </w:r>
    </w:p>
    <w:tbl>
      <w:tblPr>
        <w:tblStyle w:val="TableGrid"/>
        <w:tblW w:w="7677" w:type="dxa"/>
        <w:jc w:val="center"/>
        <w:tblLayout w:type="fixed"/>
        <w:tblLook w:val="04A0" w:firstRow="1" w:lastRow="0" w:firstColumn="1" w:lastColumn="0" w:noHBand="0" w:noVBand="1"/>
        <w:tblCaption w:val="Table 2.2.7: Performance Measures for Program 2.6"/>
        <w:tblDescription w:val="This table outlines Program 2.6's objective and the key activities for Program 2.6. It also includes a performance measure for Program 2.6, with an expected performance result for 2021-22, and planned performance results for 2022-23 and the forward estimates"/>
      </w:tblPr>
      <w:tblGrid>
        <w:gridCol w:w="1555"/>
        <w:gridCol w:w="1530"/>
        <w:gridCol w:w="1531"/>
        <w:gridCol w:w="1530"/>
        <w:gridCol w:w="1531"/>
      </w:tblGrid>
      <w:tr w:rsidR="00FE6768" w:rsidRPr="00FE6768" w14:paraId="2ECF3405" w14:textId="77777777" w:rsidTr="00471C03">
        <w:trPr>
          <w:trHeight w:val="50"/>
          <w:jc w:val="center"/>
        </w:trPr>
        <w:tc>
          <w:tcPr>
            <w:tcW w:w="7677" w:type="dxa"/>
            <w:gridSpan w:val="5"/>
            <w:shd w:val="clear" w:color="auto" w:fill="D9D9D9" w:themeFill="background1" w:themeFillShade="D9"/>
          </w:tcPr>
          <w:p w14:paraId="37395DC6" w14:textId="1073E30E" w:rsidR="00FD7D43" w:rsidRPr="00A10F3F" w:rsidRDefault="002A7508" w:rsidP="00A25CC3">
            <w:pPr>
              <w:pStyle w:val="Tableheadingrow9pt"/>
              <w:rPr>
                <w:color w:val="auto"/>
              </w:rPr>
            </w:pPr>
            <w:r w:rsidRPr="00FE6768">
              <w:rPr>
                <w:color w:val="auto"/>
              </w:rPr>
              <w:t>Program Objective – Program 2.6: Health Benefit Compliance</w:t>
            </w:r>
          </w:p>
        </w:tc>
      </w:tr>
      <w:tr w:rsidR="00FE6768" w:rsidRPr="00FE6768" w14:paraId="798A2B94" w14:textId="77777777" w:rsidTr="00471C03">
        <w:trPr>
          <w:jc w:val="center"/>
        </w:trPr>
        <w:tc>
          <w:tcPr>
            <w:tcW w:w="7677" w:type="dxa"/>
            <w:gridSpan w:val="5"/>
          </w:tcPr>
          <w:p w14:paraId="5E0B7B68" w14:textId="335C73ED" w:rsidR="00961C5A" w:rsidRPr="00961C5A" w:rsidRDefault="00DC121F" w:rsidP="00961C5A">
            <w:pPr>
              <w:pStyle w:val="Heading2"/>
              <w:outlineLvl w:val="1"/>
            </w:pPr>
            <w:r w:rsidRPr="00FE6768">
              <w:rPr>
                <w:color w:val="auto"/>
              </w:rPr>
              <w:t>Support the integrity of health benefit claims through prevention, early identification and treatment of incorrect claiming, inappropriate practice and fraud</w:t>
            </w:r>
            <w:r w:rsidR="00D8492C" w:rsidRPr="00FE6768">
              <w:rPr>
                <w:color w:val="auto"/>
              </w:rPr>
              <w:t>.</w:t>
            </w:r>
          </w:p>
        </w:tc>
      </w:tr>
      <w:tr w:rsidR="00FE6768" w:rsidRPr="00FE6768" w14:paraId="351889E0" w14:textId="77777777" w:rsidTr="00471C03">
        <w:trPr>
          <w:jc w:val="center"/>
        </w:trPr>
        <w:tc>
          <w:tcPr>
            <w:tcW w:w="7677" w:type="dxa"/>
            <w:gridSpan w:val="5"/>
            <w:shd w:val="clear" w:color="auto" w:fill="D9D9D9" w:themeFill="background1" w:themeFillShade="D9"/>
          </w:tcPr>
          <w:p w14:paraId="44B6D50F" w14:textId="54FA2CFD" w:rsidR="006C28F6" w:rsidRPr="007D542D" w:rsidRDefault="002B3EA2" w:rsidP="00A10F3F">
            <w:pPr>
              <w:pStyle w:val="Tableheadingrow9pt"/>
              <w:rPr>
                <w:color w:val="auto"/>
              </w:rPr>
            </w:pPr>
            <w:r w:rsidRPr="007D542D">
              <w:rPr>
                <w:color w:val="auto"/>
              </w:rPr>
              <w:t>Key Activities</w:t>
            </w:r>
          </w:p>
        </w:tc>
      </w:tr>
      <w:tr w:rsidR="00FE6768" w:rsidRPr="00FE6768" w14:paraId="1372E7DE" w14:textId="77777777" w:rsidTr="00471C03">
        <w:trPr>
          <w:jc w:val="center"/>
        </w:trPr>
        <w:tc>
          <w:tcPr>
            <w:tcW w:w="7677" w:type="dxa"/>
            <w:gridSpan w:val="5"/>
          </w:tcPr>
          <w:p w14:paraId="065709A4" w14:textId="77777777" w:rsidR="00E12E3A" w:rsidRPr="007D542D" w:rsidRDefault="00E12E3A" w:rsidP="00E12E3A">
            <w:pPr>
              <w:pStyle w:val="Heading2"/>
              <w:numPr>
                <w:ilvl w:val="0"/>
                <w:numId w:val="1"/>
              </w:numPr>
              <w:ind w:left="314" w:hanging="314"/>
              <w:outlineLvl w:val="1"/>
              <w:rPr>
                <w:color w:val="auto"/>
              </w:rPr>
            </w:pPr>
            <w:r w:rsidRPr="007D542D">
              <w:rPr>
                <w:color w:val="auto"/>
              </w:rPr>
              <w:t>Identifying threats to the integrity of health payment programs through effective use of external information sources and advanced data analytics.</w:t>
            </w:r>
          </w:p>
          <w:p w14:paraId="54199DBC" w14:textId="77777777" w:rsidR="00E12E3A" w:rsidRPr="007D542D" w:rsidRDefault="00E12E3A" w:rsidP="00E12E3A">
            <w:pPr>
              <w:pStyle w:val="Heading2"/>
              <w:numPr>
                <w:ilvl w:val="0"/>
                <w:numId w:val="1"/>
              </w:numPr>
              <w:ind w:left="314" w:hanging="314"/>
              <w:outlineLvl w:val="1"/>
              <w:rPr>
                <w:color w:val="auto"/>
              </w:rPr>
            </w:pPr>
            <w:r w:rsidRPr="007D542D">
              <w:rPr>
                <w:color w:val="auto"/>
              </w:rPr>
              <w:t>Designing, developing and implementing compliance treatments, such as audit, practitioner reviews, and investigations, to address integrity threats.</w:t>
            </w:r>
          </w:p>
          <w:p w14:paraId="75C5283C" w14:textId="76735E9E" w:rsidR="00E12E3A" w:rsidRPr="007D542D" w:rsidRDefault="00E12E3A" w:rsidP="00E12E3A">
            <w:pPr>
              <w:pStyle w:val="Heading2"/>
              <w:numPr>
                <w:ilvl w:val="0"/>
                <w:numId w:val="1"/>
              </w:numPr>
              <w:ind w:left="314" w:hanging="314"/>
              <w:outlineLvl w:val="1"/>
              <w:rPr>
                <w:color w:val="auto"/>
              </w:rPr>
            </w:pPr>
            <w:r w:rsidRPr="007D542D">
              <w:rPr>
                <w:color w:val="auto"/>
              </w:rPr>
              <w:t>Continuing to consult closely with professional bodies and stakeholder groups to better understand and address causes of non-compliance</w:t>
            </w:r>
            <w:r w:rsidR="00EC537A">
              <w:rPr>
                <w:color w:val="auto"/>
              </w:rPr>
              <w:t>.</w:t>
            </w:r>
          </w:p>
          <w:p w14:paraId="70309938" w14:textId="0677DE08" w:rsidR="00B16A1F" w:rsidRPr="007D542D" w:rsidRDefault="00E12E3A" w:rsidP="00E12E3A">
            <w:pPr>
              <w:pStyle w:val="Heading2"/>
              <w:numPr>
                <w:ilvl w:val="0"/>
                <w:numId w:val="1"/>
              </w:numPr>
              <w:ind w:left="314" w:hanging="314"/>
              <w:outlineLvl w:val="1"/>
              <w:rPr>
                <w:color w:val="auto"/>
              </w:rPr>
            </w:pPr>
            <w:r w:rsidRPr="007D542D">
              <w:rPr>
                <w:color w:val="auto"/>
              </w:rPr>
              <w:t>Recovering debts to the Commonwealth from inaccurate and fraudulent claiming by practitioners under health programs.</w:t>
            </w:r>
          </w:p>
        </w:tc>
      </w:tr>
      <w:tr w:rsidR="00FE6768" w:rsidRPr="00FE6768" w14:paraId="3FE41978" w14:textId="77777777" w:rsidTr="00471C03">
        <w:trPr>
          <w:jc w:val="center"/>
        </w:trPr>
        <w:tc>
          <w:tcPr>
            <w:tcW w:w="7677" w:type="dxa"/>
            <w:gridSpan w:val="5"/>
            <w:shd w:val="clear" w:color="auto" w:fill="D9D9D9" w:themeFill="background1" w:themeFillShade="D9"/>
          </w:tcPr>
          <w:p w14:paraId="3A35E021" w14:textId="77B19384" w:rsidR="00961C5A" w:rsidRPr="00FE6768" w:rsidRDefault="002A7508" w:rsidP="00CF0C4F">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421C8A" w:rsidRPr="00421C8A" w14:paraId="421F231D" w14:textId="77777777" w:rsidTr="00471C03">
        <w:trPr>
          <w:jc w:val="center"/>
        </w:trPr>
        <w:tc>
          <w:tcPr>
            <w:tcW w:w="7677" w:type="dxa"/>
            <w:gridSpan w:val="5"/>
            <w:shd w:val="clear" w:color="auto" w:fill="D9D9D9" w:themeFill="background1" w:themeFillShade="D9"/>
          </w:tcPr>
          <w:p w14:paraId="2CB1F560" w14:textId="5DAD440F" w:rsidR="00FD7D43" w:rsidRPr="00421C8A" w:rsidRDefault="00421C8A" w:rsidP="00421C8A">
            <w:pPr>
              <w:pStyle w:val="Heading2"/>
              <w:outlineLvl w:val="1"/>
              <w:rPr>
                <w:color w:val="000000" w:themeColor="text1"/>
                <w:sz w:val="16"/>
              </w:rPr>
            </w:pPr>
            <w:r w:rsidRPr="00FE6768">
              <w:rPr>
                <w:b/>
                <w:color w:val="auto"/>
                <w:sz w:val="17"/>
                <w:szCs w:val="17"/>
              </w:rPr>
              <w:t xml:space="preserve">Percentage of completed audits, practitioner reviews and investigations </w:t>
            </w:r>
            <w:r w:rsidRPr="005941EB">
              <w:rPr>
                <w:b/>
                <w:color w:val="auto"/>
                <w:sz w:val="17"/>
                <w:szCs w:val="17"/>
              </w:rPr>
              <w:t xml:space="preserve">that </w:t>
            </w:r>
            <w:r>
              <w:rPr>
                <w:b/>
                <w:color w:val="auto"/>
                <w:sz w:val="17"/>
                <w:szCs w:val="17"/>
              </w:rPr>
              <w:t>find</w:t>
            </w:r>
            <w:r w:rsidRPr="005941EB">
              <w:rPr>
                <w:b/>
                <w:color w:val="auto"/>
                <w:sz w:val="17"/>
                <w:szCs w:val="17"/>
              </w:rPr>
              <w:t xml:space="preserve"> non</w:t>
            </w:r>
            <w:r w:rsidRPr="005941EB">
              <w:rPr>
                <w:b/>
                <w:color w:val="auto"/>
                <w:sz w:val="17"/>
                <w:szCs w:val="17"/>
              </w:rPr>
              <w:noBreakHyphen/>
              <w:t>complian</w:t>
            </w:r>
            <w:r>
              <w:rPr>
                <w:b/>
                <w:color w:val="auto"/>
                <w:sz w:val="17"/>
                <w:szCs w:val="17"/>
              </w:rPr>
              <w:t>ce</w:t>
            </w:r>
            <w:r w:rsidRPr="005941EB">
              <w:rPr>
                <w:b/>
                <w:color w:val="auto"/>
                <w:sz w:val="17"/>
                <w:szCs w:val="17"/>
              </w:rPr>
              <w:t>.</w:t>
            </w:r>
          </w:p>
        </w:tc>
      </w:tr>
      <w:tr w:rsidR="00FD7D43" w:rsidRPr="00FE6768" w14:paraId="36FFAA1C" w14:textId="77777777" w:rsidTr="00D06A06">
        <w:trPr>
          <w:jc w:val="center"/>
        </w:trPr>
        <w:tc>
          <w:tcPr>
            <w:tcW w:w="1555" w:type="dxa"/>
            <w:shd w:val="clear" w:color="auto" w:fill="auto"/>
          </w:tcPr>
          <w:p w14:paraId="3F92F510" w14:textId="11640EEB" w:rsidR="00FD7D43" w:rsidRPr="00FE6768" w:rsidRDefault="00FD7D43" w:rsidP="00FD7D43">
            <w:pPr>
              <w:pStyle w:val="Tableheadingrowmeasures85pt"/>
              <w:rPr>
                <w:color w:val="auto"/>
              </w:rPr>
            </w:pPr>
            <w:r w:rsidRPr="00273204">
              <w:rPr>
                <w:color w:val="auto"/>
              </w:rPr>
              <w:t>Current Year</w:t>
            </w:r>
            <w:r w:rsidRPr="00273204">
              <w:rPr>
                <w:color w:val="auto"/>
              </w:rPr>
              <w:br/>
              <w:t>2022–23 Planned Performance Result</w:t>
            </w:r>
          </w:p>
        </w:tc>
        <w:tc>
          <w:tcPr>
            <w:tcW w:w="1530" w:type="dxa"/>
            <w:shd w:val="clear" w:color="auto" w:fill="auto"/>
          </w:tcPr>
          <w:p w14:paraId="7C890B13" w14:textId="0FCEDB2A" w:rsidR="00FD7D43" w:rsidRPr="00FE6768" w:rsidRDefault="00FD7D43" w:rsidP="00FD7D43">
            <w:pPr>
              <w:pStyle w:val="Tableheadingrowmeasures85pt"/>
              <w:rPr>
                <w:color w:val="auto"/>
              </w:rPr>
            </w:pPr>
            <w:r>
              <w:rPr>
                <w:color w:val="auto"/>
              </w:rPr>
              <w:t>Budget Year</w:t>
            </w:r>
            <w:r>
              <w:rPr>
                <w:color w:val="auto"/>
              </w:rPr>
              <w:br/>
            </w:r>
            <w:r w:rsidRPr="005D0368">
              <w:rPr>
                <w:color w:val="auto"/>
              </w:rPr>
              <w:t>202</w:t>
            </w:r>
            <w:r>
              <w:rPr>
                <w:color w:val="auto"/>
              </w:rPr>
              <w:t>3–</w:t>
            </w:r>
            <w:r w:rsidRPr="005D0368">
              <w:rPr>
                <w:color w:val="auto"/>
              </w:rPr>
              <w:t>2</w:t>
            </w:r>
            <w:r>
              <w:rPr>
                <w:color w:val="auto"/>
              </w:rPr>
              <w:t>4</w:t>
            </w:r>
            <w:r w:rsidRPr="005D0368">
              <w:rPr>
                <w:color w:val="auto"/>
              </w:rPr>
              <w:t xml:space="preserve"> </w:t>
            </w:r>
            <w:r>
              <w:rPr>
                <w:color w:val="auto"/>
              </w:rPr>
              <w:t>Planned Performance Result</w:t>
            </w:r>
          </w:p>
        </w:tc>
        <w:tc>
          <w:tcPr>
            <w:tcW w:w="1531" w:type="dxa"/>
            <w:shd w:val="clear" w:color="auto" w:fill="auto"/>
          </w:tcPr>
          <w:p w14:paraId="03D04560" w14:textId="4807808A" w:rsidR="00FD7D43" w:rsidRPr="00FE6768" w:rsidRDefault="00FD7D43" w:rsidP="00FD7D43">
            <w:pPr>
              <w:pStyle w:val="Tableheadingrowmeasures85pt"/>
              <w:rPr>
                <w:color w:val="auto"/>
              </w:rPr>
            </w:pPr>
            <w:r>
              <w:rPr>
                <w:color w:val="auto"/>
              </w:rPr>
              <w:t>Forward Estimates</w:t>
            </w:r>
            <w:r>
              <w:rPr>
                <w:color w:val="auto"/>
              </w:rPr>
              <w:br/>
            </w:r>
            <w:r w:rsidRPr="005D0368">
              <w:rPr>
                <w:color w:val="auto"/>
              </w:rPr>
              <w:t>202</w:t>
            </w:r>
            <w:r>
              <w:rPr>
                <w:color w:val="auto"/>
              </w:rPr>
              <w:t>4–</w:t>
            </w:r>
            <w:r w:rsidRPr="005D0368">
              <w:rPr>
                <w:color w:val="auto"/>
              </w:rPr>
              <w:t>2</w:t>
            </w:r>
            <w:r>
              <w:rPr>
                <w:color w:val="auto"/>
              </w:rPr>
              <w:t>5</w:t>
            </w:r>
            <w:r w:rsidRPr="005D0368">
              <w:rPr>
                <w:color w:val="auto"/>
              </w:rPr>
              <w:t xml:space="preserve"> </w:t>
            </w:r>
            <w:r>
              <w:rPr>
                <w:color w:val="auto"/>
              </w:rPr>
              <w:t>Planned Performance Result</w:t>
            </w:r>
          </w:p>
        </w:tc>
        <w:tc>
          <w:tcPr>
            <w:tcW w:w="1530" w:type="dxa"/>
            <w:shd w:val="clear" w:color="auto" w:fill="auto"/>
          </w:tcPr>
          <w:p w14:paraId="6A36F556" w14:textId="0771B145" w:rsidR="00FD7D43" w:rsidRPr="00FE6768" w:rsidRDefault="00FD7D43" w:rsidP="00FD7D43">
            <w:pPr>
              <w:pStyle w:val="Tableheadingrowmeasures85pt"/>
              <w:rPr>
                <w:color w:val="auto"/>
              </w:rPr>
            </w:pPr>
            <w:r>
              <w:rPr>
                <w:color w:val="auto"/>
              </w:rPr>
              <w:t>Forward Estimates</w:t>
            </w:r>
            <w:r>
              <w:rPr>
                <w:color w:val="auto"/>
              </w:rPr>
              <w:br/>
            </w:r>
            <w:r w:rsidRPr="005D0368">
              <w:rPr>
                <w:color w:val="auto"/>
              </w:rPr>
              <w:t>202</w:t>
            </w:r>
            <w:r>
              <w:rPr>
                <w:color w:val="auto"/>
              </w:rPr>
              <w:t>5–</w:t>
            </w:r>
            <w:r w:rsidRPr="005D0368">
              <w:rPr>
                <w:color w:val="auto"/>
              </w:rPr>
              <w:t>2</w:t>
            </w:r>
            <w:r>
              <w:rPr>
                <w:color w:val="auto"/>
              </w:rPr>
              <w:t>6</w:t>
            </w:r>
            <w:r w:rsidRPr="005D0368">
              <w:rPr>
                <w:color w:val="auto"/>
              </w:rPr>
              <w:t xml:space="preserve"> </w:t>
            </w:r>
            <w:r>
              <w:rPr>
                <w:color w:val="auto"/>
              </w:rPr>
              <w:t>Planned Performance Result</w:t>
            </w:r>
          </w:p>
        </w:tc>
        <w:tc>
          <w:tcPr>
            <w:tcW w:w="1531" w:type="dxa"/>
            <w:shd w:val="clear" w:color="auto" w:fill="auto"/>
          </w:tcPr>
          <w:p w14:paraId="68023031" w14:textId="375FE4FA" w:rsidR="00FD7D43" w:rsidRPr="00FE6768" w:rsidRDefault="00FD7D43" w:rsidP="00FD7D43">
            <w:pPr>
              <w:pStyle w:val="Tableheadingrowmeasures85pt"/>
              <w:rPr>
                <w:color w:val="auto"/>
              </w:rPr>
            </w:pPr>
            <w:r>
              <w:rPr>
                <w:color w:val="auto"/>
              </w:rPr>
              <w:t>Forward Estimates</w:t>
            </w:r>
            <w:r>
              <w:rPr>
                <w:color w:val="auto"/>
              </w:rPr>
              <w:br/>
            </w:r>
            <w:r w:rsidRPr="005D0368">
              <w:rPr>
                <w:color w:val="auto"/>
              </w:rPr>
              <w:t>202</w:t>
            </w:r>
            <w:r>
              <w:rPr>
                <w:color w:val="auto"/>
              </w:rPr>
              <w:t>6–</w:t>
            </w:r>
            <w:r w:rsidRPr="005D0368">
              <w:rPr>
                <w:color w:val="auto"/>
              </w:rPr>
              <w:t>2</w:t>
            </w:r>
            <w:r>
              <w:rPr>
                <w:color w:val="auto"/>
              </w:rPr>
              <w:t>7</w:t>
            </w:r>
            <w:r w:rsidRPr="005D0368">
              <w:rPr>
                <w:color w:val="auto"/>
              </w:rPr>
              <w:t xml:space="preserve"> </w:t>
            </w:r>
            <w:r>
              <w:rPr>
                <w:color w:val="auto"/>
              </w:rPr>
              <w:t>Planned Performance Result</w:t>
            </w:r>
          </w:p>
        </w:tc>
      </w:tr>
      <w:tr w:rsidR="00FE6768" w:rsidRPr="00FE6768" w14:paraId="348F5249" w14:textId="77777777" w:rsidTr="00E80230">
        <w:trPr>
          <w:jc w:val="center"/>
        </w:trPr>
        <w:tc>
          <w:tcPr>
            <w:tcW w:w="1555" w:type="dxa"/>
            <w:shd w:val="clear" w:color="auto" w:fill="auto"/>
          </w:tcPr>
          <w:p w14:paraId="092DB3A4" w14:textId="2198470D" w:rsidR="007F3D37" w:rsidRPr="00FE6768" w:rsidRDefault="00961C5A" w:rsidP="007F3D37">
            <w:pPr>
              <w:pStyle w:val="Tableheadingrow9pt"/>
              <w:rPr>
                <w:b w:val="0"/>
                <w:color w:val="auto"/>
                <w:sz w:val="17"/>
                <w:szCs w:val="17"/>
              </w:rPr>
            </w:pPr>
            <w:r w:rsidRPr="00FE6768">
              <w:rPr>
                <w:b w:val="0"/>
                <w:bCs/>
                <w:color w:val="auto"/>
                <w:sz w:val="17"/>
                <w:szCs w:val="17"/>
              </w:rPr>
              <w:t>&gt;80%</w:t>
            </w:r>
          </w:p>
        </w:tc>
        <w:tc>
          <w:tcPr>
            <w:tcW w:w="1530" w:type="dxa"/>
            <w:vMerge w:val="restart"/>
            <w:shd w:val="clear" w:color="auto" w:fill="auto"/>
          </w:tcPr>
          <w:p w14:paraId="523C16F3" w14:textId="77777777"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1" w:type="dxa"/>
            <w:vMerge w:val="restart"/>
            <w:shd w:val="clear" w:color="auto" w:fill="auto"/>
          </w:tcPr>
          <w:p w14:paraId="39514849" w14:textId="28D2FB40"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0" w:type="dxa"/>
            <w:vMerge w:val="restart"/>
            <w:shd w:val="clear" w:color="auto" w:fill="auto"/>
          </w:tcPr>
          <w:p w14:paraId="76703878" w14:textId="3CD4C8D5" w:rsidR="007F3D37" w:rsidRPr="00FE6768" w:rsidRDefault="007F3D37" w:rsidP="007F3D37">
            <w:pPr>
              <w:pStyle w:val="Tableheadingrow9pt"/>
              <w:rPr>
                <w:b w:val="0"/>
                <w:color w:val="auto"/>
                <w:sz w:val="17"/>
                <w:szCs w:val="17"/>
              </w:rPr>
            </w:pPr>
            <w:r w:rsidRPr="00FE6768">
              <w:rPr>
                <w:b w:val="0"/>
                <w:bCs/>
                <w:color w:val="auto"/>
                <w:sz w:val="17"/>
                <w:szCs w:val="17"/>
              </w:rPr>
              <w:t>&gt;80%</w:t>
            </w:r>
          </w:p>
        </w:tc>
        <w:tc>
          <w:tcPr>
            <w:tcW w:w="1531" w:type="dxa"/>
            <w:vMerge w:val="restart"/>
            <w:shd w:val="clear" w:color="auto" w:fill="auto"/>
          </w:tcPr>
          <w:p w14:paraId="7E4EEAB6" w14:textId="21A84C78" w:rsidR="00446F20" w:rsidRPr="00FD7D43" w:rsidRDefault="00C235DC" w:rsidP="003A40D4">
            <w:pPr>
              <w:pStyle w:val="Tableheadingrow9pt"/>
              <w:rPr>
                <w:b w:val="0"/>
                <w:color w:val="auto"/>
                <w:sz w:val="17"/>
                <w:szCs w:val="17"/>
              </w:rPr>
            </w:pPr>
            <w:r w:rsidRPr="00FE6768">
              <w:rPr>
                <w:b w:val="0"/>
                <w:bCs/>
                <w:color w:val="auto"/>
                <w:sz w:val="17"/>
                <w:szCs w:val="17"/>
              </w:rPr>
              <w:t>&gt;80%</w:t>
            </w:r>
          </w:p>
        </w:tc>
      </w:tr>
      <w:tr w:rsidR="00FD6265" w:rsidRPr="00FE6768" w14:paraId="0D62CC2E" w14:textId="77777777" w:rsidTr="00E80230">
        <w:trPr>
          <w:jc w:val="center"/>
        </w:trPr>
        <w:tc>
          <w:tcPr>
            <w:tcW w:w="1555" w:type="dxa"/>
            <w:shd w:val="clear" w:color="auto" w:fill="auto"/>
            <w:vAlign w:val="center"/>
          </w:tcPr>
          <w:p w14:paraId="2C397F0E" w14:textId="70C7241E" w:rsidR="00FD6265" w:rsidRPr="00FE6768" w:rsidRDefault="00BA122B" w:rsidP="00FD7D43">
            <w:pPr>
              <w:pStyle w:val="Tableheadingrow9pt"/>
              <w:rPr>
                <w:b w:val="0"/>
                <w:color w:val="auto"/>
                <w:sz w:val="17"/>
                <w:szCs w:val="17"/>
              </w:rPr>
            </w:pPr>
            <w:r>
              <w:rPr>
                <w:color w:val="auto"/>
                <w:sz w:val="17"/>
                <w:szCs w:val="17"/>
              </w:rPr>
              <w:t>202</w:t>
            </w:r>
            <w:r w:rsidR="00FD7D43">
              <w:rPr>
                <w:color w:val="auto"/>
                <w:sz w:val="17"/>
                <w:szCs w:val="17"/>
              </w:rPr>
              <w:t>2</w:t>
            </w:r>
            <w:r>
              <w:rPr>
                <w:color w:val="auto"/>
                <w:sz w:val="17"/>
                <w:szCs w:val="17"/>
              </w:rPr>
              <w:t>–</w:t>
            </w:r>
            <w:r w:rsidR="00FD6265">
              <w:rPr>
                <w:color w:val="auto"/>
                <w:sz w:val="17"/>
                <w:szCs w:val="17"/>
              </w:rPr>
              <w:t>2</w:t>
            </w:r>
            <w:r w:rsidR="00FD7D43">
              <w:rPr>
                <w:color w:val="auto"/>
                <w:sz w:val="17"/>
                <w:szCs w:val="17"/>
              </w:rPr>
              <w:t>3</w:t>
            </w:r>
            <w:r w:rsidR="00FD6265">
              <w:rPr>
                <w:color w:val="auto"/>
                <w:sz w:val="17"/>
                <w:szCs w:val="17"/>
              </w:rPr>
              <w:br/>
            </w:r>
            <w:r w:rsidR="00676287" w:rsidRPr="00676287">
              <w:rPr>
                <w:color w:val="auto"/>
                <w:sz w:val="17"/>
                <w:szCs w:val="17"/>
              </w:rPr>
              <w:t xml:space="preserve">Expected </w:t>
            </w:r>
            <w:r w:rsidR="00FD6265">
              <w:rPr>
                <w:color w:val="auto"/>
                <w:sz w:val="17"/>
                <w:szCs w:val="17"/>
              </w:rPr>
              <w:t>Performance Result</w:t>
            </w:r>
          </w:p>
        </w:tc>
        <w:tc>
          <w:tcPr>
            <w:tcW w:w="1530" w:type="dxa"/>
            <w:vMerge/>
            <w:shd w:val="clear" w:color="auto" w:fill="auto"/>
          </w:tcPr>
          <w:p w14:paraId="616E88F0"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34CBF9AE" w14:textId="2AD250B2" w:rsidR="00FD6265" w:rsidRPr="00FE6768" w:rsidRDefault="00FD6265" w:rsidP="00FD6265">
            <w:pPr>
              <w:pStyle w:val="Tableheadingrow9pt"/>
              <w:rPr>
                <w:b w:val="0"/>
                <w:bCs/>
                <w:color w:val="auto"/>
                <w:sz w:val="17"/>
                <w:szCs w:val="17"/>
              </w:rPr>
            </w:pPr>
          </w:p>
        </w:tc>
        <w:tc>
          <w:tcPr>
            <w:tcW w:w="1530" w:type="dxa"/>
            <w:vMerge/>
            <w:shd w:val="clear" w:color="auto" w:fill="auto"/>
          </w:tcPr>
          <w:p w14:paraId="4DDD93E9"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10364787" w14:textId="404FBB9F" w:rsidR="00FD6265" w:rsidRPr="00FE6768" w:rsidRDefault="00FD6265" w:rsidP="00FD6265">
            <w:pPr>
              <w:pStyle w:val="Tableheadingrow9pt"/>
              <w:rPr>
                <w:b w:val="0"/>
                <w:bCs/>
                <w:color w:val="auto"/>
                <w:sz w:val="17"/>
                <w:szCs w:val="17"/>
              </w:rPr>
            </w:pPr>
          </w:p>
        </w:tc>
      </w:tr>
      <w:tr w:rsidR="00FD6265" w:rsidRPr="00FE6768" w14:paraId="7BEE5449" w14:textId="77777777" w:rsidTr="00E80230">
        <w:trPr>
          <w:jc w:val="center"/>
        </w:trPr>
        <w:tc>
          <w:tcPr>
            <w:tcW w:w="1555" w:type="dxa"/>
            <w:shd w:val="clear" w:color="auto" w:fill="auto"/>
          </w:tcPr>
          <w:p w14:paraId="19F17664" w14:textId="12672520" w:rsidR="00FD6265" w:rsidRPr="00FE6768" w:rsidRDefault="00C235DC" w:rsidP="00C235DC">
            <w:pPr>
              <w:pStyle w:val="Tableheadingrow9pt"/>
              <w:rPr>
                <w:b w:val="0"/>
                <w:color w:val="auto"/>
                <w:sz w:val="17"/>
                <w:szCs w:val="17"/>
              </w:rPr>
            </w:pPr>
            <w:r w:rsidRPr="00FE6768">
              <w:rPr>
                <w:b w:val="0"/>
                <w:bCs/>
                <w:color w:val="auto"/>
                <w:sz w:val="17"/>
                <w:szCs w:val="17"/>
              </w:rPr>
              <w:t>&gt;8</w:t>
            </w:r>
            <w:r>
              <w:rPr>
                <w:b w:val="0"/>
                <w:bCs/>
                <w:color w:val="auto"/>
                <w:sz w:val="17"/>
                <w:szCs w:val="17"/>
              </w:rPr>
              <w:t>5</w:t>
            </w:r>
            <w:r w:rsidRPr="00FE6768">
              <w:rPr>
                <w:b w:val="0"/>
                <w:bCs/>
                <w:color w:val="auto"/>
                <w:sz w:val="17"/>
                <w:szCs w:val="17"/>
              </w:rPr>
              <w:t>%</w:t>
            </w:r>
          </w:p>
        </w:tc>
        <w:tc>
          <w:tcPr>
            <w:tcW w:w="1530" w:type="dxa"/>
            <w:vMerge/>
            <w:shd w:val="clear" w:color="auto" w:fill="auto"/>
          </w:tcPr>
          <w:p w14:paraId="23450B61"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5F57AA20" w14:textId="43AEC840" w:rsidR="00FD6265" w:rsidRPr="00FE6768" w:rsidRDefault="00FD6265" w:rsidP="00FD6265">
            <w:pPr>
              <w:pStyle w:val="Tableheadingrow9pt"/>
              <w:rPr>
                <w:b w:val="0"/>
                <w:bCs/>
                <w:color w:val="auto"/>
                <w:sz w:val="17"/>
                <w:szCs w:val="17"/>
              </w:rPr>
            </w:pPr>
          </w:p>
        </w:tc>
        <w:tc>
          <w:tcPr>
            <w:tcW w:w="1530" w:type="dxa"/>
            <w:vMerge/>
            <w:shd w:val="clear" w:color="auto" w:fill="auto"/>
          </w:tcPr>
          <w:p w14:paraId="388E25DF" w14:textId="77777777" w:rsidR="00FD6265" w:rsidRPr="00FE6768" w:rsidRDefault="00FD6265" w:rsidP="00FD6265">
            <w:pPr>
              <w:pStyle w:val="Tableheadingrow9pt"/>
              <w:rPr>
                <w:b w:val="0"/>
                <w:bCs/>
                <w:color w:val="auto"/>
                <w:sz w:val="17"/>
                <w:szCs w:val="17"/>
              </w:rPr>
            </w:pPr>
          </w:p>
        </w:tc>
        <w:tc>
          <w:tcPr>
            <w:tcW w:w="1531" w:type="dxa"/>
            <w:vMerge/>
            <w:shd w:val="clear" w:color="auto" w:fill="auto"/>
          </w:tcPr>
          <w:p w14:paraId="4126789F" w14:textId="52E1B94A" w:rsidR="00FD6265" w:rsidRPr="00FE6768" w:rsidRDefault="00FD6265" w:rsidP="00FD6265">
            <w:pPr>
              <w:pStyle w:val="Tableheadingrow9pt"/>
              <w:rPr>
                <w:b w:val="0"/>
                <w:bCs/>
                <w:color w:val="auto"/>
                <w:sz w:val="17"/>
                <w:szCs w:val="17"/>
              </w:rPr>
            </w:pPr>
          </w:p>
        </w:tc>
      </w:tr>
      <w:tr w:rsidR="00FE6768" w:rsidRPr="00FE6768" w14:paraId="634FA807" w14:textId="77777777" w:rsidTr="00471C03">
        <w:trPr>
          <w:jc w:val="center"/>
        </w:trPr>
        <w:tc>
          <w:tcPr>
            <w:tcW w:w="7677" w:type="dxa"/>
            <w:gridSpan w:val="5"/>
            <w:shd w:val="clear" w:color="auto" w:fill="auto"/>
          </w:tcPr>
          <w:p w14:paraId="02C39FB9" w14:textId="4E398076" w:rsidR="007F3D37" w:rsidRPr="00FE6768" w:rsidRDefault="007F3D37" w:rsidP="007F3D37">
            <w:pPr>
              <w:pStyle w:val="Tableheadingrow9pt"/>
              <w:rPr>
                <w:color w:val="auto"/>
              </w:rPr>
            </w:pPr>
            <w:r w:rsidRPr="00FE6768">
              <w:rPr>
                <w:color w:val="auto"/>
              </w:rPr>
              <w:t>Material changes to Program 2.6 resulting from the following measures:</w:t>
            </w:r>
          </w:p>
          <w:p w14:paraId="1D33B266" w14:textId="14FBE981" w:rsidR="007F3D37" w:rsidRPr="00FE6768" w:rsidRDefault="00EA47AD" w:rsidP="00EA47AD">
            <w:pPr>
              <w:rPr>
                <w:color w:val="auto"/>
              </w:rPr>
            </w:pPr>
            <w:r w:rsidRPr="00473719">
              <w:rPr>
                <w:sz w:val="17"/>
                <w:szCs w:val="17"/>
              </w:rPr>
              <w:t xml:space="preserve">There are no material changes to Program </w:t>
            </w:r>
            <w:r>
              <w:rPr>
                <w:sz w:val="17"/>
                <w:szCs w:val="17"/>
              </w:rPr>
              <w:t>2.6</w:t>
            </w:r>
            <w:r w:rsidRPr="00473719">
              <w:rPr>
                <w:sz w:val="17"/>
                <w:szCs w:val="17"/>
              </w:rPr>
              <w:t xml:space="preserve"> resulting from measures.</w:t>
            </w:r>
          </w:p>
        </w:tc>
      </w:tr>
    </w:tbl>
    <w:p w14:paraId="01EDFE7F" w14:textId="2D571A1F" w:rsidR="002A7508" w:rsidRPr="00FE6768" w:rsidRDefault="002A7508" w:rsidP="002A7508">
      <w:pPr>
        <w:pStyle w:val="Tablenumberandreference"/>
        <w:pageBreakBefore/>
        <w:rPr>
          <w:color w:val="auto"/>
        </w:rPr>
      </w:pPr>
      <w:r w:rsidRPr="00FE6768">
        <w:rPr>
          <w:color w:val="auto"/>
        </w:rPr>
        <w:lastRenderedPageBreak/>
        <w:t xml:space="preserve">Table 2.2.8: Performance </w:t>
      </w:r>
      <w:r w:rsidR="002312BC">
        <w:rPr>
          <w:color w:val="auto"/>
        </w:rPr>
        <w:t>m</w:t>
      </w:r>
      <w:r w:rsidR="000F2A3B" w:rsidRPr="00FE6768">
        <w:rPr>
          <w:color w:val="auto"/>
        </w:rPr>
        <w:t>easures</w:t>
      </w:r>
      <w:r w:rsidRPr="00FE6768">
        <w:rPr>
          <w:color w:val="auto"/>
        </w:rPr>
        <w:t xml:space="preserve"> for Program 2.7</w:t>
      </w:r>
    </w:p>
    <w:tbl>
      <w:tblPr>
        <w:tblStyle w:val="TableGrid"/>
        <w:tblW w:w="7677" w:type="dxa"/>
        <w:jc w:val="center"/>
        <w:tblLayout w:type="fixed"/>
        <w:tblLook w:val="04A0" w:firstRow="1" w:lastRow="0" w:firstColumn="1" w:lastColumn="0" w:noHBand="0" w:noVBand="1"/>
        <w:tblCaption w:val="Table 2.2.8: Performance Measures for Program 2.7"/>
        <w:tblDescription w:val="This table outlines Program 2.7's objective and the key activities for Program 2.7. It also includes a performance measure for Program 2.7, with an expected performance result for 2021-22, and planned performance results for 2022-23 and the forward estimates"/>
      </w:tblPr>
      <w:tblGrid>
        <w:gridCol w:w="1555"/>
        <w:gridCol w:w="1530"/>
        <w:gridCol w:w="1531"/>
        <w:gridCol w:w="1530"/>
        <w:gridCol w:w="1531"/>
      </w:tblGrid>
      <w:tr w:rsidR="00FE6768" w:rsidRPr="00FE6768" w14:paraId="64E40050" w14:textId="77777777" w:rsidTr="00471C03">
        <w:trPr>
          <w:trHeight w:val="50"/>
          <w:jc w:val="center"/>
        </w:trPr>
        <w:tc>
          <w:tcPr>
            <w:tcW w:w="7677" w:type="dxa"/>
            <w:gridSpan w:val="5"/>
            <w:shd w:val="clear" w:color="auto" w:fill="D9D9D9" w:themeFill="background1" w:themeFillShade="D9"/>
          </w:tcPr>
          <w:p w14:paraId="2248FB78" w14:textId="36761368" w:rsidR="00691B9E" w:rsidRPr="00A10F3F" w:rsidRDefault="002A7508" w:rsidP="00304DFC">
            <w:pPr>
              <w:pStyle w:val="Tableheadingrow9pt"/>
              <w:rPr>
                <w:color w:val="auto"/>
              </w:rPr>
            </w:pPr>
            <w:r w:rsidRPr="00FE6768">
              <w:rPr>
                <w:color w:val="auto"/>
              </w:rPr>
              <w:t>Program Objective – Program 2.7: Assistance through Aids and Appliances</w:t>
            </w:r>
          </w:p>
        </w:tc>
      </w:tr>
      <w:tr w:rsidR="00FE6768" w:rsidRPr="00FE6768" w14:paraId="3044B357" w14:textId="77777777" w:rsidTr="00471C03">
        <w:trPr>
          <w:jc w:val="center"/>
        </w:trPr>
        <w:tc>
          <w:tcPr>
            <w:tcW w:w="7677" w:type="dxa"/>
            <w:gridSpan w:val="5"/>
          </w:tcPr>
          <w:p w14:paraId="19ECE61D" w14:textId="5BB94426" w:rsidR="002A7508" w:rsidRPr="00FE6768" w:rsidRDefault="007E699C" w:rsidP="00471C03">
            <w:pPr>
              <w:pStyle w:val="Heading2"/>
              <w:outlineLvl w:val="1"/>
              <w:rPr>
                <w:b/>
                <w:color w:val="auto"/>
              </w:rPr>
            </w:pPr>
            <w:r w:rsidRPr="00FE6768">
              <w:rPr>
                <w:color w:val="auto"/>
              </w:rPr>
              <w:t>Improve health outcomes for the Australian community through the provision of targeted assistance for aids and appliances.</w:t>
            </w:r>
          </w:p>
        </w:tc>
      </w:tr>
      <w:tr w:rsidR="00FE6768" w:rsidRPr="00FE6768" w14:paraId="719A7F45" w14:textId="77777777" w:rsidTr="00471C03">
        <w:trPr>
          <w:jc w:val="center"/>
        </w:trPr>
        <w:tc>
          <w:tcPr>
            <w:tcW w:w="7677" w:type="dxa"/>
            <w:gridSpan w:val="5"/>
            <w:shd w:val="clear" w:color="auto" w:fill="D9D9D9" w:themeFill="background1" w:themeFillShade="D9"/>
          </w:tcPr>
          <w:p w14:paraId="56A0CB0C" w14:textId="5C70C6A9" w:rsidR="006C28F6" w:rsidRPr="00610C7C" w:rsidRDefault="002B3EA2" w:rsidP="00610C7C">
            <w:pPr>
              <w:pStyle w:val="Tableheadingrow9pt"/>
              <w:rPr>
                <w:color w:val="auto"/>
              </w:rPr>
            </w:pPr>
            <w:r>
              <w:rPr>
                <w:color w:val="auto"/>
              </w:rPr>
              <w:t>Key Activities</w:t>
            </w:r>
          </w:p>
        </w:tc>
      </w:tr>
      <w:tr w:rsidR="00FE6768" w:rsidRPr="00FE6768" w14:paraId="244FD8F1" w14:textId="77777777" w:rsidTr="00471C03">
        <w:trPr>
          <w:jc w:val="center"/>
        </w:trPr>
        <w:tc>
          <w:tcPr>
            <w:tcW w:w="7677" w:type="dxa"/>
            <w:gridSpan w:val="5"/>
          </w:tcPr>
          <w:p w14:paraId="1EED83EE" w14:textId="42B28441" w:rsidR="00FC76E9" w:rsidRPr="002B3EA2" w:rsidRDefault="00FC76E9" w:rsidP="00B33215">
            <w:pPr>
              <w:pStyle w:val="Heading2"/>
              <w:numPr>
                <w:ilvl w:val="0"/>
                <w:numId w:val="1"/>
              </w:numPr>
              <w:ind w:left="314" w:hanging="314"/>
              <w:outlineLvl w:val="1"/>
              <w:rPr>
                <w:color w:val="auto"/>
              </w:rPr>
            </w:pPr>
            <w:r w:rsidRPr="002B3EA2">
              <w:rPr>
                <w:color w:val="auto"/>
              </w:rPr>
              <w:t xml:space="preserve">Managing the </w:t>
            </w:r>
            <w:r>
              <w:rPr>
                <w:color w:val="auto"/>
              </w:rPr>
              <w:t>National Diabetes Services Scheme</w:t>
            </w:r>
            <w:r w:rsidRPr="002B3EA2">
              <w:rPr>
                <w:color w:val="auto"/>
              </w:rPr>
              <w:t xml:space="preserve"> to ensure the provision of timely, reliable and affordable access to products and services to help people living with diabetes effectively manage their condition.</w:t>
            </w:r>
          </w:p>
          <w:p w14:paraId="65D34498" w14:textId="2537186D" w:rsidR="002B3EA2" w:rsidRPr="00A10F3F" w:rsidRDefault="002B3EA2" w:rsidP="00B33215">
            <w:pPr>
              <w:pStyle w:val="Heading2"/>
              <w:numPr>
                <w:ilvl w:val="0"/>
                <w:numId w:val="1"/>
              </w:numPr>
              <w:ind w:left="314" w:hanging="314"/>
              <w:outlineLvl w:val="1"/>
              <w:rPr>
                <w:color w:val="auto"/>
              </w:rPr>
            </w:pPr>
            <w:r w:rsidRPr="00A10F3F">
              <w:rPr>
                <w:color w:val="auto"/>
              </w:rPr>
              <w:t xml:space="preserve">Managing the Insulin Pump Program to support access to fully subsidised insulin pumps for eligible low income families who have children (under </w:t>
            </w:r>
            <w:r w:rsidR="002D7CB2" w:rsidRPr="00A10F3F">
              <w:rPr>
                <w:color w:val="auto"/>
              </w:rPr>
              <w:t xml:space="preserve">21 </w:t>
            </w:r>
            <w:r w:rsidRPr="00A10F3F">
              <w:rPr>
                <w:color w:val="auto"/>
              </w:rPr>
              <w:t>years of age) with</w:t>
            </w:r>
            <w:r w:rsidR="00E91148" w:rsidRPr="00A10F3F">
              <w:rPr>
                <w:color w:val="auto"/>
              </w:rPr>
              <w:br/>
            </w:r>
            <w:r w:rsidRPr="00A10F3F">
              <w:rPr>
                <w:color w:val="auto"/>
              </w:rPr>
              <w:t>type 1 diabetes.</w:t>
            </w:r>
          </w:p>
          <w:p w14:paraId="6B9E7F31" w14:textId="0E59A00F" w:rsidR="002B3EA2" w:rsidRPr="00A10F3F" w:rsidRDefault="002B3EA2">
            <w:pPr>
              <w:pStyle w:val="Heading2"/>
              <w:numPr>
                <w:ilvl w:val="0"/>
                <w:numId w:val="1"/>
              </w:numPr>
              <w:ind w:left="314" w:hanging="314"/>
              <w:outlineLvl w:val="1"/>
              <w:rPr>
                <w:color w:val="auto"/>
              </w:rPr>
            </w:pPr>
            <w:r w:rsidRPr="00A10F3F">
              <w:rPr>
                <w:color w:val="auto"/>
              </w:rPr>
              <w:t>Supporting access to clinically appropriate dressings to improve quality of life for people with epidermolysis bullosa.</w:t>
            </w:r>
          </w:p>
          <w:p w14:paraId="57445A21" w14:textId="457B322C" w:rsidR="00A61433" w:rsidRPr="00A10F3F" w:rsidRDefault="002B3EA2">
            <w:pPr>
              <w:pStyle w:val="Heading2"/>
              <w:numPr>
                <w:ilvl w:val="0"/>
                <w:numId w:val="1"/>
              </w:numPr>
              <w:ind w:left="314" w:hanging="314"/>
              <w:outlineLvl w:val="1"/>
              <w:rPr>
                <w:rFonts w:eastAsiaTheme="minorEastAsia"/>
                <w:i/>
                <w:color w:val="auto"/>
              </w:rPr>
            </w:pPr>
            <w:r w:rsidRPr="00A10F3F">
              <w:rPr>
                <w:color w:val="auto"/>
              </w:rPr>
              <w:t>Assisting people with stomas by ensuring access to stoma related products</w:t>
            </w:r>
            <w:r w:rsidR="00A61433" w:rsidRPr="00A10F3F">
              <w:rPr>
                <w:color w:val="auto"/>
              </w:rPr>
              <w:t>.</w:t>
            </w:r>
          </w:p>
          <w:p w14:paraId="27A5F25E" w14:textId="73290185" w:rsidR="00B16A1F" w:rsidRPr="00FE6768" w:rsidRDefault="002B3EA2">
            <w:pPr>
              <w:pStyle w:val="Heading2"/>
              <w:numPr>
                <w:ilvl w:val="0"/>
                <w:numId w:val="1"/>
              </w:numPr>
              <w:ind w:left="314" w:hanging="314"/>
              <w:outlineLvl w:val="1"/>
              <w:rPr>
                <w:rFonts w:eastAsiaTheme="minorEastAsia"/>
                <w:i/>
                <w:color w:val="auto"/>
              </w:rPr>
            </w:pPr>
            <w:r w:rsidRPr="00A10F3F">
              <w:rPr>
                <w:color w:val="auto"/>
              </w:rPr>
              <w:t>Providing access to fully subsidised bowel management medicines for people with paraplegia and quadriplegia</w:t>
            </w:r>
            <w:r w:rsidR="00A61433" w:rsidRPr="00A10F3F">
              <w:rPr>
                <w:color w:val="auto"/>
              </w:rPr>
              <w:t>,</w:t>
            </w:r>
            <w:r w:rsidRPr="00A10F3F">
              <w:rPr>
                <w:color w:val="auto"/>
              </w:rPr>
              <w:t xml:space="preserve"> who are members of participating paraplegic and quadriplegic associations.</w:t>
            </w:r>
          </w:p>
        </w:tc>
      </w:tr>
      <w:tr w:rsidR="00FE6768" w:rsidRPr="00FE6768" w14:paraId="595FB30C" w14:textId="77777777" w:rsidTr="00471C03">
        <w:trPr>
          <w:jc w:val="center"/>
        </w:trPr>
        <w:tc>
          <w:tcPr>
            <w:tcW w:w="7677" w:type="dxa"/>
            <w:gridSpan w:val="5"/>
            <w:shd w:val="clear" w:color="auto" w:fill="D9D9D9" w:themeFill="background1" w:themeFillShade="D9"/>
          </w:tcPr>
          <w:p w14:paraId="26425265" w14:textId="02FA528A" w:rsidR="002A7508" w:rsidRPr="00FE6768" w:rsidRDefault="002A7508" w:rsidP="000F2A3B">
            <w:pPr>
              <w:pStyle w:val="Tableheadingrow9pt"/>
              <w:rPr>
                <w:color w:val="auto"/>
              </w:rPr>
            </w:pPr>
            <w:r w:rsidRPr="00FE6768">
              <w:rPr>
                <w:color w:val="auto"/>
              </w:rPr>
              <w:t xml:space="preserve">Performance </w:t>
            </w:r>
            <w:r w:rsidR="000F2A3B" w:rsidRPr="00FE6768">
              <w:rPr>
                <w:color w:val="auto"/>
              </w:rPr>
              <w:t>Measure</w:t>
            </w:r>
            <w:r w:rsidR="003D39B7" w:rsidRPr="00FE6768">
              <w:rPr>
                <w:color w:val="auto"/>
              </w:rPr>
              <w:t>s</w:t>
            </w:r>
          </w:p>
        </w:tc>
      </w:tr>
      <w:tr w:rsidR="00590938" w:rsidRPr="00590938" w14:paraId="7F8E4A14" w14:textId="77777777" w:rsidTr="00471C03">
        <w:trPr>
          <w:jc w:val="center"/>
        </w:trPr>
        <w:tc>
          <w:tcPr>
            <w:tcW w:w="7677" w:type="dxa"/>
            <w:gridSpan w:val="5"/>
            <w:shd w:val="clear" w:color="auto" w:fill="D9D9D9" w:themeFill="background1" w:themeFillShade="D9"/>
          </w:tcPr>
          <w:p w14:paraId="4764C2B4" w14:textId="022CC805" w:rsidR="003532A2" w:rsidRPr="003532A2" w:rsidRDefault="00C13046" w:rsidP="00FC438F">
            <w:pPr>
              <w:pStyle w:val="Heading2"/>
              <w:outlineLvl w:val="1"/>
            </w:pPr>
            <w:r w:rsidRPr="00590938">
              <w:rPr>
                <w:b/>
                <w:color w:val="auto"/>
                <w:sz w:val="17"/>
                <w:szCs w:val="17"/>
              </w:rPr>
              <w:t xml:space="preserve">Average Net Promoter Score for </w:t>
            </w:r>
            <w:r w:rsidR="00371A2D" w:rsidRPr="00590938">
              <w:rPr>
                <w:b/>
                <w:color w:val="auto"/>
                <w:sz w:val="17"/>
                <w:szCs w:val="17"/>
              </w:rPr>
              <w:t xml:space="preserve">National Diabetes Services </w:t>
            </w:r>
            <w:r w:rsidR="00690B8E">
              <w:rPr>
                <w:b/>
                <w:color w:val="auto"/>
                <w:sz w:val="17"/>
                <w:szCs w:val="17"/>
              </w:rPr>
              <w:t>Scheme programs</w:t>
            </w:r>
            <w:r w:rsidR="00A10F3F">
              <w:rPr>
                <w:b/>
                <w:color w:val="auto"/>
                <w:sz w:val="17"/>
                <w:szCs w:val="17"/>
              </w:rPr>
              <w:t>.</w:t>
            </w:r>
          </w:p>
        </w:tc>
      </w:tr>
      <w:tr w:rsidR="003532A2" w:rsidRPr="00FE6768" w14:paraId="3B10C35E" w14:textId="77777777" w:rsidTr="00D06A06">
        <w:trPr>
          <w:jc w:val="center"/>
        </w:trPr>
        <w:tc>
          <w:tcPr>
            <w:tcW w:w="1555" w:type="dxa"/>
            <w:shd w:val="clear" w:color="auto" w:fill="auto"/>
          </w:tcPr>
          <w:p w14:paraId="10BCE78A" w14:textId="75D933CF" w:rsidR="003532A2" w:rsidRPr="00FE6768" w:rsidRDefault="003532A2" w:rsidP="003532A2">
            <w:pPr>
              <w:pStyle w:val="Tableheadingrowmeasures85pt"/>
              <w:rPr>
                <w:color w:val="auto"/>
              </w:rPr>
            </w:pPr>
            <w:r w:rsidRPr="00273204">
              <w:rPr>
                <w:color w:val="auto"/>
              </w:rPr>
              <w:t>Current Year</w:t>
            </w:r>
            <w:r w:rsidRPr="00273204">
              <w:rPr>
                <w:color w:val="auto"/>
              </w:rPr>
              <w:br/>
              <w:t>2022–23 Planned Performance Result</w:t>
            </w:r>
          </w:p>
        </w:tc>
        <w:tc>
          <w:tcPr>
            <w:tcW w:w="1530" w:type="dxa"/>
            <w:shd w:val="clear" w:color="auto" w:fill="auto"/>
          </w:tcPr>
          <w:p w14:paraId="693C5A2C" w14:textId="6DE92C8D" w:rsidR="003532A2" w:rsidRPr="00FE6768" w:rsidRDefault="003532A2" w:rsidP="003532A2">
            <w:pPr>
              <w:pStyle w:val="Tableheadingrowmeasures85pt"/>
              <w:rPr>
                <w:color w:val="auto"/>
              </w:rPr>
            </w:pPr>
            <w:r>
              <w:rPr>
                <w:color w:val="auto"/>
              </w:rPr>
              <w:t>Budget Year</w:t>
            </w:r>
            <w:r>
              <w:rPr>
                <w:color w:val="auto"/>
              </w:rPr>
              <w:br/>
            </w:r>
            <w:r w:rsidRPr="005D0368">
              <w:rPr>
                <w:color w:val="auto"/>
              </w:rPr>
              <w:t>202</w:t>
            </w:r>
            <w:r>
              <w:rPr>
                <w:color w:val="auto"/>
              </w:rPr>
              <w:t>3–</w:t>
            </w:r>
            <w:r w:rsidRPr="005D0368">
              <w:rPr>
                <w:color w:val="auto"/>
              </w:rPr>
              <w:t>2</w:t>
            </w:r>
            <w:r>
              <w:rPr>
                <w:color w:val="auto"/>
              </w:rPr>
              <w:t>4</w:t>
            </w:r>
            <w:r w:rsidRPr="005D0368">
              <w:rPr>
                <w:color w:val="auto"/>
              </w:rPr>
              <w:t xml:space="preserve"> </w:t>
            </w:r>
            <w:r>
              <w:rPr>
                <w:color w:val="auto"/>
              </w:rPr>
              <w:t>Planned Performance Result</w:t>
            </w:r>
          </w:p>
        </w:tc>
        <w:tc>
          <w:tcPr>
            <w:tcW w:w="1531" w:type="dxa"/>
            <w:shd w:val="clear" w:color="auto" w:fill="auto"/>
          </w:tcPr>
          <w:p w14:paraId="3A0B5FCA" w14:textId="49977759" w:rsidR="003532A2" w:rsidRPr="00FE6768" w:rsidRDefault="003532A2" w:rsidP="003532A2">
            <w:pPr>
              <w:pStyle w:val="Tableheadingrowmeasures85pt"/>
              <w:rPr>
                <w:color w:val="auto"/>
              </w:rPr>
            </w:pPr>
            <w:r>
              <w:rPr>
                <w:color w:val="auto"/>
              </w:rPr>
              <w:t>Forward Estimates</w:t>
            </w:r>
            <w:r>
              <w:rPr>
                <w:color w:val="auto"/>
              </w:rPr>
              <w:br/>
            </w:r>
            <w:r w:rsidRPr="005D0368">
              <w:rPr>
                <w:color w:val="auto"/>
              </w:rPr>
              <w:t>202</w:t>
            </w:r>
            <w:r>
              <w:rPr>
                <w:color w:val="auto"/>
              </w:rPr>
              <w:t>4–</w:t>
            </w:r>
            <w:r w:rsidRPr="005D0368">
              <w:rPr>
                <w:color w:val="auto"/>
              </w:rPr>
              <w:t>2</w:t>
            </w:r>
            <w:r>
              <w:rPr>
                <w:color w:val="auto"/>
              </w:rPr>
              <w:t>5</w:t>
            </w:r>
            <w:r w:rsidRPr="005D0368">
              <w:rPr>
                <w:color w:val="auto"/>
              </w:rPr>
              <w:t xml:space="preserve"> </w:t>
            </w:r>
            <w:r>
              <w:rPr>
                <w:color w:val="auto"/>
              </w:rPr>
              <w:t>Planned Performance Result</w:t>
            </w:r>
          </w:p>
        </w:tc>
        <w:tc>
          <w:tcPr>
            <w:tcW w:w="1530" w:type="dxa"/>
            <w:shd w:val="clear" w:color="auto" w:fill="auto"/>
          </w:tcPr>
          <w:p w14:paraId="45A39A3F" w14:textId="38AF7D7A" w:rsidR="003532A2" w:rsidRPr="00FE6768" w:rsidRDefault="003532A2" w:rsidP="003532A2">
            <w:pPr>
              <w:pStyle w:val="Tableheadingrowmeasures85pt"/>
              <w:rPr>
                <w:color w:val="auto"/>
              </w:rPr>
            </w:pPr>
            <w:r>
              <w:rPr>
                <w:color w:val="auto"/>
              </w:rPr>
              <w:t>Forward Estimates</w:t>
            </w:r>
            <w:r>
              <w:rPr>
                <w:color w:val="auto"/>
              </w:rPr>
              <w:br/>
            </w:r>
            <w:r w:rsidRPr="005D0368">
              <w:rPr>
                <w:color w:val="auto"/>
              </w:rPr>
              <w:t>202</w:t>
            </w:r>
            <w:r>
              <w:rPr>
                <w:color w:val="auto"/>
              </w:rPr>
              <w:t>5–</w:t>
            </w:r>
            <w:r w:rsidRPr="005D0368">
              <w:rPr>
                <w:color w:val="auto"/>
              </w:rPr>
              <w:t>2</w:t>
            </w:r>
            <w:r>
              <w:rPr>
                <w:color w:val="auto"/>
              </w:rPr>
              <w:t>6</w:t>
            </w:r>
            <w:r w:rsidRPr="005D0368">
              <w:rPr>
                <w:color w:val="auto"/>
              </w:rPr>
              <w:t xml:space="preserve"> </w:t>
            </w:r>
            <w:r>
              <w:rPr>
                <w:color w:val="auto"/>
              </w:rPr>
              <w:t>Planned Performance Result</w:t>
            </w:r>
          </w:p>
        </w:tc>
        <w:tc>
          <w:tcPr>
            <w:tcW w:w="1531" w:type="dxa"/>
            <w:shd w:val="clear" w:color="auto" w:fill="auto"/>
          </w:tcPr>
          <w:p w14:paraId="6166AD3C" w14:textId="6A2142D0" w:rsidR="003532A2" w:rsidRPr="00FE6768" w:rsidRDefault="003532A2" w:rsidP="003532A2">
            <w:pPr>
              <w:pStyle w:val="Tableheadingrowmeasures85pt"/>
              <w:rPr>
                <w:color w:val="auto"/>
              </w:rPr>
            </w:pPr>
            <w:r>
              <w:rPr>
                <w:color w:val="auto"/>
              </w:rPr>
              <w:t>Forward Estimates</w:t>
            </w:r>
            <w:r>
              <w:rPr>
                <w:color w:val="auto"/>
              </w:rPr>
              <w:br/>
            </w:r>
            <w:r w:rsidRPr="005D0368">
              <w:rPr>
                <w:color w:val="auto"/>
              </w:rPr>
              <w:t>202</w:t>
            </w:r>
            <w:r>
              <w:rPr>
                <w:color w:val="auto"/>
              </w:rPr>
              <w:t>6–</w:t>
            </w:r>
            <w:r w:rsidRPr="005D0368">
              <w:rPr>
                <w:color w:val="auto"/>
              </w:rPr>
              <w:t>2</w:t>
            </w:r>
            <w:r>
              <w:rPr>
                <w:color w:val="auto"/>
              </w:rPr>
              <w:t>7</w:t>
            </w:r>
            <w:r w:rsidRPr="005D0368">
              <w:rPr>
                <w:color w:val="auto"/>
              </w:rPr>
              <w:t xml:space="preserve"> </w:t>
            </w:r>
            <w:r>
              <w:rPr>
                <w:color w:val="auto"/>
              </w:rPr>
              <w:t>Planned Performance Result</w:t>
            </w:r>
          </w:p>
        </w:tc>
      </w:tr>
      <w:tr w:rsidR="00FE6768" w:rsidRPr="00FE6768" w14:paraId="36F86B06" w14:textId="77777777" w:rsidTr="00E80230">
        <w:trPr>
          <w:jc w:val="center"/>
        </w:trPr>
        <w:tc>
          <w:tcPr>
            <w:tcW w:w="1555" w:type="dxa"/>
            <w:shd w:val="clear" w:color="auto" w:fill="auto"/>
          </w:tcPr>
          <w:p w14:paraId="0D23CE8F" w14:textId="02EF2FD5" w:rsidR="007F3D37" w:rsidRPr="00FE6768" w:rsidRDefault="003532A2" w:rsidP="00471C03">
            <w:pPr>
              <w:pStyle w:val="Tableheadingrow9pt"/>
              <w:rPr>
                <w:b w:val="0"/>
                <w:color w:val="auto"/>
                <w:sz w:val="17"/>
                <w:szCs w:val="17"/>
              </w:rPr>
            </w:pPr>
            <w:r>
              <w:rPr>
                <w:b w:val="0"/>
                <w:color w:val="auto"/>
                <w:sz w:val="17"/>
                <w:szCs w:val="17"/>
              </w:rPr>
              <w:t>&gt;70</w:t>
            </w:r>
          </w:p>
        </w:tc>
        <w:tc>
          <w:tcPr>
            <w:tcW w:w="1530" w:type="dxa"/>
            <w:vMerge w:val="restart"/>
            <w:shd w:val="clear" w:color="auto" w:fill="auto"/>
          </w:tcPr>
          <w:p w14:paraId="7336DC42" w14:textId="684A7A68" w:rsidR="007F3D37" w:rsidRPr="00FE6768" w:rsidRDefault="00C13046" w:rsidP="00F961C6">
            <w:pPr>
              <w:pStyle w:val="Tableheadingrow9pt"/>
              <w:rPr>
                <w:b w:val="0"/>
                <w:color w:val="auto"/>
                <w:sz w:val="17"/>
                <w:szCs w:val="17"/>
              </w:rPr>
            </w:pPr>
            <w:r>
              <w:rPr>
                <w:b w:val="0"/>
                <w:color w:val="auto"/>
                <w:sz w:val="17"/>
                <w:szCs w:val="17"/>
              </w:rPr>
              <w:t>&gt;70</w:t>
            </w:r>
          </w:p>
        </w:tc>
        <w:tc>
          <w:tcPr>
            <w:tcW w:w="1531" w:type="dxa"/>
            <w:vMerge w:val="restart"/>
            <w:shd w:val="clear" w:color="auto" w:fill="auto"/>
          </w:tcPr>
          <w:p w14:paraId="31B7FC85" w14:textId="2610612D" w:rsidR="007F3D37" w:rsidRPr="00FE6768" w:rsidRDefault="00C13046" w:rsidP="00F961C6">
            <w:pPr>
              <w:pStyle w:val="Tableheadingrow9pt"/>
              <w:rPr>
                <w:b w:val="0"/>
                <w:color w:val="auto"/>
                <w:sz w:val="17"/>
                <w:szCs w:val="17"/>
              </w:rPr>
            </w:pPr>
            <w:r>
              <w:rPr>
                <w:b w:val="0"/>
                <w:color w:val="auto"/>
                <w:sz w:val="17"/>
                <w:szCs w:val="17"/>
              </w:rPr>
              <w:t>&gt;70</w:t>
            </w:r>
          </w:p>
        </w:tc>
        <w:tc>
          <w:tcPr>
            <w:tcW w:w="1530" w:type="dxa"/>
            <w:vMerge w:val="restart"/>
            <w:shd w:val="clear" w:color="auto" w:fill="auto"/>
          </w:tcPr>
          <w:p w14:paraId="786F9AC5" w14:textId="0F03CC97" w:rsidR="007F3D37" w:rsidRPr="00FE6768" w:rsidRDefault="00C13046" w:rsidP="00F961C6">
            <w:pPr>
              <w:pStyle w:val="Tableheadingrow9pt"/>
              <w:rPr>
                <w:b w:val="0"/>
                <w:color w:val="auto"/>
                <w:sz w:val="17"/>
                <w:szCs w:val="17"/>
              </w:rPr>
            </w:pPr>
            <w:r>
              <w:rPr>
                <w:b w:val="0"/>
                <w:color w:val="auto"/>
                <w:sz w:val="17"/>
                <w:szCs w:val="17"/>
              </w:rPr>
              <w:t>&gt;70</w:t>
            </w:r>
          </w:p>
        </w:tc>
        <w:tc>
          <w:tcPr>
            <w:tcW w:w="1531" w:type="dxa"/>
            <w:vMerge w:val="restart"/>
            <w:shd w:val="clear" w:color="auto" w:fill="auto"/>
          </w:tcPr>
          <w:p w14:paraId="7A5F5979" w14:textId="1D3EFF6F" w:rsidR="007F3D37" w:rsidRPr="00FE6768" w:rsidRDefault="00286607" w:rsidP="00F961C6">
            <w:pPr>
              <w:pStyle w:val="Tableheadingrow9pt"/>
              <w:rPr>
                <w:b w:val="0"/>
                <w:color w:val="auto"/>
                <w:sz w:val="17"/>
                <w:szCs w:val="17"/>
              </w:rPr>
            </w:pPr>
            <w:r>
              <w:rPr>
                <w:b w:val="0"/>
                <w:color w:val="auto"/>
                <w:sz w:val="17"/>
                <w:szCs w:val="17"/>
              </w:rPr>
              <w:t>&gt;70</w:t>
            </w:r>
          </w:p>
        </w:tc>
      </w:tr>
      <w:tr w:rsidR="00FE6768" w:rsidRPr="00FE6768" w14:paraId="4E1FFBA2" w14:textId="77777777" w:rsidTr="00E80230">
        <w:trPr>
          <w:jc w:val="center"/>
        </w:trPr>
        <w:tc>
          <w:tcPr>
            <w:tcW w:w="1555" w:type="dxa"/>
            <w:shd w:val="clear" w:color="auto" w:fill="auto"/>
            <w:vAlign w:val="center"/>
          </w:tcPr>
          <w:p w14:paraId="774E6431" w14:textId="02140F59" w:rsidR="007F3D37" w:rsidRPr="00FE6768" w:rsidRDefault="00BA122B" w:rsidP="003532A2">
            <w:pPr>
              <w:pStyle w:val="Tableheadingrow9pt"/>
              <w:rPr>
                <w:b w:val="0"/>
                <w:color w:val="auto"/>
                <w:sz w:val="17"/>
                <w:szCs w:val="17"/>
              </w:rPr>
            </w:pPr>
            <w:r>
              <w:rPr>
                <w:color w:val="auto"/>
                <w:sz w:val="17"/>
                <w:szCs w:val="17"/>
              </w:rPr>
              <w:t>202</w:t>
            </w:r>
            <w:r w:rsidR="003532A2">
              <w:rPr>
                <w:color w:val="auto"/>
                <w:sz w:val="17"/>
                <w:szCs w:val="17"/>
              </w:rPr>
              <w:t>2</w:t>
            </w:r>
            <w:r>
              <w:rPr>
                <w:color w:val="auto"/>
                <w:sz w:val="17"/>
                <w:szCs w:val="17"/>
              </w:rPr>
              <w:t>–</w:t>
            </w:r>
            <w:r w:rsidR="00A335A1">
              <w:rPr>
                <w:color w:val="auto"/>
                <w:sz w:val="17"/>
                <w:szCs w:val="17"/>
              </w:rPr>
              <w:t>2</w:t>
            </w:r>
            <w:r w:rsidR="003532A2">
              <w:rPr>
                <w:color w:val="auto"/>
                <w:sz w:val="17"/>
                <w:szCs w:val="17"/>
              </w:rPr>
              <w:t>3</w:t>
            </w:r>
            <w:r w:rsidR="00A335A1">
              <w:rPr>
                <w:color w:val="auto"/>
                <w:sz w:val="17"/>
                <w:szCs w:val="17"/>
              </w:rPr>
              <w:br/>
            </w:r>
            <w:r w:rsidR="00676287" w:rsidRPr="00676287">
              <w:rPr>
                <w:color w:val="auto"/>
                <w:sz w:val="17"/>
                <w:szCs w:val="17"/>
              </w:rPr>
              <w:t xml:space="preserve">Expected </w:t>
            </w:r>
            <w:r w:rsidR="00A335A1">
              <w:rPr>
                <w:color w:val="auto"/>
                <w:sz w:val="17"/>
                <w:szCs w:val="17"/>
              </w:rPr>
              <w:t>Performance Result</w:t>
            </w:r>
          </w:p>
        </w:tc>
        <w:tc>
          <w:tcPr>
            <w:tcW w:w="1530" w:type="dxa"/>
            <w:vMerge/>
            <w:shd w:val="clear" w:color="auto" w:fill="auto"/>
          </w:tcPr>
          <w:p w14:paraId="15A6A87A" w14:textId="77777777" w:rsidR="007F3D37" w:rsidRPr="00FE6768" w:rsidRDefault="007F3D37" w:rsidP="007F3D37">
            <w:pPr>
              <w:pStyle w:val="Tableheadingrow9pt"/>
              <w:rPr>
                <w:b w:val="0"/>
                <w:color w:val="auto"/>
              </w:rPr>
            </w:pPr>
          </w:p>
        </w:tc>
        <w:tc>
          <w:tcPr>
            <w:tcW w:w="1531" w:type="dxa"/>
            <w:vMerge/>
            <w:shd w:val="clear" w:color="auto" w:fill="auto"/>
          </w:tcPr>
          <w:p w14:paraId="1566AC88" w14:textId="7F525C2A" w:rsidR="007F3D37" w:rsidRPr="00FE6768" w:rsidRDefault="007F3D37" w:rsidP="007F3D37">
            <w:pPr>
              <w:pStyle w:val="Tableheadingrow9pt"/>
              <w:rPr>
                <w:b w:val="0"/>
                <w:color w:val="auto"/>
              </w:rPr>
            </w:pPr>
          </w:p>
        </w:tc>
        <w:tc>
          <w:tcPr>
            <w:tcW w:w="1530" w:type="dxa"/>
            <w:vMerge/>
            <w:shd w:val="clear" w:color="auto" w:fill="auto"/>
          </w:tcPr>
          <w:p w14:paraId="384A31B7" w14:textId="77777777" w:rsidR="007F3D37" w:rsidRPr="00FE6768" w:rsidRDefault="007F3D37" w:rsidP="007F3D37">
            <w:pPr>
              <w:pStyle w:val="Tableheadingrow9pt"/>
              <w:rPr>
                <w:b w:val="0"/>
                <w:color w:val="auto"/>
                <w:sz w:val="17"/>
                <w:szCs w:val="17"/>
              </w:rPr>
            </w:pPr>
          </w:p>
        </w:tc>
        <w:tc>
          <w:tcPr>
            <w:tcW w:w="1531" w:type="dxa"/>
            <w:vMerge/>
            <w:shd w:val="clear" w:color="auto" w:fill="auto"/>
          </w:tcPr>
          <w:p w14:paraId="1EF59348" w14:textId="72801FA0" w:rsidR="007F3D37" w:rsidRPr="00FE6768" w:rsidRDefault="007F3D37" w:rsidP="007F3D37">
            <w:pPr>
              <w:pStyle w:val="Tableheadingrow9pt"/>
              <w:rPr>
                <w:b w:val="0"/>
                <w:color w:val="auto"/>
                <w:sz w:val="17"/>
                <w:szCs w:val="17"/>
              </w:rPr>
            </w:pPr>
          </w:p>
        </w:tc>
      </w:tr>
      <w:tr w:rsidR="00FE6768" w:rsidRPr="00FE6768" w14:paraId="7E39C265" w14:textId="77777777" w:rsidTr="00E80230">
        <w:trPr>
          <w:jc w:val="center"/>
        </w:trPr>
        <w:tc>
          <w:tcPr>
            <w:tcW w:w="1555" w:type="dxa"/>
            <w:shd w:val="clear" w:color="auto" w:fill="auto"/>
          </w:tcPr>
          <w:p w14:paraId="1AD9BE50" w14:textId="48135344" w:rsidR="007F3D37" w:rsidRPr="00FE6768" w:rsidRDefault="00286607" w:rsidP="007F3D37">
            <w:pPr>
              <w:pStyle w:val="Tableheadingrow9pt"/>
              <w:rPr>
                <w:b w:val="0"/>
                <w:color w:val="auto"/>
                <w:sz w:val="17"/>
                <w:szCs w:val="17"/>
              </w:rPr>
            </w:pPr>
            <w:r>
              <w:rPr>
                <w:b w:val="0"/>
                <w:color w:val="auto"/>
                <w:sz w:val="17"/>
                <w:szCs w:val="17"/>
              </w:rPr>
              <w:t>&gt;70</w:t>
            </w:r>
          </w:p>
        </w:tc>
        <w:tc>
          <w:tcPr>
            <w:tcW w:w="1530" w:type="dxa"/>
            <w:vMerge/>
            <w:shd w:val="clear" w:color="auto" w:fill="auto"/>
          </w:tcPr>
          <w:p w14:paraId="3FF39971" w14:textId="77777777" w:rsidR="007F3D37" w:rsidRPr="00FE6768" w:rsidRDefault="007F3D37" w:rsidP="007F3D37">
            <w:pPr>
              <w:pStyle w:val="Tableheadingrow9pt"/>
              <w:rPr>
                <w:b w:val="0"/>
                <w:color w:val="auto"/>
              </w:rPr>
            </w:pPr>
          </w:p>
        </w:tc>
        <w:tc>
          <w:tcPr>
            <w:tcW w:w="1531" w:type="dxa"/>
            <w:vMerge/>
            <w:shd w:val="clear" w:color="auto" w:fill="auto"/>
          </w:tcPr>
          <w:p w14:paraId="2E66B45E" w14:textId="28AE40AB" w:rsidR="007F3D37" w:rsidRPr="00FE6768" w:rsidRDefault="007F3D37" w:rsidP="007F3D37">
            <w:pPr>
              <w:pStyle w:val="Tableheadingrow9pt"/>
              <w:rPr>
                <w:b w:val="0"/>
                <w:color w:val="auto"/>
              </w:rPr>
            </w:pPr>
          </w:p>
        </w:tc>
        <w:tc>
          <w:tcPr>
            <w:tcW w:w="1530" w:type="dxa"/>
            <w:vMerge/>
            <w:shd w:val="clear" w:color="auto" w:fill="auto"/>
          </w:tcPr>
          <w:p w14:paraId="3791E161" w14:textId="77777777" w:rsidR="007F3D37" w:rsidRPr="00FE6768" w:rsidRDefault="007F3D37" w:rsidP="007F3D37">
            <w:pPr>
              <w:pStyle w:val="Tableheadingrow9pt"/>
              <w:rPr>
                <w:b w:val="0"/>
                <w:color w:val="auto"/>
                <w:sz w:val="17"/>
                <w:szCs w:val="17"/>
              </w:rPr>
            </w:pPr>
          </w:p>
        </w:tc>
        <w:tc>
          <w:tcPr>
            <w:tcW w:w="1531" w:type="dxa"/>
            <w:vMerge/>
            <w:shd w:val="clear" w:color="auto" w:fill="auto"/>
          </w:tcPr>
          <w:p w14:paraId="3522418E" w14:textId="26FC4939" w:rsidR="007F3D37" w:rsidRPr="00FE6768" w:rsidRDefault="007F3D37" w:rsidP="007F3D37">
            <w:pPr>
              <w:pStyle w:val="Tableheadingrow9pt"/>
              <w:rPr>
                <w:b w:val="0"/>
                <w:color w:val="auto"/>
                <w:sz w:val="17"/>
                <w:szCs w:val="17"/>
              </w:rPr>
            </w:pPr>
          </w:p>
        </w:tc>
      </w:tr>
      <w:tr w:rsidR="00FE6768" w:rsidRPr="00FE6768" w14:paraId="245642E0" w14:textId="77777777" w:rsidTr="00471C03">
        <w:trPr>
          <w:jc w:val="center"/>
        </w:trPr>
        <w:tc>
          <w:tcPr>
            <w:tcW w:w="7677" w:type="dxa"/>
            <w:gridSpan w:val="5"/>
            <w:shd w:val="clear" w:color="auto" w:fill="auto"/>
          </w:tcPr>
          <w:p w14:paraId="7F1C65CD" w14:textId="06D710B0" w:rsidR="007F3D37" w:rsidRPr="00FE6768" w:rsidRDefault="007F3D37" w:rsidP="007F3D37">
            <w:pPr>
              <w:pStyle w:val="Tableheadingrow9pt"/>
              <w:rPr>
                <w:color w:val="auto"/>
              </w:rPr>
            </w:pPr>
            <w:r w:rsidRPr="00FE6768">
              <w:rPr>
                <w:color w:val="auto"/>
              </w:rPr>
              <w:t>Material changes to Program 2.7 resulting from the following measures:</w:t>
            </w:r>
          </w:p>
          <w:p w14:paraId="6E1E880D" w14:textId="1CAA1674" w:rsidR="007F3D37" w:rsidRPr="00FE6768" w:rsidRDefault="00332C7E" w:rsidP="00332C7E">
            <w:pPr>
              <w:rPr>
                <w:color w:val="auto"/>
              </w:rPr>
            </w:pPr>
            <w:r w:rsidRPr="00473719">
              <w:rPr>
                <w:sz w:val="17"/>
                <w:szCs w:val="17"/>
              </w:rPr>
              <w:t xml:space="preserve">There are no material changes to Program </w:t>
            </w:r>
            <w:r>
              <w:rPr>
                <w:sz w:val="17"/>
                <w:szCs w:val="17"/>
              </w:rPr>
              <w:t>2.7</w:t>
            </w:r>
            <w:r w:rsidRPr="00473719">
              <w:rPr>
                <w:sz w:val="17"/>
                <w:szCs w:val="17"/>
              </w:rPr>
              <w:t xml:space="preserve"> resulting from measures.</w:t>
            </w:r>
          </w:p>
        </w:tc>
      </w:tr>
    </w:tbl>
    <w:p w14:paraId="42C20077" w14:textId="77777777" w:rsidR="001D4672" w:rsidRDefault="001D4672" w:rsidP="007F3DD1">
      <w:pPr>
        <w:pStyle w:val="NormalBookAntiqua"/>
        <w:rPr>
          <w:rFonts w:ascii="Arial" w:hAnsi="Arial"/>
          <w:color w:val="auto"/>
          <w:sz w:val="18"/>
        </w:rPr>
        <w:sectPr w:rsidR="001D4672" w:rsidSect="00757303">
          <w:headerReference w:type="even" r:id="rId8"/>
          <w:headerReference w:type="default" r:id="rId9"/>
          <w:footerReference w:type="even" r:id="rId10"/>
          <w:footerReference w:type="default" r:id="rId11"/>
          <w:headerReference w:type="first" r:id="rId12"/>
          <w:footerReference w:type="first" r:id="rId13"/>
          <w:type w:val="oddPage"/>
          <w:pgSz w:w="11906" w:h="16838"/>
          <w:pgMar w:top="2466" w:right="2268" w:bottom="2126" w:left="2268" w:header="1899" w:footer="1899" w:gutter="0"/>
          <w:pgNumType w:start="77"/>
          <w:cols w:space="708"/>
          <w:docGrid w:linePitch="360"/>
        </w:sectPr>
      </w:pPr>
    </w:p>
    <w:p w14:paraId="2B31F830" w14:textId="6116CCF7" w:rsidR="00F76F6B" w:rsidRPr="00FE6768" w:rsidRDefault="00F76F6B" w:rsidP="007F3DD1">
      <w:pPr>
        <w:pStyle w:val="NormalBookAntiqua"/>
        <w:rPr>
          <w:rFonts w:ascii="Arial" w:hAnsi="Arial"/>
          <w:color w:val="auto"/>
          <w:sz w:val="18"/>
        </w:rPr>
      </w:pPr>
    </w:p>
    <w:sectPr w:rsidR="00F76F6B" w:rsidRPr="00FE6768" w:rsidSect="001D4672">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CE70" w14:textId="77777777" w:rsidR="007E5809" w:rsidRDefault="007E5809" w:rsidP="00DE27DD">
      <w:r>
        <w:separator/>
      </w:r>
    </w:p>
  </w:endnote>
  <w:endnote w:type="continuationSeparator" w:id="0">
    <w:p w14:paraId="6461C7F2" w14:textId="77777777" w:rsidR="007E5809" w:rsidRDefault="007E5809"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auto"/>
        <w:sz w:val="19"/>
        <w:szCs w:val="20"/>
        <w:lang w:eastAsia="en-US"/>
      </w:rPr>
      <w:id w:val="874423321"/>
      <w:docPartObj>
        <w:docPartGallery w:val="Page Numbers (Bottom of Page)"/>
        <w:docPartUnique/>
      </w:docPartObj>
    </w:sdtPr>
    <w:sdtEndPr>
      <w:rPr>
        <w:noProof/>
        <w:sz w:val="18"/>
      </w:rPr>
    </w:sdtEndPr>
    <w:sdtContent>
      <w:p w14:paraId="31E103EF" w14:textId="0FFEA890" w:rsidR="007E5809" w:rsidRPr="0057146A" w:rsidRDefault="007E5809" w:rsidP="003D1157">
        <w:pPr>
          <w:pStyle w:val="Footer"/>
          <w:pBdr>
            <w:top w:val="single" w:sz="4" w:space="10" w:color="auto"/>
          </w:pBdr>
          <w:rPr>
            <w:b/>
            <w:color w:val="auto"/>
            <w:szCs w:val="20"/>
            <w:lang w:eastAsia="en-US"/>
          </w:rPr>
        </w:pPr>
        <w:r w:rsidRPr="0057146A">
          <w:rPr>
            <w:b/>
            <w:color w:val="auto"/>
            <w:sz w:val="19"/>
            <w:szCs w:val="20"/>
            <w:lang w:eastAsia="en-US"/>
          </w:rPr>
          <w:t xml:space="preserve">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5669A5">
          <w:rPr>
            <w:b/>
            <w:noProof/>
            <w:color w:val="auto"/>
            <w:szCs w:val="20"/>
            <w:lang w:eastAsia="en-US"/>
          </w:rPr>
          <w:t>92</w:t>
        </w:r>
        <w:r w:rsidRPr="0057146A">
          <w:rPr>
            <w:b/>
            <w:noProof/>
            <w:color w:val="auto"/>
            <w:szCs w:val="20"/>
            <w:lang w:eastAsia="en-US"/>
          </w:rPr>
          <w:fldChar w:fldCharType="end"/>
        </w:r>
        <w:r w:rsidRPr="0057146A">
          <w:rPr>
            <w:b/>
            <w:noProof/>
            <w:color w:val="auto"/>
            <w:szCs w:val="20"/>
            <w:lang w:eastAsia="en-US"/>
          </w:rPr>
          <w:t xml:space="preserve">  </w:t>
        </w:r>
        <w:r w:rsidRPr="0057146A">
          <w:rPr>
            <w:b/>
            <w:color w:val="auto"/>
            <w:szCs w:val="20"/>
            <w:lang w:eastAsia="en-US"/>
          </w:rPr>
          <w:t xml:space="preserve">|  </w:t>
        </w:r>
        <w:r>
          <w:rPr>
            <w:color w:val="auto"/>
            <w:szCs w:val="20"/>
            <w:lang w:eastAsia="en-US"/>
          </w:rPr>
          <w:t>Department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5EB4" w14:textId="77777777" w:rsidR="007E5809" w:rsidRPr="00A40C24" w:rsidRDefault="007E5809" w:rsidP="00AE1891">
    <w:pPr>
      <w:framePr w:w="851" w:h="1701" w:hRule="exact" w:wrap="around" w:vAnchor="page" w:hAnchor="margin" w:x="7939" w:y="4083"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2</w:t>
    </w:r>
  </w:p>
  <w:p w14:paraId="396A6535" w14:textId="75BE2E94" w:rsidR="007E5809" w:rsidRPr="0057146A" w:rsidRDefault="007E5809" w:rsidP="003D1157">
    <w:pPr>
      <w:pStyle w:val="Footer"/>
      <w:pBdr>
        <w:top w:val="single" w:sz="4" w:space="10" w:color="auto"/>
      </w:pBdr>
      <w:jc w:val="right"/>
      <w:rPr>
        <w:color w:val="auto"/>
        <w:szCs w:val="20"/>
        <w:lang w:eastAsia="en-US"/>
      </w:rPr>
    </w:pPr>
    <w:r w:rsidRPr="0057146A">
      <w:rPr>
        <w:color w:val="auto"/>
        <w:szCs w:val="20"/>
        <w:lang w:eastAsia="en-US"/>
      </w:rPr>
      <w:t>Department of Health and Aged Care</w:t>
    </w:r>
    <w:r w:rsidRPr="0057146A">
      <w:rPr>
        <w:b/>
        <w:color w:val="auto"/>
        <w:szCs w:val="20"/>
        <w:lang w:eastAsia="en-US"/>
      </w:rPr>
      <w:t xml:space="preserve">  |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5669A5">
      <w:rPr>
        <w:b/>
        <w:noProof/>
        <w:color w:val="auto"/>
        <w:szCs w:val="20"/>
        <w:lang w:eastAsia="en-US"/>
      </w:rPr>
      <w:t>77</w:t>
    </w:r>
    <w:r w:rsidRPr="0057146A">
      <w:rPr>
        <w:b/>
        <w:noProof/>
        <w:color w:val="auto"/>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841E" w14:textId="77777777" w:rsidR="00757303" w:rsidRDefault="0075730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D142" w14:textId="77777777" w:rsidR="007E5809" w:rsidRPr="00A40C24" w:rsidRDefault="007E5809" w:rsidP="00AE1891">
    <w:pPr>
      <w:framePr w:w="851" w:h="1701" w:hRule="exact" w:wrap="around" w:vAnchor="page" w:hAnchor="margin" w:x="7939" w:y="4083"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2</w:t>
    </w:r>
  </w:p>
  <w:p w14:paraId="7FB697C8" w14:textId="29ADD56C" w:rsidR="007E5809" w:rsidRPr="0057146A" w:rsidRDefault="007E5809" w:rsidP="003D1157">
    <w:pPr>
      <w:pStyle w:val="Footer"/>
      <w:pBdr>
        <w:top w:val="single" w:sz="4" w:space="10" w:color="auto"/>
      </w:pBdr>
      <w:jc w:val="right"/>
      <w:rPr>
        <w:color w:val="auto"/>
        <w:szCs w:val="20"/>
        <w:lang w:eastAsia="en-US"/>
      </w:rPr>
    </w:pPr>
    <w:r w:rsidRPr="0057146A">
      <w:rPr>
        <w:color w:val="auto"/>
        <w:szCs w:val="20"/>
        <w:lang w:eastAsia="en-US"/>
      </w:rPr>
      <w:t>Department of Health and Aged Care</w:t>
    </w:r>
    <w:r w:rsidRPr="0057146A">
      <w:rPr>
        <w:b/>
        <w:color w:val="auto"/>
        <w:szCs w:val="20"/>
        <w:lang w:eastAsia="en-US"/>
      </w:rPr>
      <w:t xml:space="preserve">  |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Pr>
        <w:b/>
        <w:noProof/>
        <w:color w:val="auto"/>
        <w:szCs w:val="20"/>
        <w:lang w:eastAsia="en-US"/>
      </w:rPr>
      <w:t>15</w:t>
    </w:r>
    <w:r w:rsidRPr="0057146A">
      <w:rPr>
        <w:b/>
        <w:noProof/>
        <w:color w:val="auto"/>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498D" w14:textId="77777777" w:rsidR="007E5809" w:rsidRDefault="007E5809" w:rsidP="00DE27DD">
      <w:r>
        <w:separator/>
      </w:r>
    </w:p>
  </w:footnote>
  <w:footnote w:type="continuationSeparator" w:id="0">
    <w:p w14:paraId="16BA931B" w14:textId="77777777" w:rsidR="007E5809" w:rsidRDefault="007E5809" w:rsidP="00DE27DD">
      <w:r>
        <w:continuationSeparator/>
      </w:r>
    </w:p>
  </w:footnote>
  <w:footnote w:id="1">
    <w:p w14:paraId="3D460B2F" w14:textId="0F6FF08A" w:rsidR="007E5809" w:rsidRPr="003534C2" w:rsidRDefault="007E5809" w:rsidP="000F2DF9">
      <w:pPr>
        <w:pStyle w:val="FootnoteText"/>
        <w:spacing w:before="0"/>
        <w:rPr>
          <w:szCs w:val="16"/>
        </w:rPr>
      </w:pPr>
      <w:r w:rsidRPr="003534C2">
        <w:rPr>
          <w:rStyle w:val="FootnoteReference"/>
          <w:szCs w:val="16"/>
        </w:rPr>
        <w:footnoteRef/>
      </w:r>
      <w:r w:rsidRPr="003534C2">
        <w:rPr>
          <w:szCs w:val="16"/>
        </w:rPr>
        <w:tab/>
        <w:t xml:space="preserve">For Budget estimates relating to the National Partnership component of the program, refer </w:t>
      </w:r>
      <w:r w:rsidRPr="001F7B2C">
        <w:rPr>
          <w:szCs w:val="16"/>
        </w:rPr>
        <w:t>to Budget Paper No. 3</w:t>
      </w:r>
      <w:r>
        <w:rPr>
          <w:szCs w:val="16"/>
        </w:rPr>
        <w:t>.</w:t>
      </w:r>
    </w:p>
  </w:footnote>
  <w:footnote w:id="2">
    <w:p w14:paraId="7C80AAE1" w14:textId="77777777" w:rsidR="007E5809" w:rsidRDefault="007E5809" w:rsidP="00303D27">
      <w:pPr>
        <w:pStyle w:val="FootnoteText"/>
        <w:spacing w:before="0"/>
      </w:pPr>
      <w:r>
        <w:rPr>
          <w:rStyle w:val="FootnoteReference"/>
        </w:rPr>
        <w:footnoteRef/>
      </w:r>
      <w:r>
        <w:t xml:space="preserve"> </w:t>
      </w:r>
      <w:r>
        <w:tab/>
        <w:t>Refer to the NHFB chapter in these PB Statements for further information on the work of this entity.</w:t>
      </w:r>
    </w:p>
  </w:footnote>
  <w:footnote w:id="3">
    <w:p w14:paraId="18981A4D" w14:textId="77777777" w:rsidR="007E5809" w:rsidRDefault="007E5809" w:rsidP="00303D27">
      <w:pPr>
        <w:pStyle w:val="FootnoteText"/>
        <w:spacing w:before="0" w:after="120"/>
      </w:pPr>
      <w:r>
        <w:rPr>
          <w:rStyle w:val="FootnoteReference"/>
        </w:rPr>
        <w:footnoteRef/>
      </w:r>
      <w:r>
        <w:tab/>
      </w:r>
      <w:r w:rsidRPr="004C6FFC">
        <w:t>Refer to the PSR chapter in these PB Statements for further information on the work of this entity.</w:t>
      </w:r>
    </w:p>
  </w:footnote>
  <w:footnote w:id="4">
    <w:p w14:paraId="5A94F729" w14:textId="3DF305E1" w:rsidR="007E5809" w:rsidRDefault="007E5809">
      <w:pPr>
        <w:pStyle w:val="FootnoteText"/>
      </w:pPr>
      <w:r>
        <w:rPr>
          <w:rStyle w:val="FootnoteReference"/>
        </w:rPr>
        <w:footnoteRef/>
      </w:r>
      <w:r>
        <w:t xml:space="preserve"> </w:t>
      </w:r>
      <w:r>
        <w:tab/>
        <w:t>Expected performance result not yet available. Final data will be published in the Department of Health and Aged Care Annual Report 2022–23.</w:t>
      </w:r>
    </w:p>
  </w:footnote>
  <w:footnote w:id="5">
    <w:p w14:paraId="6CE35901" w14:textId="7DD3CCE0" w:rsidR="007E5809" w:rsidRDefault="007E5809" w:rsidP="00590938">
      <w:pPr>
        <w:pStyle w:val="FootnoteText"/>
        <w:spacing w:before="0" w:after="120"/>
      </w:pPr>
      <w:r>
        <w:rPr>
          <w:rStyle w:val="FootnoteReference"/>
        </w:rPr>
        <w:footnoteRef/>
      </w:r>
      <w:r>
        <w:t xml:space="preserve"> </w:t>
      </w:r>
      <w:r>
        <w:tab/>
        <w:t>Active clients refers to the number of current voucher holders under the Hearing Services Program that have accessed one or more program services during the year.</w:t>
      </w:r>
    </w:p>
  </w:footnote>
  <w:footnote w:id="6">
    <w:p w14:paraId="39BA058D" w14:textId="062B2E9A" w:rsidR="007E5809" w:rsidRPr="001E4EA2" w:rsidRDefault="007E5809" w:rsidP="00590938">
      <w:pPr>
        <w:pStyle w:val="FootnoteText"/>
        <w:spacing w:before="0" w:after="120"/>
        <w:rPr>
          <w:color w:val="auto"/>
        </w:rPr>
      </w:pPr>
      <w:r>
        <w:rPr>
          <w:rStyle w:val="FootnoteReference"/>
        </w:rPr>
        <w:footnoteRef/>
      </w:r>
      <w:r>
        <w:t xml:space="preserve"> </w:t>
      </w:r>
      <w:r>
        <w:tab/>
        <w:t>Application form and timeframes are available at:</w:t>
      </w:r>
      <w:r w:rsidRPr="00F96421">
        <w:t xml:space="preserve"> </w:t>
      </w:r>
      <w:r w:rsidRPr="00D74D25">
        <w:t>www.health.gov.au/news/phi-circulars/phi-6621-2022-</w:t>
      </w:r>
      <w:r w:rsidRPr="001E4EA2">
        <w:rPr>
          <w:color w:val="auto"/>
        </w:rPr>
        <w:t>private-health-insurance-premium-round-applications</w:t>
      </w:r>
    </w:p>
  </w:footnote>
  <w:footnote w:id="7">
    <w:p w14:paraId="1F324EF0" w14:textId="13E1A08F" w:rsidR="007E5809" w:rsidRDefault="007E5809" w:rsidP="00590938">
      <w:pPr>
        <w:pStyle w:val="FootnoteText"/>
        <w:spacing w:after="120"/>
      </w:pPr>
      <w:r>
        <w:rPr>
          <w:rStyle w:val="FootnoteReference"/>
        </w:rPr>
        <w:footnoteRef/>
      </w:r>
      <w:r>
        <w:t xml:space="preserve"> </w:t>
      </w:r>
      <w:r>
        <w:tab/>
        <w:t>From 1 January 2022, to be eligible for the CDBS a child must be between zero and 17 years of age, must be eligible for Medicare, and the child or parent/guardian must be receiving a relevant Australian Government Payment, such as Family Tax Benefit Part A. From 1 January 2014 to 31 December 2021, the age of eligibility was between 2 and 17 years of 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067A8" w14:textId="77777777" w:rsidR="007E5809" w:rsidRPr="00A232B2" w:rsidRDefault="007E5809" w:rsidP="000261F4">
    <w:pPr>
      <w:spacing w:before="76" w:after="0" w:line="260" w:lineRule="exact"/>
      <w:jc w:val="both"/>
      <w:rPr>
        <w:rFonts w:ascii="Times New Roman" w:hAnsi="Times New Roman"/>
        <w:b/>
      </w:rPr>
    </w:pPr>
    <w:r w:rsidRPr="00946BE5">
      <w:rPr>
        <w:b/>
      </w:rPr>
      <w:t>Budget</w:t>
    </w:r>
    <w:r w:rsidRPr="00946BE5">
      <w:t xml:space="preserve"> 2023–24</w:t>
    </w:r>
    <w:r w:rsidRPr="00A232B2">
      <w:rPr>
        <w:rFonts w:ascii="Times New Roman" w:hAnsi="Times New Roman"/>
        <w:b/>
      </w:rPr>
      <w:t xml:space="preserve">  |  </w:t>
    </w:r>
    <w:r w:rsidRPr="00A232B2">
      <w:t>Portfolio Budget Statements</w:t>
    </w:r>
  </w:p>
  <w:p w14:paraId="5BEF504A" w14:textId="6824251B" w:rsidR="007E5809" w:rsidRPr="000261F4" w:rsidRDefault="007E5809" w:rsidP="00026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E61A" w14:textId="01BB4D8D" w:rsidR="007E5809" w:rsidRPr="00C5441D" w:rsidRDefault="007E5809" w:rsidP="00717BE7">
    <w:pPr>
      <w:tabs>
        <w:tab w:val="center" w:pos="4150"/>
        <w:tab w:val="right" w:pos="8306"/>
      </w:tabs>
      <w:spacing w:before="0" w:after="0"/>
      <w:jc w:val="right"/>
      <w:rPr>
        <w:iCs/>
        <w:color w:val="auto"/>
        <w:lang w:eastAsia="en-US"/>
      </w:rPr>
    </w:pPr>
    <w:r w:rsidRPr="00DD5A4D">
      <w:t>Portfolio Budget Statements</w:t>
    </w:r>
    <w:r w:rsidRPr="003757ED">
      <w:t xml:space="preserve">  |  </w:t>
    </w:r>
    <w:r w:rsidRPr="00C5441D">
      <w:rPr>
        <w:b/>
        <w:sz w:val="20"/>
        <w:szCs w:val="20"/>
      </w:rPr>
      <w:t>Budget</w:t>
    </w:r>
    <w:r w:rsidRPr="00C5441D">
      <w:rPr>
        <w:sz w:val="20"/>
        <w:szCs w:val="20"/>
      </w:rPr>
      <w:t xml:space="preserve"> 2023–24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DF86" w14:textId="77777777" w:rsidR="00757303" w:rsidRDefault="007573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9F407" w14:textId="11D52916" w:rsidR="007E5809" w:rsidRPr="00434EFB" w:rsidRDefault="007E5809" w:rsidP="00434E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3D67" w14:textId="3995E608" w:rsidR="007E5809" w:rsidRPr="0057146A" w:rsidRDefault="007E5809" w:rsidP="00717BE7">
    <w:pPr>
      <w:tabs>
        <w:tab w:val="center" w:pos="4150"/>
        <w:tab w:val="right" w:pos="8306"/>
      </w:tabs>
      <w:spacing w:before="0" w:after="0"/>
      <w:jc w:val="right"/>
      <w:rPr>
        <w:iCs/>
        <w:color w:val="auto"/>
        <w:lang w:eastAsia="en-US"/>
      </w:rPr>
    </w:pPr>
    <w:r w:rsidRPr="0057146A">
      <w:rPr>
        <w:iCs/>
        <w:color w:val="auto"/>
        <w:lang w:eastAsia="en-US"/>
      </w:rPr>
      <w:t>Portfolio Budget Statements</w:t>
    </w:r>
    <w:r>
      <w:rPr>
        <w:iCs/>
        <w:color w:val="auto"/>
        <w:lang w:eastAsia="en-US"/>
      </w:rPr>
      <w:t xml:space="preserve"> </w:t>
    </w:r>
    <w:r w:rsidRPr="0057146A">
      <w:rPr>
        <w:rFonts w:ascii="Book Antiqua" w:hAnsi="Book Antiqua" w:cs="Times New Roman"/>
        <w:i/>
        <w:iCs/>
        <w:color w:val="auto"/>
        <w:sz w:val="19"/>
        <w:szCs w:val="20"/>
        <w:lang w:eastAsia="en-US"/>
      </w:rPr>
      <w:t xml:space="preserve"> </w:t>
    </w:r>
    <w:r w:rsidRPr="0057146A">
      <w:rPr>
        <w:i/>
        <w:iCs/>
        <w:color w:val="auto"/>
        <w:lang w:eastAsia="en-US"/>
      </w:rPr>
      <w:t xml:space="preserve">| </w:t>
    </w:r>
    <w:r w:rsidRPr="0057146A">
      <w:rPr>
        <w:iCs/>
        <w:color w:val="auto"/>
        <w:lang w:eastAsia="en-US"/>
      </w:rPr>
      <w:t xml:space="preserve"> </w:t>
    </w:r>
    <w:r w:rsidRPr="0057146A">
      <w:rPr>
        <w:rFonts w:ascii="Book Antiqua" w:hAnsi="Book Antiqua" w:cs="Times New Roman"/>
        <w:i/>
        <w:iCs/>
        <w:noProof/>
        <w:color w:val="auto"/>
        <w:position w:val="-6"/>
        <w:sz w:val="19"/>
        <w:szCs w:val="20"/>
      </w:rPr>
      <w:drawing>
        <wp:inline distT="0" distB="0" distL="0" distR="0" wp14:anchorId="740674F4" wp14:editId="36C19AFE">
          <wp:extent cx="1358265" cy="170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30CF" w14:textId="099AC71C" w:rsidR="007E5809" w:rsidRDefault="007E5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65D"/>
    <w:multiLevelType w:val="hybridMultilevel"/>
    <w:tmpl w:val="B878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2126B"/>
    <w:multiLevelType w:val="hybridMultilevel"/>
    <w:tmpl w:val="7B223376"/>
    <w:lvl w:ilvl="0" w:tplc="3E4A1D80">
      <w:start w:val="1"/>
      <w:numFmt w:val="bullet"/>
      <w:lvlText w:val="-"/>
      <w:lvlJc w:val="left"/>
      <w:pPr>
        <w:ind w:left="388" w:hanging="360"/>
      </w:pPr>
      <w:rPr>
        <w:rFonts w:ascii="Courier New" w:hAnsi="Courier New" w:hint="default"/>
        <w:b w:val="0"/>
        <w:color w:val="auto"/>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1A5BBA"/>
    <w:multiLevelType w:val="hybridMultilevel"/>
    <w:tmpl w:val="8ECA4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5E4F69"/>
    <w:multiLevelType w:val="hybridMultilevel"/>
    <w:tmpl w:val="1F52D87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D34788"/>
    <w:multiLevelType w:val="hybridMultilevel"/>
    <w:tmpl w:val="D24E97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CE3E2E"/>
    <w:multiLevelType w:val="hybridMultilevel"/>
    <w:tmpl w:val="FA28647E"/>
    <w:lvl w:ilvl="0" w:tplc="ACBACEC6">
      <w:start w:val="1"/>
      <w:numFmt w:val="decimal"/>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EA3537"/>
    <w:multiLevelType w:val="hybridMultilevel"/>
    <w:tmpl w:val="A73E901E"/>
    <w:lvl w:ilvl="0" w:tplc="3E4A1D80">
      <w:start w:val="1"/>
      <w:numFmt w:val="bullet"/>
      <w:lvlText w:val="-"/>
      <w:lvlJc w:val="left"/>
      <w:pPr>
        <w:ind w:left="360" w:hanging="360"/>
      </w:pPr>
      <w:rPr>
        <w:rFonts w:ascii="Courier New" w:hAnsi="Courier New" w:hint="default"/>
        <w:b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4C1C4F"/>
    <w:multiLevelType w:val="hybridMultilevel"/>
    <w:tmpl w:val="6C381448"/>
    <w:lvl w:ilvl="0" w:tplc="B45EF840">
      <w:numFmt w:val="bullet"/>
      <w:lvlText w:val="-"/>
      <w:lvlJc w:val="left"/>
      <w:pPr>
        <w:ind w:left="7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CA25C8"/>
    <w:multiLevelType w:val="hybridMultilevel"/>
    <w:tmpl w:val="2B3AC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0C4648E"/>
    <w:multiLevelType w:val="hybridMultilevel"/>
    <w:tmpl w:val="DDE88844"/>
    <w:lvl w:ilvl="0" w:tplc="15769CCE">
      <w:start w:val="1"/>
      <w:numFmt w:val="bullet"/>
      <w:lvlText w:val=""/>
      <w:lvlJc w:val="left"/>
      <w:pPr>
        <w:ind w:left="1636" w:hanging="360"/>
      </w:pPr>
      <w:rPr>
        <w:rFonts w:ascii="Symbol" w:hAnsi="Symbol" w:hint="default"/>
        <w:color w:val="auto"/>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1" w15:restartNumberingAfterBreak="0">
    <w:nsid w:val="44204768"/>
    <w:multiLevelType w:val="hybridMultilevel"/>
    <w:tmpl w:val="78222762"/>
    <w:lvl w:ilvl="0" w:tplc="2E30536E">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6E635A"/>
    <w:multiLevelType w:val="hybridMultilevel"/>
    <w:tmpl w:val="62E8E97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5C7A0C08"/>
    <w:multiLevelType w:val="hybridMultilevel"/>
    <w:tmpl w:val="16646BBC"/>
    <w:lvl w:ilvl="0" w:tplc="81E6C4AE">
      <w:start w:val="1"/>
      <w:numFmt w:val="bullet"/>
      <w:lvlText w:val=""/>
      <w:lvlJc w:val="left"/>
      <w:pPr>
        <w:ind w:left="1027" w:hanging="360"/>
      </w:pPr>
      <w:rPr>
        <w:rFonts w:ascii="Symbol" w:hAnsi="Symbol" w:hint="default"/>
        <w:color w:val="auto"/>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4" w15:restartNumberingAfterBreak="0">
    <w:nsid w:val="5CD63635"/>
    <w:multiLevelType w:val="hybridMultilevel"/>
    <w:tmpl w:val="AAAE5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19157D"/>
    <w:multiLevelType w:val="hybridMultilevel"/>
    <w:tmpl w:val="D8A85E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1B0AE2"/>
    <w:multiLevelType w:val="hybridMultilevel"/>
    <w:tmpl w:val="895E7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AF5030"/>
    <w:multiLevelType w:val="hybridMultilevel"/>
    <w:tmpl w:val="773A5718"/>
    <w:lvl w:ilvl="0" w:tplc="877AD0A4">
      <w:start w:val="1"/>
      <w:numFmt w:val="lowerLetter"/>
      <w:lvlText w:val="%1."/>
      <w:lvlJc w:val="left"/>
      <w:pPr>
        <w:ind w:left="720" w:hanging="360"/>
      </w:pPr>
      <w:rPr>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F720E7"/>
    <w:multiLevelType w:val="hybridMultilevel"/>
    <w:tmpl w:val="0D02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A56E38"/>
    <w:multiLevelType w:val="hybridMultilevel"/>
    <w:tmpl w:val="4F9CA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292333"/>
    <w:multiLevelType w:val="hybridMultilevel"/>
    <w:tmpl w:val="037C1ED8"/>
    <w:lvl w:ilvl="0" w:tplc="0C090001">
      <w:start w:val="1"/>
      <w:numFmt w:val="bullet"/>
      <w:lvlText w:val=""/>
      <w:lvlJc w:val="left"/>
      <w:pPr>
        <w:ind w:left="388" w:hanging="360"/>
      </w:pPr>
      <w:rPr>
        <w:rFonts w:ascii="Symbol" w:hAnsi="Symbol" w:hint="default"/>
        <w:b w:val="0"/>
        <w:color w:val="auto"/>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1" w15:restartNumberingAfterBreak="0">
    <w:nsid w:val="7C8D76DC"/>
    <w:multiLevelType w:val="multilevel"/>
    <w:tmpl w:val="07768D4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1"/>
  </w:num>
  <w:num w:numId="3">
    <w:abstractNumId w:val="7"/>
  </w:num>
  <w:num w:numId="4">
    <w:abstractNumId w:val="16"/>
  </w:num>
  <w:num w:numId="5">
    <w:abstractNumId w:val="10"/>
  </w:num>
  <w:num w:numId="6">
    <w:abstractNumId w:val="12"/>
  </w:num>
  <w:num w:numId="7">
    <w:abstractNumId w:val="14"/>
  </w:num>
  <w:num w:numId="8">
    <w:abstractNumId w:val="17"/>
  </w:num>
  <w:num w:numId="9">
    <w:abstractNumId w:val="6"/>
  </w:num>
  <w:num w:numId="10">
    <w:abstractNumId w:val="15"/>
  </w:num>
  <w:num w:numId="11">
    <w:abstractNumId w:val="11"/>
  </w:num>
  <w:num w:numId="12">
    <w:abstractNumId w:val="5"/>
  </w:num>
  <w:num w:numId="13">
    <w:abstractNumId w:val="0"/>
  </w:num>
  <w:num w:numId="14">
    <w:abstractNumId w:val="4"/>
  </w:num>
  <w:num w:numId="15">
    <w:abstractNumId w:val="18"/>
  </w:num>
  <w:num w:numId="16">
    <w:abstractNumId w:val="19"/>
  </w:num>
  <w:num w:numId="17">
    <w:abstractNumId w:val="2"/>
  </w:num>
  <w:num w:numId="18">
    <w:abstractNumId w:val="3"/>
  </w:num>
  <w:num w:numId="19">
    <w:abstractNumId w:val="1"/>
  </w:num>
  <w:num w:numId="20">
    <w:abstractNumId w:val="20"/>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114B5"/>
    <w:rsid w:val="00017288"/>
    <w:rsid w:val="0002109E"/>
    <w:rsid w:val="000213FF"/>
    <w:rsid w:val="00022BB1"/>
    <w:rsid w:val="000261F4"/>
    <w:rsid w:val="00027074"/>
    <w:rsid w:val="0003257D"/>
    <w:rsid w:val="00043A82"/>
    <w:rsid w:val="00044CF2"/>
    <w:rsid w:val="000455A7"/>
    <w:rsid w:val="00046C42"/>
    <w:rsid w:val="000470A8"/>
    <w:rsid w:val="00051198"/>
    <w:rsid w:val="00051374"/>
    <w:rsid w:val="00052FAA"/>
    <w:rsid w:val="000574D3"/>
    <w:rsid w:val="00064B59"/>
    <w:rsid w:val="00074AA3"/>
    <w:rsid w:val="000779AB"/>
    <w:rsid w:val="0008139B"/>
    <w:rsid w:val="0008610E"/>
    <w:rsid w:val="0009381E"/>
    <w:rsid w:val="00094FD6"/>
    <w:rsid w:val="00096399"/>
    <w:rsid w:val="000A52D9"/>
    <w:rsid w:val="000A74AA"/>
    <w:rsid w:val="000B0E51"/>
    <w:rsid w:val="000B6F29"/>
    <w:rsid w:val="000C5FBE"/>
    <w:rsid w:val="000C708A"/>
    <w:rsid w:val="000D0AE1"/>
    <w:rsid w:val="000D1E25"/>
    <w:rsid w:val="000E05C8"/>
    <w:rsid w:val="000E17C7"/>
    <w:rsid w:val="000F2A3B"/>
    <w:rsid w:val="000F2DF9"/>
    <w:rsid w:val="000F594F"/>
    <w:rsid w:val="000F5D46"/>
    <w:rsid w:val="000F6381"/>
    <w:rsid w:val="000F639A"/>
    <w:rsid w:val="000F6EC3"/>
    <w:rsid w:val="00100136"/>
    <w:rsid w:val="00103C8C"/>
    <w:rsid w:val="00105B9A"/>
    <w:rsid w:val="00107247"/>
    <w:rsid w:val="001079B0"/>
    <w:rsid w:val="00107EC1"/>
    <w:rsid w:val="001148B0"/>
    <w:rsid w:val="001166EE"/>
    <w:rsid w:val="0012246B"/>
    <w:rsid w:val="00134D74"/>
    <w:rsid w:val="0013552E"/>
    <w:rsid w:val="00137D12"/>
    <w:rsid w:val="001423C3"/>
    <w:rsid w:val="00146C3D"/>
    <w:rsid w:val="00150C31"/>
    <w:rsid w:val="0016285D"/>
    <w:rsid w:val="00164C42"/>
    <w:rsid w:val="00177312"/>
    <w:rsid w:val="00180DCC"/>
    <w:rsid w:val="001868AD"/>
    <w:rsid w:val="001875E7"/>
    <w:rsid w:val="00193356"/>
    <w:rsid w:val="00193F57"/>
    <w:rsid w:val="00196E6B"/>
    <w:rsid w:val="001A20A0"/>
    <w:rsid w:val="001A590E"/>
    <w:rsid w:val="001B296E"/>
    <w:rsid w:val="001B6304"/>
    <w:rsid w:val="001C150E"/>
    <w:rsid w:val="001C2048"/>
    <w:rsid w:val="001D26DF"/>
    <w:rsid w:val="001D364A"/>
    <w:rsid w:val="001D4672"/>
    <w:rsid w:val="001D531E"/>
    <w:rsid w:val="001D6416"/>
    <w:rsid w:val="001E0A83"/>
    <w:rsid w:val="001E15D3"/>
    <w:rsid w:val="001E4EA2"/>
    <w:rsid w:val="001F0346"/>
    <w:rsid w:val="001F2731"/>
    <w:rsid w:val="001F2EE8"/>
    <w:rsid w:val="001F3024"/>
    <w:rsid w:val="001F7195"/>
    <w:rsid w:val="001F7695"/>
    <w:rsid w:val="00203432"/>
    <w:rsid w:val="00203C45"/>
    <w:rsid w:val="00204023"/>
    <w:rsid w:val="00205DED"/>
    <w:rsid w:val="00206CEE"/>
    <w:rsid w:val="00207AAE"/>
    <w:rsid w:val="002140AD"/>
    <w:rsid w:val="0021700D"/>
    <w:rsid w:val="002228CE"/>
    <w:rsid w:val="00226E3F"/>
    <w:rsid w:val="00231063"/>
    <w:rsid w:val="002312BC"/>
    <w:rsid w:val="00231817"/>
    <w:rsid w:val="00234637"/>
    <w:rsid w:val="00237E49"/>
    <w:rsid w:val="002511AD"/>
    <w:rsid w:val="0025443C"/>
    <w:rsid w:val="002548F7"/>
    <w:rsid w:val="002568A7"/>
    <w:rsid w:val="0026003F"/>
    <w:rsid w:val="002600E8"/>
    <w:rsid w:val="00261154"/>
    <w:rsid w:val="002620B7"/>
    <w:rsid w:val="00263703"/>
    <w:rsid w:val="002657E5"/>
    <w:rsid w:val="002671CC"/>
    <w:rsid w:val="00267F36"/>
    <w:rsid w:val="00273553"/>
    <w:rsid w:val="002739D2"/>
    <w:rsid w:val="00274D4B"/>
    <w:rsid w:val="00275905"/>
    <w:rsid w:val="00275A27"/>
    <w:rsid w:val="00275D5B"/>
    <w:rsid w:val="00280050"/>
    <w:rsid w:val="00282526"/>
    <w:rsid w:val="00286607"/>
    <w:rsid w:val="0028717D"/>
    <w:rsid w:val="00294D2D"/>
    <w:rsid w:val="00294E0C"/>
    <w:rsid w:val="00297FE9"/>
    <w:rsid w:val="002A45AE"/>
    <w:rsid w:val="002A5730"/>
    <w:rsid w:val="002A7508"/>
    <w:rsid w:val="002B348F"/>
    <w:rsid w:val="002B3EA2"/>
    <w:rsid w:val="002B6BBB"/>
    <w:rsid w:val="002C0A1C"/>
    <w:rsid w:val="002C0B89"/>
    <w:rsid w:val="002C0DEF"/>
    <w:rsid w:val="002C36B0"/>
    <w:rsid w:val="002D03EF"/>
    <w:rsid w:val="002D1A09"/>
    <w:rsid w:val="002D3411"/>
    <w:rsid w:val="002D7CB2"/>
    <w:rsid w:val="002E22DA"/>
    <w:rsid w:val="002E5A53"/>
    <w:rsid w:val="002E5B88"/>
    <w:rsid w:val="002F29B5"/>
    <w:rsid w:val="002F603A"/>
    <w:rsid w:val="00301F27"/>
    <w:rsid w:val="00303D27"/>
    <w:rsid w:val="00304DFC"/>
    <w:rsid w:val="0030589F"/>
    <w:rsid w:val="00312131"/>
    <w:rsid w:val="00320B29"/>
    <w:rsid w:val="00321D2C"/>
    <w:rsid w:val="00325952"/>
    <w:rsid w:val="00326645"/>
    <w:rsid w:val="00327F3C"/>
    <w:rsid w:val="00331111"/>
    <w:rsid w:val="00331F52"/>
    <w:rsid w:val="00332C7E"/>
    <w:rsid w:val="00342235"/>
    <w:rsid w:val="00345E22"/>
    <w:rsid w:val="00347657"/>
    <w:rsid w:val="003522C4"/>
    <w:rsid w:val="003532A2"/>
    <w:rsid w:val="00356EBA"/>
    <w:rsid w:val="00362D81"/>
    <w:rsid w:val="00363C5A"/>
    <w:rsid w:val="0037037F"/>
    <w:rsid w:val="00371A2D"/>
    <w:rsid w:val="003860F4"/>
    <w:rsid w:val="003912E2"/>
    <w:rsid w:val="00393B1F"/>
    <w:rsid w:val="00395F35"/>
    <w:rsid w:val="003A40D4"/>
    <w:rsid w:val="003A5C33"/>
    <w:rsid w:val="003B7863"/>
    <w:rsid w:val="003C0781"/>
    <w:rsid w:val="003C24BF"/>
    <w:rsid w:val="003C283A"/>
    <w:rsid w:val="003C3706"/>
    <w:rsid w:val="003C6B48"/>
    <w:rsid w:val="003C7643"/>
    <w:rsid w:val="003D0522"/>
    <w:rsid w:val="003D1157"/>
    <w:rsid w:val="003D20B7"/>
    <w:rsid w:val="003D304D"/>
    <w:rsid w:val="003D39B7"/>
    <w:rsid w:val="003D4D53"/>
    <w:rsid w:val="003D746D"/>
    <w:rsid w:val="003E5A88"/>
    <w:rsid w:val="003F3A92"/>
    <w:rsid w:val="00404FCD"/>
    <w:rsid w:val="004058C9"/>
    <w:rsid w:val="00414A05"/>
    <w:rsid w:val="00421C8A"/>
    <w:rsid w:val="00421F2B"/>
    <w:rsid w:val="00424664"/>
    <w:rsid w:val="00424E15"/>
    <w:rsid w:val="00427DE4"/>
    <w:rsid w:val="004301E9"/>
    <w:rsid w:val="004317A6"/>
    <w:rsid w:val="0043394A"/>
    <w:rsid w:val="00434EFB"/>
    <w:rsid w:val="00436D13"/>
    <w:rsid w:val="00443802"/>
    <w:rsid w:val="004457C9"/>
    <w:rsid w:val="0044633E"/>
    <w:rsid w:val="00446F20"/>
    <w:rsid w:val="00447C73"/>
    <w:rsid w:val="004535BF"/>
    <w:rsid w:val="004561F3"/>
    <w:rsid w:val="004626FB"/>
    <w:rsid w:val="00463750"/>
    <w:rsid w:val="00463DF2"/>
    <w:rsid w:val="00466022"/>
    <w:rsid w:val="00471C03"/>
    <w:rsid w:val="00475CCD"/>
    <w:rsid w:val="00476A5A"/>
    <w:rsid w:val="004811F9"/>
    <w:rsid w:val="00481308"/>
    <w:rsid w:val="004815F1"/>
    <w:rsid w:val="004860E1"/>
    <w:rsid w:val="00487EA5"/>
    <w:rsid w:val="00487EC4"/>
    <w:rsid w:val="004A7F70"/>
    <w:rsid w:val="004B33FD"/>
    <w:rsid w:val="004B4136"/>
    <w:rsid w:val="004B7EE7"/>
    <w:rsid w:val="004C16F7"/>
    <w:rsid w:val="004C1C06"/>
    <w:rsid w:val="004D1BF7"/>
    <w:rsid w:val="004E0E89"/>
    <w:rsid w:val="004E5568"/>
    <w:rsid w:val="00502183"/>
    <w:rsid w:val="00504E9A"/>
    <w:rsid w:val="00505F0C"/>
    <w:rsid w:val="005072F6"/>
    <w:rsid w:val="00511B58"/>
    <w:rsid w:val="00512BE0"/>
    <w:rsid w:val="0051735E"/>
    <w:rsid w:val="00527258"/>
    <w:rsid w:val="00530A8B"/>
    <w:rsid w:val="00537B93"/>
    <w:rsid w:val="00540651"/>
    <w:rsid w:val="005470F3"/>
    <w:rsid w:val="00550AB6"/>
    <w:rsid w:val="00555C2D"/>
    <w:rsid w:val="005572C8"/>
    <w:rsid w:val="00557619"/>
    <w:rsid w:val="00562C40"/>
    <w:rsid w:val="00564EA0"/>
    <w:rsid w:val="00565C85"/>
    <w:rsid w:val="005669A5"/>
    <w:rsid w:val="00570EFC"/>
    <w:rsid w:val="00573A4A"/>
    <w:rsid w:val="005866FF"/>
    <w:rsid w:val="00586D5B"/>
    <w:rsid w:val="00590938"/>
    <w:rsid w:val="00593FAF"/>
    <w:rsid w:val="005941EB"/>
    <w:rsid w:val="00595ED5"/>
    <w:rsid w:val="00595FFE"/>
    <w:rsid w:val="005A03B3"/>
    <w:rsid w:val="005A53D6"/>
    <w:rsid w:val="005A7016"/>
    <w:rsid w:val="005B0526"/>
    <w:rsid w:val="005C615E"/>
    <w:rsid w:val="005D18EC"/>
    <w:rsid w:val="005D46A4"/>
    <w:rsid w:val="005D52B5"/>
    <w:rsid w:val="005E4D65"/>
    <w:rsid w:val="005F133C"/>
    <w:rsid w:val="005F44C0"/>
    <w:rsid w:val="00603C88"/>
    <w:rsid w:val="00605196"/>
    <w:rsid w:val="00607B7F"/>
    <w:rsid w:val="006109AA"/>
    <w:rsid w:val="00610C7C"/>
    <w:rsid w:val="00627E1E"/>
    <w:rsid w:val="00632DA6"/>
    <w:rsid w:val="00634E46"/>
    <w:rsid w:val="006367B2"/>
    <w:rsid w:val="00636BA7"/>
    <w:rsid w:val="006408B7"/>
    <w:rsid w:val="00651EFD"/>
    <w:rsid w:val="00655047"/>
    <w:rsid w:val="00660163"/>
    <w:rsid w:val="00660BCC"/>
    <w:rsid w:val="00665377"/>
    <w:rsid w:val="00673DAE"/>
    <w:rsid w:val="00675C47"/>
    <w:rsid w:val="00676287"/>
    <w:rsid w:val="006805C2"/>
    <w:rsid w:val="00685813"/>
    <w:rsid w:val="00690B8E"/>
    <w:rsid w:val="00691B9E"/>
    <w:rsid w:val="00693C20"/>
    <w:rsid w:val="00694357"/>
    <w:rsid w:val="00694F86"/>
    <w:rsid w:val="006A04BF"/>
    <w:rsid w:val="006B0118"/>
    <w:rsid w:val="006B0B79"/>
    <w:rsid w:val="006B141A"/>
    <w:rsid w:val="006B2241"/>
    <w:rsid w:val="006B5D15"/>
    <w:rsid w:val="006B711C"/>
    <w:rsid w:val="006C1AC0"/>
    <w:rsid w:val="006C28F6"/>
    <w:rsid w:val="006E230F"/>
    <w:rsid w:val="006E645D"/>
    <w:rsid w:val="006E7B31"/>
    <w:rsid w:val="006F17D4"/>
    <w:rsid w:val="006F1A5B"/>
    <w:rsid w:val="006F28A2"/>
    <w:rsid w:val="006F2CE0"/>
    <w:rsid w:val="006F40D9"/>
    <w:rsid w:val="00700BC2"/>
    <w:rsid w:val="00701EFE"/>
    <w:rsid w:val="0070367A"/>
    <w:rsid w:val="00704A67"/>
    <w:rsid w:val="00707037"/>
    <w:rsid w:val="00707400"/>
    <w:rsid w:val="00717BE7"/>
    <w:rsid w:val="00724622"/>
    <w:rsid w:val="0072464F"/>
    <w:rsid w:val="007250B7"/>
    <w:rsid w:val="00725DBC"/>
    <w:rsid w:val="007279FA"/>
    <w:rsid w:val="00727D7E"/>
    <w:rsid w:val="007324A1"/>
    <w:rsid w:val="00733A6D"/>
    <w:rsid w:val="00733D0C"/>
    <w:rsid w:val="00735BCE"/>
    <w:rsid w:val="007375AB"/>
    <w:rsid w:val="007378EE"/>
    <w:rsid w:val="00742BA5"/>
    <w:rsid w:val="00747767"/>
    <w:rsid w:val="00747DE7"/>
    <w:rsid w:val="00756D03"/>
    <w:rsid w:val="00757303"/>
    <w:rsid w:val="007665CB"/>
    <w:rsid w:val="007702A1"/>
    <w:rsid w:val="00771303"/>
    <w:rsid w:val="0078179B"/>
    <w:rsid w:val="007951D9"/>
    <w:rsid w:val="00796821"/>
    <w:rsid w:val="007A6764"/>
    <w:rsid w:val="007A71D1"/>
    <w:rsid w:val="007B0C99"/>
    <w:rsid w:val="007B30D2"/>
    <w:rsid w:val="007C15A1"/>
    <w:rsid w:val="007C3185"/>
    <w:rsid w:val="007C3B5E"/>
    <w:rsid w:val="007C4174"/>
    <w:rsid w:val="007C5586"/>
    <w:rsid w:val="007D542D"/>
    <w:rsid w:val="007D561F"/>
    <w:rsid w:val="007E5809"/>
    <w:rsid w:val="007E699C"/>
    <w:rsid w:val="007F026E"/>
    <w:rsid w:val="007F3D37"/>
    <w:rsid w:val="007F3DD1"/>
    <w:rsid w:val="00805833"/>
    <w:rsid w:val="00807A7C"/>
    <w:rsid w:val="008101D8"/>
    <w:rsid w:val="00812142"/>
    <w:rsid w:val="0082141A"/>
    <w:rsid w:val="00825FBF"/>
    <w:rsid w:val="00832218"/>
    <w:rsid w:val="00840A6D"/>
    <w:rsid w:val="0085259F"/>
    <w:rsid w:val="0085437E"/>
    <w:rsid w:val="00855B91"/>
    <w:rsid w:val="00866E79"/>
    <w:rsid w:val="008740A4"/>
    <w:rsid w:val="00875398"/>
    <w:rsid w:val="00877355"/>
    <w:rsid w:val="008801D2"/>
    <w:rsid w:val="00885AB0"/>
    <w:rsid w:val="0089798B"/>
    <w:rsid w:val="008A6F63"/>
    <w:rsid w:val="008B6D9B"/>
    <w:rsid w:val="008B7185"/>
    <w:rsid w:val="008B79A0"/>
    <w:rsid w:val="008C63CE"/>
    <w:rsid w:val="008C688C"/>
    <w:rsid w:val="008C743E"/>
    <w:rsid w:val="008D0520"/>
    <w:rsid w:val="008D1DAE"/>
    <w:rsid w:val="008D7DB9"/>
    <w:rsid w:val="008E5C69"/>
    <w:rsid w:val="008F2A0F"/>
    <w:rsid w:val="008F366C"/>
    <w:rsid w:val="008F49DF"/>
    <w:rsid w:val="008F5CCD"/>
    <w:rsid w:val="008F6CEC"/>
    <w:rsid w:val="00901774"/>
    <w:rsid w:val="00917DEC"/>
    <w:rsid w:val="00927556"/>
    <w:rsid w:val="0093083F"/>
    <w:rsid w:val="00931186"/>
    <w:rsid w:val="00933D4B"/>
    <w:rsid w:val="00935EA3"/>
    <w:rsid w:val="00941B96"/>
    <w:rsid w:val="0094338A"/>
    <w:rsid w:val="00945BB6"/>
    <w:rsid w:val="00946BE5"/>
    <w:rsid w:val="00952B6F"/>
    <w:rsid w:val="00952F59"/>
    <w:rsid w:val="00960974"/>
    <w:rsid w:val="0096133C"/>
    <w:rsid w:val="009619FE"/>
    <w:rsid w:val="00961C5A"/>
    <w:rsid w:val="00963A3B"/>
    <w:rsid w:val="009662BC"/>
    <w:rsid w:val="0096648B"/>
    <w:rsid w:val="00971D10"/>
    <w:rsid w:val="009826A4"/>
    <w:rsid w:val="00992969"/>
    <w:rsid w:val="00992F04"/>
    <w:rsid w:val="00996FC2"/>
    <w:rsid w:val="009A001C"/>
    <w:rsid w:val="009A07D0"/>
    <w:rsid w:val="009A1FED"/>
    <w:rsid w:val="009A53F4"/>
    <w:rsid w:val="009B3260"/>
    <w:rsid w:val="009B61D0"/>
    <w:rsid w:val="009C23AE"/>
    <w:rsid w:val="009C48F7"/>
    <w:rsid w:val="009C7AC8"/>
    <w:rsid w:val="009D0799"/>
    <w:rsid w:val="009E1ECF"/>
    <w:rsid w:val="009E3512"/>
    <w:rsid w:val="009E5EB5"/>
    <w:rsid w:val="009F1EA8"/>
    <w:rsid w:val="009F35AC"/>
    <w:rsid w:val="009F55C6"/>
    <w:rsid w:val="00A036C0"/>
    <w:rsid w:val="00A04900"/>
    <w:rsid w:val="00A07605"/>
    <w:rsid w:val="00A10361"/>
    <w:rsid w:val="00A10F3F"/>
    <w:rsid w:val="00A135C2"/>
    <w:rsid w:val="00A150C8"/>
    <w:rsid w:val="00A15483"/>
    <w:rsid w:val="00A20C87"/>
    <w:rsid w:val="00A227EB"/>
    <w:rsid w:val="00A25CC3"/>
    <w:rsid w:val="00A27E74"/>
    <w:rsid w:val="00A31E6A"/>
    <w:rsid w:val="00A32DDE"/>
    <w:rsid w:val="00A335A1"/>
    <w:rsid w:val="00A3566D"/>
    <w:rsid w:val="00A361D1"/>
    <w:rsid w:val="00A4024C"/>
    <w:rsid w:val="00A51038"/>
    <w:rsid w:val="00A61433"/>
    <w:rsid w:val="00A668BF"/>
    <w:rsid w:val="00A66E7D"/>
    <w:rsid w:val="00A7416D"/>
    <w:rsid w:val="00A80015"/>
    <w:rsid w:val="00A802A6"/>
    <w:rsid w:val="00A82287"/>
    <w:rsid w:val="00A8342D"/>
    <w:rsid w:val="00A848B9"/>
    <w:rsid w:val="00A90A7E"/>
    <w:rsid w:val="00A954FA"/>
    <w:rsid w:val="00A97B92"/>
    <w:rsid w:val="00AB0E45"/>
    <w:rsid w:val="00AB3D3D"/>
    <w:rsid w:val="00AB4E83"/>
    <w:rsid w:val="00AB5507"/>
    <w:rsid w:val="00AB62C5"/>
    <w:rsid w:val="00AB78AD"/>
    <w:rsid w:val="00AC3FC0"/>
    <w:rsid w:val="00AC40FC"/>
    <w:rsid w:val="00AC58FA"/>
    <w:rsid w:val="00AD65A3"/>
    <w:rsid w:val="00AE01EE"/>
    <w:rsid w:val="00AE1891"/>
    <w:rsid w:val="00AE7CF3"/>
    <w:rsid w:val="00B00816"/>
    <w:rsid w:val="00B02D0B"/>
    <w:rsid w:val="00B03A2B"/>
    <w:rsid w:val="00B11D80"/>
    <w:rsid w:val="00B12FB2"/>
    <w:rsid w:val="00B16A1F"/>
    <w:rsid w:val="00B32A8F"/>
    <w:rsid w:val="00B33215"/>
    <w:rsid w:val="00B4164A"/>
    <w:rsid w:val="00B45F80"/>
    <w:rsid w:val="00B4767A"/>
    <w:rsid w:val="00B62ABA"/>
    <w:rsid w:val="00B64B43"/>
    <w:rsid w:val="00B70339"/>
    <w:rsid w:val="00B83D5D"/>
    <w:rsid w:val="00B84DCE"/>
    <w:rsid w:val="00B86E41"/>
    <w:rsid w:val="00B8751B"/>
    <w:rsid w:val="00B94FCD"/>
    <w:rsid w:val="00B95780"/>
    <w:rsid w:val="00B96DD8"/>
    <w:rsid w:val="00BA09BF"/>
    <w:rsid w:val="00BA122B"/>
    <w:rsid w:val="00BA2A31"/>
    <w:rsid w:val="00BA37C7"/>
    <w:rsid w:val="00BA40F5"/>
    <w:rsid w:val="00BA73D3"/>
    <w:rsid w:val="00BB20BA"/>
    <w:rsid w:val="00BB2922"/>
    <w:rsid w:val="00BB3359"/>
    <w:rsid w:val="00BB676F"/>
    <w:rsid w:val="00BB7B10"/>
    <w:rsid w:val="00BC23A7"/>
    <w:rsid w:val="00BC420C"/>
    <w:rsid w:val="00BC504E"/>
    <w:rsid w:val="00BC5AE1"/>
    <w:rsid w:val="00BD1519"/>
    <w:rsid w:val="00BD40F1"/>
    <w:rsid w:val="00BD70F5"/>
    <w:rsid w:val="00BE1A8F"/>
    <w:rsid w:val="00BE1D49"/>
    <w:rsid w:val="00BE4D0C"/>
    <w:rsid w:val="00BF1459"/>
    <w:rsid w:val="00BF1FBA"/>
    <w:rsid w:val="00BF24BB"/>
    <w:rsid w:val="00BF3A66"/>
    <w:rsid w:val="00BF6849"/>
    <w:rsid w:val="00BF757D"/>
    <w:rsid w:val="00C079CD"/>
    <w:rsid w:val="00C10F04"/>
    <w:rsid w:val="00C13046"/>
    <w:rsid w:val="00C136AF"/>
    <w:rsid w:val="00C13B3A"/>
    <w:rsid w:val="00C21A98"/>
    <w:rsid w:val="00C235DC"/>
    <w:rsid w:val="00C30390"/>
    <w:rsid w:val="00C30784"/>
    <w:rsid w:val="00C309C0"/>
    <w:rsid w:val="00C32A4F"/>
    <w:rsid w:val="00C3575E"/>
    <w:rsid w:val="00C36F5C"/>
    <w:rsid w:val="00C44651"/>
    <w:rsid w:val="00C450E4"/>
    <w:rsid w:val="00C50B0D"/>
    <w:rsid w:val="00C5321A"/>
    <w:rsid w:val="00C5441D"/>
    <w:rsid w:val="00C56907"/>
    <w:rsid w:val="00C66C61"/>
    <w:rsid w:val="00C66D1C"/>
    <w:rsid w:val="00C674E0"/>
    <w:rsid w:val="00C72BCE"/>
    <w:rsid w:val="00C746B7"/>
    <w:rsid w:val="00C76C06"/>
    <w:rsid w:val="00C770C6"/>
    <w:rsid w:val="00C8295B"/>
    <w:rsid w:val="00C87017"/>
    <w:rsid w:val="00C8739A"/>
    <w:rsid w:val="00C95A77"/>
    <w:rsid w:val="00C97633"/>
    <w:rsid w:val="00CA43A9"/>
    <w:rsid w:val="00CA6B07"/>
    <w:rsid w:val="00CA7C52"/>
    <w:rsid w:val="00CB2FBC"/>
    <w:rsid w:val="00CB7A20"/>
    <w:rsid w:val="00CC0CCE"/>
    <w:rsid w:val="00CC42DD"/>
    <w:rsid w:val="00CC7143"/>
    <w:rsid w:val="00CD2590"/>
    <w:rsid w:val="00CD5DED"/>
    <w:rsid w:val="00CE2F67"/>
    <w:rsid w:val="00CF0C4F"/>
    <w:rsid w:val="00CF24F1"/>
    <w:rsid w:val="00CF6DEE"/>
    <w:rsid w:val="00CF7213"/>
    <w:rsid w:val="00D004D7"/>
    <w:rsid w:val="00D0195E"/>
    <w:rsid w:val="00D06A06"/>
    <w:rsid w:val="00D13F80"/>
    <w:rsid w:val="00D163AE"/>
    <w:rsid w:val="00D2049C"/>
    <w:rsid w:val="00D21581"/>
    <w:rsid w:val="00D22833"/>
    <w:rsid w:val="00D25408"/>
    <w:rsid w:val="00D2643F"/>
    <w:rsid w:val="00D2675F"/>
    <w:rsid w:val="00D26B6C"/>
    <w:rsid w:val="00D26D6B"/>
    <w:rsid w:val="00D34A41"/>
    <w:rsid w:val="00D47D33"/>
    <w:rsid w:val="00D5146A"/>
    <w:rsid w:val="00D55B45"/>
    <w:rsid w:val="00D55F01"/>
    <w:rsid w:val="00D60C07"/>
    <w:rsid w:val="00D628C2"/>
    <w:rsid w:val="00D67ABE"/>
    <w:rsid w:val="00D734B3"/>
    <w:rsid w:val="00D74655"/>
    <w:rsid w:val="00D74D25"/>
    <w:rsid w:val="00D80D91"/>
    <w:rsid w:val="00D818DF"/>
    <w:rsid w:val="00D8492C"/>
    <w:rsid w:val="00D923B1"/>
    <w:rsid w:val="00D9257A"/>
    <w:rsid w:val="00D927B7"/>
    <w:rsid w:val="00DA4DB3"/>
    <w:rsid w:val="00DA7AF9"/>
    <w:rsid w:val="00DA7EC3"/>
    <w:rsid w:val="00DB03BE"/>
    <w:rsid w:val="00DB1265"/>
    <w:rsid w:val="00DB69B0"/>
    <w:rsid w:val="00DC0B21"/>
    <w:rsid w:val="00DC121F"/>
    <w:rsid w:val="00DC1EFD"/>
    <w:rsid w:val="00DC24D1"/>
    <w:rsid w:val="00DC3845"/>
    <w:rsid w:val="00DC58B3"/>
    <w:rsid w:val="00DD3EA4"/>
    <w:rsid w:val="00DD3EB4"/>
    <w:rsid w:val="00DD664F"/>
    <w:rsid w:val="00DE27DD"/>
    <w:rsid w:val="00E003D9"/>
    <w:rsid w:val="00E05E7B"/>
    <w:rsid w:val="00E12E3A"/>
    <w:rsid w:val="00E16695"/>
    <w:rsid w:val="00E231E7"/>
    <w:rsid w:val="00E27AB0"/>
    <w:rsid w:val="00E31E32"/>
    <w:rsid w:val="00E35AEE"/>
    <w:rsid w:val="00E42AB0"/>
    <w:rsid w:val="00E42EEC"/>
    <w:rsid w:val="00E43C8A"/>
    <w:rsid w:val="00E44A09"/>
    <w:rsid w:val="00E462B8"/>
    <w:rsid w:val="00E467B6"/>
    <w:rsid w:val="00E50259"/>
    <w:rsid w:val="00E56682"/>
    <w:rsid w:val="00E63261"/>
    <w:rsid w:val="00E65274"/>
    <w:rsid w:val="00E74291"/>
    <w:rsid w:val="00E770E1"/>
    <w:rsid w:val="00E7780D"/>
    <w:rsid w:val="00E80230"/>
    <w:rsid w:val="00E82A3B"/>
    <w:rsid w:val="00E84ABA"/>
    <w:rsid w:val="00E874BA"/>
    <w:rsid w:val="00E908A0"/>
    <w:rsid w:val="00E91148"/>
    <w:rsid w:val="00E91645"/>
    <w:rsid w:val="00E93E25"/>
    <w:rsid w:val="00E945C3"/>
    <w:rsid w:val="00E955CD"/>
    <w:rsid w:val="00EA2E20"/>
    <w:rsid w:val="00EA47AD"/>
    <w:rsid w:val="00EB2754"/>
    <w:rsid w:val="00EB28AA"/>
    <w:rsid w:val="00EC537A"/>
    <w:rsid w:val="00EC59FF"/>
    <w:rsid w:val="00EC743B"/>
    <w:rsid w:val="00ED0108"/>
    <w:rsid w:val="00ED141C"/>
    <w:rsid w:val="00ED14B8"/>
    <w:rsid w:val="00ED218B"/>
    <w:rsid w:val="00ED31F9"/>
    <w:rsid w:val="00ED6BE2"/>
    <w:rsid w:val="00EE0916"/>
    <w:rsid w:val="00EE4677"/>
    <w:rsid w:val="00F01D39"/>
    <w:rsid w:val="00F037DA"/>
    <w:rsid w:val="00F04A54"/>
    <w:rsid w:val="00F07EB2"/>
    <w:rsid w:val="00F11C77"/>
    <w:rsid w:val="00F141CB"/>
    <w:rsid w:val="00F14698"/>
    <w:rsid w:val="00F14D6C"/>
    <w:rsid w:val="00F1731F"/>
    <w:rsid w:val="00F21391"/>
    <w:rsid w:val="00F2145C"/>
    <w:rsid w:val="00F22288"/>
    <w:rsid w:val="00F2239B"/>
    <w:rsid w:val="00F30C9F"/>
    <w:rsid w:val="00F354AC"/>
    <w:rsid w:val="00F359D5"/>
    <w:rsid w:val="00F37753"/>
    <w:rsid w:val="00F43BB4"/>
    <w:rsid w:val="00F5508C"/>
    <w:rsid w:val="00F6199B"/>
    <w:rsid w:val="00F67749"/>
    <w:rsid w:val="00F76F6B"/>
    <w:rsid w:val="00F815B7"/>
    <w:rsid w:val="00F82A5F"/>
    <w:rsid w:val="00F84057"/>
    <w:rsid w:val="00F961C6"/>
    <w:rsid w:val="00F96421"/>
    <w:rsid w:val="00FA06C5"/>
    <w:rsid w:val="00FA10A5"/>
    <w:rsid w:val="00FA21C0"/>
    <w:rsid w:val="00FA251B"/>
    <w:rsid w:val="00FB0B70"/>
    <w:rsid w:val="00FB0C67"/>
    <w:rsid w:val="00FB29BF"/>
    <w:rsid w:val="00FB700E"/>
    <w:rsid w:val="00FC0825"/>
    <w:rsid w:val="00FC4239"/>
    <w:rsid w:val="00FC438F"/>
    <w:rsid w:val="00FC67A4"/>
    <w:rsid w:val="00FC76E9"/>
    <w:rsid w:val="00FD17E7"/>
    <w:rsid w:val="00FD1E7F"/>
    <w:rsid w:val="00FD2C1F"/>
    <w:rsid w:val="00FD389C"/>
    <w:rsid w:val="00FD53E0"/>
    <w:rsid w:val="00FD6265"/>
    <w:rsid w:val="00FD6273"/>
    <w:rsid w:val="00FD7D43"/>
    <w:rsid w:val="00FE6768"/>
    <w:rsid w:val="00FF3F04"/>
    <w:rsid w:val="00FF4382"/>
    <w:rsid w:val="00FF47A7"/>
    <w:rsid w:val="00FF6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1169"/>
    <o:shapelayout v:ext="edit">
      <o:idmap v:ext="edit" data="1"/>
    </o:shapelayout>
  </w:shapeDefaults>
  <w:decimalSymbol w:val="."/>
  <w:listSeparator w:val=","/>
  <w14:docId w14:val="5D96C815"/>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564EA0"/>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paragraph" w:styleId="Heading9">
    <w:name w:val="heading 9"/>
    <w:basedOn w:val="Normal"/>
    <w:next w:val="Normal"/>
    <w:link w:val="Heading9Char"/>
    <w:uiPriority w:val="9"/>
    <w:semiHidden/>
    <w:unhideWhenUsed/>
    <w:qFormat/>
    <w:rsid w:val="006F2CE0"/>
    <w:pPr>
      <w:keepNext/>
      <w:keepLines/>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link w:val="OutcomeStatementChar"/>
    <w:qFormat/>
    <w:locked/>
    <w:rsid w:val="006F17D4"/>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line="240" w:lineRule="auto"/>
    </w:pPr>
    <w:rPr>
      <w:rFonts w:ascii="Arial" w:eastAsia="Times New Roman" w:hAnsi="Arial"/>
      <w:bCs/>
      <w:iCs/>
      <w:snapToGrid w:val="0"/>
      <w:color w:val="000000"/>
      <w:sz w:val="18"/>
      <w:szCs w:val="26"/>
      <w:lang w:eastAsia="en-AU"/>
    </w:rPr>
  </w:style>
  <w:style w:type="character" w:customStyle="1" w:styleId="OutcomeStatementChar">
    <w:name w:val="Outcome Statement Char"/>
    <w:basedOn w:val="DefaultParagraphFont"/>
    <w:link w:val="OutcomeStatement"/>
    <w:rsid w:val="006F17D4"/>
    <w:rPr>
      <w:rFonts w:ascii="Arial" w:eastAsia="Times New Roman" w:hAnsi="Arial"/>
      <w:bCs/>
      <w:iCs/>
      <w:snapToGrid w:val="0"/>
      <w:color w:val="000000"/>
      <w:sz w:val="18"/>
      <w:szCs w:val="26"/>
      <w:shd w:val="clear" w:color="auto" w:fill="D9D9D9"/>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6408B7"/>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qFormat/>
    <w:rsid w:val="00207AAE"/>
    <w:pPr>
      <w:tabs>
        <w:tab w:val="left" w:pos="284"/>
      </w:tabs>
      <w:spacing w:after="0"/>
      <w:ind w:left="284" w:hanging="284"/>
    </w:pPr>
    <w:rPr>
      <w:sz w:val="15"/>
      <w:szCs w:val="20"/>
    </w:rPr>
  </w:style>
  <w:style w:type="character" w:customStyle="1" w:styleId="FootnoteTextChar">
    <w:name w:val="Footnote Text Char"/>
    <w:aliases w:val="(NECG) Footnote Text Char"/>
    <w:basedOn w:val="DefaultParagraphFont"/>
    <w:link w:val="FootnoteText"/>
    <w:rsid w:val="00207AAE"/>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styleId="ListParagraph">
    <w:name w:val="List Paragraph"/>
    <w:aliases w:val="Bullet Point,Bullet point,Bulletr List Paragraph,Content descriptions,FooterText,L,List Bullet 1,List Paragraph1,List Paragraph11,List Paragraph2,List Paragraph21,Listeafsnit1,NFP GP Bulleted List,Recommendation,bullet point list,リスト段落,列"/>
    <w:basedOn w:val="Normal"/>
    <w:link w:val="ListParagraphChar"/>
    <w:uiPriority w:val="34"/>
    <w:qFormat/>
    <w:rsid w:val="006E230F"/>
    <w:pPr>
      <w:spacing w:before="0" w:after="0"/>
      <w:ind w:left="720"/>
      <w:contextualSpacing/>
    </w:pPr>
    <w:rPr>
      <w:rFonts w:ascii="Times New Roman" w:hAnsi="Times New Roman" w:cs="Times New Roman"/>
      <w:color w:val="auto"/>
      <w:sz w:val="24"/>
      <w:szCs w:val="20"/>
      <w:lang w:eastAsia="en-US"/>
    </w:rPr>
  </w:style>
  <w:style w:type="paragraph" w:customStyle="1" w:styleId="Header2-Left">
    <w:name w:val="Header 2 - Left"/>
    <w:basedOn w:val="Normal"/>
    <w:link w:val="Header2-LeftChar"/>
    <w:qFormat/>
    <w:locked/>
    <w:rsid w:val="00C746B7"/>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C746B7"/>
    <w:rPr>
      <w:rFonts w:ascii="Arial" w:eastAsia="Times New Roman" w:hAnsi="Arial"/>
      <w:color w:val="000000" w:themeColor="text1"/>
      <w:sz w:val="18"/>
      <w:szCs w:val="20"/>
      <w:lang w:eastAsia="en-AU"/>
    </w:rPr>
  </w:style>
  <w:style w:type="paragraph" w:customStyle="1" w:styleId="TableBullet">
    <w:name w:val="Table Bullet"/>
    <w:basedOn w:val="Normal"/>
    <w:qFormat/>
    <w:rsid w:val="00C746B7"/>
    <w:pPr>
      <w:tabs>
        <w:tab w:val="left" w:pos="357"/>
      </w:tabs>
      <w:contextualSpacing/>
    </w:pPr>
  </w:style>
  <w:style w:type="paragraph" w:customStyle="1" w:styleId="Tabletextnormal9pt">
    <w:name w:val="Table text (normal) 9pt"/>
    <w:qFormat/>
    <w:locked/>
    <w:rsid w:val="00C746B7"/>
    <w:pPr>
      <w:spacing w:before="40" w:after="40" w:line="240" w:lineRule="auto"/>
    </w:pPr>
    <w:rPr>
      <w:rFonts w:ascii="Arial" w:eastAsia="Times New Roman" w:hAnsi="Arial" w:cs="Arial"/>
      <w:color w:val="000000"/>
      <w:sz w:val="18"/>
      <w:szCs w:val="18"/>
      <w:lang w:eastAsia="en-AU"/>
    </w:rPr>
  </w:style>
  <w:style w:type="character" w:styleId="CommentReference">
    <w:name w:val="annotation reference"/>
    <w:basedOn w:val="DefaultParagraphFont"/>
    <w:uiPriority w:val="99"/>
    <w:semiHidden/>
    <w:unhideWhenUsed/>
    <w:rsid w:val="004860E1"/>
    <w:rPr>
      <w:sz w:val="16"/>
      <w:szCs w:val="16"/>
    </w:rPr>
  </w:style>
  <w:style w:type="paragraph" w:styleId="CommentText">
    <w:name w:val="annotation text"/>
    <w:basedOn w:val="Normal"/>
    <w:link w:val="CommentTextChar"/>
    <w:uiPriority w:val="99"/>
    <w:semiHidden/>
    <w:unhideWhenUsed/>
    <w:rsid w:val="004860E1"/>
    <w:rPr>
      <w:sz w:val="20"/>
      <w:szCs w:val="20"/>
    </w:rPr>
  </w:style>
  <w:style w:type="character" w:customStyle="1" w:styleId="CommentTextChar">
    <w:name w:val="Comment Text Char"/>
    <w:basedOn w:val="DefaultParagraphFont"/>
    <w:link w:val="CommentText"/>
    <w:uiPriority w:val="99"/>
    <w:semiHidden/>
    <w:rsid w:val="004860E1"/>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860E1"/>
    <w:rPr>
      <w:b/>
      <w:bCs/>
    </w:rPr>
  </w:style>
  <w:style w:type="character" w:customStyle="1" w:styleId="CommentSubjectChar">
    <w:name w:val="Comment Subject Char"/>
    <w:basedOn w:val="CommentTextChar"/>
    <w:link w:val="CommentSubject"/>
    <w:uiPriority w:val="99"/>
    <w:semiHidden/>
    <w:rsid w:val="004860E1"/>
    <w:rPr>
      <w:rFonts w:ascii="Arial" w:eastAsia="Times New Roman" w:hAnsi="Arial" w:cs="Arial"/>
      <w:b/>
      <w:bCs/>
      <w:color w:val="000000"/>
      <w:sz w:val="20"/>
      <w:szCs w:val="20"/>
      <w:lang w:eastAsia="en-AU"/>
    </w:rPr>
  </w:style>
  <w:style w:type="paragraph" w:styleId="BalloonText">
    <w:name w:val="Balloon Text"/>
    <w:basedOn w:val="Normal"/>
    <w:link w:val="BalloonTextChar"/>
    <w:uiPriority w:val="99"/>
    <w:semiHidden/>
    <w:unhideWhenUsed/>
    <w:rsid w:val="004860E1"/>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sid w:val="004860E1"/>
    <w:rPr>
      <w:rFonts w:ascii="Segoe UI" w:eastAsia="Times New Roman" w:hAnsi="Segoe UI" w:cs="Segoe UI"/>
      <w:color w:val="000000"/>
      <w:sz w:val="18"/>
      <w:szCs w:val="18"/>
      <w:lang w:eastAsia="en-AU"/>
    </w:rPr>
  </w:style>
  <w:style w:type="paragraph" w:customStyle="1" w:styleId="StyleTableGraphicItalicRed">
    <w:name w:val="Style Table Graphic + Italic Red"/>
    <w:basedOn w:val="Normal"/>
    <w:rsid w:val="00ED141C"/>
    <w:pPr>
      <w:spacing w:before="0" w:after="120"/>
      <w:jc w:val="both"/>
    </w:pPr>
    <w:rPr>
      <w:rFonts w:ascii="Book Antiqua" w:hAnsi="Book Antiqua" w:cs="Times New Roman"/>
      <w:i/>
      <w:iCs/>
      <w:color w:val="FF0000"/>
      <w:sz w:val="20"/>
      <w:szCs w:val="20"/>
    </w:rPr>
  </w:style>
  <w:style w:type="paragraph" w:styleId="IntenseQuote">
    <w:name w:val="Intense Quote"/>
    <w:basedOn w:val="Normal"/>
    <w:next w:val="Normal"/>
    <w:link w:val="IntenseQuoteChar"/>
    <w:uiPriority w:val="30"/>
    <w:qFormat/>
    <w:rsid w:val="002C0A1C"/>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2C0A1C"/>
    <w:rPr>
      <w:rFonts w:eastAsia="Times New Roman"/>
      <w:b/>
      <w:bCs/>
      <w:i/>
      <w:iCs/>
      <w:color w:val="5B9BD5" w:themeColor="accent1"/>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2C0A1C"/>
    <w:rPr>
      <w:rFonts w:eastAsia="Times New Roman"/>
      <w:szCs w:val="20"/>
    </w:rPr>
  </w:style>
  <w:style w:type="paragraph" w:styleId="Revision">
    <w:name w:val="Revision"/>
    <w:hidden/>
    <w:uiPriority w:val="99"/>
    <w:semiHidden/>
    <w:rsid w:val="00D60C07"/>
    <w:pPr>
      <w:spacing w:after="0" w:line="240" w:lineRule="auto"/>
    </w:pPr>
    <w:rPr>
      <w:rFonts w:ascii="Arial" w:eastAsia="Times New Roman" w:hAnsi="Arial" w:cs="Arial"/>
      <w:color w:val="000000"/>
      <w:sz w:val="18"/>
      <w:szCs w:val="18"/>
      <w:lang w:eastAsia="en-AU"/>
    </w:rPr>
  </w:style>
  <w:style w:type="paragraph" w:styleId="EndnoteText">
    <w:name w:val="endnote text"/>
    <w:basedOn w:val="Normal"/>
    <w:link w:val="EndnoteTextChar"/>
    <w:uiPriority w:val="99"/>
    <w:semiHidden/>
    <w:unhideWhenUsed/>
    <w:rsid w:val="00E7780D"/>
    <w:pPr>
      <w:spacing w:before="0" w:after="0"/>
    </w:pPr>
    <w:rPr>
      <w:sz w:val="20"/>
      <w:szCs w:val="20"/>
    </w:rPr>
  </w:style>
  <w:style w:type="character" w:customStyle="1" w:styleId="EndnoteTextChar">
    <w:name w:val="Endnote Text Char"/>
    <w:basedOn w:val="DefaultParagraphFont"/>
    <w:link w:val="EndnoteText"/>
    <w:uiPriority w:val="99"/>
    <w:semiHidden/>
    <w:rsid w:val="00E7780D"/>
    <w:rPr>
      <w:rFonts w:ascii="Arial" w:eastAsia="Times New Roman" w:hAnsi="Arial" w:cs="Arial"/>
      <w:color w:val="000000"/>
      <w:sz w:val="20"/>
      <w:szCs w:val="20"/>
      <w:lang w:eastAsia="en-AU"/>
    </w:rPr>
  </w:style>
  <w:style w:type="character" w:styleId="EndnoteReference">
    <w:name w:val="endnote reference"/>
    <w:basedOn w:val="DefaultParagraphFont"/>
    <w:uiPriority w:val="99"/>
    <w:semiHidden/>
    <w:unhideWhenUsed/>
    <w:rsid w:val="00E7780D"/>
    <w:rPr>
      <w:vertAlign w:val="superscript"/>
    </w:rPr>
  </w:style>
  <w:style w:type="paragraph" w:customStyle="1" w:styleId="Tableheadingrowmeasures85pt0">
    <w:name w:val="Table heading row (measures) 8.5 pt"/>
    <w:basedOn w:val="Tableheadingrow9pt"/>
    <w:qFormat/>
    <w:rsid w:val="002D03EF"/>
    <w:rPr>
      <w:bCs/>
      <w:sz w:val="17"/>
    </w:rPr>
  </w:style>
  <w:style w:type="character" w:styleId="Hyperlink">
    <w:name w:val="Hyperlink"/>
    <w:basedOn w:val="DefaultParagraphFont"/>
    <w:uiPriority w:val="99"/>
    <w:unhideWhenUsed/>
    <w:rsid w:val="00F96421"/>
    <w:rPr>
      <w:color w:val="0563C1" w:themeColor="hyperlink"/>
      <w:u w:val="single"/>
    </w:rPr>
  </w:style>
  <w:style w:type="character" w:customStyle="1" w:styleId="Heading9Char">
    <w:name w:val="Heading 9 Char"/>
    <w:basedOn w:val="DefaultParagraphFont"/>
    <w:link w:val="Heading9"/>
    <w:uiPriority w:val="9"/>
    <w:semiHidden/>
    <w:rsid w:val="006F2CE0"/>
    <w:rPr>
      <w:rFonts w:asciiTheme="majorHAnsi" w:eastAsiaTheme="majorEastAsia" w:hAnsiTheme="majorHAnsi" w:cstheme="majorBidi"/>
      <w:i/>
      <w:iCs/>
      <w:color w:val="272727" w:themeColor="text1" w:themeTint="D8"/>
      <w:sz w:val="21"/>
      <w:szCs w:val="21"/>
      <w:lang w:eastAsia="en-AU"/>
    </w:rPr>
  </w:style>
  <w:style w:type="paragraph" w:customStyle="1" w:styleId="TableText">
    <w:name w:val="Table Text"/>
    <w:uiPriority w:val="4"/>
    <w:rsid w:val="006F2CE0"/>
    <w:pPr>
      <w:spacing w:before="40" w:after="40" w:line="240" w:lineRule="auto"/>
    </w:pPr>
    <w:rPr>
      <w:rFonts w:asciiTheme="minorHAnsi" w:eastAsia="Times New Roman" w:hAnsiTheme="minorHAnsi"/>
      <w:sz w:val="20"/>
      <w:szCs w:val="20"/>
    </w:rPr>
  </w:style>
  <w:style w:type="table" w:customStyle="1" w:styleId="TableGrid1">
    <w:name w:val="Table Grid1"/>
    <w:basedOn w:val="TableNormal"/>
    <w:next w:val="TableGrid"/>
    <w:rsid w:val="00134D74"/>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47212">
      <w:bodyDiv w:val="1"/>
      <w:marLeft w:val="0"/>
      <w:marRight w:val="0"/>
      <w:marTop w:val="0"/>
      <w:marBottom w:val="0"/>
      <w:divBdr>
        <w:top w:val="none" w:sz="0" w:space="0" w:color="auto"/>
        <w:left w:val="none" w:sz="0" w:space="0" w:color="auto"/>
        <w:bottom w:val="none" w:sz="0" w:space="0" w:color="auto"/>
        <w:right w:val="none" w:sz="0" w:space="0" w:color="auto"/>
      </w:divBdr>
    </w:div>
    <w:div w:id="285502180">
      <w:bodyDiv w:val="1"/>
      <w:marLeft w:val="0"/>
      <w:marRight w:val="0"/>
      <w:marTop w:val="0"/>
      <w:marBottom w:val="0"/>
      <w:divBdr>
        <w:top w:val="none" w:sz="0" w:space="0" w:color="auto"/>
        <w:left w:val="none" w:sz="0" w:space="0" w:color="auto"/>
        <w:bottom w:val="none" w:sz="0" w:space="0" w:color="auto"/>
        <w:right w:val="none" w:sz="0" w:space="0" w:color="auto"/>
      </w:divBdr>
    </w:div>
    <w:div w:id="301621713">
      <w:bodyDiv w:val="1"/>
      <w:marLeft w:val="0"/>
      <w:marRight w:val="0"/>
      <w:marTop w:val="0"/>
      <w:marBottom w:val="0"/>
      <w:divBdr>
        <w:top w:val="none" w:sz="0" w:space="0" w:color="auto"/>
        <w:left w:val="none" w:sz="0" w:space="0" w:color="auto"/>
        <w:bottom w:val="none" w:sz="0" w:space="0" w:color="auto"/>
        <w:right w:val="none" w:sz="0" w:space="0" w:color="auto"/>
      </w:divBdr>
    </w:div>
    <w:div w:id="334306871">
      <w:bodyDiv w:val="1"/>
      <w:marLeft w:val="0"/>
      <w:marRight w:val="0"/>
      <w:marTop w:val="0"/>
      <w:marBottom w:val="0"/>
      <w:divBdr>
        <w:top w:val="none" w:sz="0" w:space="0" w:color="auto"/>
        <w:left w:val="none" w:sz="0" w:space="0" w:color="auto"/>
        <w:bottom w:val="none" w:sz="0" w:space="0" w:color="auto"/>
        <w:right w:val="none" w:sz="0" w:space="0" w:color="auto"/>
      </w:divBdr>
    </w:div>
    <w:div w:id="630399565">
      <w:bodyDiv w:val="1"/>
      <w:marLeft w:val="0"/>
      <w:marRight w:val="0"/>
      <w:marTop w:val="0"/>
      <w:marBottom w:val="0"/>
      <w:divBdr>
        <w:top w:val="none" w:sz="0" w:space="0" w:color="auto"/>
        <w:left w:val="none" w:sz="0" w:space="0" w:color="auto"/>
        <w:bottom w:val="none" w:sz="0" w:space="0" w:color="auto"/>
        <w:right w:val="none" w:sz="0" w:space="0" w:color="auto"/>
      </w:divBdr>
    </w:div>
    <w:div w:id="796340209">
      <w:bodyDiv w:val="1"/>
      <w:marLeft w:val="0"/>
      <w:marRight w:val="0"/>
      <w:marTop w:val="0"/>
      <w:marBottom w:val="0"/>
      <w:divBdr>
        <w:top w:val="none" w:sz="0" w:space="0" w:color="auto"/>
        <w:left w:val="none" w:sz="0" w:space="0" w:color="auto"/>
        <w:bottom w:val="none" w:sz="0" w:space="0" w:color="auto"/>
        <w:right w:val="none" w:sz="0" w:space="0" w:color="auto"/>
      </w:divBdr>
    </w:div>
    <w:div w:id="900486049">
      <w:bodyDiv w:val="1"/>
      <w:marLeft w:val="0"/>
      <w:marRight w:val="0"/>
      <w:marTop w:val="0"/>
      <w:marBottom w:val="0"/>
      <w:divBdr>
        <w:top w:val="none" w:sz="0" w:space="0" w:color="auto"/>
        <w:left w:val="none" w:sz="0" w:space="0" w:color="auto"/>
        <w:bottom w:val="none" w:sz="0" w:space="0" w:color="auto"/>
        <w:right w:val="none" w:sz="0" w:space="0" w:color="auto"/>
      </w:divBdr>
    </w:div>
    <w:div w:id="1046566470">
      <w:bodyDiv w:val="1"/>
      <w:marLeft w:val="0"/>
      <w:marRight w:val="0"/>
      <w:marTop w:val="0"/>
      <w:marBottom w:val="0"/>
      <w:divBdr>
        <w:top w:val="none" w:sz="0" w:space="0" w:color="auto"/>
        <w:left w:val="none" w:sz="0" w:space="0" w:color="auto"/>
        <w:bottom w:val="none" w:sz="0" w:space="0" w:color="auto"/>
        <w:right w:val="none" w:sz="0" w:space="0" w:color="auto"/>
      </w:divBdr>
    </w:div>
    <w:div w:id="1070423184">
      <w:bodyDiv w:val="1"/>
      <w:marLeft w:val="0"/>
      <w:marRight w:val="0"/>
      <w:marTop w:val="0"/>
      <w:marBottom w:val="0"/>
      <w:divBdr>
        <w:top w:val="none" w:sz="0" w:space="0" w:color="auto"/>
        <w:left w:val="none" w:sz="0" w:space="0" w:color="auto"/>
        <w:bottom w:val="none" w:sz="0" w:space="0" w:color="auto"/>
        <w:right w:val="none" w:sz="0" w:space="0" w:color="auto"/>
      </w:divBdr>
    </w:div>
    <w:div w:id="1327854191">
      <w:bodyDiv w:val="1"/>
      <w:marLeft w:val="0"/>
      <w:marRight w:val="0"/>
      <w:marTop w:val="0"/>
      <w:marBottom w:val="0"/>
      <w:divBdr>
        <w:top w:val="none" w:sz="0" w:space="0" w:color="auto"/>
        <w:left w:val="none" w:sz="0" w:space="0" w:color="auto"/>
        <w:bottom w:val="none" w:sz="0" w:space="0" w:color="auto"/>
        <w:right w:val="none" w:sz="0" w:space="0" w:color="auto"/>
      </w:divBdr>
    </w:div>
    <w:div w:id="1396511350">
      <w:bodyDiv w:val="1"/>
      <w:marLeft w:val="0"/>
      <w:marRight w:val="0"/>
      <w:marTop w:val="0"/>
      <w:marBottom w:val="0"/>
      <w:divBdr>
        <w:top w:val="none" w:sz="0" w:space="0" w:color="auto"/>
        <w:left w:val="none" w:sz="0" w:space="0" w:color="auto"/>
        <w:bottom w:val="none" w:sz="0" w:space="0" w:color="auto"/>
        <w:right w:val="none" w:sz="0" w:space="0" w:color="auto"/>
      </w:divBdr>
    </w:div>
    <w:div w:id="1426923422">
      <w:bodyDiv w:val="1"/>
      <w:marLeft w:val="0"/>
      <w:marRight w:val="0"/>
      <w:marTop w:val="0"/>
      <w:marBottom w:val="0"/>
      <w:divBdr>
        <w:top w:val="none" w:sz="0" w:space="0" w:color="auto"/>
        <w:left w:val="none" w:sz="0" w:space="0" w:color="auto"/>
        <w:bottom w:val="none" w:sz="0" w:space="0" w:color="auto"/>
        <w:right w:val="none" w:sz="0" w:space="0" w:color="auto"/>
      </w:divBdr>
    </w:div>
    <w:div w:id="1432164765">
      <w:bodyDiv w:val="1"/>
      <w:marLeft w:val="0"/>
      <w:marRight w:val="0"/>
      <w:marTop w:val="0"/>
      <w:marBottom w:val="0"/>
      <w:divBdr>
        <w:top w:val="none" w:sz="0" w:space="0" w:color="auto"/>
        <w:left w:val="none" w:sz="0" w:space="0" w:color="auto"/>
        <w:bottom w:val="none" w:sz="0" w:space="0" w:color="auto"/>
        <w:right w:val="none" w:sz="0" w:space="0" w:color="auto"/>
      </w:divBdr>
    </w:div>
    <w:div w:id="1571883235">
      <w:bodyDiv w:val="1"/>
      <w:marLeft w:val="0"/>
      <w:marRight w:val="0"/>
      <w:marTop w:val="0"/>
      <w:marBottom w:val="0"/>
      <w:divBdr>
        <w:top w:val="none" w:sz="0" w:space="0" w:color="auto"/>
        <w:left w:val="none" w:sz="0" w:space="0" w:color="auto"/>
        <w:bottom w:val="none" w:sz="0" w:space="0" w:color="auto"/>
        <w:right w:val="none" w:sz="0" w:space="0" w:color="auto"/>
      </w:divBdr>
    </w:div>
    <w:div w:id="1578246717">
      <w:bodyDiv w:val="1"/>
      <w:marLeft w:val="0"/>
      <w:marRight w:val="0"/>
      <w:marTop w:val="0"/>
      <w:marBottom w:val="0"/>
      <w:divBdr>
        <w:top w:val="none" w:sz="0" w:space="0" w:color="auto"/>
        <w:left w:val="none" w:sz="0" w:space="0" w:color="auto"/>
        <w:bottom w:val="none" w:sz="0" w:space="0" w:color="auto"/>
        <w:right w:val="none" w:sz="0" w:space="0" w:color="auto"/>
      </w:divBdr>
    </w:div>
    <w:div w:id="1732387713">
      <w:bodyDiv w:val="1"/>
      <w:marLeft w:val="0"/>
      <w:marRight w:val="0"/>
      <w:marTop w:val="0"/>
      <w:marBottom w:val="0"/>
      <w:divBdr>
        <w:top w:val="none" w:sz="0" w:space="0" w:color="auto"/>
        <w:left w:val="none" w:sz="0" w:space="0" w:color="auto"/>
        <w:bottom w:val="none" w:sz="0" w:space="0" w:color="auto"/>
        <w:right w:val="none" w:sz="0" w:space="0" w:color="auto"/>
      </w:divBdr>
    </w:div>
    <w:div w:id="1876769736">
      <w:bodyDiv w:val="1"/>
      <w:marLeft w:val="0"/>
      <w:marRight w:val="0"/>
      <w:marTop w:val="0"/>
      <w:marBottom w:val="0"/>
      <w:divBdr>
        <w:top w:val="none" w:sz="0" w:space="0" w:color="auto"/>
        <w:left w:val="none" w:sz="0" w:space="0" w:color="auto"/>
        <w:bottom w:val="none" w:sz="0" w:space="0" w:color="auto"/>
        <w:right w:val="none" w:sz="0" w:space="0" w:color="auto"/>
      </w:divBdr>
    </w:div>
    <w:div w:id="193292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276B-FDCE-4FD3-95BA-F5016A2B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16</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Outcome 2: Individual health benefits</dc:title>
  <dc:subject>About the department</dc:subject>
  <dc:creator>Australian Government Department of Health and Aged Care</dc:creator>
  <cp:keywords>Budget 2023–24</cp:keywords>
  <dc:description/>
  <cp:lastModifiedBy>McCay, Meryl</cp:lastModifiedBy>
  <cp:revision>225</cp:revision>
  <cp:lastPrinted>2023-03-14T02:53:00Z</cp:lastPrinted>
  <dcterms:created xsi:type="dcterms:W3CDTF">2022-06-30T02:49:00Z</dcterms:created>
  <dcterms:modified xsi:type="dcterms:W3CDTF">2023-05-09T02:33:00Z</dcterms:modified>
</cp:coreProperties>
</file>