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8DFE1" w14:textId="77777777" w:rsidR="00D63C2C" w:rsidRPr="00D63C2C" w:rsidRDefault="00D63C2C" w:rsidP="000D22DB">
      <w:pPr>
        <w:pStyle w:val="EntitySubtitle"/>
      </w:pPr>
      <w:bookmarkStart w:id="0" w:name="_Toc444523510"/>
      <w:bookmarkStart w:id="1" w:name="_Toc65243507"/>
      <w:bookmarkStart w:id="2" w:name="OLE_LINK11"/>
      <w:bookmarkStart w:id="3" w:name="OLE_LINK12"/>
      <w:bookmarkStart w:id="4" w:name="_GoBack"/>
      <w:bookmarkEnd w:id="4"/>
      <w:r w:rsidRPr="000D22DB">
        <w:t>Department</w:t>
      </w:r>
      <w:r w:rsidRPr="00D63C2C">
        <w:t xml:space="preserve"> of</w:t>
      </w:r>
      <w:r w:rsidRPr="00D63C2C">
        <w:br/>
        <w:t>Health and Aged Care</w:t>
      </w:r>
    </w:p>
    <w:p w14:paraId="7041A0A3" w14:textId="77777777" w:rsidR="00D63C2C" w:rsidRPr="004F6919" w:rsidRDefault="00D63C2C" w:rsidP="000D22DB">
      <w:pPr>
        <w:pStyle w:val="EntitySubtitle"/>
      </w:pPr>
      <w:r w:rsidRPr="004F6919">
        <w:t xml:space="preserve">Entity </w:t>
      </w:r>
      <w:r>
        <w:t>r</w:t>
      </w:r>
      <w:r w:rsidR="0021020D">
        <w:t xml:space="preserve">esources and </w:t>
      </w:r>
      <w:r>
        <w:t>p</w:t>
      </w:r>
      <w:r w:rsidRPr="004F6919">
        <w:t>lanned </w:t>
      </w:r>
      <w:r>
        <w:t>p</w:t>
      </w:r>
      <w:r w:rsidRPr="004F6919">
        <w:t>erformance</w:t>
      </w:r>
    </w:p>
    <w:p w14:paraId="7CB8118C" w14:textId="77777777" w:rsidR="00D63C2C" w:rsidRDefault="00D63C2C" w:rsidP="000D22DB"/>
    <w:p w14:paraId="3C861302" w14:textId="77777777" w:rsidR="00D63C2C" w:rsidRDefault="00D63C2C" w:rsidP="000D22DB">
      <w:pPr>
        <w:sectPr w:rsidR="00D63C2C" w:rsidSect="00180100">
          <w:headerReference w:type="even" r:id="rId9"/>
          <w:footerReference w:type="even" r:id="rId10"/>
          <w:footerReference w:type="default" r:id="rId11"/>
          <w:pgSz w:w="11906" w:h="16838" w:code="9"/>
          <w:pgMar w:top="5245" w:right="2268" w:bottom="2126" w:left="2268" w:header="1899" w:footer="1899" w:gutter="0"/>
          <w:pgNumType w:start="13"/>
          <w:cols w:space="708"/>
          <w:docGrid w:linePitch="360"/>
        </w:sectPr>
      </w:pPr>
    </w:p>
    <w:p w14:paraId="7E9403F9" w14:textId="77777777" w:rsidR="001432F3" w:rsidRDefault="001432F3" w:rsidP="000D22DB">
      <w:pPr>
        <w:rPr>
          <w:rFonts w:ascii="Arial" w:hAnsi="Arial" w:cs="Arial"/>
        </w:rPr>
      </w:pPr>
      <w:r>
        <w:lastRenderedPageBreak/>
        <w:br w:type="page"/>
      </w:r>
    </w:p>
    <w:p w14:paraId="0F6955E8" w14:textId="3060EDEF" w:rsidR="00732FFD" w:rsidRPr="0021020D" w:rsidRDefault="00732FFD" w:rsidP="009C358C">
      <w:pPr>
        <w:pStyle w:val="Heading2"/>
        <w:keepNext w:val="0"/>
        <w:rPr>
          <w:sz w:val="36"/>
          <w:szCs w:val="36"/>
        </w:rPr>
      </w:pPr>
      <w:r w:rsidRPr="0021020D">
        <w:rPr>
          <w:sz w:val="36"/>
          <w:szCs w:val="36"/>
        </w:rPr>
        <w:lastRenderedPageBreak/>
        <w:t>Department of Health and Aged Care</w:t>
      </w:r>
    </w:p>
    <w:p w14:paraId="57114EDE" w14:textId="67D51297" w:rsidR="000D22DB" w:rsidRPr="000D22DB" w:rsidRDefault="000D22DB" w:rsidP="009C358C">
      <w:pPr>
        <w:tabs>
          <w:tab w:val="right" w:leader="dot" w:pos="7371"/>
        </w:tabs>
        <w:spacing w:before="480"/>
        <w:rPr>
          <w:rFonts w:ascii="Arial" w:hAnsi="Arial" w:cs="Arial"/>
          <w:b/>
          <w:bCs/>
          <w:noProof/>
          <w:color w:val="auto"/>
          <w:sz w:val="20"/>
          <w:szCs w:val="20"/>
          <w:lang w:eastAsia="en-US"/>
        </w:rPr>
      </w:pPr>
      <w:r w:rsidRPr="000D22DB">
        <w:rPr>
          <w:rFonts w:ascii="Times New Roman" w:hAnsi="Times New Roman" w:cs="Arial"/>
          <w:b/>
          <w:bCs/>
          <w:color w:val="auto"/>
          <w:sz w:val="24"/>
          <w:szCs w:val="20"/>
          <w:lang w:eastAsia="en-US"/>
        </w:rPr>
        <w:fldChar w:fldCharType="begin"/>
      </w:r>
      <w:r w:rsidRPr="000D22DB">
        <w:rPr>
          <w:rFonts w:ascii="Arial" w:hAnsi="Arial" w:cs="Arial"/>
          <w:b/>
          <w:bCs/>
          <w:color w:val="auto"/>
          <w:sz w:val="20"/>
          <w:szCs w:val="20"/>
          <w:lang w:eastAsia="en-US"/>
        </w:rPr>
        <w:instrText xml:space="preserve"> TOC \t "Heading 2,1,Heading 3,2" </w:instrText>
      </w:r>
      <w:r w:rsidRPr="000D22DB">
        <w:rPr>
          <w:rFonts w:ascii="Times New Roman" w:hAnsi="Times New Roman" w:cs="Arial"/>
          <w:b/>
          <w:bCs/>
          <w:color w:val="auto"/>
          <w:sz w:val="24"/>
          <w:szCs w:val="20"/>
          <w:lang w:eastAsia="en-US"/>
        </w:rPr>
        <w:fldChar w:fldCharType="separate"/>
      </w:r>
      <w:r w:rsidRPr="000D22DB">
        <w:rPr>
          <w:rFonts w:ascii="Arial" w:hAnsi="Arial" w:cs="Arial"/>
          <w:b/>
          <w:bCs/>
          <w:noProof/>
          <w:color w:val="auto"/>
          <w:sz w:val="20"/>
          <w:szCs w:val="20"/>
          <w:lang w:eastAsia="en-US"/>
        </w:rPr>
        <w:t xml:space="preserve">Section 1: Entity </w:t>
      </w:r>
      <w:r w:rsidR="00776000">
        <w:rPr>
          <w:rFonts w:ascii="Arial" w:hAnsi="Arial" w:cs="Arial"/>
          <w:b/>
          <w:bCs/>
          <w:noProof/>
          <w:color w:val="auto"/>
          <w:sz w:val="20"/>
          <w:szCs w:val="20"/>
          <w:lang w:eastAsia="en-US"/>
        </w:rPr>
        <w:t>o</w:t>
      </w:r>
      <w:r w:rsidRPr="000D22DB">
        <w:rPr>
          <w:rFonts w:ascii="Arial" w:hAnsi="Arial" w:cs="Arial"/>
          <w:b/>
          <w:bCs/>
          <w:noProof/>
          <w:color w:val="auto"/>
          <w:sz w:val="20"/>
          <w:szCs w:val="20"/>
          <w:lang w:eastAsia="en-US"/>
        </w:rPr>
        <w:t xml:space="preserve">verview and </w:t>
      </w:r>
      <w:r w:rsidR="00776000">
        <w:rPr>
          <w:rFonts w:ascii="Arial" w:hAnsi="Arial" w:cs="Arial"/>
          <w:b/>
          <w:bCs/>
          <w:noProof/>
          <w:color w:val="auto"/>
          <w:sz w:val="20"/>
          <w:szCs w:val="20"/>
          <w:lang w:eastAsia="en-US"/>
        </w:rPr>
        <w:t>r</w:t>
      </w:r>
      <w:r w:rsidRPr="000D22DB">
        <w:rPr>
          <w:rFonts w:ascii="Arial" w:hAnsi="Arial" w:cs="Arial"/>
          <w:b/>
          <w:bCs/>
          <w:noProof/>
          <w:color w:val="auto"/>
          <w:sz w:val="20"/>
          <w:szCs w:val="20"/>
          <w:lang w:eastAsia="en-US"/>
        </w:rPr>
        <w:t>esources</w:t>
      </w:r>
      <w:r w:rsidRPr="000D22DB">
        <w:rPr>
          <w:rFonts w:ascii="Arial" w:hAnsi="Arial" w:cs="Arial"/>
          <w:b/>
          <w:bCs/>
          <w:noProof/>
          <w:color w:val="auto"/>
          <w:sz w:val="20"/>
          <w:szCs w:val="20"/>
          <w:lang w:eastAsia="en-US"/>
        </w:rPr>
        <w:tab/>
      </w:r>
      <w:r w:rsidR="005333F9">
        <w:rPr>
          <w:rFonts w:ascii="Arial" w:hAnsi="Arial" w:cs="Arial"/>
          <w:b/>
          <w:bCs/>
          <w:noProof/>
          <w:color w:val="auto"/>
          <w:sz w:val="20"/>
          <w:szCs w:val="20"/>
          <w:lang w:eastAsia="en-US"/>
        </w:rPr>
        <w:t>16</w:t>
      </w:r>
    </w:p>
    <w:p w14:paraId="4E0B6D38" w14:textId="7E963499"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1.1</w:t>
      </w:r>
      <w:r w:rsidRPr="000D22DB">
        <w:rPr>
          <w:rFonts w:ascii="Arial" w:hAnsi="Arial" w:cs="Arial"/>
          <w:noProof/>
          <w:sz w:val="20"/>
          <w:szCs w:val="20"/>
        </w:rPr>
        <w:tab/>
        <w:t xml:space="preserve">Strategic </w:t>
      </w:r>
      <w:r w:rsidR="00776000">
        <w:rPr>
          <w:rFonts w:ascii="Arial" w:hAnsi="Arial" w:cs="Arial"/>
          <w:noProof/>
          <w:sz w:val="20"/>
          <w:szCs w:val="20"/>
        </w:rPr>
        <w:t>d</w:t>
      </w:r>
      <w:r w:rsidRPr="000D22DB">
        <w:rPr>
          <w:rFonts w:ascii="Arial" w:hAnsi="Arial" w:cs="Arial"/>
          <w:noProof/>
          <w:sz w:val="20"/>
          <w:szCs w:val="20"/>
        </w:rPr>
        <w:t xml:space="preserve">irection </w:t>
      </w:r>
      <w:r w:rsidR="00776000">
        <w:rPr>
          <w:rFonts w:ascii="Arial" w:hAnsi="Arial" w:cs="Arial"/>
          <w:noProof/>
          <w:sz w:val="20"/>
          <w:szCs w:val="20"/>
        </w:rPr>
        <w:t>s</w:t>
      </w:r>
      <w:r w:rsidR="00284ECF">
        <w:rPr>
          <w:rFonts w:ascii="Arial" w:hAnsi="Arial" w:cs="Arial"/>
          <w:noProof/>
          <w:sz w:val="20"/>
          <w:szCs w:val="20"/>
        </w:rPr>
        <w:t xml:space="preserve">tatement </w:t>
      </w:r>
      <w:r w:rsidR="00284ECF">
        <w:rPr>
          <w:rFonts w:ascii="Arial" w:hAnsi="Arial" w:cs="Arial"/>
          <w:noProof/>
          <w:sz w:val="20"/>
          <w:szCs w:val="20"/>
        </w:rPr>
        <w:tab/>
      </w:r>
      <w:r w:rsidR="005333F9">
        <w:rPr>
          <w:rFonts w:ascii="Arial" w:hAnsi="Arial" w:cs="Arial"/>
          <w:noProof/>
          <w:sz w:val="20"/>
          <w:szCs w:val="20"/>
        </w:rPr>
        <w:t>16</w:t>
      </w:r>
    </w:p>
    <w:p w14:paraId="2769DDA1" w14:textId="4A195D0E"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 xml:space="preserve">1.2 </w:t>
      </w:r>
      <w:r w:rsidRPr="000D22DB">
        <w:rPr>
          <w:rFonts w:ascii="Arial" w:hAnsi="Arial" w:cs="Arial"/>
          <w:noProof/>
          <w:sz w:val="20"/>
          <w:szCs w:val="20"/>
        </w:rPr>
        <w:tab/>
        <w:t xml:space="preserve">Entity </w:t>
      </w:r>
      <w:r w:rsidR="00BD26BD">
        <w:rPr>
          <w:rFonts w:ascii="Arial" w:hAnsi="Arial" w:cs="Arial"/>
          <w:noProof/>
          <w:sz w:val="20"/>
          <w:szCs w:val="20"/>
        </w:rPr>
        <w:t>r</w:t>
      </w:r>
      <w:r w:rsidRPr="000D22DB">
        <w:rPr>
          <w:rFonts w:ascii="Arial" w:hAnsi="Arial" w:cs="Arial"/>
          <w:noProof/>
          <w:sz w:val="20"/>
          <w:szCs w:val="20"/>
        </w:rPr>
        <w:t xml:space="preserve">esource </w:t>
      </w:r>
      <w:r w:rsidR="00BD26BD">
        <w:rPr>
          <w:rFonts w:ascii="Arial" w:hAnsi="Arial" w:cs="Arial"/>
          <w:noProof/>
          <w:sz w:val="20"/>
          <w:szCs w:val="20"/>
        </w:rPr>
        <w:t>s</w:t>
      </w:r>
      <w:r w:rsidR="00284ECF">
        <w:rPr>
          <w:rFonts w:ascii="Arial" w:hAnsi="Arial" w:cs="Arial"/>
          <w:noProof/>
          <w:sz w:val="20"/>
          <w:szCs w:val="20"/>
        </w:rPr>
        <w:t xml:space="preserve">tatement </w:t>
      </w:r>
      <w:r w:rsidR="00284ECF">
        <w:rPr>
          <w:rFonts w:ascii="Arial" w:hAnsi="Arial" w:cs="Arial"/>
          <w:noProof/>
          <w:sz w:val="20"/>
          <w:szCs w:val="20"/>
        </w:rPr>
        <w:tab/>
      </w:r>
      <w:r w:rsidR="005333F9">
        <w:rPr>
          <w:rFonts w:ascii="Arial" w:hAnsi="Arial" w:cs="Arial"/>
          <w:noProof/>
          <w:sz w:val="20"/>
          <w:szCs w:val="20"/>
        </w:rPr>
        <w:t>20</w:t>
      </w:r>
    </w:p>
    <w:p w14:paraId="23682CA0" w14:textId="1732226D" w:rsidR="000D22DB" w:rsidRPr="000D22DB" w:rsidRDefault="000D22DB" w:rsidP="000D22DB">
      <w:pPr>
        <w:tabs>
          <w:tab w:val="left" w:pos="993"/>
          <w:tab w:val="right" w:leader="dot" w:pos="7360"/>
        </w:tabs>
        <w:spacing w:before="60"/>
        <w:rPr>
          <w:rFonts w:ascii="Arial" w:hAnsi="Arial" w:cs="Arial"/>
          <w:noProof/>
          <w:sz w:val="20"/>
          <w:szCs w:val="20"/>
        </w:rPr>
      </w:pPr>
      <w:r w:rsidRPr="000D22DB">
        <w:rPr>
          <w:rFonts w:ascii="Arial" w:hAnsi="Arial" w:cs="Arial"/>
          <w:noProof/>
          <w:sz w:val="20"/>
          <w:szCs w:val="20"/>
        </w:rPr>
        <w:t>1.3</w:t>
      </w:r>
      <w:r w:rsidRPr="000D22DB">
        <w:rPr>
          <w:rFonts w:ascii="Arial" w:hAnsi="Arial" w:cs="Arial"/>
          <w:noProof/>
          <w:sz w:val="20"/>
          <w:szCs w:val="20"/>
        </w:rPr>
        <w:tab/>
        <w:t xml:space="preserve">Budget </w:t>
      </w:r>
      <w:r w:rsidR="00BD26BD">
        <w:rPr>
          <w:rFonts w:ascii="Arial" w:hAnsi="Arial" w:cs="Arial"/>
          <w:noProof/>
          <w:sz w:val="20"/>
          <w:szCs w:val="20"/>
        </w:rPr>
        <w:t>m</w:t>
      </w:r>
      <w:r w:rsidR="00284ECF">
        <w:rPr>
          <w:rFonts w:ascii="Arial" w:hAnsi="Arial" w:cs="Arial"/>
          <w:noProof/>
          <w:sz w:val="20"/>
          <w:szCs w:val="20"/>
        </w:rPr>
        <w:t>easures</w:t>
      </w:r>
      <w:r w:rsidR="00284ECF">
        <w:rPr>
          <w:rFonts w:ascii="Arial" w:hAnsi="Arial" w:cs="Arial"/>
          <w:noProof/>
          <w:sz w:val="20"/>
          <w:szCs w:val="20"/>
        </w:rPr>
        <w:tab/>
      </w:r>
      <w:r w:rsidR="005333F9">
        <w:rPr>
          <w:rFonts w:ascii="Arial" w:hAnsi="Arial" w:cs="Arial"/>
          <w:noProof/>
          <w:sz w:val="20"/>
          <w:szCs w:val="20"/>
        </w:rPr>
        <w:t>24</w:t>
      </w:r>
    </w:p>
    <w:p w14:paraId="6E84C65F" w14:textId="0053F4DD" w:rsidR="000D22DB" w:rsidRPr="000D22DB" w:rsidRDefault="000D22DB" w:rsidP="000D22DB">
      <w:pPr>
        <w:tabs>
          <w:tab w:val="right" w:leader="dot" w:pos="7371"/>
        </w:tabs>
        <w:spacing w:before="240"/>
        <w:ind w:right="-1"/>
        <w:rPr>
          <w:rFonts w:ascii="Arial" w:hAnsi="Arial" w:cs="Arial"/>
          <w:b/>
          <w:bCs/>
          <w:noProof/>
          <w:color w:val="auto"/>
          <w:sz w:val="20"/>
          <w:szCs w:val="20"/>
          <w:lang w:eastAsia="en-US"/>
        </w:rPr>
      </w:pPr>
      <w:r w:rsidRPr="000D22DB">
        <w:rPr>
          <w:rFonts w:ascii="Arial" w:hAnsi="Arial" w:cs="Arial"/>
          <w:b/>
          <w:bCs/>
          <w:noProof/>
          <w:color w:val="auto"/>
          <w:sz w:val="20"/>
          <w:szCs w:val="20"/>
          <w:lang w:eastAsia="en-US"/>
        </w:rPr>
        <w:t xml:space="preserve">Section 2: Outcomes and </w:t>
      </w:r>
      <w:r w:rsidR="00BD26BD">
        <w:rPr>
          <w:rFonts w:ascii="Arial" w:hAnsi="Arial" w:cs="Arial"/>
          <w:b/>
          <w:bCs/>
          <w:noProof/>
          <w:color w:val="auto"/>
          <w:sz w:val="20"/>
          <w:szCs w:val="20"/>
          <w:lang w:eastAsia="en-US"/>
        </w:rPr>
        <w:t>p</w:t>
      </w:r>
      <w:r w:rsidRPr="000D22DB">
        <w:rPr>
          <w:rFonts w:ascii="Arial" w:hAnsi="Arial" w:cs="Arial"/>
          <w:b/>
          <w:bCs/>
          <w:noProof/>
          <w:color w:val="auto"/>
          <w:sz w:val="20"/>
          <w:szCs w:val="20"/>
          <w:lang w:eastAsia="en-US"/>
        </w:rPr>
        <w:t xml:space="preserve">lanned </w:t>
      </w:r>
      <w:r w:rsidR="00BD26BD">
        <w:rPr>
          <w:rFonts w:ascii="Arial" w:hAnsi="Arial" w:cs="Arial"/>
          <w:b/>
          <w:bCs/>
          <w:noProof/>
          <w:color w:val="auto"/>
          <w:sz w:val="20"/>
          <w:szCs w:val="20"/>
          <w:lang w:eastAsia="en-US"/>
        </w:rPr>
        <w:t>p</w:t>
      </w:r>
      <w:r w:rsidR="00284ECF">
        <w:rPr>
          <w:rFonts w:ascii="Arial" w:hAnsi="Arial" w:cs="Arial"/>
          <w:b/>
          <w:bCs/>
          <w:noProof/>
          <w:color w:val="auto"/>
          <w:sz w:val="20"/>
          <w:szCs w:val="20"/>
          <w:lang w:eastAsia="en-US"/>
        </w:rPr>
        <w:t>erformance</w:t>
      </w:r>
      <w:r w:rsidR="00284ECF">
        <w:rPr>
          <w:rFonts w:ascii="Arial" w:hAnsi="Arial" w:cs="Arial"/>
          <w:b/>
          <w:bCs/>
          <w:noProof/>
          <w:color w:val="auto"/>
          <w:sz w:val="20"/>
          <w:szCs w:val="20"/>
          <w:lang w:eastAsia="en-US"/>
        </w:rPr>
        <w:tab/>
      </w:r>
      <w:r w:rsidR="005333F9">
        <w:rPr>
          <w:rFonts w:ascii="Arial" w:hAnsi="Arial" w:cs="Arial"/>
          <w:b/>
          <w:bCs/>
          <w:noProof/>
          <w:color w:val="auto"/>
          <w:sz w:val="20"/>
          <w:szCs w:val="20"/>
          <w:lang w:eastAsia="en-US"/>
        </w:rPr>
        <w:t>41</w:t>
      </w:r>
    </w:p>
    <w:p w14:paraId="76BB18F4" w14:textId="77777777" w:rsidR="000D22DB" w:rsidRPr="000D22DB" w:rsidRDefault="000D22DB" w:rsidP="000D22DB">
      <w:pPr>
        <w:tabs>
          <w:tab w:val="left" w:pos="993"/>
          <w:tab w:val="right" w:leader="dot" w:pos="7360"/>
        </w:tabs>
        <w:spacing w:before="60" w:after="80"/>
        <w:rPr>
          <w:rFonts w:ascii="Arial" w:hAnsi="Arial" w:cs="Arial"/>
          <w:sz w:val="20"/>
          <w:szCs w:val="20"/>
          <w:lang w:eastAsia="en-US"/>
        </w:rPr>
      </w:pPr>
      <w:r w:rsidRPr="000D22DB">
        <w:rPr>
          <w:rFonts w:ascii="Arial" w:hAnsi="Arial" w:cs="Arial"/>
          <w:sz w:val="20"/>
          <w:szCs w:val="20"/>
          <w:lang w:eastAsia="en-US"/>
        </w:rPr>
        <w:t>Budgeted Expenses and Performance for:</w:t>
      </w:r>
    </w:p>
    <w:p w14:paraId="02B93EF5" w14:textId="34A78675"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2.1</w:t>
      </w:r>
      <w:r w:rsidRPr="000D22DB">
        <w:rPr>
          <w:rFonts w:ascii="Arial" w:hAnsi="Arial" w:cs="Arial"/>
          <w:sz w:val="20"/>
          <w:szCs w:val="20"/>
          <w:lang w:eastAsia="en-US"/>
        </w:rPr>
        <w:tab/>
        <w:t>Outcome 1: Healt</w:t>
      </w:r>
      <w:r w:rsidR="00284ECF">
        <w:rPr>
          <w:rFonts w:ascii="Arial" w:hAnsi="Arial" w:cs="Arial"/>
          <w:sz w:val="20"/>
          <w:szCs w:val="20"/>
          <w:lang w:eastAsia="en-US"/>
        </w:rPr>
        <w:t xml:space="preserve">h Policy, Access and Support </w:t>
      </w:r>
      <w:r w:rsidR="00284ECF">
        <w:rPr>
          <w:rFonts w:ascii="Arial" w:hAnsi="Arial" w:cs="Arial"/>
          <w:sz w:val="20"/>
          <w:szCs w:val="20"/>
          <w:lang w:eastAsia="en-US"/>
        </w:rPr>
        <w:tab/>
      </w:r>
      <w:r w:rsidR="005333F9">
        <w:rPr>
          <w:rFonts w:ascii="Arial" w:hAnsi="Arial" w:cs="Arial"/>
          <w:sz w:val="20"/>
          <w:szCs w:val="20"/>
          <w:lang w:eastAsia="en-US"/>
        </w:rPr>
        <w:t>43</w:t>
      </w:r>
    </w:p>
    <w:p w14:paraId="17B0E94A" w14:textId="4325AD50"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2.2</w:t>
      </w:r>
      <w:r w:rsidRPr="000D22DB">
        <w:rPr>
          <w:rFonts w:ascii="Arial" w:hAnsi="Arial" w:cs="Arial"/>
          <w:sz w:val="20"/>
          <w:szCs w:val="20"/>
          <w:lang w:eastAsia="en-US"/>
        </w:rPr>
        <w:tab/>
        <w:t xml:space="preserve">Outcome </w:t>
      </w:r>
      <w:r w:rsidR="00284ECF">
        <w:rPr>
          <w:rFonts w:ascii="Arial" w:hAnsi="Arial" w:cs="Arial"/>
          <w:sz w:val="20"/>
          <w:szCs w:val="20"/>
          <w:lang w:eastAsia="en-US"/>
        </w:rPr>
        <w:t>2: Individual Health Benefits</w:t>
      </w:r>
      <w:r w:rsidR="00284ECF">
        <w:rPr>
          <w:rFonts w:ascii="Arial" w:hAnsi="Arial" w:cs="Arial"/>
          <w:sz w:val="20"/>
          <w:szCs w:val="20"/>
          <w:lang w:eastAsia="en-US"/>
        </w:rPr>
        <w:tab/>
      </w:r>
      <w:r w:rsidR="005333F9">
        <w:rPr>
          <w:rFonts w:ascii="Arial" w:hAnsi="Arial" w:cs="Arial"/>
          <w:sz w:val="20"/>
          <w:szCs w:val="20"/>
          <w:lang w:eastAsia="en-US"/>
        </w:rPr>
        <w:t>77</w:t>
      </w:r>
    </w:p>
    <w:p w14:paraId="78F27CC5" w14:textId="2DDF55DD" w:rsidR="000D22DB" w:rsidRPr="000D22DB" w:rsidRDefault="000D22DB" w:rsidP="000D22DB">
      <w:pPr>
        <w:tabs>
          <w:tab w:val="left" w:pos="993"/>
          <w:tab w:val="right" w:leader="dot" w:pos="7371"/>
        </w:tabs>
        <w:spacing w:before="60"/>
        <w:rPr>
          <w:rFonts w:ascii="Arial" w:hAnsi="Arial" w:cs="Arial"/>
          <w:b/>
          <w:bCs/>
          <w:color w:val="auto"/>
          <w:sz w:val="20"/>
          <w:szCs w:val="20"/>
          <w:lang w:eastAsia="en-US"/>
        </w:rPr>
      </w:pPr>
      <w:r w:rsidRPr="000D22DB">
        <w:rPr>
          <w:rFonts w:ascii="Arial" w:hAnsi="Arial" w:cs="Arial"/>
          <w:sz w:val="20"/>
          <w:szCs w:val="20"/>
          <w:lang w:eastAsia="en-US"/>
        </w:rPr>
        <w:t>2.3</w:t>
      </w:r>
      <w:r w:rsidRPr="000D22DB">
        <w:rPr>
          <w:rFonts w:ascii="Arial" w:hAnsi="Arial" w:cs="Arial"/>
          <w:sz w:val="20"/>
          <w:szCs w:val="20"/>
          <w:lang w:eastAsia="en-US"/>
        </w:rPr>
        <w:tab/>
        <w:t>Outcome 3: Ageing and Aged Care</w:t>
      </w:r>
      <w:r w:rsidRPr="000D22DB">
        <w:rPr>
          <w:rFonts w:ascii="Arial" w:hAnsi="Arial" w:cs="Arial"/>
          <w:sz w:val="20"/>
          <w:szCs w:val="20"/>
          <w:lang w:eastAsia="en-US"/>
        </w:rPr>
        <w:tab/>
      </w:r>
      <w:r w:rsidRPr="000D22DB">
        <w:rPr>
          <w:rFonts w:ascii="Arial" w:hAnsi="Arial" w:cs="Arial"/>
          <w:b/>
          <w:bCs/>
          <w:color w:val="auto"/>
          <w:sz w:val="20"/>
          <w:szCs w:val="20"/>
          <w:lang w:eastAsia="en-US"/>
        </w:rPr>
        <w:fldChar w:fldCharType="end"/>
      </w:r>
      <w:r w:rsidR="005333F9">
        <w:rPr>
          <w:rFonts w:ascii="Arial" w:hAnsi="Arial" w:cs="Arial"/>
          <w:bCs/>
          <w:color w:val="auto"/>
          <w:sz w:val="20"/>
          <w:szCs w:val="20"/>
          <w:lang w:eastAsia="en-US"/>
        </w:rPr>
        <w:t>93</w:t>
      </w:r>
    </w:p>
    <w:p w14:paraId="09A98DF3" w14:textId="6F276C64" w:rsidR="000D22DB" w:rsidRPr="000D22DB" w:rsidRDefault="000D22DB" w:rsidP="000D22DB">
      <w:pPr>
        <w:tabs>
          <w:tab w:val="left" w:pos="993"/>
          <w:tab w:val="right" w:leader="dot" w:pos="7371"/>
        </w:tabs>
        <w:spacing w:before="60"/>
        <w:rPr>
          <w:rFonts w:ascii="Arial" w:hAnsi="Arial" w:cs="Arial"/>
          <w:bCs/>
          <w:color w:val="auto"/>
          <w:sz w:val="20"/>
          <w:szCs w:val="20"/>
          <w:lang w:eastAsia="en-US"/>
        </w:rPr>
      </w:pPr>
      <w:r w:rsidRPr="000D22DB">
        <w:rPr>
          <w:rFonts w:ascii="Arial" w:hAnsi="Arial" w:cs="Arial"/>
          <w:bCs/>
          <w:color w:val="auto"/>
          <w:sz w:val="20"/>
          <w:szCs w:val="20"/>
          <w:lang w:eastAsia="en-US"/>
        </w:rPr>
        <w:t>2.4</w:t>
      </w:r>
      <w:r w:rsidRPr="000D22DB">
        <w:rPr>
          <w:rFonts w:ascii="Arial" w:hAnsi="Arial" w:cs="Arial"/>
          <w:bCs/>
          <w:color w:val="auto"/>
          <w:sz w:val="20"/>
          <w:szCs w:val="20"/>
          <w:lang w:eastAsia="en-US"/>
        </w:rPr>
        <w:tab/>
        <w:t>Ou</w:t>
      </w:r>
      <w:r w:rsidR="00284ECF">
        <w:rPr>
          <w:rFonts w:ascii="Arial" w:hAnsi="Arial" w:cs="Arial"/>
          <w:bCs/>
          <w:color w:val="auto"/>
          <w:sz w:val="20"/>
          <w:szCs w:val="20"/>
          <w:lang w:eastAsia="en-US"/>
        </w:rPr>
        <w:t xml:space="preserve">tcome 4: Sport and </w:t>
      </w:r>
      <w:r w:rsidR="007429C2">
        <w:rPr>
          <w:rFonts w:ascii="Arial" w:hAnsi="Arial" w:cs="Arial"/>
          <w:bCs/>
          <w:color w:val="auto"/>
          <w:sz w:val="20"/>
          <w:szCs w:val="20"/>
          <w:lang w:eastAsia="en-US"/>
        </w:rPr>
        <w:t>Physical Activity</w:t>
      </w:r>
      <w:r w:rsidR="00284ECF">
        <w:rPr>
          <w:rFonts w:ascii="Arial" w:hAnsi="Arial" w:cs="Arial"/>
          <w:bCs/>
          <w:color w:val="auto"/>
          <w:sz w:val="20"/>
          <w:szCs w:val="20"/>
          <w:lang w:eastAsia="en-US"/>
        </w:rPr>
        <w:tab/>
      </w:r>
      <w:r w:rsidR="005333F9">
        <w:rPr>
          <w:rFonts w:ascii="Arial" w:hAnsi="Arial" w:cs="Arial"/>
          <w:bCs/>
          <w:color w:val="auto"/>
          <w:sz w:val="20"/>
          <w:szCs w:val="20"/>
          <w:lang w:eastAsia="en-US"/>
        </w:rPr>
        <w:t>107</w:t>
      </w:r>
    </w:p>
    <w:p w14:paraId="48B76AD5" w14:textId="497A8873" w:rsidR="000D22DB" w:rsidRPr="000D22DB" w:rsidRDefault="00E4787B" w:rsidP="000D22DB">
      <w:pPr>
        <w:tabs>
          <w:tab w:val="right" w:leader="dot" w:pos="7371"/>
        </w:tabs>
        <w:spacing w:before="240"/>
        <w:ind w:right="-1"/>
        <w:rPr>
          <w:rFonts w:ascii="Arial" w:hAnsi="Arial" w:cs="Arial"/>
          <w:b/>
          <w:bCs/>
          <w:color w:val="auto"/>
          <w:sz w:val="20"/>
          <w:szCs w:val="20"/>
          <w:lang w:eastAsia="en-US"/>
        </w:rPr>
      </w:pPr>
      <w:r>
        <w:rPr>
          <w:rFonts w:ascii="Arial" w:hAnsi="Arial" w:cs="Arial"/>
          <w:b/>
          <w:bCs/>
          <w:color w:val="auto"/>
          <w:sz w:val="20"/>
          <w:szCs w:val="20"/>
          <w:lang w:eastAsia="en-US"/>
        </w:rPr>
        <w:t>Section 3: B</w:t>
      </w:r>
      <w:r w:rsidR="000D22DB" w:rsidRPr="000D22DB">
        <w:rPr>
          <w:rFonts w:ascii="Arial" w:hAnsi="Arial" w:cs="Arial"/>
          <w:b/>
          <w:bCs/>
          <w:color w:val="auto"/>
          <w:sz w:val="20"/>
          <w:szCs w:val="20"/>
          <w:lang w:eastAsia="en-US"/>
        </w:rPr>
        <w:t xml:space="preserve">udgeted </w:t>
      </w:r>
      <w:r w:rsidR="00BD26BD">
        <w:rPr>
          <w:rFonts w:ascii="Arial" w:hAnsi="Arial" w:cs="Arial"/>
          <w:b/>
          <w:bCs/>
          <w:color w:val="auto"/>
          <w:sz w:val="20"/>
          <w:szCs w:val="20"/>
          <w:lang w:eastAsia="en-US"/>
        </w:rPr>
        <w:t>f</w:t>
      </w:r>
      <w:r w:rsidR="000D22DB" w:rsidRPr="000D22DB">
        <w:rPr>
          <w:rFonts w:ascii="Arial" w:hAnsi="Arial" w:cs="Arial"/>
          <w:b/>
          <w:bCs/>
          <w:color w:val="auto"/>
          <w:sz w:val="20"/>
          <w:szCs w:val="20"/>
          <w:lang w:eastAsia="en-US"/>
        </w:rPr>
        <w:t xml:space="preserve">inancial </w:t>
      </w:r>
      <w:r w:rsidR="00BD26BD">
        <w:rPr>
          <w:rFonts w:ascii="Arial" w:hAnsi="Arial" w:cs="Arial"/>
          <w:b/>
          <w:bCs/>
          <w:color w:val="auto"/>
          <w:sz w:val="20"/>
          <w:szCs w:val="20"/>
          <w:lang w:eastAsia="en-US"/>
        </w:rPr>
        <w:t>s</w:t>
      </w:r>
      <w:r w:rsidR="00284ECF">
        <w:rPr>
          <w:rFonts w:ascii="Arial" w:hAnsi="Arial" w:cs="Arial"/>
          <w:b/>
          <w:bCs/>
          <w:color w:val="auto"/>
          <w:sz w:val="20"/>
          <w:szCs w:val="20"/>
          <w:lang w:eastAsia="en-US"/>
        </w:rPr>
        <w:t>tatements</w:t>
      </w:r>
      <w:r w:rsidR="00284ECF">
        <w:rPr>
          <w:rFonts w:ascii="Arial" w:hAnsi="Arial" w:cs="Arial"/>
          <w:b/>
          <w:bCs/>
          <w:color w:val="auto"/>
          <w:sz w:val="20"/>
          <w:szCs w:val="20"/>
          <w:lang w:eastAsia="en-US"/>
        </w:rPr>
        <w:tab/>
      </w:r>
      <w:r w:rsidR="009661B0">
        <w:rPr>
          <w:rFonts w:ascii="Arial" w:hAnsi="Arial" w:cs="Arial"/>
          <w:b/>
          <w:bCs/>
          <w:color w:val="auto"/>
          <w:sz w:val="20"/>
          <w:szCs w:val="20"/>
          <w:lang w:eastAsia="en-US"/>
        </w:rPr>
        <w:t>113</w:t>
      </w:r>
    </w:p>
    <w:p w14:paraId="3F8A5920" w14:textId="4D761A75"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3.1</w:t>
      </w:r>
      <w:r w:rsidRPr="000D22DB">
        <w:rPr>
          <w:rFonts w:ascii="Arial" w:hAnsi="Arial" w:cs="Arial"/>
          <w:sz w:val="20"/>
          <w:szCs w:val="20"/>
          <w:lang w:eastAsia="en-US"/>
        </w:rPr>
        <w:tab/>
        <w:t xml:space="preserve">Budgeted </w:t>
      </w:r>
      <w:r w:rsidR="00BD26BD">
        <w:rPr>
          <w:rFonts w:ascii="Arial" w:hAnsi="Arial" w:cs="Arial"/>
          <w:sz w:val="20"/>
          <w:szCs w:val="20"/>
          <w:lang w:eastAsia="en-US"/>
        </w:rPr>
        <w:t>f</w:t>
      </w:r>
      <w:r w:rsidRPr="000D22DB">
        <w:rPr>
          <w:rFonts w:ascii="Arial" w:hAnsi="Arial" w:cs="Arial"/>
          <w:sz w:val="20"/>
          <w:szCs w:val="20"/>
          <w:lang w:eastAsia="en-US"/>
        </w:rPr>
        <w:t xml:space="preserve">inancial </w:t>
      </w:r>
      <w:r w:rsidR="00BD26BD">
        <w:rPr>
          <w:rFonts w:ascii="Arial" w:hAnsi="Arial" w:cs="Arial"/>
          <w:sz w:val="20"/>
          <w:szCs w:val="20"/>
          <w:lang w:eastAsia="en-US"/>
        </w:rPr>
        <w:t>s</w:t>
      </w:r>
      <w:r w:rsidR="00284ECF">
        <w:rPr>
          <w:rFonts w:ascii="Arial" w:hAnsi="Arial" w:cs="Arial"/>
          <w:sz w:val="20"/>
          <w:szCs w:val="20"/>
          <w:lang w:eastAsia="en-US"/>
        </w:rPr>
        <w:t xml:space="preserve">tatements </w:t>
      </w:r>
      <w:r w:rsidR="00284ECF">
        <w:rPr>
          <w:rFonts w:ascii="Arial" w:hAnsi="Arial" w:cs="Arial"/>
          <w:sz w:val="20"/>
          <w:szCs w:val="20"/>
          <w:lang w:eastAsia="en-US"/>
        </w:rPr>
        <w:tab/>
      </w:r>
      <w:r w:rsidR="009661B0">
        <w:rPr>
          <w:rFonts w:ascii="Arial" w:hAnsi="Arial" w:cs="Arial"/>
          <w:sz w:val="20"/>
          <w:szCs w:val="20"/>
          <w:lang w:eastAsia="en-US"/>
        </w:rPr>
        <w:t>113</w:t>
      </w:r>
    </w:p>
    <w:p w14:paraId="398A021C" w14:textId="13A9102A" w:rsidR="000D22DB" w:rsidRPr="000D22DB" w:rsidRDefault="000D22DB" w:rsidP="000D22DB">
      <w:pPr>
        <w:tabs>
          <w:tab w:val="left" w:pos="993"/>
          <w:tab w:val="right" w:leader="dot" w:pos="7360"/>
        </w:tabs>
        <w:spacing w:before="60"/>
        <w:rPr>
          <w:rFonts w:ascii="Arial" w:hAnsi="Arial" w:cs="Arial"/>
          <w:sz w:val="20"/>
          <w:szCs w:val="20"/>
          <w:lang w:eastAsia="en-US"/>
        </w:rPr>
      </w:pPr>
      <w:r w:rsidRPr="000D22DB">
        <w:rPr>
          <w:rFonts w:ascii="Arial" w:hAnsi="Arial" w:cs="Arial"/>
          <w:sz w:val="20"/>
          <w:szCs w:val="20"/>
          <w:lang w:eastAsia="en-US"/>
        </w:rPr>
        <w:t>3.2</w:t>
      </w:r>
      <w:r w:rsidRPr="000D22DB">
        <w:rPr>
          <w:rFonts w:ascii="Arial" w:hAnsi="Arial" w:cs="Arial"/>
          <w:sz w:val="20"/>
          <w:szCs w:val="20"/>
          <w:lang w:eastAsia="en-US"/>
        </w:rPr>
        <w:tab/>
        <w:t xml:space="preserve">Budgeted </w:t>
      </w:r>
      <w:r w:rsidR="00BD26BD">
        <w:rPr>
          <w:rFonts w:ascii="Arial" w:hAnsi="Arial" w:cs="Arial"/>
          <w:sz w:val="20"/>
          <w:szCs w:val="20"/>
          <w:lang w:eastAsia="en-US"/>
        </w:rPr>
        <w:t>f</w:t>
      </w:r>
      <w:r w:rsidRPr="000D22DB">
        <w:rPr>
          <w:rFonts w:ascii="Arial" w:hAnsi="Arial" w:cs="Arial"/>
          <w:sz w:val="20"/>
          <w:szCs w:val="20"/>
          <w:lang w:eastAsia="en-US"/>
        </w:rPr>
        <w:t xml:space="preserve">inancial </w:t>
      </w:r>
      <w:r w:rsidR="00BD26BD">
        <w:rPr>
          <w:rFonts w:ascii="Arial" w:hAnsi="Arial" w:cs="Arial"/>
          <w:sz w:val="20"/>
          <w:szCs w:val="20"/>
          <w:lang w:eastAsia="en-US"/>
        </w:rPr>
        <w:t>s</w:t>
      </w:r>
      <w:r w:rsidRPr="000D22DB">
        <w:rPr>
          <w:rFonts w:ascii="Arial" w:hAnsi="Arial" w:cs="Arial"/>
          <w:sz w:val="20"/>
          <w:szCs w:val="20"/>
          <w:lang w:eastAsia="en-US"/>
        </w:rPr>
        <w:t xml:space="preserve">tatements </w:t>
      </w:r>
      <w:r w:rsidR="00BD26BD">
        <w:rPr>
          <w:rFonts w:ascii="Arial" w:hAnsi="Arial" w:cs="Arial"/>
          <w:sz w:val="20"/>
          <w:szCs w:val="20"/>
          <w:lang w:eastAsia="en-US"/>
        </w:rPr>
        <w:t>t</w:t>
      </w:r>
      <w:r w:rsidR="00284ECF">
        <w:rPr>
          <w:rFonts w:ascii="Arial" w:hAnsi="Arial" w:cs="Arial"/>
          <w:sz w:val="20"/>
          <w:szCs w:val="20"/>
          <w:lang w:eastAsia="en-US"/>
        </w:rPr>
        <w:t xml:space="preserve">ables </w:t>
      </w:r>
      <w:r w:rsidR="00284ECF">
        <w:rPr>
          <w:rFonts w:ascii="Arial" w:hAnsi="Arial" w:cs="Arial"/>
          <w:sz w:val="20"/>
          <w:szCs w:val="20"/>
          <w:lang w:eastAsia="en-US"/>
        </w:rPr>
        <w:tab/>
      </w:r>
      <w:r w:rsidR="009152DE">
        <w:rPr>
          <w:rFonts w:ascii="Arial" w:hAnsi="Arial" w:cs="Arial"/>
          <w:sz w:val="20"/>
          <w:szCs w:val="20"/>
          <w:lang w:eastAsia="en-US"/>
        </w:rPr>
        <w:t>117</w:t>
      </w:r>
    </w:p>
    <w:p w14:paraId="7E7FABB5" w14:textId="77777777" w:rsidR="001432F3" w:rsidRPr="004F6919" w:rsidRDefault="001432F3" w:rsidP="000D22DB">
      <w:pPr>
        <w:sectPr w:rsidR="001432F3" w:rsidRPr="004F6919" w:rsidSect="00460A0F">
          <w:headerReference w:type="even" r:id="rId12"/>
          <w:headerReference w:type="default" r:id="rId13"/>
          <w:footerReference w:type="even" r:id="rId14"/>
          <w:footerReference w:type="default" r:id="rId15"/>
          <w:headerReference w:type="first" r:id="rId16"/>
          <w:pgSz w:w="11906" w:h="16838" w:code="9"/>
          <w:pgMar w:top="2466" w:right="2268" w:bottom="2126" w:left="2268" w:header="1899" w:footer="1899" w:gutter="0"/>
          <w:cols w:space="708"/>
          <w:docGrid w:linePitch="360"/>
        </w:sectPr>
      </w:pPr>
      <w:r w:rsidRPr="004F6919">
        <w:br w:type="page"/>
      </w:r>
    </w:p>
    <w:p w14:paraId="02EB4029" w14:textId="77777777" w:rsidR="001432F3" w:rsidRPr="001432F3" w:rsidRDefault="001432F3" w:rsidP="00CD22B5">
      <w:pPr>
        <w:pStyle w:val="Heading1"/>
        <w:spacing w:after="200"/>
      </w:pPr>
      <w:bookmarkStart w:id="5" w:name="_Toc65243502"/>
      <w:r w:rsidRPr="001432F3">
        <w:lastRenderedPageBreak/>
        <w:t xml:space="preserve">Department of </w:t>
      </w:r>
      <w:bookmarkEnd w:id="5"/>
      <w:r>
        <w:t>Health and Aged Care</w:t>
      </w:r>
    </w:p>
    <w:p w14:paraId="16090CAF" w14:textId="77777777" w:rsidR="001432F3" w:rsidRDefault="001432F3" w:rsidP="00CD22B5">
      <w:pPr>
        <w:pStyle w:val="Heading2"/>
        <w:spacing w:before="200" w:after="200"/>
      </w:pPr>
      <w:bookmarkStart w:id="6" w:name="_Toc190682308"/>
      <w:bookmarkStart w:id="7" w:name="_Toc190682526"/>
      <w:bookmarkStart w:id="8" w:name="_Toc444523508"/>
      <w:bookmarkStart w:id="9" w:name="_Toc65243505"/>
      <w:r w:rsidRPr="001432F3">
        <w:t>Section 1: Entity overview and resources</w:t>
      </w:r>
      <w:bookmarkEnd w:id="6"/>
      <w:bookmarkEnd w:id="7"/>
      <w:bookmarkEnd w:id="8"/>
      <w:bookmarkEnd w:id="9"/>
    </w:p>
    <w:p w14:paraId="74385A5C" w14:textId="77777777" w:rsidR="00202081" w:rsidRPr="00D96B2A" w:rsidRDefault="00202081" w:rsidP="00202081">
      <w:pPr>
        <w:pStyle w:val="Heading3"/>
      </w:pPr>
      <w:r>
        <w:t>1.1</w:t>
      </w:r>
      <w:r w:rsidRPr="00D96B2A">
        <w:tab/>
      </w:r>
      <w:r>
        <w:t>Strategic direction statement</w:t>
      </w:r>
    </w:p>
    <w:p w14:paraId="0061F7F5" w14:textId="77777777" w:rsidR="00094E6C" w:rsidRPr="00094E6C" w:rsidRDefault="00094E6C" w:rsidP="00CD22B5">
      <w:pPr>
        <w:spacing w:after="60"/>
        <w:rPr>
          <w:color w:val="auto"/>
        </w:rPr>
      </w:pPr>
      <w:r w:rsidRPr="00094E6C">
        <w:rPr>
          <w:color w:val="auto"/>
        </w:rPr>
        <w:t>The Department of Health and Aged Care (the Department) implements the Government’s priorities to deliver better health and wellbeing for all Australians, now and for future generations. Through evidence-based policy, well targeted programs, and best practice regulation, the Department supports the Government and provides stewardship to shape Australia’s health and aged care system as well as delivering sporting outcomes.</w:t>
      </w:r>
    </w:p>
    <w:p w14:paraId="49721884" w14:textId="03A8AD7F" w:rsidR="00094E6C" w:rsidRPr="00094E6C" w:rsidRDefault="00094E6C" w:rsidP="00CD22B5">
      <w:pPr>
        <w:spacing w:after="60"/>
        <w:rPr>
          <w:color w:val="auto"/>
        </w:rPr>
      </w:pPr>
      <w:r w:rsidRPr="00094E6C">
        <w:rPr>
          <w:color w:val="auto"/>
        </w:rPr>
        <w:t>T</w:t>
      </w:r>
      <w:r>
        <w:rPr>
          <w:color w:val="auto"/>
        </w:rPr>
        <w:t>he investments made in the 2022–</w:t>
      </w:r>
      <w:r w:rsidRPr="00094E6C">
        <w:rPr>
          <w:color w:val="auto"/>
        </w:rPr>
        <w:t>23 October Budget are leveraged and built on in the 2023</w:t>
      </w:r>
      <w:r>
        <w:rPr>
          <w:color w:val="auto"/>
        </w:rPr>
        <w:t>–</w:t>
      </w:r>
      <w:r w:rsidRPr="00094E6C">
        <w:rPr>
          <w:color w:val="auto"/>
        </w:rPr>
        <w:t>24 Budget, including the Strengthening Medicare package, to improve primary care in Australia. The 2023</w:t>
      </w:r>
      <w:r>
        <w:rPr>
          <w:color w:val="auto"/>
        </w:rPr>
        <w:t>–</w:t>
      </w:r>
      <w:r w:rsidRPr="00094E6C">
        <w:rPr>
          <w:color w:val="auto"/>
        </w:rPr>
        <w:t xml:space="preserve">24 Budget makes it easier for Australians to get the care they need when and where they need it; supports growth of the health and aged care workforce with more doctors, nurses, allied health workers and higher pay for aged care workers; and delivers cheaper medicines and more affordable care for </w:t>
      </w:r>
      <w:r w:rsidR="00855CF7">
        <w:rPr>
          <w:color w:val="auto"/>
        </w:rPr>
        <w:br/>
      </w:r>
      <w:r w:rsidRPr="00094E6C">
        <w:rPr>
          <w:color w:val="auto"/>
        </w:rPr>
        <w:t xml:space="preserve">the community. </w:t>
      </w:r>
    </w:p>
    <w:p w14:paraId="392367BB" w14:textId="77777777" w:rsidR="00094E6C" w:rsidRPr="00094E6C" w:rsidRDefault="00094E6C" w:rsidP="00094E6C">
      <w:pPr>
        <w:rPr>
          <w:color w:val="auto"/>
        </w:rPr>
      </w:pPr>
      <w:r w:rsidRPr="00094E6C">
        <w:rPr>
          <w:color w:val="auto"/>
        </w:rPr>
        <w:t xml:space="preserve">New strategic investments also help restore dignity to aged care, and support the mental health of Australians. The Budget takes strong action on smoking and vaping, and safeguards Australians through a variety of health protection and preventive measures. There is also a focus on improving access and equity in health care among priority population groups. </w:t>
      </w:r>
    </w:p>
    <w:p w14:paraId="1E4F48C0" w14:textId="77777777" w:rsidR="00094E6C" w:rsidRPr="00094E6C" w:rsidRDefault="00094E6C" w:rsidP="00094E6C">
      <w:pPr>
        <w:rPr>
          <w:rFonts w:ascii="Arial" w:hAnsi="Arial" w:cs="Arial"/>
          <w:b/>
          <w:i/>
          <w:color w:val="auto"/>
        </w:rPr>
      </w:pPr>
      <w:r w:rsidRPr="00094E6C">
        <w:rPr>
          <w:rFonts w:ascii="Arial" w:hAnsi="Arial" w:cs="Arial"/>
          <w:b/>
          <w:i/>
          <w:color w:val="auto"/>
        </w:rPr>
        <w:t>Strengthening Medicare</w:t>
      </w:r>
    </w:p>
    <w:p w14:paraId="62A6C317" w14:textId="77777777" w:rsidR="00094E6C" w:rsidRPr="00EE2AFE" w:rsidRDefault="00094E6C" w:rsidP="00855CF7">
      <w:pPr>
        <w:rPr>
          <w:rFonts w:ascii="Arial" w:hAnsi="Arial" w:cs="Arial"/>
          <w:i/>
          <w:color w:val="auto"/>
          <w:sz w:val="20"/>
          <w:szCs w:val="20"/>
        </w:rPr>
      </w:pPr>
      <w:r w:rsidRPr="00EE2AFE">
        <w:rPr>
          <w:rFonts w:ascii="Arial" w:hAnsi="Arial" w:cs="Arial"/>
          <w:i/>
          <w:color w:val="auto"/>
          <w:sz w:val="20"/>
          <w:szCs w:val="20"/>
        </w:rPr>
        <w:t>Making it easier to get the care you need</w:t>
      </w:r>
    </w:p>
    <w:p w14:paraId="3297454A" w14:textId="4B1D8526" w:rsidR="00094E6C" w:rsidRPr="00094E6C" w:rsidRDefault="00094E6C" w:rsidP="00855CF7">
      <w:pPr>
        <w:spacing w:after="0"/>
        <w:rPr>
          <w:color w:val="auto"/>
        </w:rPr>
      </w:pPr>
      <w:r w:rsidRPr="00094E6C">
        <w:rPr>
          <w:color w:val="auto"/>
        </w:rPr>
        <w:t>All Australians deserve access to world class medical care, regardless of where they live or their income.  This Budget includes $3.5</w:t>
      </w:r>
      <w:r w:rsidR="0013764D">
        <w:rPr>
          <w:color w:val="auto"/>
        </w:rPr>
        <w:t xml:space="preserve"> billion</w:t>
      </w:r>
      <w:r w:rsidRPr="00094E6C">
        <w:rPr>
          <w:color w:val="auto"/>
        </w:rPr>
        <w:t xml:space="preserve"> over 5 years to help stop the decline in bulk billing. The bulk-billing incentive will be tripled for the most common consultations with children under the age of 16, pensioners and other concession card holders. This includes face-to-face and telehealth consultations, and will especially benefit rural and regional Australians whose GPs will continue to receive higher incentives to support the ongoing viability of general practices in these communities.</w:t>
      </w:r>
    </w:p>
    <w:p w14:paraId="5DB9EE46" w14:textId="77777777" w:rsidR="00C05A0F" w:rsidRDefault="00094E6C" w:rsidP="00CD22B5">
      <w:pPr>
        <w:spacing w:before="40" w:after="0"/>
        <w:rPr>
          <w:color w:val="auto"/>
        </w:rPr>
      </w:pPr>
      <w:r w:rsidRPr="00094E6C">
        <w:rPr>
          <w:color w:val="auto"/>
        </w:rPr>
        <w:t>The Government is delivering more flexible and innovative models of care, including investing:</w:t>
      </w:r>
    </w:p>
    <w:p w14:paraId="7A666F8F" w14:textId="7ED5137B" w:rsidR="00C05A0F" w:rsidRDefault="00094E6C" w:rsidP="00094E6C">
      <w:pPr>
        <w:pStyle w:val="ListParagraph"/>
        <w:numPr>
          <w:ilvl w:val="0"/>
          <w:numId w:val="41"/>
        </w:numPr>
        <w:rPr>
          <w:color w:val="auto"/>
        </w:rPr>
      </w:pPr>
      <w:r w:rsidRPr="00C05A0F">
        <w:rPr>
          <w:color w:val="auto"/>
        </w:rPr>
        <w:t>$19.7</w:t>
      </w:r>
      <w:r w:rsidR="0013764D">
        <w:rPr>
          <w:color w:val="auto"/>
        </w:rPr>
        <w:t xml:space="preserve"> </w:t>
      </w:r>
      <w:r w:rsidRPr="00C05A0F">
        <w:rPr>
          <w:color w:val="auto"/>
        </w:rPr>
        <w:t>m</w:t>
      </w:r>
      <w:r w:rsidR="0013764D">
        <w:rPr>
          <w:color w:val="auto"/>
        </w:rPr>
        <w:t>illion</w:t>
      </w:r>
      <w:r w:rsidRPr="00C05A0F">
        <w:rPr>
          <w:color w:val="auto"/>
        </w:rPr>
        <w:t xml:space="preserve"> in establishing </w:t>
      </w:r>
      <w:proofErr w:type="spellStart"/>
      <w:r w:rsidRPr="00C05A0F">
        <w:rPr>
          <w:color w:val="auto"/>
        </w:rPr>
        <w:t>MyMedicare</w:t>
      </w:r>
      <w:proofErr w:type="spellEnd"/>
      <w:r w:rsidRPr="00C05A0F">
        <w:rPr>
          <w:color w:val="auto"/>
        </w:rPr>
        <w:t>, a voluntary patient registration scheme that will strengthen the relationship between patients and their primary care team and provide access to patient-centred funding packages,</w:t>
      </w:r>
    </w:p>
    <w:p w14:paraId="3B58471B" w14:textId="6D2FFA6A" w:rsidR="00C05A0F" w:rsidRDefault="00094E6C" w:rsidP="00094E6C">
      <w:pPr>
        <w:pStyle w:val="ListParagraph"/>
        <w:numPr>
          <w:ilvl w:val="0"/>
          <w:numId w:val="41"/>
        </w:numPr>
        <w:rPr>
          <w:color w:val="auto"/>
        </w:rPr>
      </w:pPr>
      <w:r w:rsidRPr="00C05A0F">
        <w:rPr>
          <w:color w:val="auto"/>
        </w:rPr>
        <w:t>$98.9</w:t>
      </w:r>
      <w:r w:rsidR="0013764D">
        <w:rPr>
          <w:color w:val="auto"/>
        </w:rPr>
        <w:t xml:space="preserve"> </w:t>
      </w:r>
      <w:r w:rsidRPr="00C05A0F">
        <w:rPr>
          <w:color w:val="auto"/>
        </w:rPr>
        <w:t>m</w:t>
      </w:r>
      <w:r w:rsidR="0013764D">
        <w:rPr>
          <w:color w:val="auto"/>
        </w:rPr>
        <w:t>illion</w:t>
      </w:r>
      <w:r w:rsidR="001E1021">
        <w:rPr>
          <w:color w:val="auto"/>
        </w:rPr>
        <w:t xml:space="preserve"> in wrap-</w:t>
      </w:r>
      <w:r w:rsidRPr="00C05A0F">
        <w:rPr>
          <w:color w:val="auto"/>
        </w:rPr>
        <w:t xml:space="preserve">around primary care for frequent hospital users with chronic disease through comprehensive, multidisciplinary care in the community, </w:t>
      </w:r>
    </w:p>
    <w:p w14:paraId="28AC9DE0" w14:textId="66FF7CEB" w:rsidR="00C05A0F" w:rsidRDefault="00094E6C" w:rsidP="00094E6C">
      <w:pPr>
        <w:pStyle w:val="ListParagraph"/>
        <w:numPr>
          <w:ilvl w:val="0"/>
          <w:numId w:val="41"/>
        </w:numPr>
        <w:rPr>
          <w:color w:val="auto"/>
        </w:rPr>
      </w:pPr>
      <w:r w:rsidRPr="00C05A0F">
        <w:rPr>
          <w:color w:val="auto"/>
        </w:rPr>
        <w:t>$112.0</w:t>
      </w:r>
      <w:r w:rsidR="0013764D">
        <w:rPr>
          <w:color w:val="auto"/>
        </w:rPr>
        <w:t xml:space="preserve"> </w:t>
      </w:r>
      <w:r w:rsidRPr="00C05A0F">
        <w:rPr>
          <w:color w:val="auto"/>
        </w:rPr>
        <w:t>m</w:t>
      </w:r>
      <w:r w:rsidR="0013764D">
        <w:rPr>
          <w:color w:val="auto"/>
        </w:rPr>
        <w:t>illion</w:t>
      </w:r>
      <w:r w:rsidRPr="00C05A0F">
        <w:rPr>
          <w:color w:val="auto"/>
        </w:rPr>
        <w:t xml:space="preserve"> in incentivising GPs to provide high-quality, continuous care to patients in residential Aged Care homes,</w:t>
      </w:r>
    </w:p>
    <w:p w14:paraId="239CA9CD" w14:textId="2D858387" w:rsidR="00C05A0F" w:rsidRDefault="00094E6C" w:rsidP="00094E6C">
      <w:pPr>
        <w:pStyle w:val="ListParagraph"/>
        <w:numPr>
          <w:ilvl w:val="0"/>
          <w:numId w:val="41"/>
        </w:numPr>
        <w:rPr>
          <w:color w:val="auto"/>
        </w:rPr>
      </w:pPr>
      <w:r w:rsidRPr="00C05A0F">
        <w:rPr>
          <w:color w:val="auto"/>
        </w:rPr>
        <w:t>$47.8</w:t>
      </w:r>
      <w:r w:rsidR="0013764D">
        <w:rPr>
          <w:color w:val="auto"/>
        </w:rPr>
        <w:t xml:space="preserve"> </w:t>
      </w:r>
      <w:r w:rsidRPr="00C05A0F">
        <w:rPr>
          <w:color w:val="auto"/>
        </w:rPr>
        <w:t>m</w:t>
      </w:r>
      <w:r w:rsidR="0013764D">
        <w:rPr>
          <w:color w:val="auto"/>
        </w:rPr>
        <w:t>illion</w:t>
      </w:r>
      <w:r w:rsidRPr="00C05A0F">
        <w:rPr>
          <w:color w:val="auto"/>
        </w:rPr>
        <w:t xml:space="preserve"> to improve the management of chronic wounds for diabetes patients in primary care settings</w:t>
      </w:r>
    </w:p>
    <w:p w14:paraId="3EF915AA" w14:textId="1722C235" w:rsidR="00C05A0F" w:rsidRDefault="00094E6C" w:rsidP="00094E6C">
      <w:pPr>
        <w:pStyle w:val="ListParagraph"/>
        <w:numPr>
          <w:ilvl w:val="0"/>
          <w:numId w:val="41"/>
        </w:numPr>
        <w:rPr>
          <w:color w:val="auto"/>
        </w:rPr>
      </w:pPr>
      <w:r w:rsidRPr="00C05A0F">
        <w:rPr>
          <w:color w:val="auto"/>
        </w:rPr>
        <w:t>$143.9</w:t>
      </w:r>
      <w:r w:rsidR="0013764D">
        <w:rPr>
          <w:color w:val="auto"/>
        </w:rPr>
        <w:t xml:space="preserve"> </w:t>
      </w:r>
      <w:r w:rsidRPr="00C05A0F">
        <w:rPr>
          <w:color w:val="auto"/>
        </w:rPr>
        <w:t>m</w:t>
      </w:r>
      <w:r w:rsidR="0013764D">
        <w:rPr>
          <w:color w:val="auto"/>
        </w:rPr>
        <w:t>illion</w:t>
      </w:r>
      <w:r w:rsidRPr="00C05A0F">
        <w:rPr>
          <w:color w:val="auto"/>
        </w:rPr>
        <w:t xml:space="preserve"> in improving access to vital after-hours primary care, and</w:t>
      </w:r>
    </w:p>
    <w:p w14:paraId="0482DE71" w14:textId="604D17DF" w:rsidR="00EE2AFE" w:rsidRPr="00EE2AFE" w:rsidRDefault="00094E6C" w:rsidP="00EE2AFE">
      <w:pPr>
        <w:pStyle w:val="ListParagraph"/>
        <w:numPr>
          <w:ilvl w:val="0"/>
          <w:numId w:val="41"/>
        </w:numPr>
        <w:rPr>
          <w:rFonts w:ascii="Arial" w:hAnsi="Arial" w:cs="Arial"/>
          <w:i/>
          <w:color w:val="auto"/>
          <w:sz w:val="20"/>
          <w:szCs w:val="20"/>
        </w:rPr>
      </w:pPr>
      <w:r w:rsidRPr="00EE2AFE">
        <w:rPr>
          <w:color w:val="auto"/>
        </w:rPr>
        <w:t>$358.5</w:t>
      </w:r>
      <w:r w:rsidR="00EE2AFE" w:rsidRPr="00EE2AFE">
        <w:rPr>
          <w:color w:val="auto"/>
        </w:rPr>
        <w:t xml:space="preserve"> </w:t>
      </w:r>
      <w:r w:rsidRPr="00EE2AFE">
        <w:rPr>
          <w:color w:val="auto"/>
        </w:rPr>
        <w:t>m</w:t>
      </w:r>
      <w:r w:rsidR="00EE2AFE" w:rsidRPr="00EE2AFE">
        <w:rPr>
          <w:color w:val="auto"/>
        </w:rPr>
        <w:t>illion</w:t>
      </w:r>
      <w:r w:rsidRPr="00EE2AFE">
        <w:rPr>
          <w:color w:val="auto"/>
        </w:rPr>
        <w:t xml:space="preserve"> in funding for Urgent Care Clinics.</w:t>
      </w:r>
    </w:p>
    <w:p w14:paraId="651EA066" w14:textId="7534C552" w:rsidR="00094E6C" w:rsidRPr="00EE2AFE" w:rsidRDefault="00094E6C" w:rsidP="00EE2AFE">
      <w:pPr>
        <w:spacing w:before="120"/>
        <w:rPr>
          <w:rFonts w:ascii="Arial" w:hAnsi="Arial" w:cs="Arial"/>
          <w:i/>
          <w:color w:val="auto"/>
          <w:sz w:val="20"/>
          <w:szCs w:val="20"/>
        </w:rPr>
      </w:pPr>
      <w:r w:rsidRPr="00EE2AFE">
        <w:rPr>
          <w:rFonts w:ascii="Arial" w:hAnsi="Arial" w:cs="Arial"/>
          <w:i/>
          <w:color w:val="auto"/>
          <w:sz w:val="20"/>
          <w:szCs w:val="20"/>
        </w:rPr>
        <w:lastRenderedPageBreak/>
        <w:t>Improved digital systems to drive better care and better connections</w:t>
      </w:r>
    </w:p>
    <w:p w14:paraId="62FC6223" w14:textId="589A66B3" w:rsidR="00094E6C" w:rsidRPr="00094E6C" w:rsidRDefault="00AC0838" w:rsidP="00247971">
      <w:pPr>
        <w:spacing w:after="80"/>
        <w:rPr>
          <w:color w:val="auto"/>
        </w:rPr>
      </w:pPr>
      <w:r>
        <w:rPr>
          <w:color w:val="auto"/>
        </w:rPr>
        <w:t>The 2023–</w:t>
      </w:r>
      <w:r w:rsidR="00094E6C" w:rsidRPr="00094E6C">
        <w:rPr>
          <w:color w:val="auto"/>
        </w:rPr>
        <w:t>24 Budget provides $325.7</w:t>
      </w:r>
      <w:r>
        <w:rPr>
          <w:color w:val="auto"/>
        </w:rPr>
        <w:t xml:space="preserve"> </w:t>
      </w:r>
      <w:r w:rsidR="00094E6C" w:rsidRPr="00094E6C">
        <w:rPr>
          <w:color w:val="auto"/>
        </w:rPr>
        <w:t>m</w:t>
      </w:r>
      <w:r>
        <w:rPr>
          <w:color w:val="auto"/>
        </w:rPr>
        <w:t>illion</w:t>
      </w:r>
      <w:r w:rsidR="00094E6C" w:rsidRPr="00094E6C">
        <w:rPr>
          <w:color w:val="auto"/>
        </w:rPr>
        <w:t xml:space="preserve"> to support the ongoing operation of the Australian Digital Health Agency to continue delivering important digital health infrastructure, including upgrading My Health Record through an investment of </w:t>
      </w:r>
      <w:r w:rsidR="001D3D31">
        <w:rPr>
          <w:color w:val="auto"/>
        </w:rPr>
        <w:br/>
      </w:r>
      <w:r w:rsidR="00094E6C" w:rsidRPr="00094E6C">
        <w:rPr>
          <w:color w:val="auto"/>
        </w:rPr>
        <w:t>$429.0</w:t>
      </w:r>
      <w:r w:rsidR="001D3D31">
        <w:rPr>
          <w:color w:val="auto"/>
        </w:rPr>
        <w:t xml:space="preserve"> </w:t>
      </w:r>
      <w:r w:rsidR="00094E6C" w:rsidRPr="00094E6C">
        <w:rPr>
          <w:color w:val="auto"/>
        </w:rPr>
        <w:t>m</w:t>
      </w:r>
      <w:r w:rsidR="001D3D31">
        <w:rPr>
          <w:color w:val="auto"/>
        </w:rPr>
        <w:t>illion</w:t>
      </w:r>
      <w:r w:rsidR="00094E6C" w:rsidRPr="00094E6C">
        <w:rPr>
          <w:color w:val="auto"/>
        </w:rPr>
        <w:t>. An improved My Health Record will be easier for both patients and providers to use, driving a more digitally connected healthcare system. Additionally, Government investment of $69.7</w:t>
      </w:r>
      <w:r w:rsidR="001D3D31">
        <w:rPr>
          <w:color w:val="auto"/>
        </w:rPr>
        <w:t xml:space="preserve"> </w:t>
      </w:r>
      <w:r w:rsidR="00094E6C" w:rsidRPr="00094E6C">
        <w:rPr>
          <w:color w:val="auto"/>
        </w:rPr>
        <w:t>m</w:t>
      </w:r>
      <w:r w:rsidR="001D3D31">
        <w:rPr>
          <w:color w:val="auto"/>
        </w:rPr>
        <w:t>illion</w:t>
      </w:r>
      <w:r w:rsidR="00094E6C" w:rsidRPr="00094E6C">
        <w:rPr>
          <w:color w:val="auto"/>
        </w:rPr>
        <w:t xml:space="preserve"> for health delivery modernisation to deliver new digital health services, data improvements and set the foundation for future digital health reforms.</w:t>
      </w:r>
    </w:p>
    <w:p w14:paraId="074DC6F0" w14:textId="77777777" w:rsidR="00094E6C" w:rsidRPr="00094E6C" w:rsidRDefault="00094E6C" w:rsidP="00094E6C">
      <w:pPr>
        <w:rPr>
          <w:color w:val="auto"/>
        </w:rPr>
      </w:pPr>
      <w:r w:rsidRPr="00094E6C">
        <w:rPr>
          <w:color w:val="auto"/>
        </w:rPr>
        <w:t xml:space="preserve">The Intergovernmental Agreement on National Digital Health will also be renewed for 4 years to progress the secure, safe and efficient sharing of information across the health system. </w:t>
      </w:r>
    </w:p>
    <w:p w14:paraId="4DD5A015" w14:textId="77777777" w:rsidR="00094E6C" w:rsidRPr="00AC0838" w:rsidRDefault="00094E6C" w:rsidP="00094E6C">
      <w:pPr>
        <w:rPr>
          <w:rFonts w:ascii="Arial" w:hAnsi="Arial" w:cs="Arial"/>
          <w:i/>
          <w:color w:val="auto"/>
          <w:sz w:val="20"/>
          <w:szCs w:val="20"/>
        </w:rPr>
      </w:pPr>
      <w:r w:rsidRPr="00AC0838">
        <w:rPr>
          <w:rFonts w:ascii="Arial" w:hAnsi="Arial" w:cs="Arial"/>
          <w:i/>
          <w:color w:val="auto"/>
          <w:sz w:val="20"/>
          <w:szCs w:val="20"/>
        </w:rPr>
        <w:t xml:space="preserve">A growing workforce with more doctors, nurses, allied health and aged care workers </w:t>
      </w:r>
    </w:p>
    <w:p w14:paraId="176B16A1" w14:textId="15C0D3AC" w:rsidR="00094E6C" w:rsidRPr="00094E6C" w:rsidRDefault="00094E6C" w:rsidP="00247971">
      <w:pPr>
        <w:spacing w:after="80"/>
        <w:rPr>
          <w:color w:val="auto"/>
        </w:rPr>
      </w:pPr>
      <w:r w:rsidRPr="00094E6C">
        <w:rPr>
          <w:color w:val="auto"/>
        </w:rPr>
        <w:t xml:space="preserve">There is a focus on growing the number of health and </w:t>
      </w:r>
      <w:r w:rsidR="0060451B">
        <w:rPr>
          <w:color w:val="auto"/>
        </w:rPr>
        <w:t xml:space="preserve">aged </w:t>
      </w:r>
      <w:r w:rsidRPr="00094E6C">
        <w:rPr>
          <w:color w:val="auto"/>
        </w:rPr>
        <w:t>care professionals which will see a boost to the remote and rural workforce, the primary care workforce, the aged care workforce and the mental health workforce. This includes $50.2</w:t>
      </w:r>
      <w:r w:rsidR="001D3D31">
        <w:rPr>
          <w:color w:val="auto"/>
        </w:rPr>
        <w:t xml:space="preserve"> </w:t>
      </w:r>
      <w:r w:rsidRPr="00094E6C">
        <w:rPr>
          <w:color w:val="auto"/>
        </w:rPr>
        <w:t>m</w:t>
      </w:r>
      <w:r w:rsidR="001D3D31">
        <w:rPr>
          <w:color w:val="auto"/>
        </w:rPr>
        <w:t>illion</w:t>
      </w:r>
      <w:r w:rsidRPr="00094E6C">
        <w:rPr>
          <w:color w:val="auto"/>
        </w:rPr>
        <w:t xml:space="preserve"> in scholarships for nursing, midwifery, First Nations health and international medical graduates to address current workforce shortages. </w:t>
      </w:r>
    </w:p>
    <w:p w14:paraId="024FDF88" w14:textId="297D382A" w:rsidR="00094E6C" w:rsidRPr="00094E6C" w:rsidRDefault="00094E6C" w:rsidP="00247971">
      <w:pPr>
        <w:spacing w:after="80"/>
        <w:rPr>
          <w:color w:val="auto"/>
        </w:rPr>
      </w:pPr>
      <w:r w:rsidRPr="00094E6C">
        <w:rPr>
          <w:color w:val="auto"/>
        </w:rPr>
        <w:t>Flexible funding for multidisciplinary team-based models of care will be given a boost through a $445.1</w:t>
      </w:r>
      <w:r w:rsidR="001D3D31">
        <w:rPr>
          <w:color w:val="auto"/>
        </w:rPr>
        <w:t xml:space="preserve"> </w:t>
      </w:r>
      <w:r w:rsidRPr="00094E6C">
        <w:rPr>
          <w:color w:val="auto"/>
        </w:rPr>
        <w:t>m</w:t>
      </w:r>
      <w:r w:rsidR="001D3D31">
        <w:rPr>
          <w:color w:val="auto"/>
        </w:rPr>
        <w:t>illion</w:t>
      </w:r>
      <w:r w:rsidRPr="00094E6C">
        <w:rPr>
          <w:color w:val="auto"/>
        </w:rPr>
        <w:t xml:space="preserve"> increase to the Workforce Incentives Program – Practice Stream and $79.4</w:t>
      </w:r>
      <w:r w:rsidR="001D3D31">
        <w:rPr>
          <w:color w:val="auto"/>
        </w:rPr>
        <w:t xml:space="preserve"> </w:t>
      </w:r>
      <w:r w:rsidRPr="00094E6C">
        <w:rPr>
          <w:color w:val="auto"/>
        </w:rPr>
        <w:t>m</w:t>
      </w:r>
      <w:r w:rsidR="001D3D31">
        <w:rPr>
          <w:color w:val="auto"/>
        </w:rPr>
        <w:t>illion</w:t>
      </w:r>
      <w:r w:rsidRPr="00094E6C">
        <w:rPr>
          <w:color w:val="auto"/>
        </w:rPr>
        <w:t xml:space="preserve"> to support Primary Health Networks to commission additional allied health services.</w:t>
      </w:r>
    </w:p>
    <w:p w14:paraId="4D3F0AFE" w14:textId="77777777" w:rsidR="00094E6C" w:rsidRPr="00094E6C" w:rsidRDefault="00094E6C" w:rsidP="00094E6C">
      <w:pPr>
        <w:rPr>
          <w:color w:val="auto"/>
        </w:rPr>
      </w:pPr>
      <w:r w:rsidRPr="00094E6C">
        <w:rPr>
          <w:color w:val="auto"/>
        </w:rPr>
        <w:t>These reforms directly respond to the Strengthening Medicare Taskforce recommendations and deliver on the Government’s commitment to strengthen Medicare both now and into the future. They also align with the Government’s Care and Support Sector agenda and serve to advance women’s workforce participation as well as increase support for low-paid workers. This Budget strikes the balance between alleviating immediate workforce shortages and ensuring the sustainability of the workforce to meet the long term needs of the Australian community.</w:t>
      </w:r>
    </w:p>
    <w:p w14:paraId="0695A106" w14:textId="77777777" w:rsidR="00094E6C" w:rsidRPr="00AC0838" w:rsidRDefault="00094E6C" w:rsidP="00094E6C">
      <w:pPr>
        <w:rPr>
          <w:rFonts w:ascii="Arial" w:hAnsi="Arial" w:cs="Arial"/>
          <w:i/>
          <w:color w:val="auto"/>
          <w:sz w:val="20"/>
          <w:szCs w:val="20"/>
        </w:rPr>
      </w:pPr>
      <w:r w:rsidRPr="00AC0838">
        <w:rPr>
          <w:rFonts w:ascii="Arial" w:hAnsi="Arial" w:cs="Arial"/>
          <w:i/>
          <w:color w:val="auto"/>
          <w:sz w:val="20"/>
          <w:szCs w:val="20"/>
        </w:rPr>
        <w:t>Valuing our nurses and midwives</w:t>
      </w:r>
    </w:p>
    <w:p w14:paraId="354F1921" w14:textId="3684736F" w:rsidR="00094E6C" w:rsidRPr="00094E6C" w:rsidRDefault="00094E6C" w:rsidP="00247971">
      <w:pPr>
        <w:spacing w:after="80"/>
        <w:rPr>
          <w:color w:val="auto"/>
        </w:rPr>
      </w:pPr>
      <w:r w:rsidRPr="00094E6C">
        <w:rPr>
          <w:color w:val="auto"/>
        </w:rPr>
        <w:t>There is a series of measures to unlock the potential of Australia’s nurses, nurse practitioners and midwives. A $46.8</w:t>
      </w:r>
      <w:r w:rsidR="00855CF7">
        <w:rPr>
          <w:color w:val="auto"/>
        </w:rPr>
        <w:t xml:space="preserve"> </w:t>
      </w:r>
      <w:r w:rsidRPr="00094E6C">
        <w:rPr>
          <w:color w:val="auto"/>
        </w:rPr>
        <w:t>m</w:t>
      </w:r>
      <w:r w:rsidR="00855CF7">
        <w:rPr>
          <w:color w:val="auto"/>
        </w:rPr>
        <w:t>illion</w:t>
      </w:r>
      <w:r w:rsidRPr="00094E6C">
        <w:rPr>
          <w:color w:val="auto"/>
        </w:rPr>
        <w:t xml:space="preserve"> package of investments in the 2023–24 Budget will better recognise and utilise the skill of nurses to deliver more services to patients. The Government is committed to creating more work opportunities and building a skilled, diverse, well-distributed and sustainable nursing and </w:t>
      </w:r>
      <w:r w:rsidR="001E1021">
        <w:rPr>
          <w:color w:val="auto"/>
        </w:rPr>
        <w:br/>
      </w:r>
      <w:r w:rsidRPr="00094E6C">
        <w:rPr>
          <w:color w:val="auto"/>
        </w:rPr>
        <w:t>midwifery workforce.</w:t>
      </w:r>
    </w:p>
    <w:p w14:paraId="3683D870" w14:textId="34C2034E" w:rsidR="00094E6C" w:rsidRPr="00094E6C" w:rsidRDefault="00094E6C" w:rsidP="00094E6C">
      <w:pPr>
        <w:rPr>
          <w:color w:val="auto"/>
        </w:rPr>
      </w:pPr>
      <w:r w:rsidRPr="00094E6C">
        <w:rPr>
          <w:color w:val="auto"/>
        </w:rPr>
        <w:t xml:space="preserve">Until now, participating midwives and nurse practitioners needed either a written or recorded collaborative arrangement with a medical practitioner to provide eligible services subsidised through the </w:t>
      </w:r>
      <w:r w:rsidR="001E1021">
        <w:rPr>
          <w:color w:val="auto"/>
        </w:rPr>
        <w:t>Medicare Benefits Schedule (</w:t>
      </w:r>
      <w:r w:rsidRPr="00094E6C">
        <w:rPr>
          <w:color w:val="auto"/>
        </w:rPr>
        <w:t>MBS</w:t>
      </w:r>
      <w:r w:rsidR="001E1021">
        <w:rPr>
          <w:color w:val="auto"/>
        </w:rPr>
        <w:t>)</w:t>
      </w:r>
      <w:r w:rsidRPr="00094E6C">
        <w:rPr>
          <w:color w:val="auto"/>
        </w:rPr>
        <w:t xml:space="preserve"> and </w:t>
      </w:r>
      <w:r w:rsidR="001E1021">
        <w:rPr>
          <w:color w:val="auto"/>
        </w:rPr>
        <w:t>Pharmaceutical Benefits Scheme (</w:t>
      </w:r>
      <w:r w:rsidRPr="00094E6C">
        <w:rPr>
          <w:color w:val="auto"/>
        </w:rPr>
        <w:t>PBS</w:t>
      </w:r>
      <w:r w:rsidR="001E1021">
        <w:rPr>
          <w:color w:val="auto"/>
        </w:rPr>
        <w:t>)</w:t>
      </w:r>
      <w:r w:rsidRPr="00094E6C">
        <w:rPr>
          <w:color w:val="auto"/>
        </w:rPr>
        <w:t xml:space="preserve">. By removing this requirement, nurse practitioner and midwife led care will be made more accessible and affordable. In addition to increasing MBS rebates for standard nurse practitioner attendance items by 30%, this will make working as a participating midwife or nurse practitioner more attractive. </w:t>
      </w:r>
    </w:p>
    <w:p w14:paraId="7B13052B" w14:textId="77777777" w:rsidR="00094E6C" w:rsidRPr="00094E6C" w:rsidRDefault="00094E6C" w:rsidP="00094E6C">
      <w:pPr>
        <w:rPr>
          <w:color w:val="auto"/>
        </w:rPr>
      </w:pPr>
    </w:p>
    <w:p w14:paraId="23BA4393" w14:textId="77777777" w:rsidR="00094E6C" w:rsidRPr="00AC0838" w:rsidRDefault="00094E6C" w:rsidP="00094E6C">
      <w:pPr>
        <w:rPr>
          <w:rFonts w:ascii="Arial" w:hAnsi="Arial" w:cs="Arial"/>
          <w:i/>
          <w:color w:val="auto"/>
          <w:sz w:val="20"/>
          <w:szCs w:val="20"/>
        </w:rPr>
      </w:pPr>
      <w:r w:rsidRPr="00AC0838">
        <w:rPr>
          <w:rFonts w:ascii="Arial" w:hAnsi="Arial" w:cs="Arial"/>
          <w:i/>
          <w:color w:val="auto"/>
          <w:sz w:val="20"/>
          <w:szCs w:val="20"/>
        </w:rPr>
        <w:lastRenderedPageBreak/>
        <w:t>Cheaper medicines and more affordable care</w:t>
      </w:r>
    </w:p>
    <w:p w14:paraId="3BBF291B" w14:textId="21CE766E" w:rsidR="00094E6C" w:rsidRPr="00094E6C" w:rsidRDefault="00094E6C" w:rsidP="00247971">
      <w:pPr>
        <w:spacing w:after="80"/>
        <w:rPr>
          <w:color w:val="auto"/>
        </w:rPr>
      </w:pPr>
      <w:r w:rsidRPr="00094E6C">
        <w:rPr>
          <w:color w:val="auto"/>
        </w:rPr>
        <w:t xml:space="preserve">The Government remains committed to reducing barriers to accessing health care and cutting the cost of medicines, at a time when cost of living pressures are high. </w:t>
      </w:r>
      <w:r w:rsidR="00A01FB9">
        <w:rPr>
          <w:color w:val="auto"/>
        </w:rPr>
        <w:br/>
      </w:r>
      <w:r w:rsidRPr="00094E6C">
        <w:rPr>
          <w:color w:val="auto"/>
        </w:rPr>
        <w:t>Building on investments made in the 2022</w:t>
      </w:r>
      <w:r w:rsidR="00855CF7">
        <w:rPr>
          <w:color w:val="auto"/>
        </w:rPr>
        <w:t>–</w:t>
      </w:r>
      <w:r w:rsidRPr="00094E6C">
        <w:rPr>
          <w:color w:val="auto"/>
        </w:rPr>
        <w:t xml:space="preserve">23 October Budget, this Budget makes historic investment in Strengthening Medicare to improve the affordability of primary care and medicines. </w:t>
      </w:r>
    </w:p>
    <w:p w14:paraId="2F98CE52" w14:textId="77777777" w:rsidR="00094E6C" w:rsidRPr="00094E6C" w:rsidRDefault="00094E6C" w:rsidP="00247971">
      <w:pPr>
        <w:spacing w:after="80"/>
        <w:rPr>
          <w:color w:val="auto"/>
        </w:rPr>
      </w:pPr>
      <w:r w:rsidRPr="00094E6C">
        <w:rPr>
          <w:color w:val="auto"/>
        </w:rPr>
        <w:t xml:space="preserve">As the largest one-off increase to the bulk-billing incentive ever, this Budget is tripling the bulk-billing incentive for the most common consultations with children under the age of 16, pensioners and other concession card holders to ensure primary care is made affordable to those least able to afford it. </w:t>
      </w:r>
    </w:p>
    <w:p w14:paraId="142FEDA4" w14:textId="3D6F6355" w:rsidR="00094E6C" w:rsidRPr="00094E6C" w:rsidRDefault="00094E6C" w:rsidP="00094E6C">
      <w:pPr>
        <w:rPr>
          <w:color w:val="auto"/>
        </w:rPr>
      </w:pPr>
      <w:r w:rsidRPr="00094E6C">
        <w:rPr>
          <w:color w:val="auto"/>
        </w:rPr>
        <w:t xml:space="preserve">This Budget will see the cost of medicines decrease for an estimated 6 million </w:t>
      </w:r>
      <w:r w:rsidR="003E3FC0">
        <w:rPr>
          <w:color w:val="auto"/>
        </w:rPr>
        <w:t>A</w:t>
      </w:r>
      <w:r w:rsidRPr="00094E6C">
        <w:rPr>
          <w:color w:val="auto"/>
        </w:rPr>
        <w:t>ustralians by increa</w:t>
      </w:r>
      <w:r w:rsidR="0060451B">
        <w:rPr>
          <w:color w:val="auto"/>
        </w:rPr>
        <w:t xml:space="preserve">sing the maximum dispensed </w:t>
      </w:r>
      <w:r w:rsidRPr="00094E6C">
        <w:rPr>
          <w:color w:val="auto"/>
        </w:rPr>
        <w:t xml:space="preserve">quantity of over 300 </w:t>
      </w:r>
      <w:r w:rsidR="003E3FC0">
        <w:rPr>
          <w:color w:val="auto"/>
        </w:rPr>
        <w:t xml:space="preserve">PBS </w:t>
      </w:r>
      <w:r w:rsidRPr="00094E6C">
        <w:rPr>
          <w:color w:val="auto"/>
        </w:rPr>
        <w:t xml:space="preserve">medicines, funding new programs to support pharmacists to work to their full scope of practice and supporting more Australians to access affordable clinical services through community pharmacy. </w:t>
      </w:r>
    </w:p>
    <w:p w14:paraId="0DBC7BDB" w14:textId="77777777" w:rsidR="00094E6C" w:rsidRPr="00AC0838" w:rsidRDefault="00094E6C" w:rsidP="00AC0838">
      <w:pPr>
        <w:spacing w:before="120"/>
        <w:rPr>
          <w:rFonts w:ascii="Arial" w:hAnsi="Arial" w:cs="Arial"/>
          <w:b/>
          <w:i/>
          <w:color w:val="auto"/>
        </w:rPr>
      </w:pPr>
      <w:r w:rsidRPr="00AC0838">
        <w:rPr>
          <w:rFonts w:ascii="Arial" w:hAnsi="Arial" w:cs="Arial"/>
          <w:b/>
          <w:i/>
          <w:color w:val="auto"/>
        </w:rPr>
        <w:t>Supporting the mental health of Australians</w:t>
      </w:r>
    </w:p>
    <w:p w14:paraId="12E83AC8" w14:textId="11228045" w:rsidR="00094E6C" w:rsidRPr="00094E6C" w:rsidRDefault="00094E6C" w:rsidP="00247971">
      <w:pPr>
        <w:spacing w:after="80"/>
        <w:rPr>
          <w:color w:val="auto"/>
        </w:rPr>
      </w:pPr>
      <w:r w:rsidRPr="00094E6C">
        <w:rPr>
          <w:color w:val="auto"/>
        </w:rPr>
        <w:t>The Government is committed to ensuring all Australians can access affordable mental health and suicide prevention supports when and where they need it. The Government is investing $586.9</w:t>
      </w:r>
      <w:r w:rsidR="00855CF7">
        <w:rPr>
          <w:color w:val="auto"/>
        </w:rPr>
        <w:t xml:space="preserve"> </w:t>
      </w:r>
      <w:r w:rsidRPr="00094E6C">
        <w:rPr>
          <w:color w:val="auto"/>
        </w:rPr>
        <w:t>m</w:t>
      </w:r>
      <w:r w:rsidR="00855CF7">
        <w:rPr>
          <w:color w:val="auto"/>
        </w:rPr>
        <w:t>illion</w:t>
      </w:r>
      <w:r w:rsidRPr="00094E6C">
        <w:rPr>
          <w:color w:val="auto"/>
        </w:rPr>
        <w:t xml:space="preserve"> to set the pathway for future reform of the mental health and suicide prevention system, including through strengthening the mental health and suicide prevention workforce. </w:t>
      </w:r>
    </w:p>
    <w:p w14:paraId="7223C34D" w14:textId="7980E53E" w:rsidR="00094E6C" w:rsidRPr="00094E6C" w:rsidRDefault="00094E6C" w:rsidP="00094E6C">
      <w:pPr>
        <w:rPr>
          <w:color w:val="auto"/>
        </w:rPr>
      </w:pPr>
      <w:r w:rsidRPr="00094E6C">
        <w:rPr>
          <w:color w:val="auto"/>
        </w:rPr>
        <w:t xml:space="preserve">The Government’s mental health and suicide prevention package also ensures continuity of critical mental health and suicide prevention supports and addresses urgent gaps in support to ensure access and equity for all, including </w:t>
      </w:r>
      <w:r w:rsidR="003E3FC0">
        <w:rPr>
          <w:color w:val="auto"/>
        </w:rPr>
        <w:br/>
      </w:r>
      <w:r w:rsidRPr="00094E6C">
        <w:rPr>
          <w:color w:val="auto"/>
        </w:rPr>
        <w:t>priority populations.</w:t>
      </w:r>
    </w:p>
    <w:p w14:paraId="61084719" w14:textId="77777777" w:rsidR="00094E6C" w:rsidRPr="00AC0838" w:rsidRDefault="00094E6C" w:rsidP="00094E6C">
      <w:pPr>
        <w:rPr>
          <w:rFonts w:ascii="Arial" w:hAnsi="Arial" w:cs="Arial"/>
          <w:b/>
          <w:i/>
          <w:color w:val="auto"/>
        </w:rPr>
      </w:pPr>
      <w:r w:rsidRPr="00AC0838">
        <w:rPr>
          <w:rFonts w:ascii="Arial" w:hAnsi="Arial" w:cs="Arial"/>
          <w:b/>
          <w:i/>
          <w:color w:val="auto"/>
        </w:rPr>
        <w:t xml:space="preserve">Safeguarding Australians through preventive health </w:t>
      </w:r>
    </w:p>
    <w:p w14:paraId="159C7A1A" w14:textId="2A4E0DCE" w:rsidR="00094E6C" w:rsidRPr="00094E6C" w:rsidRDefault="00094E6C" w:rsidP="00145199">
      <w:pPr>
        <w:spacing w:after="80"/>
        <w:rPr>
          <w:color w:val="auto"/>
        </w:rPr>
      </w:pPr>
      <w:r w:rsidRPr="00094E6C">
        <w:rPr>
          <w:color w:val="auto"/>
        </w:rPr>
        <w:t>The Government is investing a further $90.9</w:t>
      </w:r>
      <w:r w:rsidR="00855CF7">
        <w:rPr>
          <w:color w:val="auto"/>
        </w:rPr>
        <w:t xml:space="preserve"> </w:t>
      </w:r>
      <w:r w:rsidRPr="00094E6C">
        <w:rPr>
          <w:color w:val="auto"/>
        </w:rPr>
        <w:t>m</w:t>
      </w:r>
      <w:r w:rsidR="00855CF7">
        <w:rPr>
          <w:color w:val="auto"/>
        </w:rPr>
        <w:t>illion</w:t>
      </w:r>
      <w:r w:rsidRPr="00094E6C">
        <w:rPr>
          <w:color w:val="auto"/>
        </w:rPr>
        <w:t xml:space="preserve"> to establish an Australian Centre for Disease Control, to help detect, prevent and respond to current and emerging health threats. </w:t>
      </w:r>
    </w:p>
    <w:p w14:paraId="2F050021" w14:textId="00F233AD" w:rsidR="00094E6C" w:rsidRPr="00094E6C" w:rsidRDefault="00094E6C" w:rsidP="00145199">
      <w:pPr>
        <w:spacing w:after="80"/>
        <w:rPr>
          <w:color w:val="auto"/>
        </w:rPr>
      </w:pPr>
      <w:r w:rsidRPr="00094E6C">
        <w:rPr>
          <w:color w:val="auto"/>
        </w:rPr>
        <w:t>A prevention and early intervention approach to health and wellbeing saves and extends lives, and ensures the highest value use of the healthcare budget. Almost one in every two Australians suffer</w:t>
      </w:r>
      <w:r w:rsidR="00283006">
        <w:rPr>
          <w:color w:val="auto"/>
        </w:rPr>
        <w:t>s</w:t>
      </w:r>
      <w:r w:rsidRPr="00094E6C">
        <w:rPr>
          <w:color w:val="auto"/>
        </w:rPr>
        <w:t xml:space="preserve"> from a chronic condition that is potentially preventable. </w:t>
      </w:r>
    </w:p>
    <w:p w14:paraId="2C0C4B3B" w14:textId="1E6F15D4" w:rsidR="00094E6C" w:rsidRPr="00094E6C" w:rsidRDefault="00094E6C" w:rsidP="00094E6C">
      <w:pPr>
        <w:rPr>
          <w:color w:val="auto"/>
        </w:rPr>
      </w:pPr>
      <w:r w:rsidRPr="00094E6C">
        <w:rPr>
          <w:color w:val="auto"/>
        </w:rPr>
        <w:t xml:space="preserve">The Government is enhancing preventive health action, including investing </w:t>
      </w:r>
      <w:r w:rsidR="003E3FC0">
        <w:rPr>
          <w:color w:val="auto"/>
        </w:rPr>
        <w:br/>
      </w:r>
      <w:r w:rsidRPr="00094E6C">
        <w:rPr>
          <w:color w:val="auto"/>
        </w:rPr>
        <w:t>$3.2</w:t>
      </w:r>
      <w:r w:rsidR="00855CF7">
        <w:rPr>
          <w:color w:val="auto"/>
        </w:rPr>
        <w:t xml:space="preserve"> </w:t>
      </w:r>
      <w:r w:rsidRPr="00094E6C">
        <w:rPr>
          <w:color w:val="auto"/>
        </w:rPr>
        <w:t>m</w:t>
      </w:r>
      <w:r w:rsidR="00855CF7">
        <w:rPr>
          <w:color w:val="auto"/>
        </w:rPr>
        <w:t>illion</w:t>
      </w:r>
      <w:r w:rsidRPr="00094E6C">
        <w:rPr>
          <w:color w:val="auto"/>
        </w:rPr>
        <w:t xml:space="preserve"> in consumer supports for healthy eating, $6.3</w:t>
      </w:r>
      <w:r w:rsidR="00855CF7">
        <w:rPr>
          <w:color w:val="auto"/>
        </w:rPr>
        <w:t xml:space="preserve"> </w:t>
      </w:r>
      <w:r w:rsidRPr="00094E6C">
        <w:rPr>
          <w:color w:val="auto"/>
        </w:rPr>
        <w:t>m</w:t>
      </w:r>
      <w:r w:rsidR="00855CF7">
        <w:rPr>
          <w:color w:val="auto"/>
        </w:rPr>
        <w:t>illion</w:t>
      </w:r>
      <w:r w:rsidRPr="00094E6C">
        <w:rPr>
          <w:color w:val="auto"/>
        </w:rPr>
        <w:t xml:space="preserve"> to enhance data and research to inform policy and $24.7</w:t>
      </w:r>
      <w:r w:rsidR="00855CF7">
        <w:rPr>
          <w:color w:val="auto"/>
        </w:rPr>
        <w:t xml:space="preserve"> </w:t>
      </w:r>
      <w:r w:rsidRPr="00094E6C">
        <w:rPr>
          <w:color w:val="auto"/>
        </w:rPr>
        <w:t>m</w:t>
      </w:r>
      <w:r w:rsidR="00855CF7">
        <w:rPr>
          <w:color w:val="auto"/>
        </w:rPr>
        <w:t>illion</w:t>
      </w:r>
      <w:r w:rsidRPr="00094E6C">
        <w:rPr>
          <w:color w:val="auto"/>
        </w:rPr>
        <w:t xml:space="preserve"> creating inclusive and healthy communities through promoting physical activity and harnessing the Green and Gold Decade of Sport and develop</w:t>
      </w:r>
      <w:r w:rsidR="00AC0838">
        <w:rPr>
          <w:color w:val="auto"/>
        </w:rPr>
        <w:t xml:space="preserve">ing a new National Sport Plan. </w:t>
      </w:r>
    </w:p>
    <w:p w14:paraId="6EAEDB97" w14:textId="77777777" w:rsidR="00094E6C" w:rsidRPr="00094E6C" w:rsidRDefault="00094E6C" w:rsidP="00AC0838">
      <w:pPr>
        <w:spacing w:before="120"/>
        <w:rPr>
          <w:color w:val="auto"/>
        </w:rPr>
      </w:pPr>
      <w:r w:rsidRPr="00AC0838">
        <w:rPr>
          <w:rFonts w:ascii="Arial" w:hAnsi="Arial" w:cs="Arial"/>
          <w:b/>
          <w:i/>
          <w:color w:val="auto"/>
        </w:rPr>
        <w:t>Tacking action on smoking and vaping</w:t>
      </w:r>
    </w:p>
    <w:p w14:paraId="452B22CC" w14:textId="222423F8" w:rsidR="00094E6C" w:rsidRPr="00094E6C" w:rsidRDefault="00094E6C" w:rsidP="00145199">
      <w:pPr>
        <w:spacing w:after="80"/>
        <w:rPr>
          <w:color w:val="auto"/>
        </w:rPr>
      </w:pPr>
      <w:r w:rsidRPr="00094E6C">
        <w:rPr>
          <w:color w:val="auto"/>
        </w:rPr>
        <w:t>The 2023–24 Budget invests $247.4</w:t>
      </w:r>
      <w:r w:rsidR="00855CF7">
        <w:rPr>
          <w:color w:val="auto"/>
        </w:rPr>
        <w:t xml:space="preserve"> </w:t>
      </w:r>
      <w:r w:rsidRPr="00094E6C">
        <w:rPr>
          <w:color w:val="auto"/>
        </w:rPr>
        <w:t>m</w:t>
      </w:r>
      <w:r w:rsidR="00855CF7">
        <w:rPr>
          <w:color w:val="auto"/>
        </w:rPr>
        <w:t>illion</w:t>
      </w:r>
      <w:r w:rsidRPr="00094E6C">
        <w:rPr>
          <w:color w:val="auto"/>
        </w:rPr>
        <w:t xml:space="preserve"> in action to reduce smoking and vaping rates, both of which lead to nicotine addiction and poorer health. The Government will invest in new education measures and support to discourage Australians from taking up smoking and vaping, and encouraging more people to quit. The Government is also </w:t>
      </w:r>
      <w:r w:rsidRPr="00094E6C">
        <w:rPr>
          <w:color w:val="auto"/>
        </w:rPr>
        <w:lastRenderedPageBreak/>
        <w:t xml:space="preserve">extending the Tackling Indigenous Smoking program to </w:t>
      </w:r>
      <w:r w:rsidR="00145199">
        <w:rPr>
          <w:color w:val="auto"/>
        </w:rPr>
        <w:t>reduce the use of tobacco and e-</w:t>
      </w:r>
      <w:r w:rsidRPr="00094E6C">
        <w:rPr>
          <w:color w:val="auto"/>
        </w:rPr>
        <w:t>cigarettes among First Nations people.</w:t>
      </w:r>
    </w:p>
    <w:p w14:paraId="22E2B82A" w14:textId="3DF65D17" w:rsidR="00094E6C" w:rsidRPr="00094E6C" w:rsidRDefault="00094E6C" w:rsidP="00094E6C">
      <w:pPr>
        <w:rPr>
          <w:color w:val="auto"/>
        </w:rPr>
      </w:pPr>
      <w:r w:rsidRPr="00094E6C">
        <w:rPr>
          <w:color w:val="auto"/>
        </w:rPr>
        <w:t xml:space="preserve">The Government is also investing in a new National Lung Cancer Screening Program to provide screening to eligible current and former smokers, saving thousands of lives through early diagnosis and treatment. From July 2025, eligible Australians aged between 50 and 70 years with a history of cigarette smoking, can have scans every two years, including through mobile screening services for some regional areas. The new program will be co-designed with First Nations Australians to ensure it is accessible </w:t>
      </w:r>
      <w:r w:rsidR="00283006">
        <w:rPr>
          <w:color w:val="auto"/>
        </w:rPr>
        <w:t>to</w:t>
      </w:r>
      <w:r w:rsidRPr="00094E6C">
        <w:rPr>
          <w:color w:val="auto"/>
        </w:rPr>
        <w:t xml:space="preserve"> those most at risk of lung cancer. </w:t>
      </w:r>
    </w:p>
    <w:p w14:paraId="6EBFE4BE" w14:textId="77777777" w:rsidR="00094E6C" w:rsidRPr="00AC0838" w:rsidRDefault="00094E6C" w:rsidP="00094E6C">
      <w:pPr>
        <w:rPr>
          <w:rFonts w:ascii="Arial" w:hAnsi="Arial" w:cs="Arial"/>
          <w:b/>
          <w:i/>
          <w:color w:val="auto"/>
        </w:rPr>
      </w:pPr>
      <w:r w:rsidRPr="00AC0838">
        <w:rPr>
          <w:rFonts w:ascii="Arial" w:hAnsi="Arial" w:cs="Arial"/>
          <w:b/>
          <w:i/>
          <w:color w:val="auto"/>
        </w:rPr>
        <w:t>Strengthening First Nations Health</w:t>
      </w:r>
    </w:p>
    <w:p w14:paraId="52B743C9" w14:textId="6C866664" w:rsidR="00094E6C" w:rsidRPr="00094E6C" w:rsidRDefault="00094E6C" w:rsidP="00094E6C">
      <w:pPr>
        <w:rPr>
          <w:color w:val="auto"/>
        </w:rPr>
      </w:pPr>
      <w:r w:rsidRPr="00094E6C">
        <w:rPr>
          <w:color w:val="auto"/>
        </w:rPr>
        <w:t>The Government continues to invest in measures to close the gap in health and wellbeing outcomes for First Nations peoples. Building on the significant</w:t>
      </w:r>
      <w:r w:rsidR="00855CF7">
        <w:rPr>
          <w:color w:val="auto"/>
        </w:rPr>
        <w:t xml:space="preserve"> investment in the 2022–</w:t>
      </w:r>
      <w:r w:rsidRPr="00094E6C">
        <w:rPr>
          <w:color w:val="auto"/>
        </w:rPr>
        <w:t xml:space="preserve">23 </w:t>
      </w:r>
      <w:r w:rsidR="00145199">
        <w:rPr>
          <w:color w:val="auto"/>
        </w:rPr>
        <w:t xml:space="preserve">October </w:t>
      </w:r>
      <w:r w:rsidRPr="00094E6C">
        <w:rPr>
          <w:color w:val="auto"/>
        </w:rPr>
        <w:t>Budget, this Budget invests $818.5</w:t>
      </w:r>
      <w:r w:rsidR="00855CF7">
        <w:rPr>
          <w:color w:val="auto"/>
        </w:rPr>
        <w:t xml:space="preserve"> </w:t>
      </w:r>
      <w:r w:rsidRPr="00094E6C">
        <w:rPr>
          <w:color w:val="auto"/>
        </w:rPr>
        <w:t>m</w:t>
      </w:r>
      <w:r w:rsidR="00855CF7">
        <w:rPr>
          <w:color w:val="auto"/>
        </w:rPr>
        <w:t>illion</w:t>
      </w:r>
      <w:r w:rsidRPr="00094E6C">
        <w:rPr>
          <w:color w:val="auto"/>
        </w:rPr>
        <w:t xml:space="preserve"> in: early intervention and education programs to reduce smoking and vaping rates and to increase the </w:t>
      </w:r>
      <w:r w:rsidR="00283006">
        <w:rPr>
          <w:color w:val="auto"/>
        </w:rPr>
        <w:t>uptake of regular health checks,</w:t>
      </w:r>
      <w:r w:rsidRPr="00094E6C">
        <w:rPr>
          <w:color w:val="auto"/>
        </w:rPr>
        <w:t xml:space="preserve"> preventive health measures to minimise the impacts of COVID-19 on First Nations people living in remote communit</w:t>
      </w:r>
      <w:r w:rsidR="00283006">
        <w:rPr>
          <w:color w:val="auto"/>
        </w:rPr>
        <w:t>ies,</w:t>
      </w:r>
      <w:r w:rsidRPr="00094E6C">
        <w:rPr>
          <w:color w:val="auto"/>
        </w:rPr>
        <w:t xml:space="preserve"> along with measures to improve access to aged care, renal and cancer care services for First Nations peoples. This is the biggest ever investment in cancer screening, prevention, control and treatment for First Nations people in any budget.</w:t>
      </w:r>
    </w:p>
    <w:p w14:paraId="5BB04C1C" w14:textId="77777777" w:rsidR="00094E6C" w:rsidRPr="00AC0838" w:rsidRDefault="00094E6C" w:rsidP="00094E6C">
      <w:pPr>
        <w:rPr>
          <w:rFonts w:ascii="Arial" w:hAnsi="Arial" w:cs="Arial"/>
          <w:b/>
          <w:i/>
          <w:color w:val="auto"/>
        </w:rPr>
      </w:pPr>
      <w:r w:rsidRPr="00AC0838">
        <w:rPr>
          <w:rFonts w:ascii="Arial" w:hAnsi="Arial" w:cs="Arial"/>
          <w:b/>
          <w:i/>
          <w:color w:val="auto"/>
        </w:rPr>
        <w:t>Restoring dignity to aged care</w:t>
      </w:r>
    </w:p>
    <w:p w14:paraId="1564C310" w14:textId="77777777" w:rsidR="00094E6C" w:rsidRPr="00094E6C" w:rsidRDefault="00094E6C" w:rsidP="00145199">
      <w:pPr>
        <w:spacing w:after="80"/>
        <w:rPr>
          <w:color w:val="auto"/>
        </w:rPr>
      </w:pPr>
      <w:r w:rsidRPr="00094E6C">
        <w:rPr>
          <w:color w:val="auto"/>
        </w:rPr>
        <w:t>This Budget continues the Government’s commitment to restore dignity to aged care and ensure older Australians receive the care they need and deserve. The Government continues to address recommendations of the Royal Commission into Aged Care Quality and Safety.</w:t>
      </w:r>
    </w:p>
    <w:p w14:paraId="559BFE13" w14:textId="47580364" w:rsidR="00094E6C" w:rsidRPr="00094E6C" w:rsidRDefault="00094E6C" w:rsidP="00145199">
      <w:pPr>
        <w:spacing w:after="80"/>
        <w:rPr>
          <w:color w:val="auto"/>
        </w:rPr>
      </w:pPr>
      <w:r w:rsidRPr="00094E6C">
        <w:rPr>
          <w:color w:val="auto"/>
        </w:rPr>
        <w:t>The Budget includes funding of $11.3</w:t>
      </w:r>
      <w:r w:rsidR="00855CF7">
        <w:rPr>
          <w:color w:val="auto"/>
        </w:rPr>
        <w:t xml:space="preserve"> </w:t>
      </w:r>
      <w:r w:rsidRPr="00094E6C">
        <w:rPr>
          <w:color w:val="auto"/>
        </w:rPr>
        <w:t>b</w:t>
      </w:r>
      <w:r w:rsidR="00855CF7">
        <w:rPr>
          <w:color w:val="auto"/>
        </w:rPr>
        <w:t>illio</w:t>
      </w:r>
      <w:r w:rsidRPr="00094E6C">
        <w:rPr>
          <w:color w:val="auto"/>
        </w:rPr>
        <w:t>n to deliver the largest ever pay rise for aged care workers. Funding an award wage increase of 15%</w:t>
      </w:r>
      <w:r w:rsidR="003E3FC0">
        <w:rPr>
          <w:color w:val="auto"/>
        </w:rPr>
        <w:t xml:space="preserve"> </w:t>
      </w:r>
      <w:r w:rsidRPr="00094E6C">
        <w:rPr>
          <w:color w:val="auto"/>
        </w:rPr>
        <w:t>for the aged care workforce will recognise the value of care work and improve the quality of care by supporting the sector to recruit and retain staff.</w:t>
      </w:r>
    </w:p>
    <w:p w14:paraId="5C6F00C2" w14:textId="22C47008" w:rsidR="00094E6C" w:rsidRPr="00094E6C" w:rsidRDefault="00094E6C" w:rsidP="00094E6C">
      <w:pPr>
        <w:rPr>
          <w:color w:val="auto"/>
        </w:rPr>
      </w:pPr>
      <w:r w:rsidRPr="00094E6C">
        <w:rPr>
          <w:color w:val="auto"/>
        </w:rPr>
        <w:t>It also includes funding of $487.0</w:t>
      </w:r>
      <w:r w:rsidR="00855CF7">
        <w:rPr>
          <w:color w:val="auto"/>
        </w:rPr>
        <w:t xml:space="preserve"> </w:t>
      </w:r>
      <w:r w:rsidRPr="00094E6C">
        <w:rPr>
          <w:color w:val="auto"/>
        </w:rPr>
        <w:t>m</w:t>
      </w:r>
      <w:r w:rsidR="00855CF7">
        <w:rPr>
          <w:color w:val="auto"/>
        </w:rPr>
        <w:t>illion</w:t>
      </w:r>
      <w:r w:rsidRPr="00094E6C">
        <w:rPr>
          <w:color w:val="auto"/>
        </w:rPr>
        <w:t xml:space="preserve"> to extend the Disability Support for Older Australians Program, $15.7</w:t>
      </w:r>
      <w:r w:rsidR="00855CF7">
        <w:rPr>
          <w:color w:val="auto"/>
        </w:rPr>
        <w:t xml:space="preserve"> </w:t>
      </w:r>
      <w:r w:rsidRPr="00094E6C">
        <w:rPr>
          <w:color w:val="auto"/>
        </w:rPr>
        <w:t>m</w:t>
      </w:r>
      <w:r w:rsidR="00855CF7">
        <w:rPr>
          <w:color w:val="auto"/>
        </w:rPr>
        <w:t>illion</w:t>
      </w:r>
      <w:r w:rsidRPr="00094E6C">
        <w:rPr>
          <w:color w:val="auto"/>
        </w:rPr>
        <w:t xml:space="preserve"> to establish a new comprehensive single assessment system and $166.8</w:t>
      </w:r>
      <w:r w:rsidR="00855CF7">
        <w:rPr>
          <w:color w:val="auto"/>
        </w:rPr>
        <w:t xml:space="preserve"> </w:t>
      </w:r>
      <w:r w:rsidRPr="00094E6C">
        <w:rPr>
          <w:color w:val="auto"/>
        </w:rPr>
        <w:t>m</w:t>
      </w:r>
      <w:r w:rsidR="00855CF7">
        <w:rPr>
          <w:color w:val="auto"/>
        </w:rPr>
        <w:t>illion</w:t>
      </w:r>
      <w:r w:rsidRPr="00094E6C">
        <w:rPr>
          <w:color w:val="auto"/>
        </w:rPr>
        <w:t xml:space="preserve"> for an additional 9,500 Home Care Packages. Additionally, the aged care regulatory framework will be strengthened with $59.4</w:t>
      </w:r>
      <w:r w:rsidR="00855CF7">
        <w:rPr>
          <w:color w:val="auto"/>
        </w:rPr>
        <w:t xml:space="preserve"> </w:t>
      </w:r>
      <w:r w:rsidRPr="00094E6C">
        <w:rPr>
          <w:color w:val="auto"/>
        </w:rPr>
        <w:t>m</w:t>
      </w:r>
      <w:r w:rsidR="00855CF7">
        <w:rPr>
          <w:color w:val="auto"/>
        </w:rPr>
        <w:t>illion</w:t>
      </w:r>
      <w:r w:rsidRPr="00094E6C">
        <w:rPr>
          <w:color w:val="auto"/>
        </w:rPr>
        <w:t xml:space="preserve"> to establish a six-month Aged Care Taskforce. </w:t>
      </w:r>
    </w:p>
    <w:p w14:paraId="6AA3861E" w14:textId="77777777" w:rsidR="00D63C2C" w:rsidRDefault="00D63C2C" w:rsidP="000D22DB">
      <w:pPr>
        <w:rPr>
          <w:rFonts w:ascii="Arial Bold" w:hAnsi="Arial Bold"/>
          <w:b/>
          <w:sz w:val="22"/>
        </w:rPr>
      </w:pPr>
      <w:r>
        <w:rPr>
          <w:rFonts w:ascii="Arial Bold" w:hAnsi="Arial Bold"/>
          <w:b/>
          <w:sz w:val="22"/>
        </w:rPr>
        <w:br w:type="page"/>
      </w:r>
    </w:p>
    <w:p w14:paraId="1E5D2C21" w14:textId="77777777" w:rsidR="00D96B2A" w:rsidRPr="00D96B2A" w:rsidRDefault="00D96B2A" w:rsidP="000D22DB">
      <w:pPr>
        <w:pStyle w:val="Heading3"/>
      </w:pPr>
      <w:r w:rsidRPr="00D96B2A">
        <w:lastRenderedPageBreak/>
        <w:t>1.2</w:t>
      </w:r>
      <w:r w:rsidRPr="00D96B2A">
        <w:tab/>
        <w:t>Entity resource statement</w:t>
      </w:r>
      <w:bookmarkEnd w:id="0"/>
      <w:bookmarkEnd w:id="1"/>
    </w:p>
    <w:p w14:paraId="7772B1CC" w14:textId="77777777" w:rsidR="00D96B2A" w:rsidRPr="00D96B2A" w:rsidRDefault="00D96B2A" w:rsidP="000D22DB">
      <w:r w:rsidRPr="00D96B2A">
        <w:t>Table 1.1 shows the total funding from all sources available to the entity for its operations and to deliver programs and services on behalf of the Government.</w:t>
      </w:r>
    </w:p>
    <w:p w14:paraId="061BC7B7" w14:textId="77777777" w:rsidR="00D96B2A" w:rsidRPr="00D96B2A" w:rsidRDefault="00D96B2A" w:rsidP="000D22DB">
      <w:r w:rsidRPr="00D96B2A">
        <w:t>The table summarises how resources will be applied by outcome (government strategic policy objectives) and by administered (on behalf of the Government or the public) and departmental (for the entity’s operations) classification.</w:t>
      </w:r>
    </w:p>
    <w:p w14:paraId="72C95A78" w14:textId="77777777" w:rsidR="00D96B2A" w:rsidRPr="00D96B2A" w:rsidRDefault="00D96B2A" w:rsidP="000D22DB">
      <w:r w:rsidRPr="00D96B2A">
        <w:t xml:space="preserve">For more detailed information on special accounts and special appropriations, please refer to the October </w:t>
      </w:r>
      <w:r w:rsidRPr="00D96B2A">
        <w:rPr>
          <w:i/>
        </w:rPr>
        <w:t>Budget Paper No. 4 – Agency Resourcing</w:t>
      </w:r>
      <w:r w:rsidRPr="00D96B2A">
        <w:t>.</w:t>
      </w:r>
    </w:p>
    <w:p w14:paraId="31A0A721" w14:textId="50563471" w:rsidR="00D96B2A" w:rsidRDefault="00D96B2A" w:rsidP="000D22DB">
      <w:r w:rsidRPr="00D96B2A">
        <w:t>Information in this table is presented on a resourcing (that is, appropriations/cash available) basis, whilst the ‘Budgeted expenses by Outcome X’ tables in Section 2 and the financial statements in Section 3 are presented on an accrual basis.</w:t>
      </w:r>
    </w:p>
    <w:p w14:paraId="1626BAFB" w14:textId="2834487A" w:rsidR="008C3C13" w:rsidRPr="008C3C13" w:rsidRDefault="008C3C13" w:rsidP="009B3A6C">
      <w:pPr>
        <w:pStyle w:val="Heading4"/>
        <w:spacing w:before="120"/>
      </w:pPr>
      <w:r w:rsidRPr="008C3C13">
        <w:t>Changes to indexation framework for various programs</w:t>
      </w:r>
    </w:p>
    <w:p w14:paraId="1413F56D" w14:textId="719165F3" w:rsidR="008C3C13" w:rsidRDefault="008C3C13" w:rsidP="000D22DB">
      <w:r>
        <w:t>The indexation framework for programs indexed by Wage Cost Indices, including for government supported services, has been updated to better align with wages and prices movements.</w:t>
      </w:r>
    </w:p>
    <w:p w14:paraId="07CB4443" w14:textId="7E029665" w:rsidR="008C3C13" w:rsidRDefault="008C3C13" w:rsidP="000D22DB">
      <w:r>
        <w:t>Increased funding has been provided to the following programs:</w:t>
      </w:r>
    </w:p>
    <w:p w14:paraId="6B56277D" w14:textId="3374DD82" w:rsidR="008C3C13" w:rsidRPr="008C3C13" w:rsidRDefault="008C3C13" w:rsidP="008C3C13">
      <w:pPr>
        <w:spacing w:after="0"/>
      </w:pPr>
      <w:r w:rsidRPr="008C3C13">
        <w:t>Program 1.1</w:t>
      </w:r>
      <w:r w:rsidR="001C6D8C">
        <w:t>:</w:t>
      </w:r>
      <w:r w:rsidRPr="008C3C13">
        <w:t xml:space="preserve"> Health Research, Coordination and Access</w:t>
      </w:r>
    </w:p>
    <w:p w14:paraId="1C417D18" w14:textId="2E6EF0EF" w:rsidR="008C3C13" w:rsidRPr="008C3C13" w:rsidRDefault="008C3C13" w:rsidP="008C3C13">
      <w:pPr>
        <w:spacing w:after="0"/>
      </w:pPr>
      <w:r w:rsidRPr="008C3C13">
        <w:t>Program 1.2</w:t>
      </w:r>
      <w:r w:rsidR="001C6D8C">
        <w:t>:</w:t>
      </w:r>
      <w:r w:rsidRPr="008C3C13">
        <w:t xml:space="preserve"> Mental Health</w:t>
      </w:r>
    </w:p>
    <w:p w14:paraId="256B1BC1" w14:textId="0E9D7B30" w:rsidR="008C3C13" w:rsidRPr="008C3C13" w:rsidRDefault="008C3C13" w:rsidP="008C3C13">
      <w:pPr>
        <w:spacing w:after="0"/>
      </w:pPr>
      <w:r w:rsidRPr="008C3C13">
        <w:t>Program 1.3</w:t>
      </w:r>
      <w:r w:rsidR="001C6D8C">
        <w:t>:</w:t>
      </w:r>
      <w:r w:rsidRPr="008C3C13">
        <w:t xml:space="preserve"> First Nations Health</w:t>
      </w:r>
    </w:p>
    <w:p w14:paraId="14F751B6" w14:textId="3FD66608" w:rsidR="008C3C13" w:rsidRPr="008C3C13" w:rsidRDefault="008C3C13" w:rsidP="008C3C13">
      <w:pPr>
        <w:spacing w:after="0"/>
      </w:pPr>
      <w:r w:rsidRPr="008C3C13">
        <w:t>Program 1.4</w:t>
      </w:r>
      <w:r w:rsidR="001C6D8C">
        <w:t>:</w:t>
      </w:r>
      <w:r w:rsidRPr="008C3C13">
        <w:t xml:space="preserve"> Health Workforce</w:t>
      </w:r>
    </w:p>
    <w:p w14:paraId="48E8FADB" w14:textId="22C1F1A5" w:rsidR="008C3C13" w:rsidRPr="008C3C13" w:rsidRDefault="008C3C13" w:rsidP="008C3C13">
      <w:pPr>
        <w:spacing w:after="0"/>
      </w:pPr>
      <w:r w:rsidRPr="008C3C13">
        <w:t>Program 1.5</w:t>
      </w:r>
      <w:r w:rsidR="001C6D8C">
        <w:t>:</w:t>
      </w:r>
      <w:r w:rsidRPr="008C3C13">
        <w:t xml:space="preserve"> Preventive Health and Chronic Disease Support</w:t>
      </w:r>
    </w:p>
    <w:p w14:paraId="489D764F" w14:textId="07DA67B2" w:rsidR="008C3C13" w:rsidRPr="008C3C13" w:rsidRDefault="008C3C13" w:rsidP="008C3C13">
      <w:pPr>
        <w:spacing w:after="0"/>
      </w:pPr>
      <w:r w:rsidRPr="008C3C13">
        <w:t>Program 1.6</w:t>
      </w:r>
      <w:r w:rsidR="001C6D8C">
        <w:t>:</w:t>
      </w:r>
      <w:r w:rsidRPr="008C3C13">
        <w:t xml:space="preserve"> Primary Health Care Quality and Coordination</w:t>
      </w:r>
    </w:p>
    <w:p w14:paraId="2BC2295D" w14:textId="631FFC74" w:rsidR="008C3C13" w:rsidRPr="008C3C13" w:rsidRDefault="008C3C13" w:rsidP="008C3C13">
      <w:pPr>
        <w:spacing w:after="0"/>
      </w:pPr>
      <w:r w:rsidRPr="008C3C13">
        <w:t>Program 1.7</w:t>
      </w:r>
      <w:r w:rsidR="001C6D8C">
        <w:t>:</w:t>
      </w:r>
      <w:r w:rsidRPr="008C3C13">
        <w:t xml:space="preserve"> Primary Care Practice Incentives and Medical Indemnity</w:t>
      </w:r>
    </w:p>
    <w:p w14:paraId="3ECBC3D0" w14:textId="29582FDB" w:rsidR="008C3C13" w:rsidRPr="008C3C13" w:rsidRDefault="008C3C13" w:rsidP="008C3C13">
      <w:pPr>
        <w:spacing w:after="0"/>
      </w:pPr>
      <w:r w:rsidRPr="008C3C13">
        <w:t>Program 1.8</w:t>
      </w:r>
      <w:r w:rsidR="001C6D8C">
        <w:t>:</w:t>
      </w:r>
      <w:r w:rsidRPr="008C3C13">
        <w:t xml:space="preserve"> Health Protection, Emergency Response and Regulation</w:t>
      </w:r>
    </w:p>
    <w:p w14:paraId="0776E5B6" w14:textId="5DE05E7B" w:rsidR="008C3C13" w:rsidRPr="008C3C13" w:rsidRDefault="008C3C13" w:rsidP="008C3C13">
      <w:pPr>
        <w:spacing w:after="0"/>
      </w:pPr>
      <w:r w:rsidRPr="008C3C13">
        <w:t>Program 1.9</w:t>
      </w:r>
      <w:r w:rsidR="001C6D8C">
        <w:t>:</w:t>
      </w:r>
      <w:r w:rsidRPr="008C3C13">
        <w:t xml:space="preserve"> Immunisation</w:t>
      </w:r>
    </w:p>
    <w:p w14:paraId="77EC7899" w14:textId="30AB8664" w:rsidR="008C3C13" w:rsidRPr="008C3C13" w:rsidRDefault="008C3C13" w:rsidP="008C3C13">
      <w:pPr>
        <w:spacing w:after="0"/>
      </w:pPr>
      <w:r w:rsidRPr="008C3C13">
        <w:t>Program 2.1</w:t>
      </w:r>
      <w:r w:rsidR="001C6D8C">
        <w:t>:</w:t>
      </w:r>
      <w:r w:rsidRPr="008C3C13">
        <w:t xml:space="preserve"> Medical Benefits</w:t>
      </w:r>
    </w:p>
    <w:p w14:paraId="6E1DBFAB" w14:textId="35062AB5" w:rsidR="008C3C13" w:rsidRPr="008C3C13" w:rsidRDefault="008C3C13" w:rsidP="008C3C13">
      <w:pPr>
        <w:spacing w:after="0"/>
      </w:pPr>
      <w:r w:rsidRPr="008C3C13">
        <w:t>Program 2.2</w:t>
      </w:r>
      <w:r w:rsidR="001C6D8C">
        <w:t>:</w:t>
      </w:r>
      <w:r w:rsidRPr="008C3C13">
        <w:t xml:space="preserve"> Hearing Services</w:t>
      </w:r>
    </w:p>
    <w:p w14:paraId="02D30053" w14:textId="5E30FEE4" w:rsidR="008C3C13" w:rsidRPr="008C3C13" w:rsidRDefault="008C3C13" w:rsidP="008C3C13">
      <w:pPr>
        <w:spacing w:after="0"/>
      </w:pPr>
      <w:r w:rsidRPr="008C3C13">
        <w:t>Program 2.3</w:t>
      </w:r>
      <w:r w:rsidR="001C6D8C">
        <w:t>:</w:t>
      </w:r>
      <w:r w:rsidRPr="008C3C13">
        <w:t xml:space="preserve"> Pharmaceutical Benefits</w:t>
      </w:r>
    </w:p>
    <w:p w14:paraId="45E52F83" w14:textId="3049466D" w:rsidR="008C3C13" w:rsidRPr="008C3C13" w:rsidRDefault="008C3C13" w:rsidP="008C3C13">
      <w:pPr>
        <w:spacing w:after="0"/>
      </w:pPr>
      <w:r w:rsidRPr="008C3C13">
        <w:t>Program 2.5</w:t>
      </w:r>
      <w:r w:rsidR="001C6D8C">
        <w:t>:</w:t>
      </w:r>
      <w:r w:rsidRPr="008C3C13">
        <w:t xml:space="preserve"> Dental Services</w:t>
      </w:r>
    </w:p>
    <w:p w14:paraId="7D7CDF4A" w14:textId="098EDE18" w:rsidR="008C3C13" w:rsidRPr="008C3C13" w:rsidRDefault="008C3C13" w:rsidP="008C3C13">
      <w:pPr>
        <w:spacing w:after="0"/>
      </w:pPr>
      <w:r w:rsidRPr="008C3C13">
        <w:t>Program 3.1</w:t>
      </w:r>
      <w:r w:rsidR="001C6D8C">
        <w:t>:</w:t>
      </w:r>
      <w:r w:rsidRPr="008C3C13">
        <w:t xml:space="preserve"> Access and Information</w:t>
      </w:r>
    </w:p>
    <w:p w14:paraId="7D2DDA4E" w14:textId="1D57B5A3" w:rsidR="008C3C13" w:rsidRPr="008C3C13" w:rsidRDefault="008C3C13" w:rsidP="008C3C13">
      <w:pPr>
        <w:spacing w:after="0"/>
      </w:pPr>
      <w:r w:rsidRPr="008C3C13">
        <w:t>Program 3.2</w:t>
      </w:r>
      <w:r w:rsidR="001C6D8C">
        <w:t>:</w:t>
      </w:r>
      <w:r w:rsidRPr="008C3C13">
        <w:t xml:space="preserve"> Aged Care Services</w:t>
      </w:r>
    </w:p>
    <w:p w14:paraId="26A415BA" w14:textId="4F97A3A3" w:rsidR="008C3C13" w:rsidRPr="008C3C13" w:rsidRDefault="008C3C13" w:rsidP="008C3C13">
      <w:pPr>
        <w:spacing w:after="0"/>
      </w:pPr>
      <w:r w:rsidRPr="008C3C13">
        <w:t>Program 3.3</w:t>
      </w:r>
      <w:r w:rsidR="001C6D8C">
        <w:t>:</w:t>
      </w:r>
      <w:r w:rsidRPr="008C3C13">
        <w:t xml:space="preserve"> Aged Care Quality</w:t>
      </w:r>
    </w:p>
    <w:p w14:paraId="5E358613" w14:textId="19DFD689" w:rsidR="008C3C13" w:rsidRPr="008C3C13" w:rsidRDefault="008C3C13" w:rsidP="001C6D8C">
      <w:r w:rsidRPr="008C3C13">
        <w:t>Program 4.1</w:t>
      </w:r>
      <w:r w:rsidR="001C6D8C">
        <w:t>:</w:t>
      </w:r>
      <w:r w:rsidRPr="008C3C13">
        <w:t xml:space="preserve"> Sport and Physical Activity</w:t>
      </w:r>
    </w:p>
    <w:bookmarkEnd w:id="2"/>
    <w:bookmarkEnd w:id="3"/>
    <w:p w14:paraId="0712555C" w14:textId="77777777" w:rsidR="009B3A6C" w:rsidRDefault="009B3A6C">
      <w:pPr>
        <w:spacing w:after="0"/>
        <w:rPr>
          <w:rFonts w:ascii="Arial" w:hAnsi="Arial" w:cs="Arial"/>
          <w:b/>
          <w:sz w:val="20"/>
          <w:szCs w:val="20"/>
        </w:rPr>
      </w:pPr>
      <w:r>
        <w:rPr>
          <w:rFonts w:ascii="Arial" w:hAnsi="Arial" w:cs="Arial"/>
          <w:b/>
          <w:sz w:val="20"/>
          <w:szCs w:val="20"/>
        </w:rPr>
        <w:br w:type="page"/>
      </w:r>
    </w:p>
    <w:p w14:paraId="7B386870" w14:textId="4ED972B4" w:rsidR="00232F9B" w:rsidRPr="000D22DB" w:rsidRDefault="00232F9B" w:rsidP="000D22DB">
      <w:pPr>
        <w:pStyle w:val="TableGraphic"/>
        <w:rPr>
          <w:rFonts w:ascii="Arial" w:hAnsi="Arial" w:cs="Arial"/>
          <w:b/>
          <w:sz w:val="20"/>
          <w:szCs w:val="20"/>
        </w:rPr>
      </w:pPr>
      <w:r w:rsidRPr="000D22DB">
        <w:rPr>
          <w:rFonts w:ascii="Arial" w:hAnsi="Arial" w:cs="Arial"/>
          <w:b/>
          <w:sz w:val="20"/>
          <w:szCs w:val="20"/>
        </w:rPr>
        <w:lastRenderedPageBreak/>
        <w:t>Table 1.1: Department of Health</w:t>
      </w:r>
      <w:r w:rsidR="00E02443" w:rsidRPr="000D22DB">
        <w:rPr>
          <w:rFonts w:ascii="Arial" w:hAnsi="Arial" w:cs="Arial"/>
          <w:b/>
          <w:sz w:val="20"/>
          <w:szCs w:val="20"/>
        </w:rPr>
        <w:t xml:space="preserve"> and Aged Care</w:t>
      </w:r>
      <w:r w:rsidRPr="000D22DB">
        <w:rPr>
          <w:rFonts w:ascii="Arial" w:hAnsi="Arial" w:cs="Arial"/>
          <w:b/>
          <w:sz w:val="20"/>
          <w:szCs w:val="20"/>
        </w:rPr>
        <w:t xml:space="preserve"> </w:t>
      </w:r>
      <w:r w:rsidR="00D96B2A" w:rsidRPr="000D22DB">
        <w:rPr>
          <w:rFonts w:ascii="Arial" w:hAnsi="Arial" w:cs="Arial"/>
          <w:b/>
          <w:sz w:val="20"/>
          <w:szCs w:val="20"/>
        </w:rPr>
        <w:t>r</w:t>
      </w:r>
      <w:r w:rsidRPr="000D22DB">
        <w:rPr>
          <w:rFonts w:ascii="Arial" w:hAnsi="Arial" w:cs="Arial"/>
          <w:b/>
          <w:sz w:val="20"/>
          <w:szCs w:val="20"/>
        </w:rPr>
        <w:t xml:space="preserve">esource </w:t>
      </w:r>
      <w:r w:rsidR="00D96B2A" w:rsidRPr="000D22DB">
        <w:rPr>
          <w:rFonts w:ascii="Arial" w:hAnsi="Arial" w:cs="Arial"/>
          <w:b/>
          <w:sz w:val="20"/>
          <w:szCs w:val="20"/>
        </w:rPr>
        <w:t>s</w:t>
      </w:r>
      <w:r w:rsidRPr="000D22DB">
        <w:rPr>
          <w:rFonts w:ascii="Arial" w:hAnsi="Arial" w:cs="Arial"/>
          <w:b/>
          <w:sz w:val="20"/>
          <w:szCs w:val="20"/>
        </w:rPr>
        <w:t>tatement –</w:t>
      </w:r>
      <w:r w:rsidR="00E02443" w:rsidRPr="000D22DB">
        <w:rPr>
          <w:rFonts w:ascii="Arial" w:hAnsi="Arial" w:cs="Arial"/>
          <w:b/>
          <w:sz w:val="20"/>
          <w:szCs w:val="20"/>
        </w:rPr>
        <w:br/>
      </w:r>
      <w:r w:rsidRPr="000D22DB">
        <w:rPr>
          <w:rFonts w:ascii="Arial" w:hAnsi="Arial" w:cs="Arial"/>
          <w:b/>
          <w:sz w:val="20"/>
          <w:szCs w:val="20"/>
        </w:rPr>
        <w:t xml:space="preserve">Budget </w:t>
      </w:r>
      <w:r w:rsidR="00D96B2A" w:rsidRPr="000D22DB">
        <w:rPr>
          <w:rFonts w:ascii="Arial" w:hAnsi="Arial" w:cs="Arial"/>
          <w:b/>
          <w:sz w:val="20"/>
          <w:szCs w:val="20"/>
        </w:rPr>
        <w:t>e</w:t>
      </w:r>
      <w:r w:rsidRPr="000D22DB">
        <w:rPr>
          <w:rFonts w:ascii="Arial" w:hAnsi="Arial" w:cs="Arial"/>
          <w:b/>
          <w:sz w:val="20"/>
          <w:szCs w:val="20"/>
        </w:rPr>
        <w:t xml:space="preserve">stimates for </w:t>
      </w:r>
      <w:r w:rsidR="00BA2102">
        <w:rPr>
          <w:rFonts w:ascii="Arial" w:hAnsi="Arial" w:cs="Arial"/>
          <w:b/>
          <w:sz w:val="20"/>
          <w:szCs w:val="20"/>
        </w:rPr>
        <w:t>2023–24</w:t>
      </w:r>
      <w:r w:rsidRPr="000D22DB">
        <w:rPr>
          <w:rFonts w:ascii="Arial" w:hAnsi="Arial" w:cs="Arial"/>
          <w:b/>
          <w:sz w:val="20"/>
          <w:szCs w:val="20"/>
        </w:rPr>
        <w:t xml:space="preserve"> as at </w:t>
      </w:r>
      <w:r w:rsidR="00D96B2A" w:rsidRPr="000D22DB">
        <w:rPr>
          <w:rFonts w:ascii="Arial" w:hAnsi="Arial" w:cs="Arial"/>
          <w:b/>
          <w:sz w:val="20"/>
          <w:szCs w:val="20"/>
        </w:rPr>
        <w:t>Budget</w:t>
      </w:r>
      <w:r w:rsidR="0076288A">
        <w:rPr>
          <w:rFonts w:ascii="Arial" w:hAnsi="Arial" w:cs="Arial"/>
          <w:b/>
          <w:sz w:val="20"/>
          <w:szCs w:val="20"/>
        </w:rPr>
        <w:t xml:space="preserve"> May</w:t>
      </w:r>
      <w:r w:rsidR="00D96B2A" w:rsidRPr="000D22DB">
        <w:rPr>
          <w:rFonts w:ascii="Arial" w:hAnsi="Arial" w:cs="Arial"/>
          <w:b/>
          <w:sz w:val="20"/>
          <w:szCs w:val="20"/>
        </w:rPr>
        <w:t xml:space="preserve"> </w:t>
      </w:r>
      <w:r w:rsidR="00BA2102">
        <w:rPr>
          <w:rFonts w:ascii="Arial" w:hAnsi="Arial" w:cs="Arial"/>
          <w:b/>
          <w:sz w:val="20"/>
          <w:szCs w:val="20"/>
        </w:rPr>
        <w:t>2023</w:t>
      </w:r>
    </w:p>
    <w:tbl>
      <w:tblPr>
        <w:tblW w:w="7340" w:type="dxa"/>
        <w:tblLayout w:type="fixed"/>
        <w:tblLook w:val="04A0" w:firstRow="1" w:lastRow="0" w:firstColumn="1" w:lastColumn="0" w:noHBand="0" w:noVBand="1"/>
      </w:tblPr>
      <w:tblGrid>
        <w:gridCol w:w="4660"/>
        <w:gridCol w:w="1340"/>
        <w:gridCol w:w="1340"/>
      </w:tblGrid>
      <w:tr w:rsidR="00AE4C2F" w:rsidRPr="00AE4C2F" w14:paraId="266967D9" w14:textId="77777777" w:rsidTr="00AE4C2F">
        <w:trPr>
          <w:trHeight w:val="765"/>
        </w:trPr>
        <w:tc>
          <w:tcPr>
            <w:tcW w:w="4660" w:type="dxa"/>
            <w:tcBorders>
              <w:top w:val="single" w:sz="4" w:space="0" w:color="auto"/>
              <w:left w:val="nil"/>
              <w:bottom w:val="nil"/>
              <w:right w:val="nil"/>
            </w:tcBorders>
            <w:shd w:val="clear" w:color="auto" w:fill="auto"/>
            <w:vAlign w:val="bottom"/>
            <w:hideMark/>
          </w:tcPr>
          <w:p w14:paraId="7ADA14B1" w14:textId="77777777" w:rsidR="00AE4C2F" w:rsidRPr="00AE4C2F" w:rsidRDefault="00AE4C2F" w:rsidP="00AE4C2F">
            <w:pPr>
              <w:spacing w:before="40" w:after="0"/>
              <w:jc w:val="right"/>
              <w:rPr>
                <w:rFonts w:ascii="Arial" w:hAnsi="Arial" w:cs="Arial"/>
                <w:b/>
                <w:bCs/>
                <w:color w:val="auto"/>
                <w:sz w:val="16"/>
                <w:szCs w:val="16"/>
              </w:rPr>
            </w:pPr>
            <w:bookmarkStart w:id="10" w:name="_Toc479762908"/>
            <w:bookmarkStart w:id="11" w:name="_Toc481865384"/>
            <w:r w:rsidRPr="00AE4C2F">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vAlign w:val="bottom"/>
            <w:hideMark/>
          </w:tcPr>
          <w:p w14:paraId="1B58D0CD" w14:textId="77777777" w:rsidR="00AE4C2F" w:rsidRPr="00AE4C2F" w:rsidRDefault="00AE4C2F" w:rsidP="00AE4C2F">
            <w:pPr>
              <w:spacing w:before="40" w:after="0"/>
              <w:jc w:val="right"/>
              <w:rPr>
                <w:rFonts w:ascii="Arial" w:hAnsi="Arial" w:cs="Arial"/>
                <w:b/>
                <w:bCs/>
                <w:color w:val="auto"/>
                <w:sz w:val="16"/>
                <w:szCs w:val="16"/>
              </w:rPr>
            </w:pPr>
            <w:r w:rsidRPr="00AE4C2F">
              <w:rPr>
                <w:rFonts w:ascii="Arial" w:hAnsi="Arial" w:cs="Arial"/>
                <w:b/>
                <w:bCs/>
                <w:color w:val="auto"/>
                <w:sz w:val="16"/>
                <w:szCs w:val="16"/>
              </w:rPr>
              <w:t>2022–23</w:t>
            </w:r>
            <w:r w:rsidRPr="00AE4C2F">
              <w:rPr>
                <w:rFonts w:ascii="Arial" w:hAnsi="Arial" w:cs="Arial"/>
                <w:b/>
                <w:bCs/>
                <w:color w:val="auto"/>
                <w:sz w:val="16"/>
                <w:szCs w:val="16"/>
              </w:rPr>
              <w:br/>
              <w:t>Estimated</w:t>
            </w:r>
            <w:r w:rsidRPr="00AE4C2F">
              <w:rPr>
                <w:rFonts w:ascii="Arial" w:hAnsi="Arial" w:cs="Arial"/>
                <w:b/>
                <w:bCs/>
                <w:color w:val="auto"/>
                <w:sz w:val="16"/>
                <w:szCs w:val="16"/>
              </w:rPr>
              <w:br/>
              <w:t>actual</w:t>
            </w:r>
            <w:r w:rsidRPr="00AE4C2F">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vAlign w:val="bottom"/>
            <w:hideMark/>
          </w:tcPr>
          <w:p w14:paraId="394EFDBF" w14:textId="77777777" w:rsidR="00AE4C2F" w:rsidRPr="00AE4C2F" w:rsidRDefault="00AE4C2F" w:rsidP="00AE4C2F">
            <w:pPr>
              <w:spacing w:before="40" w:after="0"/>
              <w:jc w:val="right"/>
              <w:rPr>
                <w:rFonts w:ascii="Arial" w:hAnsi="Arial" w:cs="Arial"/>
                <w:b/>
                <w:bCs/>
                <w:color w:val="auto"/>
                <w:sz w:val="16"/>
                <w:szCs w:val="16"/>
              </w:rPr>
            </w:pPr>
            <w:r w:rsidRPr="00AE4C2F">
              <w:rPr>
                <w:rFonts w:ascii="Arial" w:hAnsi="Arial" w:cs="Arial"/>
                <w:b/>
                <w:bCs/>
                <w:color w:val="auto"/>
                <w:sz w:val="16"/>
                <w:szCs w:val="16"/>
              </w:rPr>
              <w:t>2023–24</w:t>
            </w:r>
            <w:r w:rsidRPr="00AE4C2F">
              <w:rPr>
                <w:rFonts w:ascii="Arial" w:hAnsi="Arial" w:cs="Arial"/>
                <w:b/>
                <w:bCs/>
                <w:color w:val="auto"/>
                <w:sz w:val="16"/>
                <w:szCs w:val="16"/>
              </w:rPr>
              <w:br/>
              <w:t>Estimate</w:t>
            </w:r>
            <w:r w:rsidRPr="00AE4C2F">
              <w:rPr>
                <w:rFonts w:ascii="Arial" w:hAnsi="Arial" w:cs="Arial"/>
                <w:b/>
                <w:bCs/>
                <w:color w:val="auto"/>
                <w:sz w:val="16"/>
                <w:szCs w:val="16"/>
              </w:rPr>
              <w:br/>
            </w:r>
            <w:r w:rsidRPr="00AE4C2F">
              <w:rPr>
                <w:rFonts w:ascii="Arial" w:hAnsi="Arial" w:cs="Arial"/>
                <w:b/>
                <w:bCs/>
                <w:color w:val="auto"/>
                <w:sz w:val="16"/>
                <w:szCs w:val="16"/>
              </w:rPr>
              <w:br/>
              <w:t>$'000</w:t>
            </w:r>
          </w:p>
        </w:tc>
      </w:tr>
      <w:tr w:rsidR="00AE4C2F" w:rsidRPr="00AE4C2F" w14:paraId="2841EEBA" w14:textId="77777777" w:rsidTr="00AE4C2F">
        <w:trPr>
          <w:trHeight w:val="225"/>
        </w:trPr>
        <w:tc>
          <w:tcPr>
            <w:tcW w:w="4660" w:type="dxa"/>
            <w:tcBorders>
              <w:top w:val="nil"/>
              <w:left w:val="nil"/>
              <w:bottom w:val="nil"/>
              <w:right w:val="nil"/>
            </w:tcBorders>
            <w:shd w:val="clear" w:color="auto" w:fill="auto"/>
            <w:noWrap/>
            <w:vAlign w:val="bottom"/>
            <w:hideMark/>
          </w:tcPr>
          <w:p w14:paraId="34C1B30B" w14:textId="77777777" w:rsidR="00AE4C2F" w:rsidRPr="00AE4C2F" w:rsidRDefault="00AE4C2F" w:rsidP="00AE4C2F">
            <w:pPr>
              <w:spacing w:after="0"/>
              <w:rPr>
                <w:rFonts w:ascii="Arial" w:hAnsi="Arial" w:cs="Arial"/>
                <w:b/>
                <w:bCs/>
                <w:color w:val="auto"/>
                <w:sz w:val="16"/>
                <w:szCs w:val="16"/>
              </w:rPr>
            </w:pPr>
            <w:r w:rsidRPr="00AE4C2F">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05FE8437" w14:textId="77777777" w:rsidR="00AE4C2F" w:rsidRPr="00AE4C2F" w:rsidRDefault="00AE4C2F" w:rsidP="00AE4C2F">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1022F5F2"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 </w:t>
            </w:r>
          </w:p>
        </w:tc>
      </w:tr>
      <w:tr w:rsidR="00AE4C2F" w:rsidRPr="00AE4C2F" w14:paraId="5093CDBD" w14:textId="77777777" w:rsidTr="00AE4C2F">
        <w:trPr>
          <w:trHeight w:val="225"/>
        </w:trPr>
        <w:tc>
          <w:tcPr>
            <w:tcW w:w="4660" w:type="dxa"/>
            <w:tcBorders>
              <w:top w:val="nil"/>
              <w:left w:val="nil"/>
              <w:bottom w:val="nil"/>
              <w:right w:val="nil"/>
            </w:tcBorders>
            <w:shd w:val="clear" w:color="auto" w:fill="auto"/>
            <w:noWrap/>
            <w:vAlign w:val="bottom"/>
            <w:hideMark/>
          </w:tcPr>
          <w:p w14:paraId="047016B0" w14:textId="77777777" w:rsidR="00AE4C2F" w:rsidRPr="00AE4C2F" w:rsidRDefault="00AE4C2F" w:rsidP="00AE4C2F">
            <w:pPr>
              <w:spacing w:after="0"/>
              <w:ind w:firstLineChars="100" w:firstLine="160"/>
              <w:rPr>
                <w:rFonts w:ascii="Arial" w:hAnsi="Arial" w:cs="Arial"/>
                <w:color w:val="auto"/>
                <w:sz w:val="16"/>
                <w:szCs w:val="16"/>
              </w:rPr>
            </w:pPr>
            <w:r w:rsidRPr="00AE4C2F">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5B230B7E"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167,923</w:t>
            </w:r>
          </w:p>
        </w:tc>
        <w:tc>
          <w:tcPr>
            <w:tcW w:w="1340" w:type="dxa"/>
            <w:tcBorders>
              <w:top w:val="nil"/>
              <w:left w:val="nil"/>
              <w:bottom w:val="nil"/>
              <w:right w:val="nil"/>
            </w:tcBorders>
            <w:shd w:val="clear" w:color="000000" w:fill="D9D9D9"/>
            <w:noWrap/>
            <w:vAlign w:val="bottom"/>
            <w:hideMark/>
          </w:tcPr>
          <w:p w14:paraId="6A7CCB65"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167,339</w:t>
            </w:r>
          </w:p>
        </w:tc>
      </w:tr>
      <w:tr w:rsidR="00AE4C2F" w:rsidRPr="00AE4C2F" w14:paraId="19108F66" w14:textId="77777777" w:rsidTr="00AE4C2F">
        <w:trPr>
          <w:trHeight w:val="300"/>
        </w:trPr>
        <w:tc>
          <w:tcPr>
            <w:tcW w:w="4660" w:type="dxa"/>
            <w:tcBorders>
              <w:top w:val="nil"/>
              <w:left w:val="nil"/>
              <w:bottom w:val="nil"/>
              <w:right w:val="nil"/>
            </w:tcBorders>
            <w:shd w:val="clear" w:color="auto" w:fill="auto"/>
            <w:noWrap/>
            <w:vAlign w:val="bottom"/>
            <w:hideMark/>
          </w:tcPr>
          <w:p w14:paraId="5148A2A7" w14:textId="77777777" w:rsidR="00AE4C2F" w:rsidRPr="00AE4C2F" w:rsidRDefault="00AE4C2F" w:rsidP="00AE4C2F">
            <w:pPr>
              <w:spacing w:after="0"/>
              <w:ind w:firstLineChars="100" w:firstLine="160"/>
              <w:rPr>
                <w:rFonts w:ascii="Arial" w:hAnsi="Arial" w:cs="Arial"/>
                <w:b/>
                <w:bCs/>
                <w:color w:val="auto"/>
                <w:sz w:val="16"/>
                <w:szCs w:val="16"/>
              </w:rPr>
            </w:pPr>
            <w:r w:rsidRPr="00AE4C2F">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6A94B615" w14:textId="77777777" w:rsidR="00AE4C2F" w:rsidRPr="00AE4C2F" w:rsidRDefault="00AE4C2F" w:rsidP="00AE4C2F">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661A4687"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 </w:t>
            </w:r>
          </w:p>
        </w:tc>
      </w:tr>
      <w:tr w:rsidR="00AE4C2F" w:rsidRPr="00AE4C2F" w14:paraId="0BA495D5" w14:textId="77777777" w:rsidTr="00AE4C2F">
        <w:trPr>
          <w:trHeight w:val="225"/>
        </w:trPr>
        <w:tc>
          <w:tcPr>
            <w:tcW w:w="4660" w:type="dxa"/>
            <w:tcBorders>
              <w:top w:val="nil"/>
              <w:left w:val="nil"/>
              <w:bottom w:val="nil"/>
              <w:right w:val="nil"/>
            </w:tcBorders>
            <w:shd w:val="clear" w:color="auto" w:fill="auto"/>
            <w:noWrap/>
            <w:vAlign w:val="bottom"/>
            <w:hideMark/>
          </w:tcPr>
          <w:p w14:paraId="2B59F42D" w14:textId="77777777" w:rsidR="00AE4C2F" w:rsidRPr="00AE4C2F" w:rsidRDefault="00AE4C2F" w:rsidP="00AE4C2F">
            <w:pPr>
              <w:spacing w:after="0"/>
              <w:ind w:firstLineChars="200" w:firstLine="320"/>
              <w:rPr>
                <w:rFonts w:ascii="Arial" w:hAnsi="Arial" w:cs="Arial"/>
                <w:color w:val="auto"/>
                <w:sz w:val="16"/>
                <w:szCs w:val="16"/>
              </w:rPr>
            </w:pPr>
            <w:r w:rsidRPr="00AE4C2F">
              <w:rPr>
                <w:rFonts w:ascii="Arial" w:hAnsi="Arial" w:cs="Arial"/>
                <w:color w:val="auto"/>
                <w:sz w:val="16"/>
                <w:szCs w:val="16"/>
              </w:rPr>
              <w:t>Ordinary annual services</w:t>
            </w:r>
            <w:r w:rsidRPr="00AE4C2F">
              <w:rPr>
                <w:rFonts w:ascii="Arial" w:hAnsi="Arial" w:cs="Arial"/>
                <w:color w:val="auto"/>
                <w:sz w:val="16"/>
                <w:szCs w:val="16"/>
                <w:vertAlign w:val="superscript"/>
              </w:rPr>
              <w:t xml:space="preserve"> (a) (b)</w:t>
            </w:r>
          </w:p>
        </w:tc>
        <w:tc>
          <w:tcPr>
            <w:tcW w:w="1340" w:type="dxa"/>
            <w:tcBorders>
              <w:top w:val="nil"/>
              <w:left w:val="nil"/>
              <w:bottom w:val="nil"/>
              <w:right w:val="nil"/>
            </w:tcBorders>
            <w:shd w:val="clear" w:color="auto" w:fill="auto"/>
            <w:noWrap/>
            <w:vAlign w:val="bottom"/>
            <w:hideMark/>
          </w:tcPr>
          <w:p w14:paraId="34F93E10" w14:textId="77777777" w:rsidR="00AE4C2F" w:rsidRPr="00AE4C2F" w:rsidRDefault="00AE4C2F" w:rsidP="00AE4C2F">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8CEABE0"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 </w:t>
            </w:r>
          </w:p>
        </w:tc>
      </w:tr>
      <w:tr w:rsidR="00AE4C2F" w:rsidRPr="00AE4C2F" w14:paraId="6307ACCB" w14:textId="77777777" w:rsidTr="00AE4C2F">
        <w:trPr>
          <w:trHeight w:val="225"/>
        </w:trPr>
        <w:tc>
          <w:tcPr>
            <w:tcW w:w="4660" w:type="dxa"/>
            <w:tcBorders>
              <w:top w:val="nil"/>
              <w:left w:val="nil"/>
              <w:bottom w:val="nil"/>
              <w:right w:val="nil"/>
            </w:tcBorders>
            <w:shd w:val="clear" w:color="auto" w:fill="auto"/>
            <w:noWrap/>
            <w:vAlign w:val="bottom"/>
            <w:hideMark/>
          </w:tcPr>
          <w:p w14:paraId="4414BD9B" w14:textId="77777777" w:rsidR="00AE4C2F" w:rsidRPr="00AE4C2F" w:rsidRDefault="00AE4C2F" w:rsidP="00AE4C2F">
            <w:pPr>
              <w:spacing w:after="0"/>
              <w:ind w:firstLineChars="300" w:firstLine="480"/>
              <w:rPr>
                <w:rFonts w:ascii="Arial" w:hAnsi="Arial" w:cs="Arial"/>
                <w:color w:val="auto"/>
                <w:sz w:val="16"/>
                <w:szCs w:val="16"/>
              </w:rPr>
            </w:pPr>
            <w:r w:rsidRPr="00AE4C2F">
              <w:rPr>
                <w:rFonts w:ascii="Arial" w:hAnsi="Arial" w:cs="Arial"/>
                <w:color w:val="auto"/>
                <w:sz w:val="16"/>
                <w:szCs w:val="16"/>
              </w:rPr>
              <w:t>Departmental appropriation</w:t>
            </w:r>
          </w:p>
        </w:tc>
        <w:tc>
          <w:tcPr>
            <w:tcW w:w="1340" w:type="dxa"/>
            <w:tcBorders>
              <w:top w:val="nil"/>
              <w:left w:val="nil"/>
              <w:bottom w:val="nil"/>
              <w:right w:val="nil"/>
            </w:tcBorders>
            <w:shd w:val="clear" w:color="auto" w:fill="auto"/>
            <w:noWrap/>
            <w:vAlign w:val="bottom"/>
            <w:hideMark/>
          </w:tcPr>
          <w:p w14:paraId="6ABACA1C"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982,664</w:t>
            </w:r>
          </w:p>
        </w:tc>
        <w:tc>
          <w:tcPr>
            <w:tcW w:w="1340" w:type="dxa"/>
            <w:tcBorders>
              <w:top w:val="nil"/>
              <w:left w:val="nil"/>
              <w:bottom w:val="nil"/>
              <w:right w:val="nil"/>
            </w:tcBorders>
            <w:shd w:val="clear" w:color="000000" w:fill="D9D9D9"/>
            <w:noWrap/>
            <w:vAlign w:val="bottom"/>
            <w:hideMark/>
          </w:tcPr>
          <w:p w14:paraId="1AE8761B"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1,212,960</w:t>
            </w:r>
          </w:p>
        </w:tc>
      </w:tr>
      <w:tr w:rsidR="00AE4C2F" w:rsidRPr="00AE4C2F" w14:paraId="0B823BAE" w14:textId="77777777" w:rsidTr="00AE4C2F">
        <w:trPr>
          <w:trHeight w:val="225"/>
        </w:trPr>
        <w:tc>
          <w:tcPr>
            <w:tcW w:w="4660" w:type="dxa"/>
            <w:tcBorders>
              <w:top w:val="nil"/>
              <w:left w:val="nil"/>
              <w:bottom w:val="nil"/>
              <w:right w:val="nil"/>
            </w:tcBorders>
            <w:shd w:val="clear" w:color="auto" w:fill="auto"/>
            <w:noWrap/>
            <w:vAlign w:val="bottom"/>
            <w:hideMark/>
          </w:tcPr>
          <w:p w14:paraId="387CD06C" w14:textId="77777777" w:rsidR="00AE4C2F" w:rsidRPr="00AE4C2F" w:rsidRDefault="00AE4C2F" w:rsidP="00AE4C2F">
            <w:pPr>
              <w:spacing w:after="0"/>
              <w:ind w:firstLineChars="300" w:firstLine="480"/>
              <w:rPr>
                <w:rFonts w:ascii="Arial" w:hAnsi="Arial" w:cs="Arial"/>
                <w:color w:val="auto"/>
                <w:sz w:val="16"/>
                <w:szCs w:val="16"/>
              </w:rPr>
            </w:pPr>
            <w:r w:rsidRPr="00AE4C2F">
              <w:rPr>
                <w:rFonts w:ascii="Arial" w:hAnsi="Arial" w:cs="Arial"/>
                <w:color w:val="auto"/>
                <w:sz w:val="16"/>
                <w:szCs w:val="16"/>
              </w:rPr>
              <w:t>s74 retained revenue receipts</w:t>
            </w:r>
            <w:r w:rsidRPr="00AE4C2F">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27548F8F"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19,556</w:t>
            </w:r>
          </w:p>
        </w:tc>
        <w:tc>
          <w:tcPr>
            <w:tcW w:w="1340" w:type="dxa"/>
            <w:tcBorders>
              <w:top w:val="nil"/>
              <w:left w:val="nil"/>
              <w:bottom w:val="nil"/>
              <w:right w:val="nil"/>
            </w:tcBorders>
            <w:shd w:val="clear" w:color="000000" w:fill="D9D9D9"/>
            <w:noWrap/>
            <w:vAlign w:val="bottom"/>
            <w:hideMark/>
          </w:tcPr>
          <w:p w14:paraId="72142FFF"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23,008</w:t>
            </w:r>
          </w:p>
        </w:tc>
      </w:tr>
      <w:tr w:rsidR="00AE4C2F" w:rsidRPr="00AE4C2F" w14:paraId="61A1B7F7" w14:textId="77777777" w:rsidTr="00AE4C2F">
        <w:trPr>
          <w:trHeight w:val="225"/>
        </w:trPr>
        <w:tc>
          <w:tcPr>
            <w:tcW w:w="4660" w:type="dxa"/>
            <w:tcBorders>
              <w:top w:val="nil"/>
              <w:left w:val="nil"/>
              <w:bottom w:val="nil"/>
              <w:right w:val="nil"/>
            </w:tcBorders>
            <w:shd w:val="clear" w:color="auto" w:fill="auto"/>
            <w:noWrap/>
            <w:vAlign w:val="bottom"/>
            <w:hideMark/>
          </w:tcPr>
          <w:p w14:paraId="1E38475F" w14:textId="77777777" w:rsidR="00AE4C2F" w:rsidRPr="00AE4C2F" w:rsidRDefault="00AE4C2F" w:rsidP="00AE4C2F">
            <w:pPr>
              <w:spacing w:after="0"/>
              <w:ind w:firstLineChars="300" w:firstLine="480"/>
              <w:rPr>
                <w:rFonts w:ascii="Arial" w:hAnsi="Arial" w:cs="Arial"/>
                <w:color w:val="auto"/>
                <w:sz w:val="16"/>
                <w:szCs w:val="16"/>
              </w:rPr>
            </w:pPr>
            <w:r w:rsidRPr="00AE4C2F">
              <w:rPr>
                <w:rFonts w:ascii="Arial" w:hAnsi="Arial" w:cs="Arial"/>
                <w:color w:val="auto"/>
                <w:sz w:val="16"/>
                <w:szCs w:val="16"/>
              </w:rPr>
              <w:t>Departmental Capital Budget</w:t>
            </w:r>
            <w:r w:rsidRPr="00AE4C2F">
              <w:rPr>
                <w:rFonts w:ascii="Arial" w:hAnsi="Arial" w:cs="Arial"/>
                <w:color w:val="auto"/>
                <w:sz w:val="16"/>
                <w:szCs w:val="16"/>
                <w:vertAlign w:val="superscript"/>
              </w:rPr>
              <w:t xml:space="preserve"> (d)</w:t>
            </w:r>
          </w:p>
        </w:tc>
        <w:tc>
          <w:tcPr>
            <w:tcW w:w="1340" w:type="dxa"/>
            <w:tcBorders>
              <w:top w:val="nil"/>
              <w:left w:val="nil"/>
              <w:bottom w:val="nil"/>
              <w:right w:val="nil"/>
            </w:tcBorders>
            <w:shd w:val="clear" w:color="auto" w:fill="auto"/>
            <w:noWrap/>
            <w:vAlign w:val="bottom"/>
            <w:hideMark/>
          </w:tcPr>
          <w:p w14:paraId="7016D416"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14,517</w:t>
            </w:r>
          </w:p>
        </w:tc>
        <w:tc>
          <w:tcPr>
            <w:tcW w:w="1340" w:type="dxa"/>
            <w:tcBorders>
              <w:top w:val="nil"/>
              <w:left w:val="nil"/>
              <w:bottom w:val="nil"/>
              <w:right w:val="nil"/>
            </w:tcBorders>
            <w:shd w:val="clear" w:color="000000" w:fill="D9D9D9"/>
            <w:noWrap/>
            <w:vAlign w:val="bottom"/>
            <w:hideMark/>
          </w:tcPr>
          <w:p w14:paraId="36D34242"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12,870</w:t>
            </w:r>
          </w:p>
        </w:tc>
      </w:tr>
      <w:tr w:rsidR="00AE4C2F" w:rsidRPr="00AE4C2F" w14:paraId="6E322636" w14:textId="77777777" w:rsidTr="00AE4C2F">
        <w:trPr>
          <w:trHeight w:val="300"/>
        </w:trPr>
        <w:tc>
          <w:tcPr>
            <w:tcW w:w="4660" w:type="dxa"/>
            <w:tcBorders>
              <w:top w:val="nil"/>
              <w:left w:val="nil"/>
              <w:bottom w:val="nil"/>
              <w:right w:val="nil"/>
            </w:tcBorders>
            <w:shd w:val="clear" w:color="auto" w:fill="auto"/>
            <w:noWrap/>
            <w:vAlign w:val="bottom"/>
            <w:hideMark/>
          </w:tcPr>
          <w:p w14:paraId="141B5E58" w14:textId="77777777" w:rsidR="00AE4C2F" w:rsidRPr="00AE4C2F" w:rsidRDefault="00AE4C2F" w:rsidP="00AE4C2F">
            <w:pPr>
              <w:spacing w:after="0"/>
              <w:ind w:firstLineChars="200" w:firstLine="320"/>
              <w:rPr>
                <w:rFonts w:ascii="Arial" w:hAnsi="Arial" w:cs="Arial"/>
                <w:color w:val="auto"/>
                <w:sz w:val="16"/>
                <w:szCs w:val="16"/>
              </w:rPr>
            </w:pPr>
            <w:r w:rsidRPr="00AE4C2F">
              <w:rPr>
                <w:rFonts w:ascii="Arial" w:hAnsi="Arial" w:cs="Arial"/>
                <w:color w:val="auto"/>
                <w:sz w:val="16"/>
                <w:szCs w:val="16"/>
              </w:rPr>
              <w:t>Other services</w:t>
            </w:r>
            <w:r w:rsidRPr="00AE4C2F">
              <w:rPr>
                <w:rFonts w:ascii="Arial" w:hAnsi="Arial" w:cs="Arial"/>
                <w:color w:val="auto"/>
                <w:sz w:val="16"/>
                <w:szCs w:val="16"/>
                <w:vertAlign w:val="superscript"/>
              </w:rPr>
              <w:t xml:space="preserve"> (e) (f)</w:t>
            </w:r>
          </w:p>
        </w:tc>
        <w:tc>
          <w:tcPr>
            <w:tcW w:w="1340" w:type="dxa"/>
            <w:tcBorders>
              <w:top w:val="nil"/>
              <w:left w:val="nil"/>
              <w:bottom w:val="nil"/>
              <w:right w:val="nil"/>
            </w:tcBorders>
            <w:shd w:val="clear" w:color="auto" w:fill="auto"/>
            <w:noWrap/>
            <w:vAlign w:val="bottom"/>
            <w:hideMark/>
          </w:tcPr>
          <w:p w14:paraId="78FF00C0" w14:textId="77777777" w:rsidR="00AE4C2F" w:rsidRPr="00AE4C2F" w:rsidRDefault="00AE4C2F" w:rsidP="00AE4C2F">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9CCBB16"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 </w:t>
            </w:r>
          </w:p>
        </w:tc>
      </w:tr>
      <w:tr w:rsidR="00AE4C2F" w:rsidRPr="00AE4C2F" w14:paraId="19090522" w14:textId="77777777" w:rsidTr="00AE4C2F">
        <w:trPr>
          <w:trHeight w:val="225"/>
        </w:trPr>
        <w:tc>
          <w:tcPr>
            <w:tcW w:w="4660" w:type="dxa"/>
            <w:tcBorders>
              <w:top w:val="nil"/>
              <w:left w:val="nil"/>
              <w:bottom w:val="nil"/>
              <w:right w:val="nil"/>
            </w:tcBorders>
            <w:shd w:val="clear" w:color="auto" w:fill="auto"/>
            <w:noWrap/>
            <w:vAlign w:val="bottom"/>
            <w:hideMark/>
          </w:tcPr>
          <w:p w14:paraId="14F0E30D" w14:textId="77777777" w:rsidR="00AE4C2F" w:rsidRPr="00AE4C2F" w:rsidRDefault="00AE4C2F" w:rsidP="00AE4C2F">
            <w:pPr>
              <w:spacing w:after="0"/>
              <w:ind w:firstLineChars="300" w:firstLine="480"/>
              <w:rPr>
                <w:rFonts w:ascii="Arial" w:hAnsi="Arial" w:cs="Arial"/>
                <w:color w:val="auto"/>
                <w:sz w:val="16"/>
                <w:szCs w:val="16"/>
              </w:rPr>
            </w:pPr>
            <w:r w:rsidRPr="00AE4C2F">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78431FE5"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169,891</w:t>
            </w:r>
          </w:p>
        </w:tc>
        <w:tc>
          <w:tcPr>
            <w:tcW w:w="1340" w:type="dxa"/>
            <w:tcBorders>
              <w:top w:val="nil"/>
              <w:left w:val="nil"/>
              <w:bottom w:val="nil"/>
              <w:right w:val="nil"/>
            </w:tcBorders>
            <w:shd w:val="clear" w:color="000000" w:fill="D9D9D9"/>
            <w:noWrap/>
            <w:vAlign w:val="bottom"/>
            <w:hideMark/>
          </w:tcPr>
          <w:p w14:paraId="422B7A8B"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119,943</w:t>
            </w:r>
          </w:p>
        </w:tc>
      </w:tr>
      <w:tr w:rsidR="00AE4C2F" w:rsidRPr="00AE4C2F" w14:paraId="1DC60687" w14:textId="77777777" w:rsidTr="00AE4C2F">
        <w:trPr>
          <w:trHeight w:val="225"/>
        </w:trPr>
        <w:tc>
          <w:tcPr>
            <w:tcW w:w="4660" w:type="dxa"/>
            <w:tcBorders>
              <w:top w:val="nil"/>
              <w:left w:val="nil"/>
              <w:bottom w:val="nil"/>
              <w:right w:val="nil"/>
            </w:tcBorders>
            <w:shd w:val="clear" w:color="auto" w:fill="auto"/>
            <w:noWrap/>
            <w:vAlign w:val="bottom"/>
            <w:hideMark/>
          </w:tcPr>
          <w:p w14:paraId="0A16ACA4" w14:textId="77777777" w:rsidR="00AE4C2F" w:rsidRPr="00AE4C2F" w:rsidRDefault="00AE4C2F" w:rsidP="00AE4C2F">
            <w:pPr>
              <w:spacing w:after="0"/>
              <w:ind w:firstLineChars="200" w:firstLine="320"/>
              <w:rPr>
                <w:rFonts w:ascii="Arial" w:hAnsi="Arial" w:cs="Arial"/>
                <w:b/>
                <w:bCs/>
                <w:color w:val="auto"/>
                <w:sz w:val="16"/>
                <w:szCs w:val="16"/>
              </w:rPr>
            </w:pPr>
            <w:r w:rsidRPr="00AE4C2F">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22E9C767"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1,186,628</w:t>
            </w:r>
          </w:p>
        </w:tc>
        <w:tc>
          <w:tcPr>
            <w:tcW w:w="1340" w:type="dxa"/>
            <w:tcBorders>
              <w:top w:val="nil"/>
              <w:left w:val="nil"/>
              <w:bottom w:val="single" w:sz="4" w:space="0" w:color="auto"/>
              <w:right w:val="nil"/>
            </w:tcBorders>
            <w:shd w:val="clear" w:color="000000" w:fill="D9D9D9"/>
            <w:noWrap/>
            <w:vAlign w:val="bottom"/>
            <w:hideMark/>
          </w:tcPr>
          <w:p w14:paraId="7D937A41"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1,368,781</w:t>
            </w:r>
          </w:p>
        </w:tc>
      </w:tr>
      <w:tr w:rsidR="00AE4C2F" w:rsidRPr="00AE4C2F" w14:paraId="67684DC6" w14:textId="77777777" w:rsidTr="00AE4C2F">
        <w:trPr>
          <w:trHeight w:val="300"/>
        </w:trPr>
        <w:tc>
          <w:tcPr>
            <w:tcW w:w="4660" w:type="dxa"/>
            <w:tcBorders>
              <w:top w:val="nil"/>
              <w:left w:val="nil"/>
              <w:bottom w:val="nil"/>
              <w:right w:val="nil"/>
            </w:tcBorders>
            <w:shd w:val="clear" w:color="auto" w:fill="auto"/>
            <w:noWrap/>
            <w:vAlign w:val="bottom"/>
            <w:hideMark/>
          </w:tcPr>
          <w:p w14:paraId="50F526B5" w14:textId="77777777" w:rsidR="00AE4C2F" w:rsidRPr="00AE4C2F" w:rsidRDefault="00AE4C2F" w:rsidP="00AE4C2F">
            <w:pPr>
              <w:spacing w:after="0"/>
              <w:ind w:firstLineChars="100" w:firstLine="160"/>
              <w:rPr>
                <w:rFonts w:ascii="Arial" w:hAnsi="Arial" w:cs="Arial"/>
                <w:b/>
                <w:bCs/>
                <w:color w:val="auto"/>
                <w:sz w:val="16"/>
                <w:szCs w:val="16"/>
              </w:rPr>
            </w:pPr>
            <w:r w:rsidRPr="00AE4C2F">
              <w:rPr>
                <w:rFonts w:ascii="Arial" w:hAnsi="Arial" w:cs="Arial"/>
                <w:b/>
                <w:bCs/>
                <w:color w:val="auto"/>
                <w:sz w:val="16"/>
                <w:szCs w:val="16"/>
              </w:rPr>
              <w:t>Special accounts</w:t>
            </w:r>
            <w:r w:rsidRPr="00AE4C2F">
              <w:rPr>
                <w:rFonts w:ascii="Arial" w:hAnsi="Arial" w:cs="Arial"/>
                <w:b/>
                <w:bCs/>
                <w:color w:val="auto"/>
                <w:sz w:val="16"/>
                <w:szCs w:val="16"/>
                <w:vertAlign w:val="superscript"/>
              </w:rPr>
              <w:t xml:space="preserve"> (g) (h)</w:t>
            </w:r>
          </w:p>
        </w:tc>
        <w:tc>
          <w:tcPr>
            <w:tcW w:w="1340" w:type="dxa"/>
            <w:tcBorders>
              <w:top w:val="nil"/>
              <w:left w:val="nil"/>
              <w:bottom w:val="nil"/>
              <w:right w:val="nil"/>
            </w:tcBorders>
            <w:shd w:val="clear" w:color="auto" w:fill="auto"/>
            <w:noWrap/>
            <w:vAlign w:val="bottom"/>
            <w:hideMark/>
          </w:tcPr>
          <w:p w14:paraId="67DADA66" w14:textId="77777777" w:rsidR="00AE4C2F" w:rsidRPr="00AE4C2F" w:rsidRDefault="00AE4C2F" w:rsidP="00AE4C2F">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1F9636E"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 </w:t>
            </w:r>
          </w:p>
        </w:tc>
      </w:tr>
      <w:tr w:rsidR="00AE4C2F" w:rsidRPr="00AE4C2F" w14:paraId="11AC6CF0" w14:textId="77777777" w:rsidTr="00AE4C2F">
        <w:trPr>
          <w:trHeight w:val="225"/>
        </w:trPr>
        <w:tc>
          <w:tcPr>
            <w:tcW w:w="4660" w:type="dxa"/>
            <w:tcBorders>
              <w:top w:val="nil"/>
              <w:left w:val="nil"/>
              <w:bottom w:val="nil"/>
              <w:right w:val="nil"/>
            </w:tcBorders>
            <w:shd w:val="clear" w:color="auto" w:fill="auto"/>
            <w:noWrap/>
            <w:vAlign w:val="bottom"/>
            <w:hideMark/>
          </w:tcPr>
          <w:p w14:paraId="277C8477" w14:textId="77777777" w:rsidR="00AE4C2F" w:rsidRPr="00AE4C2F" w:rsidRDefault="00AE4C2F" w:rsidP="00AE4C2F">
            <w:pPr>
              <w:spacing w:after="0"/>
              <w:ind w:firstLineChars="200" w:firstLine="320"/>
              <w:rPr>
                <w:rFonts w:ascii="Arial" w:hAnsi="Arial" w:cs="Arial"/>
                <w:color w:val="auto"/>
                <w:sz w:val="16"/>
                <w:szCs w:val="16"/>
              </w:rPr>
            </w:pPr>
            <w:r w:rsidRPr="00AE4C2F">
              <w:rPr>
                <w:rFonts w:ascii="Arial" w:hAnsi="Arial" w:cs="Arial"/>
                <w:color w:val="auto"/>
                <w:sz w:val="16"/>
                <w:szCs w:val="16"/>
              </w:rPr>
              <w:t>Opening balance</w:t>
            </w:r>
          </w:p>
        </w:tc>
        <w:tc>
          <w:tcPr>
            <w:tcW w:w="1340" w:type="dxa"/>
            <w:tcBorders>
              <w:top w:val="nil"/>
              <w:left w:val="nil"/>
              <w:bottom w:val="nil"/>
              <w:right w:val="nil"/>
            </w:tcBorders>
            <w:shd w:val="clear" w:color="auto" w:fill="auto"/>
            <w:noWrap/>
            <w:vAlign w:val="bottom"/>
            <w:hideMark/>
          </w:tcPr>
          <w:p w14:paraId="6EF29368"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132,306</w:t>
            </w:r>
          </w:p>
        </w:tc>
        <w:tc>
          <w:tcPr>
            <w:tcW w:w="1340" w:type="dxa"/>
            <w:tcBorders>
              <w:top w:val="nil"/>
              <w:left w:val="nil"/>
              <w:bottom w:val="nil"/>
              <w:right w:val="nil"/>
            </w:tcBorders>
            <w:shd w:val="clear" w:color="000000" w:fill="D9D9D9"/>
            <w:noWrap/>
            <w:vAlign w:val="bottom"/>
            <w:hideMark/>
          </w:tcPr>
          <w:p w14:paraId="6B0DF63D"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117,300</w:t>
            </w:r>
          </w:p>
        </w:tc>
      </w:tr>
      <w:tr w:rsidR="00AE4C2F" w:rsidRPr="00AE4C2F" w14:paraId="4459DC5E" w14:textId="77777777" w:rsidTr="00AE4C2F">
        <w:trPr>
          <w:trHeight w:val="225"/>
        </w:trPr>
        <w:tc>
          <w:tcPr>
            <w:tcW w:w="4660" w:type="dxa"/>
            <w:tcBorders>
              <w:top w:val="nil"/>
              <w:left w:val="nil"/>
              <w:bottom w:val="nil"/>
              <w:right w:val="nil"/>
            </w:tcBorders>
            <w:shd w:val="clear" w:color="auto" w:fill="auto"/>
            <w:noWrap/>
            <w:vAlign w:val="bottom"/>
            <w:hideMark/>
          </w:tcPr>
          <w:p w14:paraId="1EDBE085" w14:textId="77777777" w:rsidR="00AE4C2F" w:rsidRPr="00AE4C2F" w:rsidRDefault="00AE4C2F" w:rsidP="00AE4C2F">
            <w:pPr>
              <w:spacing w:after="0"/>
              <w:ind w:firstLineChars="200" w:firstLine="320"/>
              <w:rPr>
                <w:rFonts w:ascii="Arial" w:hAnsi="Arial" w:cs="Arial"/>
                <w:color w:val="auto"/>
                <w:sz w:val="16"/>
                <w:szCs w:val="16"/>
              </w:rPr>
            </w:pPr>
            <w:r w:rsidRPr="00AE4C2F">
              <w:rPr>
                <w:rFonts w:ascii="Arial" w:hAnsi="Arial" w:cs="Arial"/>
                <w:color w:val="auto"/>
                <w:sz w:val="16"/>
                <w:szCs w:val="16"/>
              </w:rPr>
              <w:t>Appropriation receipts</w:t>
            </w:r>
            <w:r w:rsidRPr="00AE4C2F">
              <w:rPr>
                <w:rFonts w:ascii="Arial" w:hAnsi="Arial" w:cs="Arial"/>
                <w:color w:val="auto"/>
                <w:sz w:val="16"/>
                <w:szCs w:val="16"/>
                <w:vertAlign w:val="superscript"/>
              </w:rPr>
              <w:t xml:space="preserve"> (i)</w:t>
            </w:r>
          </w:p>
        </w:tc>
        <w:tc>
          <w:tcPr>
            <w:tcW w:w="1340" w:type="dxa"/>
            <w:tcBorders>
              <w:top w:val="nil"/>
              <w:left w:val="nil"/>
              <w:bottom w:val="nil"/>
              <w:right w:val="nil"/>
            </w:tcBorders>
            <w:shd w:val="clear" w:color="auto" w:fill="auto"/>
            <w:noWrap/>
            <w:vAlign w:val="bottom"/>
            <w:hideMark/>
          </w:tcPr>
          <w:p w14:paraId="74412408"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31,136</w:t>
            </w:r>
          </w:p>
        </w:tc>
        <w:tc>
          <w:tcPr>
            <w:tcW w:w="1340" w:type="dxa"/>
            <w:tcBorders>
              <w:top w:val="nil"/>
              <w:left w:val="nil"/>
              <w:bottom w:val="nil"/>
              <w:right w:val="nil"/>
            </w:tcBorders>
            <w:shd w:val="clear" w:color="000000" w:fill="D9D9D9"/>
            <w:noWrap/>
            <w:vAlign w:val="bottom"/>
            <w:hideMark/>
          </w:tcPr>
          <w:p w14:paraId="02103F52"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46,628</w:t>
            </w:r>
          </w:p>
        </w:tc>
      </w:tr>
      <w:tr w:rsidR="00AE4C2F" w:rsidRPr="00AE4C2F" w14:paraId="0734FF77" w14:textId="77777777" w:rsidTr="00AE4C2F">
        <w:trPr>
          <w:trHeight w:val="225"/>
        </w:trPr>
        <w:tc>
          <w:tcPr>
            <w:tcW w:w="4660" w:type="dxa"/>
            <w:tcBorders>
              <w:top w:val="nil"/>
              <w:left w:val="nil"/>
              <w:bottom w:val="nil"/>
              <w:right w:val="nil"/>
            </w:tcBorders>
            <w:shd w:val="clear" w:color="auto" w:fill="auto"/>
            <w:noWrap/>
            <w:vAlign w:val="bottom"/>
            <w:hideMark/>
          </w:tcPr>
          <w:p w14:paraId="4667E91A" w14:textId="77777777" w:rsidR="00AE4C2F" w:rsidRPr="00AE4C2F" w:rsidRDefault="00AE4C2F" w:rsidP="00AE4C2F">
            <w:pPr>
              <w:spacing w:after="0"/>
              <w:ind w:firstLineChars="200" w:firstLine="320"/>
              <w:rPr>
                <w:rFonts w:ascii="Arial" w:hAnsi="Arial" w:cs="Arial"/>
                <w:color w:val="auto"/>
                <w:sz w:val="16"/>
                <w:szCs w:val="16"/>
              </w:rPr>
            </w:pPr>
            <w:r w:rsidRPr="00AE4C2F">
              <w:rPr>
                <w:rFonts w:ascii="Arial" w:hAnsi="Arial" w:cs="Arial"/>
                <w:color w:val="auto"/>
                <w:sz w:val="16"/>
                <w:szCs w:val="16"/>
              </w:rPr>
              <w:t xml:space="preserve">Non-appropriation receipts </w:t>
            </w:r>
          </w:p>
        </w:tc>
        <w:tc>
          <w:tcPr>
            <w:tcW w:w="1340" w:type="dxa"/>
            <w:tcBorders>
              <w:top w:val="nil"/>
              <w:left w:val="nil"/>
              <w:bottom w:val="nil"/>
              <w:right w:val="nil"/>
            </w:tcBorders>
            <w:shd w:val="clear" w:color="auto" w:fill="auto"/>
            <w:noWrap/>
            <w:vAlign w:val="bottom"/>
            <w:hideMark/>
          </w:tcPr>
          <w:p w14:paraId="1B666AF5"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219,819</w:t>
            </w:r>
          </w:p>
        </w:tc>
        <w:tc>
          <w:tcPr>
            <w:tcW w:w="1340" w:type="dxa"/>
            <w:tcBorders>
              <w:top w:val="nil"/>
              <w:left w:val="nil"/>
              <w:bottom w:val="nil"/>
              <w:right w:val="nil"/>
            </w:tcBorders>
            <w:shd w:val="clear" w:color="000000" w:fill="D9D9D9"/>
            <w:noWrap/>
            <w:vAlign w:val="bottom"/>
            <w:hideMark/>
          </w:tcPr>
          <w:p w14:paraId="4321EAAE"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225,964</w:t>
            </w:r>
          </w:p>
        </w:tc>
      </w:tr>
      <w:tr w:rsidR="00AE4C2F" w:rsidRPr="00AE4C2F" w14:paraId="1A71F120" w14:textId="77777777" w:rsidTr="00AE4C2F">
        <w:trPr>
          <w:trHeight w:val="225"/>
        </w:trPr>
        <w:tc>
          <w:tcPr>
            <w:tcW w:w="4660" w:type="dxa"/>
            <w:tcBorders>
              <w:top w:val="nil"/>
              <w:left w:val="nil"/>
              <w:bottom w:val="nil"/>
              <w:right w:val="nil"/>
            </w:tcBorders>
            <w:shd w:val="clear" w:color="auto" w:fill="auto"/>
            <w:noWrap/>
            <w:vAlign w:val="bottom"/>
            <w:hideMark/>
          </w:tcPr>
          <w:p w14:paraId="17391B13" w14:textId="77777777" w:rsidR="00AE4C2F" w:rsidRPr="00AE4C2F" w:rsidRDefault="00AE4C2F" w:rsidP="00AE4C2F">
            <w:pPr>
              <w:spacing w:after="0"/>
              <w:ind w:firstLineChars="200" w:firstLine="320"/>
              <w:rPr>
                <w:rFonts w:ascii="Arial" w:hAnsi="Arial" w:cs="Arial"/>
                <w:b/>
                <w:bCs/>
                <w:color w:val="auto"/>
                <w:sz w:val="16"/>
                <w:szCs w:val="16"/>
              </w:rPr>
            </w:pPr>
            <w:r w:rsidRPr="00AE4C2F">
              <w:rPr>
                <w:rFonts w:ascii="Arial" w:hAnsi="Arial" w:cs="Arial"/>
                <w:b/>
                <w:bCs/>
                <w:color w:val="auto"/>
                <w:sz w:val="16"/>
                <w:szCs w:val="16"/>
              </w:rPr>
              <w:t>Total special accounts</w:t>
            </w:r>
          </w:p>
        </w:tc>
        <w:tc>
          <w:tcPr>
            <w:tcW w:w="1340" w:type="dxa"/>
            <w:tcBorders>
              <w:top w:val="nil"/>
              <w:left w:val="nil"/>
              <w:bottom w:val="single" w:sz="4" w:space="0" w:color="auto"/>
              <w:right w:val="nil"/>
            </w:tcBorders>
            <w:shd w:val="clear" w:color="auto" w:fill="auto"/>
            <w:noWrap/>
            <w:vAlign w:val="bottom"/>
            <w:hideMark/>
          </w:tcPr>
          <w:p w14:paraId="04D06D24"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383,261</w:t>
            </w:r>
          </w:p>
        </w:tc>
        <w:tc>
          <w:tcPr>
            <w:tcW w:w="1340" w:type="dxa"/>
            <w:tcBorders>
              <w:top w:val="nil"/>
              <w:left w:val="nil"/>
              <w:bottom w:val="single" w:sz="4" w:space="0" w:color="auto"/>
              <w:right w:val="nil"/>
            </w:tcBorders>
            <w:shd w:val="clear" w:color="000000" w:fill="D9D9D9"/>
            <w:noWrap/>
            <w:vAlign w:val="bottom"/>
            <w:hideMark/>
          </w:tcPr>
          <w:p w14:paraId="4AF7AB42"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389,892</w:t>
            </w:r>
          </w:p>
        </w:tc>
      </w:tr>
      <w:tr w:rsidR="00AE4C2F" w:rsidRPr="00AE4C2F" w14:paraId="2605A954" w14:textId="77777777" w:rsidTr="00AE4C2F">
        <w:trPr>
          <w:trHeight w:val="525"/>
        </w:trPr>
        <w:tc>
          <w:tcPr>
            <w:tcW w:w="4660" w:type="dxa"/>
            <w:tcBorders>
              <w:top w:val="nil"/>
              <w:left w:val="nil"/>
              <w:bottom w:val="nil"/>
              <w:right w:val="nil"/>
            </w:tcBorders>
            <w:shd w:val="clear" w:color="auto" w:fill="auto"/>
            <w:vAlign w:val="bottom"/>
            <w:hideMark/>
          </w:tcPr>
          <w:p w14:paraId="203C0C8D" w14:textId="77777777" w:rsidR="00AE4C2F" w:rsidRPr="00AE4C2F" w:rsidRDefault="00AE4C2F" w:rsidP="00AE4C2F">
            <w:pPr>
              <w:spacing w:after="0"/>
              <w:ind w:leftChars="150" w:left="285"/>
              <w:rPr>
                <w:rFonts w:ascii="Arial" w:hAnsi="Arial" w:cs="Arial"/>
                <w:color w:val="auto"/>
                <w:sz w:val="16"/>
                <w:szCs w:val="16"/>
              </w:rPr>
            </w:pPr>
            <w:r w:rsidRPr="00AE4C2F">
              <w:rPr>
                <w:rFonts w:ascii="Arial" w:hAnsi="Arial" w:cs="Arial"/>
                <w:color w:val="auto"/>
                <w:sz w:val="16"/>
                <w:szCs w:val="16"/>
              </w:rPr>
              <w:t>Less appropriations drawn from annual or special appropriations above and credited to special accounts</w:t>
            </w:r>
            <w:r w:rsidRPr="00AE4C2F">
              <w:rPr>
                <w:rFonts w:ascii="Arial" w:hAnsi="Arial" w:cs="Arial"/>
                <w:color w:val="auto"/>
                <w:sz w:val="16"/>
                <w:szCs w:val="16"/>
                <w:vertAlign w:val="superscript"/>
              </w:rPr>
              <w:t xml:space="preserve"> (j)</w:t>
            </w:r>
          </w:p>
        </w:tc>
        <w:tc>
          <w:tcPr>
            <w:tcW w:w="1340" w:type="dxa"/>
            <w:tcBorders>
              <w:top w:val="nil"/>
              <w:left w:val="nil"/>
              <w:bottom w:val="single" w:sz="4" w:space="0" w:color="auto"/>
              <w:right w:val="nil"/>
            </w:tcBorders>
            <w:shd w:val="clear" w:color="auto" w:fill="auto"/>
            <w:noWrap/>
            <w:vAlign w:val="bottom"/>
            <w:hideMark/>
          </w:tcPr>
          <w:p w14:paraId="3ABA5258"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(31,136)</w:t>
            </w:r>
          </w:p>
        </w:tc>
        <w:tc>
          <w:tcPr>
            <w:tcW w:w="1340" w:type="dxa"/>
            <w:tcBorders>
              <w:top w:val="nil"/>
              <w:left w:val="nil"/>
              <w:bottom w:val="single" w:sz="4" w:space="0" w:color="auto"/>
              <w:right w:val="nil"/>
            </w:tcBorders>
            <w:shd w:val="clear" w:color="000000" w:fill="D9D9D9"/>
            <w:noWrap/>
            <w:vAlign w:val="bottom"/>
            <w:hideMark/>
          </w:tcPr>
          <w:p w14:paraId="18F5BAA2" w14:textId="77777777" w:rsidR="00AE4C2F" w:rsidRPr="00AE4C2F" w:rsidRDefault="00AE4C2F" w:rsidP="00AE4C2F">
            <w:pPr>
              <w:spacing w:after="0"/>
              <w:jc w:val="right"/>
              <w:rPr>
                <w:rFonts w:ascii="Arial" w:hAnsi="Arial" w:cs="Arial"/>
                <w:color w:val="auto"/>
                <w:sz w:val="16"/>
                <w:szCs w:val="16"/>
              </w:rPr>
            </w:pPr>
            <w:r w:rsidRPr="00AE4C2F">
              <w:rPr>
                <w:rFonts w:ascii="Arial" w:hAnsi="Arial" w:cs="Arial"/>
                <w:color w:val="auto"/>
                <w:sz w:val="16"/>
                <w:szCs w:val="16"/>
              </w:rPr>
              <w:t>(46,628)</w:t>
            </w:r>
          </w:p>
        </w:tc>
      </w:tr>
      <w:tr w:rsidR="00AE4C2F" w:rsidRPr="00AE4C2F" w14:paraId="7FF73F13" w14:textId="77777777" w:rsidTr="00AE4C2F">
        <w:trPr>
          <w:trHeight w:val="300"/>
        </w:trPr>
        <w:tc>
          <w:tcPr>
            <w:tcW w:w="4660" w:type="dxa"/>
            <w:tcBorders>
              <w:top w:val="nil"/>
              <w:left w:val="nil"/>
              <w:bottom w:val="nil"/>
              <w:right w:val="nil"/>
            </w:tcBorders>
            <w:shd w:val="clear" w:color="auto" w:fill="auto"/>
            <w:noWrap/>
            <w:vAlign w:val="bottom"/>
            <w:hideMark/>
          </w:tcPr>
          <w:p w14:paraId="423DB223" w14:textId="007C9A5A" w:rsidR="00AE4C2F" w:rsidRPr="00577970" w:rsidRDefault="00AE4C2F" w:rsidP="00AE4C2F">
            <w:pPr>
              <w:spacing w:after="0"/>
              <w:ind w:firstLineChars="100" w:firstLine="160"/>
              <w:rPr>
                <w:rFonts w:ascii="Arial" w:hAnsi="Arial" w:cs="Arial"/>
                <w:b/>
                <w:bCs/>
                <w:color w:val="auto"/>
                <w:sz w:val="16"/>
                <w:szCs w:val="16"/>
              </w:rPr>
            </w:pPr>
            <w:r w:rsidRPr="00577970">
              <w:rPr>
                <w:rFonts w:ascii="Arial" w:hAnsi="Arial" w:cs="Arial"/>
                <w:b/>
                <w:bCs/>
                <w:color w:val="auto"/>
                <w:sz w:val="16"/>
                <w:szCs w:val="16"/>
              </w:rPr>
              <w:t>Total departmental resourcing for Health and Aged Care</w:t>
            </w:r>
          </w:p>
        </w:tc>
        <w:tc>
          <w:tcPr>
            <w:tcW w:w="1340" w:type="dxa"/>
            <w:tcBorders>
              <w:top w:val="nil"/>
              <w:left w:val="nil"/>
              <w:bottom w:val="single" w:sz="4" w:space="0" w:color="auto"/>
              <w:right w:val="nil"/>
            </w:tcBorders>
            <w:shd w:val="clear" w:color="auto" w:fill="auto"/>
            <w:noWrap/>
            <w:vAlign w:val="bottom"/>
            <w:hideMark/>
          </w:tcPr>
          <w:p w14:paraId="53E7D283" w14:textId="77777777" w:rsidR="00AE4C2F" w:rsidRPr="00577970" w:rsidRDefault="00AE4C2F" w:rsidP="00AE4C2F">
            <w:pPr>
              <w:spacing w:after="0"/>
              <w:jc w:val="right"/>
              <w:rPr>
                <w:rFonts w:ascii="Arial" w:hAnsi="Arial" w:cs="Arial"/>
                <w:b/>
                <w:bCs/>
                <w:color w:val="auto"/>
                <w:sz w:val="16"/>
                <w:szCs w:val="16"/>
              </w:rPr>
            </w:pPr>
            <w:r w:rsidRPr="00577970">
              <w:rPr>
                <w:rFonts w:ascii="Arial" w:hAnsi="Arial" w:cs="Arial"/>
                <w:b/>
                <w:bCs/>
                <w:color w:val="auto"/>
                <w:sz w:val="16"/>
                <w:szCs w:val="16"/>
              </w:rPr>
              <w:t>1,706,676</w:t>
            </w:r>
          </w:p>
        </w:tc>
        <w:tc>
          <w:tcPr>
            <w:tcW w:w="1340" w:type="dxa"/>
            <w:tcBorders>
              <w:top w:val="nil"/>
              <w:left w:val="nil"/>
              <w:bottom w:val="single" w:sz="4" w:space="0" w:color="auto"/>
              <w:right w:val="nil"/>
            </w:tcBorders>
            <w:shd w:val="clear" w:color="000000" w:fill="D9D9D9"/>
            <w:noWrap/>
            <w:vAlign w:val="bottom"/>
            <w:hideMark/>
          </w:tcPr>
          <w:p w14:paraId="7F83D7B5" w14:textId="77777777" w:rsidR="00AE4C2F" w:rsidRPr="00AE4C2F" w:rsidRDefault="00AE4C2F" w:rsidP="00AE4C2F">
            <w:pPr>
              <w:spacing w:after="0"/>
              <w:jc w:val="right"/>
              <w:rPr>
                <w:rFonts w:ascii="Arial" w:hAnsi="Arial" w:cs="Arial"/>
                <w:b/>
                <w:bCs/>
                <w:color w:val="auto"/>
                <w:sz w:val="16"/>
                <w:szCs w:val="16"/>
              </w:rPr>
            </w:pPr>
            <w:r w:rsidRPr="00AE4C2F">
              <w:rPr>
                <w:rFonts w:ascii="Arial" w:hAnsi="Arial" w:cs="Arial"/>
                <w:b/>
                <w:bCs/>
                <w:color w:val="auto"/>
                <w:sz w:val="16"/>
                <w:szCs w:val="16"/>
              </w:rPr>
              <w:t>1,879,384</w:t>
            </w:r>
          </w:p>
        </w:tc>
      </w:tr>
    </w:tbl>
    <w:p w14:paraId="2E4EA3B1" w14:textId="081D4BCD" w:rsidR="007550F0" w:rsidRDefault="007550F0">
      <w:pPr>
        <w:spacing w:after="0"/>
        <w:rPr>
          <w:rFonts w:ascii="Arial" w:hAnsi="Arial" w:cs="Arial"/>
          <w:b/>
          <w:sz w:val="20"/>
          <w:szCs w:val="20"/>
        </w:rPr>
      </w:pPr>
      <w:r>
        <w:rPr>
          <w:rFonts w:ascii="Arial" w:hAnsi="Arial" w:cs="Arial"/>
          <w:b/>
          <w:sz w:val="20"/>
          <w:szCs w:val="20"/>
        </w:rPr>
        <w:br w:type="page"/>
      </w:r>
    </w:p>
    <w:p w14:paraId="42A2C68D" w14:textId="5B4CD9DC" w:rsidR="00232F9B" w:rsidRPr="000D22DB" w:rsidRDefault="004C6378" w:rsidP="000D22DB">
      <w:pPr>
        <w:pStyle w:val="TableGraphic"/>
        <w:rPr>
          <w:rFonts w:ascii="Arial" w:hAnsi="Arial" w:cs="Arial"/>
          <w:b/>
          <w:sz w:val="20"/>
          <w:szCs w:val="20"/>
        </w:rPr>
      </w:pPr>
      <w:r w:rsidRPr="000D22DB">
        <w:rPr>
          <w:rFonts w:ascii="Arial" w:hAnsi="Arial" w:cs="Arial"/>
          <w:b/>
          <w:sz w:val="20"/>
          <w:szCs w:val="20"/>
        </w:rPr>
        <w:lastRenderedPageBreak/>
        <w:t>Table 1.1: Department of Health and Aged Care resource statement –</w:t>
      </w:r>
      <w:r w:rsidRPr="000D22DB">
        <w:rPr>
          <w:rFonts w:ascii="Arial" w:hAnsi="Arial" w:cs="Arial"/>
          <w:b/>
          <w:sz w:val="20"/>
          <w:szCs w:val="20"/>
        </w:rPr>
        <w:br/>
        <w:t xml:space="preserve">Budget estimates for </w:t>
      </w:r>
      <w:r w:rsidR="00BA2102">
        <w:rPr>
          <w:rFonts w:ascii="Arial" w:hAnsi="Arial" w:cs="Arial"/>
          <w:b/>
          <w:sz w:val="20"/>
          <w:szCs w:val="20"/>
        </w:rPr>
        <w:t>2023–24 as at Budget</w:t>
      </w:r>
      <w:r w:rsidR="0076288A">
        <w:rPr>
          <w:rFonts w:ascii="Arial" w:hAnsi="Arial" w:cs="Arial"/>
          <w:b/>
          <w:sz w:val="20"/>
          <w:szCs w:val="20"/>
        </w:rPr>
        <w:t xml:space="preserve"> May</w:t>
      </w:r>
      <w:r w:rsidR="00BA2102">
        <w:rPr>
          <w:rFonts w:ascii="Arial" w:hAnsi="Arial" w:cs="Arial"/>
          <w:b/>
          <w:sz w:val="20"/>
          <w:szCs w:val="20"/>
        </w:rPr>
        <w:t xml:space="preserve"> 2023</w:t>
      </w:r>
      <w:r w:rsidRPr="000D22DB">
        <w:rPr>
          <w:rFonts w:ascii="Arial" w:hAnsi="Arial" w:cs="Arial"/>
          <w:b/>
          <w:sz w:val="20"/>
          <w:szCs w:val="20"/>
        </w:rPr>
        <w:t xml:space="preserve"> </w:t>
      </w:r>
      <w:r w:rsidR="00232F9B" w:rsidRPr="000D22DB">
        <w:rPr>
          <w:rFonts w:ascii="Arial" w:hAnsi="Arial" w:cs="Arial"/>
          <w:b/>
          <w:sz w:val="20"/>
          <w:szCs w:val="20"/>
        </w:rPr>
        <w:t>(continued)</w:t>
      </w:r>
    </w:p>
    <w:tbl>
      <w:tblPr>
        <w:tblW w:w="7340" w:type="dxa"/>
        <w:tblLayout w:type="fixed"/>
        <w:tblCellMar>
          <w:left w:w="0" w:type="dxa"/>
          <w:right w:w="0" w:type="dxa"/>
        </w:tblCellMar>
        <w:tblLook w:val="04A0" w:firstRow="1" w:lastRow="0" w:firstColumn="1" w:lastColumn="0" w:noHBand="0" w:noVBand="1"/>
      </w:tblPr>
      <w:tblGrid>
        <w:gridCol w:w="4660"/>
        <w:gridCol w:w="1340"/>
        <w:gridCol w:w="1340"/>
      </w:tblGrid>
      <w:tr w:rsidR="00A856E6" w14:paraId="0351E6B9" w14:textId="77777777" w:rsidTr="00A856E6">
        <w:trPr>
          <w:trHeight w:val="567"/>
        </w:trPr>
        <w:tc>
          <w:tcPr>
            <w:tcW w:w="4660" w:type="dxa"/>
            <w:tcBorders>
              <w:top w:val="single" w:sz="4" w:space="0" w:color="auto"/>
              <w:left w:val="nil"/>
              <w:bottom w:val="nil"/>
              <w:right w:val="nil"/>
            </w:tcBorders>
            <w:shd w:val="clear" w:color="auto" w:fill="auto"/>
            <w:tcMar>
              <w:top w:w="15" w:type="dxa"/>
              <w:left w:w="15" w:type="dxa"/>
              <w:bottom w:w="0" w:type="dxa"/>
              <w:right w:w="15" w:type="dxa"/>
            </w:tcMar>
            <w:hideMark/>
          </w:tcPr>
          <w:p w14:paraId="03081790" w14:textId="77777777" w:rsidR="00A856E6" w:rsidRDefault="00A856E6" w:rsidP="00A856E6">
            <w:pPr>
              <w:spacing w:before="40" w:after="0"/>
              <w:jc w:val="right"/>
              <w:rPr>
                <w:rFonts w:ascii="Arial" w:hAnsi="Arial" w:cs="Arial"/>
                <w:color w:val="auto"/>
                <w:sz w:val="16"/>
                <w:szCs w:val="16"/>
              </w:rPr>
            </w:pPr>
            <w:r>
              <w:rPr>
                <w:rFonts w:ascii="Arial" w:hAnsi="Arial" w:cs="Arial"/>
                <w:sz w:val="16"/>
                <w:szCs w:val="16"/>
              </w:rPr>
              <w:t> </w:t>
            </w:r>
          </w:p>
        </w:tc>
        <w:tc>
          <w:tcPr>
            <w:tcW w:w="134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87CB1B2" w14:textId="77777777" w:rsidR="00A856E6" w:rsidRDefault="00A856E6" w:rsidP="00A856E6">
            <w:pPr>
              <w:spacing w:before="40" w:after="0"/>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Estimated</w:t>
            </w:r>
            <w:r>
              <w:rPr>
                <w:rFonts w:ascii="Arial" w:hAnsi="Arial" w:cs="Arial"/>
                <w:b/>
                <w:bCs/>
                <w:sz w:val="16"/>
                <w:szCs w:val="16"/>
              </w:rPr>
              <w:br/>
              <w:t>actual</w:t>
            </w:r>
            <w:r>
              <w:rPr>
                <w:rFonts w:ascii="Arial" w:hAnsi="Arial" w:cs="Arial"/>
                <w:b/>
                <w:bCs/>
                <w:sz w:val="16"/>
                <w:szCs w:val="16"/>
              </w:rPr>
              <w:br/>
              <w:t>$'000</w:t>
            </w:r>
          </w:p>
        </w:tc>
        <w:tc>
          <w:tcPr>
            <w:tcW w:w="134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2B9F753" w14:textId="77777777" w:rsidR="00A856E6" w:rsidRDefault="00A856E6" w:rsidP="00A856E6">
            <w:pPr>
              <w:spacing w:before="40"/>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Estimate</w:t>
            </w:r>
            <w:r>
              <w:rPr>
                <w:rFonts w:ascii="Arial" w:hAnsi="Arial" w:cs="Arial"/>
                <w:b/>
                <w:bCs/>
                <w:sz w:val="16"/>
                <w:szCs w:val="16"/>
              </w:rPr>
              <w:br/>
            </w:r>
            <w:r>
              <w:rPr>
                <w:rFonts w:ascii="Arial" w:hAnsi="Arial" w:cs="Arial"/>
                <w:b/>
                <w:bCs/>
                <w:sz w:val="16"/>
                <w:szCs w:val="16"/>
              </w:rPr>
              <w:br/>
              <w:t>$'000</w:t>
            </w:r>
          </w:p>
        </w:tc>
      </w:tr>
      <w:tr w:rsidR="00A856E6" w14:paraId="52AB2B49" w14:textId="77777777" w:rsidTr="00A856E6">
        <w:trPr>
          <w:trHeight w:val="225"/>
        </w:trPr>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780D0A31" w14:textId="77777777" w:rsidR="00A856E6" w:rsidRDefault="00A856E6">
            <w:pPr>
              <w:rPr>
                <w:rFonts w:ascii="Arial" w:hAnsi="Arial" w:cs="Arial"/>
                <w:b/>
                <w:bCs/>
                <w:sz w:val="16"/>
                <w:szCs w:val="16"/>
              </w:rPr>
            </w:pPr>
            <w:r>
              <w:rPr>
                <w:rFonts w:ascii="Arial" w:hAnsi="Arial" w:cs="Arial"/>
                <w:b/>
                <w:bCs/>
                <w:sz w:val="16"/>
                <w:szCs w:val="16"/>
              </w:rPr>
              <w:t>ADMINISTERED</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74CE27B" w14:textId="77777777" w:rsidR="00A856E6" w:rsidRDefault="00A856E6">
            <w:pPr>
              <w:rPr>
                <w:rFonts w:ascii="Arial" w:hAnsi="Arial" w:cs="Arial"/>
                <w:b/>
                <w:bCs/>
                <w:sz w:val="16"/>
                <w:szCs w:val="16"/>
              </w:rPr>
            </w:pPr>
          </w:p>
        </w:tc>
        <w:tc>
          <w:tcPr>
            <w:tcW w:w="1340" w:type="dxa"/>
            <w:tcBorders>
              <w:top w:val="nil"/>
              <w:left w:val="nil"/>
              <w:bottom w:val="nil"/>
              <w:right w:val="nil"/>
            </w:tcBorders>
            <w:shd w:val="clear" w:color="000000" w:fill="D9D9D9"/>
            <w:tcMar>
              <w:top w:w="15" w:type="dxa"/>
              <w:left w:w="15" w:type="dxa"/>
              <w:bottom w:w="0" w:type="dxa"/>
              <w:right w:w="15" w:type="dxa"/>
            </w:tcMar>
            <w:vAlign w:val="bottom"/>
            <w:hideMark/>
          </w:tcPr>
          <w:p w14:paraId="4B9949A5" w14:textId="77777777" w:rsidR="00A856E6" w:rsidRDefault="00A856E6">
            <w:pPr>
              <w:jc w:val="right"/>
              <w:rPr>
                <w:rFonts w:ascii="Arial" w:hAnsi="Arial" w:cs="Arial"/>
                <w:sz w:val="16"/>
                <w:szCs w:val="16"/>
              </w:rPr>
            </w:pPr>
            <w:r>
              <w:rPr>
                <w:rFonts w:ascii="Arial" w:hAnsi="Arial" w:cs="Arial"/>
                <w:sz w:val="16"/>
                <w:szCs w:val="16"/>
              </w:rPr>
              <w:t> </w:t>
            </w:r>
          </w:p>
        </w:tc>
      </w:tr>
      <w:tr w:rsidR="00A856E6" w14:paraId="172BCE20" w14:textId="77777777" w:rsidTr="00A856E6">
        <w:trPr>
          <w:trHeight w:val="300"/>
        </w:trPr>
        <w:tc>
          <w:tcPr>
            <w:tcW w:w="4660" w:type="dxa"/>
            <w:tcBorders>
              <w:top w:val="nil"/>
              <w:left w:val="nil"/>
              <w:bottom w:val="nil"/>
              <w:right w:val="nil"/>
            </w:tcBorders>
            <w:shd w:val="clear" w:color="auto" w:fill="auto"/>
            <w:noWrap/>
            <w:tcMar>
              <w:top w:w="15" w:type="dxa"/>
              <w:left w:w="180" w:type="dxa"/>
              <w:bottom w:w="0" w:type="dxa"/>
              <w:right w:w="15" w:type="dxa"/>
            </w:tcMar>
            <w:vAlign w:val="bottom"/>
            <w:hideMark/>
          </w:tcPr>
          <w:p w14:paraId="0BA88263" w14:textId="77777777" w:rsidR="00A856E6" w:rsidRDefault="00A856E6">
            <w:pPr>
              <w:ind w:firstLineChars="100" w:firstLine="160"/>
              <w:rPr>
                <w:rFonts w:ascii="Arial" w:hAnsi="Arial" w:cs="Arial"/>
                <w:b/>
                <w:bCs/>
                <w:sz w:val="16"/>
                <w:szCs w:val="16"/>
              </w:rPr>
            </w:pPr>
            <w:r>
              <w:rPr>
                <w:rFonts w:ascii="Arial" w:hAnsi="Arial" w:cs="Arial"/>
                <w:b/>
                <w:bCs/>
                <w:sz w:val="16"/>
                <w:szCs w:val="16"/>
              </w:rPr>
              <w:t>Annual appropriations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A9ED4E6" w14:textId="77777777" w:rsidR="00A856E6" w:rsidRDefault="00A856E6">
            <w:pPr>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tcMar>
              <w:top w:w="15" w:type="dxa"/>
              <w:left w:w="15" w:type="dxa"/>
              <w:bottom w:w="0" w:type="dxa"/>
              <w:right w:w="15" w:type="dxa"/>
            </w:tcMar>
            <w:vAlign w:val="bottom"/>
            <w:hideMark/>
          </w:tcPr>
          <w:p w14:paraId="1A5A5998" w14:textId="77777777" w:rsidR="00A856E6" w:rsidRDefault="00A856E6">
            <w:pPr>
              <w:jc w:val="right"/>
              <w:rPr>
                <w:rFonts w:ascii="Arial" w:hAnsi="Arial" w:cs="Arial"/>
                <w:sz w:val="16"/>
                <w:szCs w:val="16"/>
              </w:rPr>
            </w:pPr>
            <w:r>
              <w:rPr>
                <w:rFonts w:ascii="Arial" w:hAnsi="Arial" w:cs="Arial"/>
                <w:sz w:val="16"/>
                <w:szCs w:val="16"/>
              </w:rPr>
              <w:t> </w:t>
            </w:r>
          </w:p>
        </w:tc>
      </w:tr>
      <w:tr w:rsidR="00A856E6" w14:paraId="1FB7D246" w14:textId="77777777" w:rsidTr="00A856E6">
        <w:trPr>
          <w:trHeight w:val="225"/>
        </w:trPr>
        <w:tc>
          <w:tcPr>
            <w:tcW w:w="4660" w:type="dxa"/>
            <w:tcBorders>
              <w:top w:val="nil"/>
              <w:left w:val="nil"/>
              <w:bottom w:val="nil"/>
              <w:right w:val="nil"/>
            </w:tcBorders>
            <w:shd w:val="clear" w:color="auto" w:fill="auto"/>
            <w:noWrap/>
            <w:tcMar>
              <w:top w:w="15" w:type="dxa"/>
              <w:left w:w="360" w:type="dxa"/>
              <w:bottom w:w="0" w:type="dxa"/>
              <w:right w:w="15" w:type="dxa"/>
            </w:tcMar>
            <w:vAlign w:val="bottom"/>
            <w:hideMark/>
          </w:tcPr>
          <w:p w14:paraId="068F540E" w14:textId="77777777" w:rsidR="00A856E6" w:rsidRDefault="00A856E6">
            <w:pPr>
              <w:ind w:firstLineChars="200" w:firstLine="320"/>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 (k)</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439859EE" w14:textId="77777777" w:rsidR="00A856E6" w:rsidRDefault="00A856E6">
            <w:pPr>
              <w:ind w:firstLineChars="200" w:firstLine="320"/>
              <w:rPr>
                <w:rFonts w:ascii="Arial" w:hAnsi="Arial" w:cs="Arial"/>
                <w:sz w:val="16"/>
                <w:szCs w:val="16"/>
              </w:rPr>
            </w:pPr>
          </w:p>
        </w:tc>
        <w:tc>
          <w:tcPr>
            <w:tcW w:w="1340" w:type="dxa"/>
            <w:tcBorders>
              <w:top w:val="nil"/>
              <w:left w:val="nil"/>
              <w:bottom w:val="nil"/>
              <w:right w:val="nil"/>
            </w:tcBorders>
            <w:shd w:val="clear" w:color="000000" w:fill="D9D9D9"/>
            <w:tcMar>
              <w:top w:w="15" w:type="dxa"/>
              <w:left w:w="15" w:type="dxa"/>
              <w:bottom w:w="0" w:type="dxa"/>
              <w:right w:w="15" w:type="dxa"/>
            </w:tcMar>
            <w:vAlign w:val="bottom"/>
            <w:hideMark/>
          </w:tcPr>
          <w:p w14:paraId="46BEC5D2" w14:textId="77777777" w:rsidR="00A856E6" w:rsidRDefault="00A856E6">
            <w:pPr>
              <w:jc w:val="right"/>
              <w:rPr>
                <w:rFonts w:ascii="Arial" w:hAnsi="Arial" w:cs="Arial"/>
                <w:sz w:val="16"/>
                <w:szCs w:val="16"/>
              </w:rPr>
            </w:pPr>
            <w:r>
              <w:rPr>
                <w:rFonts w:ascii="Arial" w:hAnsi="Arial" w:cs="Arial"/>
                <w:sz w:val="16"/>
                <w:szCs w:val="16"/>
              </w:rPr>
              <w:t> </w:t>
            </w:r>
          </w:p>
        </w:tc>
      </w:tr>
      <w:tr w:rsidR="00A856E6" w14:paraId="3B19B99E"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6A0A77C2" w14:textId="77777777" w:rsidR="00A856E6" w:rsidRDefault="00A856E6">
            <w:pPr>
              <w:ind w:firstLineChars="300" w:firstLine="480"/>
              <w:rPr>
                <w:rFonts w:ascii="Arial" w:hAnsi="Arial" w:cs="Arial"/>
                <w:sz w:val="16"/>
                <w:szCs w:val="16"/>
              </w:rPr>
            </w:pPr>
            <w:r>
              <w:rPr>
                <w:rFonts w:ascii="Arial" w:hAnsi="Arial" w:cs="Arial"/>
                <w:sz w:val="16"/>
                <w:szCs w:val="16"/>
              </w:rPr>
              <w:t>Outcome 1: Health Policy, Access and Support</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EA12D63" w14:textId="77777777" w:rsidR="00A856E6" w:rsidRDefault="00A856E6">
            <w:pPr>
              <w:jc w:val="right"/>
              <w:rPr>
                <w:rFonts w:ascii="Arial" w:hAnsi="Arial" w:cs="Arial"/>
                <w:sz w:val="16"/>
                <w:szCs w:val="16"/>
              </w:rPr>
            </w:pPr>
            <w:r>
              <w:rPr>
                <w:rFonts w:ascii="Arial" w:hAnsi="Arial" w:cs="Arial"/>
                <w:sz w:val="16"/>
                <w:szCs w:val="16"/>
              </w:rPr>
              <w:t>10,595,802</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856F59E" w14:textId="77777777" w:rsidR="00A856E6" w:rsidRDefault="00A856E6">
            <w:pPr>
              <w:jc w:val="right"/>
              <w:rPr>
                <w:rFonts w:ascii="Arial" w:hAnsi="Arial" w:cs="Arial"/>
                <w:sz w:val="16"/>
                <w:szCs w:val="16"/>
              </w:rPr>
            </w:pPr>
            <w:r>
              <w:rPr>
                <w:rFonts w:ascii="Arial" w:hAnsi="Arial" w:cs="Arial"/>
                <w:sz w:val="16"/>
                <w:szCs w:val="16"/>
              </w:rPr>
              <w:t>7,856,270</w:t>
            </w:r>
          </w:p>
        </w:tc>
      </w:tr>
      <w:tr w:rsidR="00A856E6" w14:paraId="1AC01C13"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64F2A8C1" w14:textId="77777777" w:rsidR="00A856E6" w:rsidRDefault="00A856E6">
            <w:pPr>
              <w:ind w:firstLineChars="300" w:firstLine="480"/>
              <w:rPr>
                <w:rFonts w:ascii="Arial" w:hAnsi="Arial" w:cs="Arial"/>
                <w:sz w:val="16"/>
                <w:szCs w:val="16"/>
              </w:rPr>
            </w:pPr>
            <w:r>
              <w:rPr>
                <w:rFonts w:ascii="Arial" w:hAnsi="Arial" w:cs="Arial"/>
                <w:sz w:val="16"/>
                <w:szCs w:val="16"/>
              </w:rPr>
              <w:t>Outcome 2: Individual Health Benefits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4C40E375" w14:textId="77777777" w:rsidR="00A856E6" w:rsidRDefault="00A856E6">
            <w:pPr>
              <w:jc w:val="right"/>
              <w:rPr>
                <w:rFonts w:ascii="Arial" w:hAnsi="Arial" w:cs="Arial"/>
                <w:sz w:val="16"/>
                <w:szCs w:val="16"/>
              </w:rPr>
            </w:pPr>
            <w:r>
              <w:rPr>
                <w:rFonts w:ascii="Arial" w:hAnsi="Arial" w:cs="Arial"/>
                <w:sz w:val="16"/>
                <w:szCs w:val="16"/>
              </w:rPr>
              <w:t>1,633,143</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062D631" w14:textId="77777777" w:rsidR="00A856E6" w:rsidRDefault="00A856E6">
            <w:pPr>
              <w:jc w:val="right"/>
              <w:rPr>
                <w:rFonts w:ascii="Arial" w:hAnsi="Arial" w:cs="Arial"/>
                <w:sz w:val="16"/>
                <w:szCs w:val="16"/>
              </w:rPr>
            </w:pPr>
            <w:r>
              <w:rPr>
                <w:rFonts w:ascii="Arial" w:hAnsi="Arial" w:cs="Arial"/>
                <w:sz w:val="16"/>
                <w:szCs w:val="16"/>
              </w:rPr>
              <w:t>1,720,973</w:t>
            </w:r>
          </w:p>
        </w:tc>
      </w:tr>
      <w:tr w:rsidR="00A856E6" w14:paraId="3184D17B"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5701CB8F" w14:textId="77777777" w:rsidR="00A856E6" w:rsidRDefault="00A856E6">
            <w:pPr>
              <w:ind w:firstLineChars="300" w:firstLine="480"/>
              <w:rPr>
                <w:rFonts w:ascii="Arial" w:hAnsi="Arial" w:cs="Arial"/>
                <w:sz w:val="16"/>
                <w:szCs w:val="16"/>
              </w:rPr>
            </w:pPr>
            <w:r>
              <w:rPr>
                <w:rFonts w:ascii="Arial" w:hAnsi="Arial" w:cs="Arial"/>
                <w:sz w:val="16"/>
                <w:szCs w:val="16"/>
              </w:rPr>
              <w:t>Outcome 3: Ageing and Aged Care</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AEB11CD" w14:textId="77777777" w:rsidR="00A856E6" w:rsidRDefault="00A856E6">
            <w:pPr>
              <w:jc w:val="right"/>
              <w:rPr>
                <w:rFonts w:ascii="Arial" w:hAnsi="Arial" w:cs="Arial"/>
                <w:sz w:val="16"/>
                <w:szCs w:val="16"/>
              </w:rPr>
            </w:pPr>
            <w:r>
              <w:rPr>
                <w:rFonts w:ascii="Arial" w:hAnsi="Arial" w:cs="Arial"/>
                <w:sz w:val="16"/>
                <w:szCs w:val="16"/>
              </w:rPr>
              <w:t>6,260,027</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716D20C" w14:textId="77777777" w:rsidR="00A856E6" w:rsidRDefault="00A856E6">
            <w:pPr>
              <w:jc w:val="right"/>
              <w:rPr>
                <w:rFonts w:ascii="Arial" w:hAnsi="Arial" w:cs="Arial"/>
                <w:sz w:val="16"/>
                <w:szCs w:val="16"/>
              </w:rPr>
            </w:pPr>
            <w:r>
              <w:rPr>
                <w:rFonts w:ascii="Arial" w:hAnsi="Arial" w:cs="Arial"/>
                <w:sz w:val="16"/>
                <w:szCs w:val="16"/>
              </w:rPr>
              <w:t>6,285,028</w:t>
            </w:r>
          </w:p>
        </w:tc>
      </w:tr>
      <w:tr w:rsidR="00A856E6" w14:paraId="54C80032"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4F651B39" w14:textId="3ED711A3" w:rsidR="00A856E6" w:rsidRDefault="00A856E6" w:rsidP="00577970">
            <w:pPr>
              <w:ind w:firstLineChars="300" w:firstLine="480"/>
              <w:rPr>
                <w:rFonts w:ascii="Arial" w:hAnsi="Arial" w:cs="Arial"/>
                <w:sz w:val="16"/>
                <w:szCs w:val="16"/>
              </w:rPr>
            </w:pPr>
            <w:r>
              <w:rPr>
                <w:rFonts w:ascii="Arial" w:hAnsi="Arial" w:cs="Arial"/>
                <w:sz w:val="16"/>
                <w:szCs w:val="16"/>
              </w:rPr>
              <w:t xml:space="preserve">Outcome 4: Sport and </w:t>
            </w:r>
            <w:r w:rsidR="00577970">
              <w:rPr>
                <w:rFonts w:ascii="Arial" w:hAnsi="Arial" w:cs="Arial"/>
                <w:sz w:val="16"/>
                <w:szCs w:val="16"/>
              </w:rPr>
              <w:t>Physical Activity</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74D234BE" w14:textId="77777777" w:rsidR="00A856E6" w:rsidRDefault="00A856E6">
            <w:pPr>
              <w:jc w:val="right"/>
              <w:rPr>
                <w:rFonts w:ascii="Arial" w:hAnsi="Arial" w:cs="Arial"/>
                <w:sz w:val="16"/>
                <w:szCs w:val="16"/>
              </w:rPr>
            </w:pPr>
            <w:r>
              <w:rPr>
                <w:rFonts w:ascii="Arial" w:hAnsi="Arial" w:cs="Arial"/>
                <w:sz w:val="16"/>
                <w:szCs w:val="16"/>
              </w:rPr>
              <w:t>166,669</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F3E5176" w14:textId="77777777" w:rsidR="00A856E6" w:rsidRDefault="00A856E6">
            <w:pPr>
              <w:jc w:val="right"/>
              <w:rPr>
                <w:rFonts w:ascii="Arial" w:hAnsi="Arial" w:cs="Arial"/>
                <w:sz w:val="16"/>
                <w:szCs w:val="16"/>
              </w:rPr>
            </w:pPr>
            <w:r>
              <w:rPr>
                <w:rFonts w:ascii="Arial" w:hAnsi="Arial" w:cs="Arial"/>
                <w:sz w:val="16"/>
                <w:szCs w:val="16"/>
              </w:rPr>
              <w:t>41,706</w:t>
            </w:r>
          </w:p>
        </w:tc>
      </w:tr>
      <w:tr w:rsidR="00A856E6" w14:paraId="74858220"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17BC6053" w14:textId="77777777" w:rsidR="00A856E6" w:rsidRDefault="00A856E6">
            <w:pPr>
              <w:ind w:firstLineChars="300" w:firstLine="480"/>
              <w:rPr>
                <w:rFonts w:ascii="Arial" w:hAnsi="Arial" w:cs="Arial"/>
                <w:sz w:val="16"/>
                <w:szCs w:val="16"/>
              </w:rPr>
            </w:pPr>
            <w:r>
              <w:rPr>
                <w:rFonts w:ascii="Arial" w:hAnsi="Arial" w:cs="Arial"/>
                <w:sz w:val="16"/>
                <w:szCs w:val="16"/>
              </w:rPr>
              <w:t xml:space="preserve">Payments to corporate entities </w:t>
            </w:r>
            <w:r>
              <w:rPr>
                <w:rFonts w:ascii="Arial" w:hAnsi="Arial" w:cs="Arial"/>
                <w:sz w:val="16"/>
                <w:szCs w:val="16"/>
                <w:vertAlign w:val="superscript"/>
              </w:rPr>
              <w:t>(l)</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30C801AE" w14:textId="77777777" w:rsidR="00A856E6" w:rsidRDefault="00A856E6">
            <w:pPr>
              <w:jc w:val="right"/>
              <w:rPr>
                <w:rFonts w:ascii="Arial" w:hAnsi="Arial" w:cs="Arial"/>
                <w:sz w:val="16"/>
                <w:szCs w:val="16"/>
              </w:rPr>
            </w:pPr>
            <w:r>
              <w:rPr>
                <w:rFonts w:ascii="Arial" w:hAnsi="Arial" w:cs="Arial"/>
                <w:sz w:val="16"/>
                <w:szCs w:val="16"/>
              </w:rPr>
              <w:t>598,650</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3F54C87" w14:textId="77777777" w:rsidR="00A856E6" w:rsidRDefault="00A856E6">
            <w:pPr>
              <w:jc w:val="right"/>
              <w:rPr>
                <w:rFonts w:ascii="Arial" w:hAnsi="Arial" w:cs="Arial"/>
                <w:sz w:val="16"/>
                <w:szCs w:val="16"/>
              </w:rPr>
            </w:pPr>
            <w:r>
              <w:rPr>
                <w:rFonts w:ascii="Arial" w:hAnsi="Arial" w:cs="Arial"/>
                <w:sz w:val="16"/>
                <w:szCs w:val="16"/>
              </w:rPr>
              <w:t>673,287</w:t>
            </w:r>
          </w:p>
        </w:tc>
      </w:tr>
      <w:tr w:rsidR="00A856E6" w14:paraId="7D6482BB" w14:textId="77777777" w:rsidTr="00A856E6">
        <w:trPr>
          <w:trHeight w:val="300"/>
        </w:trPr>
        <w:tc>
          <w:tcPr>
            <w:tcW w:w="4660" w:type="dxa"/>
            <w:tcBorders>
              <w:top w:val="nil"/>
              <w:left w:val="nil"/>
              <w:bottom w:val="nil"/>
              <w:right w:val="nil"/>
            </w:tcBorders>
            <w:shd w:val="clear" w:color="auto" w:fill="auto"/>
            <w:noWrap/>
            <w:tcMar>
              <w:top w:w="15" w:type="dxa"/>
              <w:left w:w="360" w:type="dxa"/>
              <w:bottom w:w="0" w:type="dxa"/>
              <w:right w:w="15" w:type="dxa"/>
            </w:tcMar>
            <w:vAlign w:val="bottom"/>
            <w:hideMark/>
          </w:tcPr>
          <w:p w14:paraId="40DDF079" w14:textId="77777777" w:rsidR="00A856E6" w:rsidRDefault="00A856E6">
            <w:pPr>
              <w:ind w:firstLineChars="200" w:firstLine="320"/>
              <w:rPr>
                <w:rFonts w:ascii="Arial" w:hAnsi="Arial" w:cs="Arial"/>
                <w:sz w:val="16"/>
                <w:szCs w:val="16"/>
              </w:rPr>
            </w:pPr>
            <w:r>
              <w:rPr>
                <w:rFonts w:ascii="Arial" w:hAnsi="Arial" w:cs="Arial"/>
                <w:sz w:val="16"/>
                <w:szCs w:val="16"/>
              </w:rPr>
              <w:t>Other services</w:t>
            </w:r>
            <w:r>
              <w:rPr>
                <w:rFonts w:ascii="Arial" w:hAnsi="Arial" w:cs="Arial"/>
                <w:sz w:val="16"/>
                <w:szCs w:val="16"/>
                <w:vertAlign w:val="superscript"/>
              </w:rPr>
              <w:t xml:space="preserve"> (e)</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1D5F2CB3" w14:textId="77777777" w:rsidR="00A856E6" w:rsidRDefault="00A856E6">
            <w:pPr>
              <w:ind w:firstLineChars="200" w:firstLine="320"/>
              <w:rPr>
                <w:rFonts w:ascii="Arial" w:hAnsi="Arial" w:cs="Arial"/>
                <w:sz w:val="16"/>
                <w:szCs w:val="16"/>
              </w:rPr>
            </w:pPr>
          </w:p>
        </w:tc>
        <w:tc>
          <w:tcPr>
            <w:tcW w:w="1340" w:type="dxa"/>
            <w:tcBorders>
              <w:top w:val="nil"/>
              <w:left w:val="nil"/>
              <w:bottom w:val="nil"/>
              <w:right w:val="nil"/>
            </w:tcBorders>
            <w:shd w:val="clear" w:color="000000" w:fill="D9D9D9"/>
            <w:tcMar>
              <w:top w:w="15" w:type="dxa"/>
              <w:left w:w="15" w:type="dxa"/>
              <w:bottom w:w="0" w:type="dxa"/>
              <w:right w:w="15" w:type="dxa"/>
            </w:tcMar>
            <w:vAlign w:val="bottom"/>
            <w:hideMark/>
          </w:tcPr>
          <w:p w14:paraId="6742813A" w14:textId="77777777" w:rsidR="00A856E6" w:rsidRDefault="00A856E6">
            <w:pPr>
              <w:jc w:val="right"/>
              <w:rPr>
                <w:rFonts w:ascii="Arial" w:hAnsi="Arial" w:cs="Arial"/>
                <w:sz w:val="16"/>
                <w:szCs w:val="16"/>
              </w:rPr>
            </w:pPr>
            <w:r>
              <w:rPr>
                <w:rFonts w:ascii="Arial" w:hAnsi="Arial" w:cs="Arial"/>
                <w:sz w:val="16"/>
                <w:szCs w:val="16"/>
              </w:rPr>
              <w:t> </w:t>
            </w:r>
          </w:p>
        </w:tc>
      </w:tr>
      <w:tr w:rsidR="00A856E6" w14:paraId="73A91105"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13F83905" w14:textId="77777777" w:rsidR="00A856E6" w:rsidRDefault="00A856E6">
            <w:pPr>
              <w:ind w:firstLineChars="300" w:firstLine="480"/>
              <w:rPr>
                <w:rFonts w:ascii="Arial" w:hAnsi="Arial" w:cs="Arial"/>
                <w:sz w:val="16"/>
                <w:szCs w:val="16"/>
              </w:rPr>
            </w:pPr>
            <w:r>
              <w:rPr>
                <w:rFonts w:ascii="Arial" w:hAnsi="Arial" w:cs="Arial"/>
                <w:sz w:val="16"/>
                <w:szCs w:val="16"/>
              </w:rPr>
              <w:t>Administered assets and liabilities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34B03CAC" w14:textId="77777777" w:rsidR="00A856E6" w:rsidRDefault="00A856E6">
            <w:pPr>
              <w:jc w:val="right"/>
              <w:rPr>
                <w:rFonts w:ascii="Arial" w:hAnsi="Arial" w:cs="Arial"/>
                <w:sz w:val="16"/>
                <w:szCs w:val="16"/>
              </w:rPr>
            </w:pPr>
            <w:r>
              <w:rPr>
                <w:rFonts w:ascii="Arial" w:hAnsi="Arial" w:cs="Arial"/>
                <w:sz w:val="16"/>
                <w:szCs w:val="16"/>
              </w:rPr>
              <w:t>1,006,137</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81473BD" w14:textId="77777777" w:rsidR="00A856E6" w:rsidRDefault="00A856E6">
            <w:pPr>
              <w:jc w:val="right"/>
              <w:rPr>
                <w:rFonts w:ascii="Arial" w:hAnsi="Arial" w:cs="Arial"/>
                <w:sz w:val="16"/>
                <w:szCs w:val="16"/>
              </w:rPr>
            </w:pPr>
            <w:r>
              <w:rPr>
                <w:rFonts w:ascii="Arial" w:hAnsi="Arial" w:cs="Arial"/>
                <w:sz w:val="16"/>
                <w:szCs w:val="16"/>
              </w:rPr>
              <w:t>3,749</w:t>
            </w:r>
          </w:p>
        </w:tc>
      </w:tr>
      <w:tr w:rsidR="00A856E6" w14:paraId="6AC71194" w14:textId="77777777" w:rsidTr="00A856E6">
        <w:trPr>
          <w:trHeight w:val="225"/>
        </w:trPr>
        <w:tc>
          <w:tcPr>
            <w:tcW w:w="4660" w:type="dxa"/>
            <w:tcBorders>
              <w:top w:val="nil"/>
              <w:left w:val="nil"/>
              <w:bottom w:val="nil"/>
              <w:right w:val="nil"/>
            </w:tcBorders>
            <w:shd w:val="clear" w:color="auto" w:fill="auto"/>
            <w:noWrap/>
            <w:tcMar>
              <w:top w:w="15" w:type="dxa"/>
              <w:left w:w="540" w:type="dxa"/>
              <w:bottom w:w="0" w:type="dxa"/>
              <w:right w:w="15" w:type="dxa"/>
            </w:tcMar>
            <w:vAlign w:val="bottom"/>
            <w:hideMark/>
          </w:tcPr>
          <w:p w14:paraId="37FED438" w14:textId="77777777" w:rsidR="00A856E6" w:rsidRDefault="00A856E6">
            <w:pPr>
              <w:ind w:firstLineChars="300" w:firstLine="480"/>
              <w:rPr>
                <w:rFonts w:ascii="Arial" w:hAnsi="Arial" w:cs="Arial"/>
                <w:sz w:val="16"/>
                <w:szCs w:val="16"/>
              </w:rPr>
            </w:pPr>
            <w:r>
              <w:rPr>
                <w:rFonts w:ascii="Arial" w:hAnsi="Arial" w:cs="Arial"/>
                <w:sz w:val="16"/>
                <w:szCs w:val="16"/>
              </w:rPr>
              <w:t xml:space="preserve">Payments to corporate entities </w:t>
            </w:r>
            <w:r>
              <w:rPr>
                <w:rFonts w:ascii="Arial" w:hAnsi="Arial" w:cs="Arial"/>
                <w:sz w:val="16"/>
                <w:szCs w:val="16"/>
                <w:vertAlign w:val="superscript"/>
              </w:rPr>
              <w:t>(l)</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4620354C" w14:textId="77777777" w:rsidR="00A856E6" w:rsidRDefault="00A856E6">
            <w:pPr>
              <w:jc w:val="right"/>
              <w:rPr>
                <w:rFonts w:ascii="Arial" w:hAnsi="Arial" w:cs="Arial"/>
                <w:sz w:val="16"/>
                <w:szCs w:val="16"/>
              </w:rPr>
            </w:pPr>
            <w:r>
              <w:rPr>
                <w:rFonts w:ascii="Arial" w:hAnsi="Arial" w:cs="Arial"/>
                <w:sz w:val="16"/>
                <w:szCs w:val="16"/>
              </w:rPr>
              <w:t>28,740</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CA96CFD" w14:textId="77777777" w:rsidR="00A856E6" w:rsidRDefault="00A856E6">
            <w:pPr>
              <w:jc w:val="right"/>
              <w:rPr>
                <w:rFonts w:ascii="Arial" w:hAnsi="Arial" w:cs="Arial"/>
                <w:sz w:val="16"/>
                <w:szCs w:val="16"/>
              </w:rPr>
            </w:pPr>
            <w:r>
              <w:rPr>
                <w:rFonts w:ascii="Arial" w:hAnsi="Arial" w:cs="Arial"/>
                <w:sz w:val="16"/>
                <w:szCs w:val="16"/>
              </w:rPr>
              <w:t>62,143</w:t>
            </w:r>
          </w:p>
        </w:tc>
      </w:tr>
      <w:tr w:rsidR="00A856E6" w14:paraId="5F3C7423" w14:textId="77777777" w:rsidTr="00E1360D">
        <w:trPr>
          <w:trHeight w:val="227"/>
        </w:trPr>
        <w:tc>
          <w:tcPr>
            <w:tcW w:w="4660" w:type="dxa"/>
            <w:tcBorders>
              <w:top w:val="nil"/>
              <w:left w:val="nil"/>
              <w:bottom w:val="nil"/>
              <w:right w:val="nil"/>
            </w:tcBorders>
            <w:shd w:val="clear" w:color="auto" w:fill="auto"/>
            <w:noWrap/>
            <w:tcMar>
              <w:top w:w="15" w:type="dxa"/>
              <w:left w:w="360" w:type="dxa"/>
              <w:bottom w:w="0" w:type="dxa"/>
              <w:right w:w="15" w:type="dxa"/>
            </w:tcMar>
            <w:vAlign w:val="bottom"/>
            <w:hideMark/>
          </w:tcPr>
          <w:p w14:paraId="71FA5BA4" w14:textId="77777777" w:rsidR="00A856E6" w:rsidRDefault="00A856E6" w:rsidP="00E1360D">
            <w:pPr>
              <w:spacing w:after="0"/>
              <w:ind w:firstLineChars="200" w:firstLine="320"/>
              <w:rPr>
                <w:rFonts w:ascii="Arial" w:hAnsi="Arial" w:cs="Arial"/>
                <w:b/>
                <w:bCs/>
                <w:sz w:val="16"/>
                <w:szCs w:val="16"/>
              </w:rPr>
            </w:pPr>
            <w:r>
              <w:rPr>
                <w:rFonts w:ascii="Arial" w:hAnsi="Arial" w:cs="Arial"/>
                <w:b/>
                <w:bCs/>
                <w:sz w:val="16"/>
                <w:szCs w:val="16"/>
              </w:rPr>
              <w:t>Total administered annual appropriations</w:t>
            </w:r>
          </w:p>
        </w:tc>
        <w:tc>
          <w:tcPr>
            <w:tcW w:w="13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9A8C9A" w14:textId="77777777" w:rsidR="00A856E6" w:rsidRDefault="00A856E6" w:rsidP="00E1360D">
            <w:pPr>
              <w:spacing w:after="0"/>
              <w:jc w:val="right"/>
              <w:rPr>
                <w:rFonts w:ascii="Arial" w:hAnsi="Arial" w:cs="Arial"/>
                <w:b/>
                <w:bCs/>
                <w:sz w:val="16"/>
                <w:szCs w:val="16"/>
              </w:rPr>
            </w:pPr>
            <w:r>
              <w:rPr>
                <w:rFonts w:ascii="Arial" w:hAnsi="Arial" w:cs="Arial"/>
                <w:b/>
                <w:bCs/>
                <w:sz w:val="16"/>
                <w:szCs w:val="16"/>
              </w:rPr>
              <w:t>20,289,168</w:t>
            </w:r>
          </w:p>
        </w:tc>
        <w:tc>
          <w:tcPr>
            <w:tcW w:w="134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4010CAAF" w14:textId="77777777" w:rsidR="00A856E6" w:rsidRDefault="00A856E6" w:rsidP="00E1360D">
            <w:pPr>
              <w:spacing w:after="0"/>
              <w:jc w:val="right"/>
              <w:rPr>
                <w:rFonts w:ascii="Arial" w:hAnsi="Arial" w:cs="Arial"/>
                <w:b/>
                <w:bCs/>
                <w:sz w:val="16"/>
                <w:szCs w:val="16"/>
              </w:rPr>
            </w:pPr>
            <w:r>
              <w:rPr>
                <w:rFonts w:ascii="Arial" w:hAnsi="Arial" w:cs="Arial"/>
                <w:b/>
                <w:bCs/>
                <w:sz w:val="16"/>
                <w:szCs w:val="16"/>
              </w:rPr>
              <w:t>16,643,156</w:t>
            </w:r>
          </w:p>
        </w:tc>
      </w:tr>
      <w:tr w:rsidR="00A856E6" w14:paraId="157F82F8" w14:textId="77777777" w:rsidTr="00A856E6">
        <w:trPr>
          <w:trHeight w:val="300"/>
        </w:trPr>
        <w:tc>
          <w:tcPr>
            <w:tcW w:w="4660" w:type="dxa"/>
            <w:tcBorders>
              <w:top w:val="nil"/>
              <w:left w:val="nil"/>
              <w:bottom w:val="nil"/>
              <w:right w:val="nil"/>
            </w:tcBorders>
            <w:shd w:val="clear" w:color="auto" w:fill="auto"/>
            <w:noWrap/>
            <w:tcMar>
              <w:top w:w="15" w:type="dxa"/>
              <w:left w:w="180" w:type="dxa"/>
              <w:bottom w:w="0" w:type="dxa"/>
              <w:right w:w="15" w:type="dxa"/>
            </w:tcMar>
            <w:vAlign w:val="bottom"/>
            <w:hideMark/>
          </w:tcPr>
          <w:p w14:paraId="2D405761" w14:textId="77777777" w:rsidR="00A856E6" w:rsidRDefault="00A856E6" w:rsidP="00E1360D">
            <w:pPr>
              <w:spacing w:before="120"/>
              <w:ind w:firstLineChars="100" w:firstLine="160"/>
              <w:rPr>
                <w:rFonts w:ascii="Arial" w:hAnsi="Arial" w:cs="Arial"/>
                <w:b/>
                <w:bCs/>
                <w:sz w:val="16"/>
                <w:szCs w:val="16"/>
              </w:rPr>
            </w:pPr>
            <w:r>
              <w:rPr>
                <w:rFonts w:ascii="Arial" w:hAnsi="Arial" w:cs="Arial"/>
                <w:b/>
                <w:bCs/>
                <w:sz w:val="16"/>
                <w:szCs w:val="16"/>
              </w:rPr>
              <w:t>Special appropriations limited by criteria/entitlement</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1864F6F6" w14:textId="77777777" w:rsidR="00A856E6" w:rsidRDefault="00A856E6" w:rsidP="00E1360D">
            <w:pPr>
              <w:spacing w:before="12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tcMar>
              <w:top w:w="15" w:type="dxa"/>
              <w:left w:w="15" w:type="dxa"/>
              <w:bottom w:w="0" w:type="dxa"/>
              <w:right w:w="15" w:type="dxa"/>
            </w:tcMar>
            <w:vAlign w:val="bottom"/>
            <w:hideMark/>
          </w:tcPr>
          <w:p w14:paraId="74630338" w14:textId="77777777" w:rsidR="00A856E6" w:rsidRDefault="00A856E6" w:rsidP="00E1360D">
            <w:pPr>
              <w:spacing w:before="120"/>
              <w:jc w:val="right"/>
              <w:rPr>
                <w:rFonts w:ascii="Arial" w:hAnsi="Arial" w:cs="Arial"/>
                <w:b/>
                <w:bCs/>
                <w:sz w:val="16"/>
                <w:szCs w:val="16"/>
              </w:rPr>
            </w:pPr>
            <w:r>
              <w:rPr>
                <w:rFonts w:ascii="Arial" w:hAnsi="Arial" w:cs="Arial"/>
                <w:b/>
                <w:bCs/>
                <w:sz w:val="16"/>
                <w:szCs w:val="16"/>
              </w:rPr>
              <w:t> </w:t>
            </w:r>
          </w:p>
        </w:tc>
      </w:tr>
      <w:tr w:rsidR="00A856E6" w14:paraId="666969EE" w14:textId="77777777" w:rsidTr="00A856E6">
        <w:trPr>
          <w:trHeight w:val="525"/>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57D00EE0" w14:textId="77777777" w:rsidR="00A856E6" w:rsidRDefault="00A856E6" w:rsidP="00A856E6">
            <w:pPr>
              <w:ind w:leftChars="150" w:left="285"/>
              <w:rPr>
                <w:rFonts w:ascii="Arial" w:hAnsi="Arial" w:cs="Arial"/>
                <w:sz w:val="16"/>
                <w:szCs w:val="16"/>
              </w:rPr>
            </w:pPr>
            <w:r>
              <w:rPr>
                <w:rFonts w:ascii="Arial" w:hAnsi="Arial" w:cs="Arial"/>
                <w:i/>
                <w:iCs/>
                <w:sz w:val="16"/>
                <w:szCs w:val="16"/>
              </w:rPr>
              <w:t>National Health Act 1953</w:t>
            </w:r>
            <w:r>
              <w:rPr>
                <w:rFonts w:ascii="Arial" w:hAnsi="Arial" w:cs="Arial"/>
                <w:sz w:val="16"/>
                <w:szCs w:val="16"/>
              </w:rPr>
              <w:t xml:space="preserve"> - blood fractionation products and blood related products to National Blood Authority</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63D79CB6" w14:textId="77777777" w:rsidR="00A856E6" w:rsidRDefault="00A856E6">
            <w:pPr>
              <w:jc w:val="right"/>
              <w:rPr>
                <w:rFonts w:ascii="Arial" w:hAnsi="Arial" w:cs="Arial"/>
                <w:sz w:val="16"/>
                <w:szCs w:val="16"/>
              </w:rPr>
            </w:pPr>
            <w:r>
              <w:rPr>
                <w:rFonts w:ascii="Arial" w:hAnsi="Arial" w:cs="Arial"/>
                <w:sz w:val="16"/>
                <w:szCs w:val="16"/>
              </w:rPr>
              <w:t>979,366</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1A3DD30" w14:textId="77777777" w:rsidR="00A856E6" w:rsidRDefault="00A856E6">
            <w:pPr>
              <w:jc w:val="right"/>
              <w:rPr>
                <w:rFonts w:ascii="Arial" w:hAnsi="Arial" w:cs="Arial"/>
                <w:sz w:val="16"/>
                <w:szCs w:val="16"/>
              </w:rPr>
            </w:pPr>
            <w:r>
              <w:rPr>
                <w:rFonts w:ascii="Arial" w:hAnsi="Arial" w:cs="Arial"/>
                <w:sz w:val="16"/>
                <w:szCs w:val="16"/>
              </w:rPr>
              <w:t>1,072,573</w:t>
            </w:r>
          </w:p>
        </w:tc>
      </w:tr>
      <w:tr w:rsidR="00A856E6" w14:paraId="6D338F0B" w14:textId="77777777" w:rsidTr="00A856E6">
        <w:trPr>
          <w:trHeight w:val="525"/>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7511B416" w14:textId="77777777" w:rsidR="00A856E6" w:rsidRDefault="00A856E6" w:rsidP="00A856E6">
            <w:pPr>
              <w:ind w:leftChars="150" w:left="285"/>
              <w:rPr>
                <w:rFonts w:ascii="Arial" w:hAnsi="Arial" w:cs="Arial"/>
                <w:sz w:val="16"/>
                <w:szCs w:val="16"/>
              </w:rPr>
            </w:pPr>
            <w:r>
              <w:rPr>
                <w:rFonts w:ascii="Arial" w:hAnsi="Arial" w:cs="Arial"/>
                <w:i/>
                <w:iCs/>
                <w:sz w:val="16"/>
                <w:szCs w:val="16"/>
              </w:rPr>
              <w:t>Public Governance, Performance and Accountability Act 2013 s77</w:t>
            </w:r>
            <w:r>
              <w:rPr>
                <w:rFonts w:ascii="Arial" w:hAnsi="Arial" w:cs="Arial"/>
                <w:sz w:val="16"/>
                <w:szCs w:val="16"/>
              </w:rPr>
              <w:t xml:space="preserve"> - repayments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4336AE06" w14:textId="77777777" w:rsidR="00A856E6" w:rsidRDefault="00A856E6">
            <w:pPr>
              <w:jc w:val="right"/>
              <w:rPr>
                <w:rFonts w:ascii="Arial" w:hAnsi="Arial" w:cs="Arial"/>
                <w:sz w:val="16"/>
                <w:szCs w:val="16"/>
              </w:rPr>
            </w:pPr>
            <w:r>
              <w:rPr>
                <w:rFonts w:ascii="Arial" w:hAnsi="Arial" w:cs="Arial"/>
                <w:sz w:val="16"/>
                <w:szCs w:val="16"/>
              </w:rPr>
              <w:t>2,000</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3BEE3BD" w14:textId="77777777" w:rsidR="00A856E6" w:rsidRDefault="00A856E6">
            <w:pPr>
              <w:jc w:val="right"/>
              <w:rPr>
                <w:rFonts w:ascii="Arial" w:hAnsi="Arial" w:cs="Arial"/>
                <w:sz w:val="16"/>
                <w:szCs w:val="16"/>
              </w:rPr>
            </w:pPr>
            <w:r>
              <w:rPr>
                <w:rFonts w:ascii="Arial" w:hAnsi="Arial" w:cs="Arial"/>
                <w:sz w:val="16"/>
                <w:szCs w:val="16"/>
              </w:rPr>
              <w:t>2,000</w:t>
            </w:r>
          </w:p>
        </w:tc>
      </w:tr>
      <w:tr w:rsidR="00A856E6" w14:paraId="1B08E83A" w14:textId="77777777" w:rsidTr="00A856E6">
        <w:trPr>
          <w:trHeight w:val="525"/>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6E037A7A" w14:textId="77777777" w:rsidR="00A856E6" w:rsidRDefault="00A856E6" w:rsidP="00A856E6">
            <w:pPr>
              <w:ind w:leftChars="150" w:left="285"/>
              <w:rPr>
                <w:rFonts w:ascii="Arial" w:hAnsi="Arial" w:cs="Arial"/>
                <w:sz w:val="16"/>
                <w:szCs w:val="16"/>
              </w:rPr>
            </w:pPr>
            <w:r>
              <w:rPr>
                <w:rFonts w:ascii="Arial" w:hAnsi="Arial" w:cs="Arial"/>
                <w:i/>
                <w:iCs/>
                <w:sz w:val="16"/>
                <w:szCs w:val="16"/>
              </w:rPr>
              <w:t>Private Health Insurance Act 2007</w:t>
            </w:r>
            <w:r>
              <w:rPr>
                <w:rFonts w:ascii="Arial" w:hAnsi="Arial" w:cs="Arial"/>
                <w:sz w:val="16"/>
                <w:szCs w:val="16"/>
              </w:rPr>
              <w:t xml:space="preserve"> - incentive payments and rebate</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167E804D" w14:textId="77777777" w:rsidR="00A856E6" w:rsidRDefault="00A856E6">
            <w:pPr>
              <w:jc w:val="right"/>
              <w:rPr>
                <w:rFonts w:ascii="Arial" w:hAnsi="Arial" w:cs="Arial"/>
                <w:sz w:val="16"/>
                <w:szCs w:val="16"/>
              </w:rPr>
            </w:pPr>
            <w:r>
              <w:rPr>
                <w:rFonts w:ascii="Arial" w:hAnsi="Arial" w:cs="Arial"/>
                <w:sz w:val="16"/>
                <w:szCs w:val="16"/>
              </w:rPr>
              <w:t>6,718,793</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E0CC5B2" w14:textId="77777777" w:rsidR="00A856E6" w:rsidRDefault="00A856E6">
            <w:pPr>
              <w:jc w:val="right"/>
              <w:rPr>
                <w:rFonts w:ascii="Arial" w:hAnsi="Arial" w:cs="Arial"/>
                <w:sz w:val="16"/>
                <w:szCs w:val="16"/>
              </w:rPr>
            </w:pPr>
            <w:r>
              <w:rPr>
                <w:rFonts w:ascii="Arial" w:hAnsi="Arial" w:cs="Arial"/>
                <w:sz w:val="16"/>
                <w:szCs w:val="16"/>
              </w:rPr>
              <w:t>6,885,379</w:t>
            </w:r>
          </w:p>
        </w:tc>
      </w:tr>
      <w:tr w:rsidR="00A856E6" w14:paraId="4D628C2D"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3FC1B324" w14:textId="77777777" w:rsidR="00A856E6" w:rsidRDefault="00A856E6" w:rsidP="00A856E6">
            <w:pPr>
              <w:ind w:leftChars="150" w:left="285"/>
              <w:rPr>
                <w:rFonts w:ascii="Arial" w:hAnsi="Arial" w:cs="Arial"/>
                <w:i/>
                <w:iCs/>
                <w:sz w:val="16"/>
                <w:szCs w:val="16"/>
              </w:rPr>
            </w:pPr>
            <w:r>
              <w:rPr>
                <w:rFonts w:ascii="Arial" w:hAnsi="Arial" w:cs="Arial"/>
                <w:i/>
                <w:iCs/>
                <w:sz w:val="16"/>
                <w:szCs w:val="16"/>
              </w:rPr>
              <w:t xml:space="preserve">Medical Indemnity Act 2002 </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05023D28" w14:textId="77777777" w:rsidR="00A856E6" w:rsidRDefault="00A856E6">
            <w:pPr>
              <w:jc w:val="right"/>
              <w:rPr>
                <w:rFonts w:ascii="Arial" w:hAnsi="Arial" w:cs="Arial"/>
                <w:sz w:val="16"/>
                <w:szCs w:val="16"/>
              </w:rPr>
            </w:pPr>
            <w:r>
              <w:rPr>
                <w:rFonts w:ascii="Arial" w:hAnsi="Arial" w:cs="Arial"/>
                <w:sz w:val="16"/>
                <w:szCs w:val="16"/>
              </w:rPr>
              <w:t>106,328</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1F0C92D" w14:textId="77777777" w:rsidR="00A856E6" w:rsidRDefault="00A856E6">
            <w:pPr>
              <w:jc w:val="right"/>
              <w:rPr>
                <w:rFonts w:ascii="Arial" w:hAnsi="Arial" w:cs="Arial"/>
                <w:sz w:val="16"/>
                <w:szCs w:val="16"/>
              </w:rPr>
            </w:pPr>
            <w:r>
              <w:rPr>
                <w:rFonts w:ascii="Arial" w:hAnsi="Arial" w:cs="Arial"/>
                <w:sz w:val="16"/>
                <w:szCs w:val="16"/>
              </w:rPr>
              <w:t>104,764</w:t>
            </w:r>
          </w:p>
        </w:tc>
      </w:tr>
      <w:tr w:rsidR="00A856E6" w14:paraId="5875FA1F" w14:textId="77777777" w:rsidTr="00A856E6">
        <w:trPr>
          <w:trHeight w:val="525"/>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58A88977" w14:textId="77777777" w:rsidR="00A856E6" w:rsidRDefault="00A856E6" w:rsidP="00A856E6">
            <w:pPr>
              <w:ind w:leftChars="150" w:left="285"/>
              <w:rPr>
                <w:rFonts w:ascii="Arial" w:hAnsi="Arial" w:cs="Arial"/>
                <w:i/>
                <w:iCs/>
                <w:sz w:val="16"/>
                <w:szCs w:val="16"/>
              </w:rPr>
            </w:pPr>
            <w:r>
              <w:rPr>
                <w:rFonts w:ascii="Arial" w:hAnsi="Arial" w:cs="Arial"/>
                <w:i/>
                <w:iCs/>
                <w:sz w:val="16"/>
                <w:szCs w:val="16"/>
              </w:rPr>
              <w:t>Midwife Professional Indemnity (Commonwealth Contribution) Scheme Act 2010</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4AE8261" w14:textId="77777777" w:rsidR="00A856E6" w:rsidRDefault="00A856E6">
            <w:pPr>
              <w:jc w:val="right"/>
              <w:rPr>
                <w:rFonts w:ascii="Arial" w:hAnsi="Arial" w:cs="Arial"/>
                <w:sz w:val="16"/>
                <w:szCs w:val="16"/>
              </w:rPr>
            </w:pPr>
            <w:r>
              <w:rPr>
                <w:rFonts w:ascii="Arial" w:hAnsi="Arial" w:cs="Arial"/>
                <w:sz w:val="16"/>
                <w:szCs w:val="16"/>
              </w:rPr>
              <w:t>1,309</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5CCAF82" w14:textId="77777777" w:rsidR="00A856E6" w:rsidRDefault="00A856E6">
            <w:pPr>
              <w:jc w:val="right"/>
              <w:rPr>
                <w:rFonts w:ascii="Arial" w:hAnsi="Arial" w:cs="Arial"/>
                <w:sz w:val="16"/>
                <w:szCs w:val="16"/>
              </w:rPr>
            </w:pPr>
            <w:r>
              <w:rPr>
                <w:rFonts w:ascii="Arial" w:hAnsi="Arial" w:cs="Arial"/>
                <w:sz w:val="16"/>
                <w:szCs w:val="16"/>
              </w:rPr>
              <w:t>1,294</w:t>
            </w:r>
          </w:p>
        </w:tc>
      </w:tr>
      <w:tr w:rsidR="00A856E6" w14:paraId="29005B82"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410966AE" w14:textId="77777777" w:rsidR="00A856E6" w:rsidRDefault="00A856E6" w:rsidP="00A856E6">
            <w:pPr>
              <w:ind w:leftChars="150" w:left="285"/>
              <w:rPr>
                <w:rFonts w:ascii="Arial" w:hAnsi="Arial" w:cs="Arial"/>
                <w:i/>
                <w:iCs/>
                <w:sz w:val="16"/>
                <w:szCs w:val="16"/>
              </w:rPr>
            </w:pPr>
            <w:r>
              <w:rPr>
                <w:rFonts w:ascii="Arial" w:hAnsi="Arial" w:cs="Arial"/>
                <w:i/>
                <w:iCs/>
                <w:sz w:val="16"/>
                <w:szCs w:val="16"/>
              </w:rPr>
              <w:t>Dental Benefits Act 2008</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0B4FEE0" w14:textId="77777777" w:rsidR="00A856E6" w:rsidRDefault="00A856E6">
            <w:pPr>
              <w:jc w:val="right"/>
              <w:rPr>
                <w:rFonts w:ascii="Arial" w:hAnsi="Arial" w:cs="Arial"/>
                <w:sz w:val="16"/>
                <w:szCs w:val="16"/>
              </w:rPr>
            </w:pPr>
            <w:r>
              <w:rPr>
                <w:rFonts w:ascii="Arial" w:hAnsi="Arial" w:cs="Arial"/>
                <w:sz w:val="16"/>
                <w:szCs w:val="16"/>
              </w:rPr>
              <w:t>343,788</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AA28CCC" w14:textId="77777777" w:rsidR="00A856E6" w:rsidRDefault="00A856E6">
            <w:pPr>
              <w:jc w:val="right"/>
              <w:rPr>
                <w:rFonts w:ascii="Arial" w:hAnsi="Arial" w:cs="Arial"/>
                <w:sz w:val="16"/>
                <w:szCs w:val="16"/>
              </w:rPr>
            </w:pPr>
            <w:r>
              <w:rPr>
                <w:rFonts w:ascii="Arial" w:hAnsi="Arial" w:cs="Arial"/>
                <w:sz w:val="16"/>
                <w:szCs w:val="16"/>
              </w:rPr>
              <w:t>349,835</w:t>
            </w:r>
          </w:p>
        </w:tc>
      </w:tr>
      <w:tr w:rsidR="00A856E6" w14:paraId="385D6465"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0DC34533" w14:textId="77777777" w:rsidR="00A856E6" w:rsidRDefault="00A856E6" w:rsidP="00A856E6">
            <w:pPr>
              <w:ind w:leftChars="150" w:left="285"/>
              <w:rPr>
                <w:rFonts w:ascii="Arial" w:hAnsi="Arial" w:cs="Arial"/>
                <w:sz w:val="16"/>
                <w:szCs w:val="16"/>
              </w:rPr>
            </w:pPr>
            <w:r>
              <w:rPr>
                <w:rFonts w:ascii="Arial" w:hAnsi="Arial" w:cs="Arial"/>
                <w:i/>
                <w:iCs/>
                <w:sz w:val="16"/>
                <w:szCs w:val="16"/>
              </w:rPr>
              <w:t>National Health Act 1953</w:t>
            </w:r>
            <w:r>
              <w:rPr>
                <w:rFonts w:ascii="Arial" w:hAnsi="Arial" w:cs="Arial"/>
                <w:sz w:val="16"/>
                <w:szCs w:val="16"/>
              </w:rPr>
              <w:t xml:space="preserve"> - aids and appliances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17426722" w14:textId="77777777" w:rsidR="00A856E6" w:rsidRDefault="00A856E6">
            <w:pPr>
              <w:jc w:val="right"/>
              <w:rPr>
                <w:rFonts w:ascii="Arial" w:hAnsi="Arial" w:cs="Arial"/>
                <w:sz w:val="16"/>
                <w:szCs w:val="16"/>
              </w:rPr>
            </w:pPr>
            <w:r>
              <w:rPr>
                <w:rFonts w:ascii="Arial" w:hAnsi="Arial" w:cs="Arial"/>
                <w:sz w:val="16"/>
                <w:szCs w:val="16"/>
              </w:rPr>
              <w:t>508,388</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97B4044" w14:textId="77777777" w:rsidR="00A856E6" w:rsidRDefault="00A856E6">
            <w:pPr>
              <w:jc w:val="right"/>
              <w:rPr>
                <w:rFonts w:ascii="Arial" w:hAnsi="Arial" w:cs="Arial"/>
                <w:sz w:val="16"/>
                <w:szCs w:val="16"/>
              </w:rPr>
            </w:pPr>
            <w:r>
              <w:rPr>
                <w:rFonts w:ascii="Arial" w:hAnsi="Arial" w:cs="Arial"/>
                <w:sz w:val="16"/>
                <w:szCs w:val="16"/>
              </w:rPr>
              <w:t>494,816</w:t>
            </w:r>
          </w:p>
        </w:tc>
      </w:tr>
      <w:tr w:rsidR="00A856E6" w14:paraId="3B241539"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71E13B8C" w14:textId="77777777" w:rsidR="00A856E6" w:rsidRDefault="00A856E6" w:rsidP="00A856E6">
            <w:pPr>
              <w:ind w:leftChars="150" w:left="285"/>
              <w:rPr>
                <w:rFonts w:ascii="Arial" w:hAnsi="Arial" w:cs="Arial"/>
                <w:sz w:val="16"/>
                <w:szCs w:val="16"/>
              </w:rPr>
            </w:pPr>
            <w:r>
              <w:rPr>
                <w:rFonts w:ascii="Arial" w:hAnsi="Arial" w:cs="Arial"/>
                <w:i/>
                <w:iCs/>
                <w:sz w:val="16"/>
                <w:szCs w:val="16"/>
              </w:rPr>
              <w:t>National Health Act 1953</w:t>
            </w:r>
            <w:r>
              <w:rPr>
                <w:rFonts w:ascii="Arial" w:hAnsi="Arial" w:cs="Arial"/>
                <w:sz w:val="16"/>
                <w:szCs w:val="16"/>
              </w:rPr>
              <w:t xml:space="preserve"> - essential vaccines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68B6674A" w14:textId="77777777" w:rsidR="00A856E6" w:rsidRDefault="00A856E6">
            <w:pPr>
              <w:jc w:val="right"/>
              <w:rPr>
                <w:rFonts w:ascii="Arial" w:hAnsi="Arial" w:cs="Arial"/>
                <w:sz w:val="16"/>
                <w:szCs w:val="16"/>
              </w:rPr>
            </w:pPr>
            <w:r>
              <w:rPr>
                <w:rFonts w:ascii="Arial" w:hAnsi="Arial" w:cs="Arial"/>
                <w:sz w:val="16"/>
                <w:szCs w:val="16"/>
              </w:rPr>
              <w:t>440,827</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38A55E6C" w14:textId="77777777" w:rsidR="00A856E6" w:rsidRDefault="00A856E6">
            <w:pPr>
              <w:jc w:val="right"/>
              <w:rPr>
                <w:rFonts w:ascii="Arial" w:hAnsi="Arial" w:cs="Arial"/>
                <w:sz w:val="16"/>
                <w:szCs w:val="16"/>
              </w:rPr>
            </w:pPr>
            <w:r>
              <w:rPr>
                <w:rFonts w:ascii="Arial" w:hAnsi="Arial" w:cs="Arial"/>
                <w:sz w:val="16"/>
                <w:szCs w:val="16"/>
              </w:rPr>
              <w:t>512,149</w:t>
            </w:r>
          </w:p>
        </w:tc>
      </w:tr>
      <w:tr w:rsidR="00A856E6" w14:paraId="3CED23E8"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724F0A30" w14:textId="77777777" w:rsidR="00A856E6" w:rsidRDefault="00A856E6" w:rsidP="00A856E6">
            <w:pPr>
              <w:ind w:leftChars="150" w:left="285"/>
              <w:rPr>
                <w:rFonts w:ascii="Arial" w:hAnsi="Arial" w:cs="Arial"/>
                <w:sz w:val="16"/>
                <w:szCs w:val="16"/>
              </w:rPr>
            </w:pPr>
            <w:r>
              <w:rPr>
                <w:rFonts w:ascii="Arial" w:hAnsi="Arial" w:cs="Arial"/>
                <w:i/>
                <w:iCs/>
                <w:sz w:val="16"/>
                <w:szCs w:val="16"/>
              </w:rPr>
              <w:t>Aged Care Act 1997</w:t>
            </w:r>
            <w:r>
              <w:rPr>
                <w:rFonts w:ascii="Arial" w:hAnsi="Arial" w:cs="Arial"/>
                <w:sz w:val="16"/>
                <w:szCs w:val="16"/>
              </w:rPr>
              <w:t xml:space="preserve"> - residential and home care</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5D46D583" w14:textId="77777777" w:rsidR="00A856E6" w:rsidRDefault="00A856E6">
            <w:pPr>
              <w:jc w:val="right"/>
              <w:rPr>
                <w:rFonts w:ascii="Arial" w:hAnsi="Arial" w:cs="Arial"/>
                <w:sz w:val="16"/>
                <w:szCs w:val="16"/>
              </w:rPr>
            </w:pPr>
            <w:r>
              <w:rPr>
                <w:rFonts w:ascii="Arial" w:hAnsi="Arial" w:cs="Arial"/>
                <w:sz w:val="16"/>
                <w:szCs w:val="16"/>
              </w:rPr>
              <w:t>21,231,247</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179E905" w14:textId="77777777" w:rsidR="00A856E6" w:rsidRDefault="00A856E6">
            <w:pPr>
              <w:jc w:val="right"/>
              <w:rPr>
                <w:rFonts w:ascii="Arial" w:hAnsi="Arial" w:cs="Arial"/>
                <w:sz w:val="16"/>
                <w:szCs w:val="16"/>
              </w:rPr>
            </w:pPr>
            <w:r>
              <w:rPr>
                <w:rFonts w:ascii="Arial" w:hAnsi="Arial" w:cs="Arial"/>
                <w:sz w:val="16"/>
                <w:szCs w:val="16"/>
              </w:rPr>
              <w:t>26,707,751</w:t>
            </w:r>
          </w:p>
        </w:tc>
      </w:tr>
      <w:tr w:rsidR="00A856E6" w14:paraId="6505E043"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708752DF" w14:textId="77777777" w:rsidR="00A856E6" w:rsidRDefault="00A856E6" w:rsidP="00A856E6">
            <w:pPr>
              <w:ind w:leftChars="150" w:left="285"/>
              <w:rPr>
                <w:rFonts w:ascii="Arial" w:hAnsi="Arial" w:cs="Arial"/>
                <w:sz w:val="16"/>
                <w:szCs w:val="16"/>
              </w:rPr>
            </w:pPr>
            <w:r>
              <w:rPr>
                <w:rFonts w:ascii="Arial" w:hAnsi="Arial" w:cs="Arial"/>
                <w:i/>
                <w:iCs/>
                <w:sz w:val="16"/>
                <w:szCs w:val="16"/>
              </w:rPr>
              <w:t>National Health Act 1953</w:t>
            </w:r>
            <w:r>
              <w:rPr>
                <w:rFonts w:ascii="Arial" w:hAnsi="Arial" w:cs="Arial"/>
                <w:sz w:val="16"/>
                <w:szCs w:val="16"/>
              </w:rPr>
              <w:t xml:space="preserve"> - continence aids payments</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12832748" w14:textId="77777777" w:rsidR="00A856E6" w:rsidRDefault="00A856E6">
            <w:pPr>
              <w:jc w:val="right"/>
              <w:rPr>
                <w:rFonts w:ascii="Arial" w:hAnsi="Arial" w:cs="Arial"/>
                <w:sz w:val="16"/>
                <w:szCs w:val="16"/>
              </w:rPr>
            </w:pPr>
            <w:r>
              <w:rPr>
                <w:rFonts w:ascii="Arial" w:hAnsi="Arial" w:cs="Arial"/>
                <w:sz w:val="16"/>
                <w:szCs w:val="16"/>
              </w:rPr>
              <w:t>104,871</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C86A8C8" w14:textId="77777777" w:rsidR="00A856E6" w:rsidRDefault="00A856E6">
            <w:pPr>
              <w:jc w:val="right"/>
              <w:rPr>
                <w:rFonts w:ascii="Arial" w:hAnsi="Arial" w:cs="Arial"/>
                <w:sz w:val="16"/>
                <w:szCs w:val="16"/>
              </w:rPr>
            </w:pPr>
            <w:r>
              <w:rPr>
                <w:rFonts w:ascii="Arial" w:hAnsi="Arial" w:cs="Arial"/>
                <w:sz w:val="16"/>
                <w:szCs w:val="16"/>
              </w:rPr>
              <w:t>103,276</w:t>
            </w:r>
          </w:p>
        </w:tc>
      </w:tr>
      <w:tr w:rsidR="00A856E6" w14:paraId="6AC590CB" w14:textId="77777777" w:rsidTr="00A856E6">
        <w:trPr>
          <w:trHeight w:val="300"/>
        </w:trPr>
        <w:tc>
          <w:tcPr>
            <w:tcW w:w="4660" w:type="dxa"/>
            <w:tcBorders>
              <w:top w:val="nil"/>
              <w:left w:val="nil"/>
              <w:bottom w:val="nil"/>
              <w:right w:val="nil"/>
            </w:tcBorders>
            <w:shd w:val="clear" w:color="auto" w:fill="auto"/>
            <w:tcMar>
              <w:top w:w="15" w:type="dxa"/>
              <w:left w:w="360" w:type="dxa"/>
              <w:bottom w:w="0" w:type="dxa"/>
              <w:right w:w="15" w:type="dxa"/>
            </w:tcMar>
            <w:vAlign w:val="bottom"/>
            <w:hideMark/>
          </w:tcPr>
          <w:p w14:paraId="2D7961DA" w14:textId="77777777" w:rsidR="00A856E6" w:rsidRDefault="00A856E6" w:rsidP="00A856E6">
            <w:pPr>
              <w:ind w:leftChars="150" w:left="285"/>
              <w:rPr>
                <w:rFonts w:ascii="Arial" w:hAnsi="Arial" w:cs="Arial"/>
                <w:sz w:val="16"/>
                <w:szCs w:val="16"/>
              </w:rPr>
            </w:pPr>
            <w:r>
              <w:rPr>
                <w:rFonts w:ascii="Arial" w:hAnsi="Arial" w:cs="Arial"/>
                <w:i/>
                <w:iCs/>
                <w:sz w:val="16"/>
                <w:szCs w:val="16"/>
              </w:rPr>
              <w:t xml:space="preserve">Aged Care Act 1997 </w:t>
            </w:r>
            <w:r>
              <w:rPr>
                <w:rFonts w:ascii="Arial" w:hAnsi="Arial" w:cs="Arial"/>
                <w:sz w:val="16"/>
                <w:szCs w:val="16"/>
              </w:rPr>
              <w:t xml:space="preserve">- flexible care </w:t>
            </w:r>
          </w:p>
        </w:tc>
        <w:tc>
          <w:tcPr>
            <w:tcW w:w="1340" w:type="dxa"/>
            <w:tcBorders>
              <w:top w:val="nil"/>
              <w:left w:val="nil"/>
              <w:bottom w:val="nil"/>
              <w:right w:val="nil"/>
            </w:tcBorders>
            <w:shd w:val="clear" w:color="auto" w:fill="auto"/>
            <w:noWrap/>
            <w:tcMar>
              <w:top w:w="15" w:type="dxa"/>
              <w:left w:w="15" w:type="dxa"/>
              <w:bottom w:w="0" w:type="dxa"/>
              <w:right w:w="15" w:type="dxa"/>
            </w:tcMar>
            <w:vAlign w:val="bottom"/>
            <w:hideMark/>
          </w:tcPr>
          <w:p w14:paraId="24ABB72C" w14:textId="77777777" w:rsidR="00A856E6" w:rsidRDefault="00A856E6">
            <w:pPr>
              <w:jc w:val="right"/>
              <w:rPr>
                <w:rFonts w:ascii="Arial" w:hAnsi="Arial" w:cs="Arial"/>
                <w:sz w:val="16"/>
                <w:szCs w:val="16"/>
              </w:rPr>
            </w:pPr>
            <w:r>
              <w:rPr>
                <w:rFonts w:ascii="Arial" w:hAnsi="Arial" w:cs="Arial"/>
                <w:sz w:val="16"/>
                <w:szCs w:val="16"/>
              </w:rPr>
              <w:t>717,024</w:t>
            </w:r>
          </w:p>
        </w:tc>
        <w:tc>
          <w:tcPr>
            <w:tcW w:w="134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A9ED7B1" w14:textId="77777777" w:rsidR="00A856E6" w:rsidRDefault="00A856E6">
            <w:pPr>
              <w:jc w:val="right"/>
              <w:rPr>
                <w:rFonts w:ascii="Arial" w:hAnsi="Arial" w:cs="Arial"/>
                <w:sz w:val="16"/>
                <w:szCs w:val="16"/>
              </w:rPr>
            </w:pPr>
            <w:r>
              <w:rPr>
                <w:rFonts w:ascii="Arial" w:hAnsi="Arial" w:cs="Arial"/>
                <w:sz w:val="16"/>
                <w:szCs w:val="16"/>
              </w:rPr>
              <w:t>822,584</w:t>
            </w:r>
          </w:p>
        </w:tc>
      </w:tr>
      <w:tr w:rsidR="00A856E6" w14:paraId="0072DEA0" w14:textId="77777777" w:rsidTr="00180DB7">
        <w:trPr>
          <w:trHeight w:val="227"/>
        </w:trPr>
        <w:tc>
          <w:tcPr>
            <w:tcW w:w="4660" w:type="dxa"/>
            <w:tcBorders>
              <w:top w:val="nil"/>
              <w:left w:val="nil"/>
              <w:bottom w:val="nil"/>
              <w:right w:val="nil"/>
            </w:tcBorders>
            <w:shd w:val="clear" w:color="auto" w:fill="auto"/>
            <w:noWrap/>
            <w:tcMar>
              <w:top w:w="15" w:type="dxa"/>
              <w:left w:w="360" w:type="dxa"/>
              <w:bottom w:w="0" w:type="dxa"/>
              <w:right w:w="15" w:type="dxa"/>
            </w:tcMar>
            <w:vAlign w:val="bottom"/>
            <w:hideMark/>
          </w:tcPr>
          <w:p w14:paraId="3850A060" w14:textId="77777777" w:rsidR="00A856E6" w:rsidRDefault="00A856E6" w:rsidP="00180DB7">
            <w:pPr>
              <w:spacing w:after="0"/>
              <w:ind w:firstLineChars="200" w:firstLine="320"/>
              <w:rPr>
                <w:rFonts w:ascii="Arial" w:hAnsi="Arial" w:cs="Arial"/>
                <w:b/>
                <w:bCs/>
                <w:sz w:val="16"/>
                <w:szCs w:val="16"/>
              </w:rPr>
            </w:pPr>
            <w:r>
              <w:rPr>
                <w:rFonts w:ascii="Arial" w:hAnsi="Arial" w:cs="Arial"/>
                <w:b/>
                <w:bCs/>
                <w:sz w:val="16"/>
                <w:szCs w:val="16"/>
              </w:rPr>
              <w:t xml:space="preserve">Total administered special appropriations </w:t>
            </w:r>
          </w:p>
        </w:tc>
        <w:tc>
          <w:tcPr>
            <w:tcW w:w="134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08255A9F" w14:textId="77777777" w:rsidR="00A856E6" w:rsidRDefault="00A856E6" w:rsidP="00180DB7">
            <w:pPr>
              <w:spacing w:after="0"/>
              <w:jc w:val="right"/>
              <w:rPr>
                <w:rFonts w:ascii="Arial" w:hAnsi="Arial" w:cs="Arial"/>
                <w:b/>
                <w:bCs/>
                <w:sz w:val="16"/>
                <w:szCs w:val="16"/>
              </w:rPr>
            </w:pPr>
            <w:r>
              <w:rPr>
                <w:rFonts w:ascii="Arial" w:hAnsi="Arial" w:cs="Arial"/>
                <w:b/>
                <w:bCs/>
                <w:sz w:val="16"/>
                <w:szCs w:val="16"/>
              </w:rPr>
              <w:t>31,153,941</w:t>
            </w:r>
          </w:p>
        </w:tc>
        <w:tc>
          <w:tcPr>
            <w:tcW w:w="134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bottom"/>
            <w:hideMark/>
          </w:tcPr>
          <w:p w14:paraId="1C122DC7" w14:textId="77777777" w:rsidR="00A856E6" w:rsidRDefault="00A856E6" w:rsidP="00180DB7">
            <w:pPr>
              <w:spacing w:after="0"/>
              <w:jc w:val="right"/>
              <w:rPr>
                <w:rFonts w:ascii="Arial" w:hAnsi="Arial" w:cs="Arial"/>
                <w:b/>
                <w:bCs/>
                <w:sz w:val="16"/>
                <w:szCs w:val="16"/>
              </w:rPr>
            </w:pPr>
            <w:r>
              <w:rPr>
                <w:rFonts w:ascii="Arial" w:hAnsi="Arial" w:cs="Arial"/>
                <w:b/>
                <w:bCs/>
                <w:sz w:val="16"/>
                <w:szCs w:val="16"/>
              </w:rPr>
              <w:t>37,056,421</w:t>
            </w:r>
          </w:p>
        </w:tc>
      </w:tr>
    </w:tbl>
    <w:p w14:paraId="1308294E" w14:textId="51D33D7F" w:rsidR="00924439" w:rsidRDefault="00A856E6">
      <w:pPr>
        <w:spacing w:after="0"/>
        <w:rPr>
          <w:rFonts w:ascii="Arial" w:hAnsi="Arial" w:cs="Arial"/>
          <w:b/>
          <w:sz w:val="20"/>
          <w:szCs w:val="20"/>
        </w:rPr>
      </w:pPr>
      <w:r>
        <w:rPr>
          <w:rFonts w:ascii="Arial" w:hAnsi="Arial" w:cs="Arial"/>
          <w:b/>
          <w:sz w:val="20"/>
          <w:szCs w:val="20"/>
        </w:rPr>
        <w:t xml:space="preserve"> </w:t>
      </w:r>
      <w:r w:rsidR="00924439">
        <w:rPr>
          <w:rFonts w:ascii="Arial" w:hAnsi="Arial" w:cs="Arial"/>
          <w:b/>
          <w:sz w:val="20"/>
          <w:szCs w:val="20"/>
        </w:rPr>
        <w:br w:type="page"/>
      </w:r>
    </w:p>
    <w:p w14:paraId="7EB87407" w14:textId="7D612653" w:rsidR="00232F9B" w:rsidRPr="000D22DB" w:rsidRDefault="004C6378" w:rsidP="000D22DB">
      <w:pPr>
        <w:pStyle w:val="TableGraphic"/>
        <w:rPr>
          <w:rFonts w:ascii="Arial" w:hAnsi="Arial" w:cs="Arial"/>
          <w:b/>
          <w:sz w:val="20"/>
          <w:szCs w:val="20"/>
        </w:rPr>
      </w:pPr>
      <w:r w:rsidRPr="000D22DB">
        <w:rPr>
          <w:rFonts w:ascii="Arial" w:hAnsi="Arial" w:cs="Arial"/>
          <w:b/>
          <w:sz w:val="20"/>
          <w:szCs w:val="20"/>
        </w:rPr>
        <w:lastRenderedPageBreak/>
        <w:t>Table 1.1: Department of Health and Aged Care resource statement –</w:t>
      </w:r>
      <w:r w:rsidRPr="000D22DB">
        <w:rPr>
          <w:rFonts w:ascii="Arial" w:hAnsi="Arial" w:cs="Arial"/>
          <w:b/>
          <w:sz w:val="20"/>
          <w:szCs w:val="20"/>
        </w:rPr>
        <w:br/>
        <w:t xml:space="preserve">Budget estimates for </w:t>
      </w:r>
      <w:r w:rsidR="00BA2102">
        <w:rPr>
          <w:rFonts w:ascii="Arial" w:hAnsi="Arial" w:cs="Arial"/>
          <w:b/>
          <w:sz w:val="20"/>
          <w:szCs w:val="20"/>
        </w:rPr>
        <w:t xml:space="preserve">2023–24 as at Budget </w:t>
      </w:r>
      <w:r w:rsidR="0076288A">
        <w:rPr>
          <w:rFonts w:ascii="Arial" w:hAnsi="Arial" w:cs="Arial"/>
          <w:b/>
          <w:sz w:val="20"/>
          <w:szCs w:val="20"/>
        </w:rPr>
        <w:t xml:space="preserve">May </w:t>
      </w:r>
      <w:r w:rsidR="00BA2102">
        <w:rPr>
          <w:rFonts w:ascii="Arial" w:hAnsi="Arial" w:cs="Arial"/>
          <w:b/>
          <w:sz w:val="20"/>
          <w:szCs w:val="20"/>
        </w:rPr>
        <w:t>2023</w:t>
      </w:r>
      <w:r w:rsidR="00EF5C5E" w:rsidRPr="000D22DB">
        <w:rPr>
          <w:rFonts w:ascii="Arial" w:hAnsi="Arial" w:cs="Arial"/>
          <w:b/>
          <w:sz w:val="20"/>
          <w:szCs w:val="20"/>
        </w:rPr>
        <w:t xml:space="preserve"> </w:t>
      </w:r>
      <w:r w:rsidR="00232F9B" w:rsidRPr="000D22DB">
        <w:rPr>
          <w:rFonts w:ascii="Arial" w:hAnsi="Arial" w:cs="Arial"/>
          <w:b/>
          <w:sz w:val="20"/>
          <w:szCs w:val="20"/>
        </w:rPr>
        <w:t>(continued)</w:t>
      </w:r>
    </w:p>
    <w:tbl>
      <w:tblPr>
        <w:tblW w:w="7340" w:type="dxa"/>
        <w:tblLayout w:type="fixed"/>
        <w:tblLook w:val="04A0" w:firstRow="1" w:lastRow="0" w:firstColumn="1" w:lastColumn="0" w:noHBand="0" w:noVBand="1"/>
      </w:tblPr>
      <w:tblGrid>
        <w:gridCol w:w="4660"/>
        <w:gridCol w:w="1340"/>
        <w:gridCol w:w="1340"/>
      </w:tblGrid>
      <w:tr w:rsidR="00E1360D" w:rsidRPr="00E1360D" w14:paraId="758D682D" w14:textId="77777777" w:rsidTr="00E1360D">
        <w:trPr>
          <w:trHeight w:val="765"/>
        </w:trPr>
        <w:tc>
          <w:tcPr>
            <w:tcW w:w="4660" w:type="dxa"/>
            <w:tcBorders>
              <w:top w:val="single" w:sz="4" w:space="0" w:color="auto"/>
              <w:left w:val="nil"/>
              <w:bottom w:val="nil"/>
              <w:right w:val="nil"/>
            </w:tcBorders>
            <w:shd w:val="clear" w:color="auto" w:fill="auto"/>
            <w:vAlign w:val="bottom"/>
            <w:hideMark/>
          </w:tcPr>
          <w:p w14:paraId="0CD295E7" w14:textId="77777777" w:rsidR="00E1360D" w:rsidRPr="00E1360D" w:rsidRDefault="00E1360D" w:rsidP="00E1360D">
            <w:pPr>
              <w:spacing w:before="40" w:after="0"/>
              <w:ind w:firstLineChars="100" w:firstLine="160"/>
              <w:rPr>
                <w:rFonts w:ascii="Arial" w:hAnsi="Arial" w:cs="Arial"/>
                <w:color w:val="auto"/>
                <w:sz w:val="16"/>
                <w:szCs w:val="16"/>
              </w:rPr>
            </w:pPr>
            <w:r w:rsidRPr="00E1360D">
              <w:rPr>
                <w:rFonts w:ascii="Arial" w:hAnsi="Arial" w:cs="Arial"/>
                <w:color w:val="auto"/>
                <w:sz w:val="16"/>
                <w:szCs w:val="16"/>
              </w:rPr>
              <w:t> </w:t>
            </w:r>
          </w:p>
        </w:tc>
        <w:tc>
          <w:tcPr>
            <w:tcW w:w="1340" w:type="dxa"/>
            <w:tcBorders>
              <w:top w:val="single" w:sz="4" w:space="0" w:color="auto"/>
              <w:left w:val="nil"/>
              <w:bottom w:val="single" w:sz="4" w:space="0" w:color="auto"/>
              <w:right w:val="nil"/>
            </w:tcBorders>
            <w:shd w:val="clear" w:color="auto" w:fill="auto"/>
            <w:vAlign w:val="bottom"/>
            <w:hideMark/>
          </w:tcPr>
          <w:p w14:paraId="05CD7731" w14:textId="77777777" w:rsidR="00E1360D" w:rsidRPr="00E1360D" w:rsidRDefault="00E1360D" w:rsidP="00E1360D">
            <w:pPr>
              <w:spacing w:before="40" w:after="0"/>
              <w:jc w:val="right"/>
              <w:rPr>
                <w:rFonts w:ascii="Arial" w:hAnsi="Arial" w:cs="Arial"/>
                <w:b/>
                <w:bCs/>
                <w:color w:val="auto"/>
                <w:sz w:val="16"/>
                <w:szCs w:val="16"/>
              </w:rPr>
            </w:pPr>
            <w:r w:rsidRPr="00E1360D">
              <w:rPr>
                <w:rFonts w:ascii="Arial" w:hAnsi="Arial" w:cs="Arial"/>
                <w:b/>
                <w:bCs/>
                <w:color w:val="auto"/>
                <w:sz w:val="16"/>
                <w:szCs w:val="16"/>
              </w:rPr>
              <w:t>2022–23</w:t>
            </w:r>
            <w:r w:rsidRPr="00E1360D">
              <w:rPr>
                <w:rFonts w:ascii="Arial" w:hAnsi="Arial" w:cs="Arial"/>
                <w:b/>
                <w:bCs/>
                <w:color w:val="auto"/>
                <w:sz w:val="16"/>
                <w:szCs w:val="16"/>
              </w:rPr>
              <w:br/>
              <w:t>Estimated</w:t>
            </w:r>
            <w:r w:rsidRPr="00E1360D">
              <w:rPr>
                <w:rFonts w:ascii="Arial" w:hAnsi="Arial" w:cs="Arial"/>
                <w:b/>
                <w:bCs/>
                <w:color w:val="auto"/>
                <w:sz w:val="16"/>
                <w:szCs w:val="16"/>
              </w:rPr>
              <w:br/>
              <w:t>actual</w:t>
            </w:r>
            <w:r w:rsidRPr="00E1360D">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vAlign w:val="bottom"/>
            <w:hideMark/>
          </w:tcPr>
          <w:p w14:paraId="36625616" w14:textId="77777777" w:rsidR="00E1360D" w:rsidRPr="00E1360D" w:rsidRDefault="00E1360D" w:rsidP="00E1360D">
            <w:pPr>
              <w:spacing w:before="40" w:after="0"/>
              <w:jc w:val="right"/>
              <w:rPr>
                <w:rFonts w:ascii="Arial" w:hAnsi="Arial" w:cs="Arial"/>
                <w:b/>
                <w:bCs/>
                <w:color w:val="auto"/>
                <w:sz w:val="16"/>
                <w:szCs w:val="16"/>
              </w:rPr>
            </w:pPr>
            <w:r w:rsidRPr="00E1360D">
              <w:rPr>
                <w:rFonts w:ascii="Arial" w:hAnsi="Arial" w:cs="Arial"/>
                <w:b/>
                <w:bCs/>
                <w:color w:val="auto"/>
                <w:sz w:val="16"/>
                <w:szCs w:val="16"/>
              </w:rPr>
              <w:t>2023–24</w:t>
            </w:r>
            <w:r w:rsidRPr="00E1360D">
              <w:rPr>
                <w:rFonts w:ascii="Arial" w:hAnsi="Arial" w:cs="Arial"/>
                <w:b/>
                <w:bCs/>
                <w:color w:val="auto"/>
                <w:sz w:val="16"/>
                <w:szCs w:val="16"/>
              </w:rPr>
              <w:br/>
              <w:t>Estimate</w:t>
            </w:r>
            <w:r w:rsidRPr="00E1360D">
              <w:rPr>
                <w:rFonts w:ascii="Arial" w:hAnsi="Arial" w:cs="Arial"/>
                <w:b/>
                <w:bCs/>
                <w:color w:val="auto"/>
                <w:sz w:val="16"/>
                <w:szCs w:val="16"/>
              </w:rPr>
              <w:br/>
            </w:r>
            <w:r w:rsidRPr="00E1360D">
              <w:rPr>
                <w:rFonts w:ascii="Arial" w:hAnsi="Arial" w:cs="Arial"/>
                <w:b/>
                <w:bCs/>
                <w:color w:val="auto"/>
                <w:sz w:val="16"/>
                <w:szCs w:val="16"/>
              </w:rPr>
              <w:br/>
              <w:t>$'000</w:t>
            </w:r>
          </w:p>
        </w:tc>
      </w:tr>
      <w:tr w:rsidR="00E1360D" w:rsidRPr="00E1360D" w14:paraId="597E4DFE" w14:textId="77777777" w:rsidTr="00E1360D">
        <w:trPr>
          <w:trHeight w:val="300"/>
        </w:trPr>
        <w:tc>
          <w:tcPr>
            <w:tcW w:w="4660" w:type="dxa"/>
            <w:tcBorders>
              <w:top w:val="nil"/>
              <w:left w:val="nil"/>
              <w:bottom w:val="nil"/>
              <w:right w:val="nil"/>
            </w:tcBorders>
            <w:shd w:val="clear" w:color="auto" w:fill="auto"/>
            <w:noWrap/>
            <w:vAlign w:val="bottom"/>
            <w:hideMark/>
          </w:tcPr>
          <w:p w14:paraId="4CE26C8D" w14:textId="77777777" w:rsidR="00E1360D" w:rsidRPr="00E1360D" w:rsidRDefault="00E1360D" w:rsidP="00E1360D">
            <w:pPr>
              <w:spacing w:after="0"/>
              <w:ind w:firstLineChars="100" w:firstLine="160"/>
              <w:rPr>
                <w:rFonts w:ascii="Arial" w:hAnsi="Arial" w:cs="Arial"/>
                <w:b/>
                <w:bCs/>
                <w:color w:val="auto"/>
                <w:sz w:val="16"/>
                <w:szCs w:val="16"/>
              </w:rPr>
            </w:pPr>
            <w:r w:rsidRPr="00E1360D">
              <w:rPr>
                <w:rFonts w:ascii="Arial" w:hAnsi="Arial" w:cs="Arial"/>
                <w:b/>
                <w:bCs/>
                <w:color w:val="auto"/>
                <w:sz w:val="16"/>
                <w:szCs w:val="16"/>
              </w:rPr>
              <w:t xml:space="preserve">Special accounts </w:t>
            </w:r>
            <w:r w:rsidRPr="00E1360D">
              <w:rPr>
                <w:rFonts w:ascii="Arial" w:hAnsi="Arial" w:cs="Arial"/>
                <w:b/>
                <w:bCs/>
                <w:color w:val="auto"/>
                <w:sz w:val="16"/>
                <w:szCs w:val="16"/>
                <w:vertAlign w:val="superscript"/>
              </w:rPr>
              <w:t>(g) (h)</w:t>
            </w:r>
          </w:p>
        </w:tc>
        <w:tc>
          <w:tcPr>
            <w:tcW w:w="1340" w:type="dxa"/>
            <w:tcBorders>
              <w:top w:val="nil"/>
              <w:left w:val="nil"/>
              <w:bottom w:val="nil"/>
              <w:right w:val="nil"/>
            </w:tcBorders>
            <w:shd w:val="clear" w:color="auto" w:fill="auto"/>
            <w:noWrap/>
            <w:vAlign w:val="bottom"/>
            <w:hideMark/>
          </w:tcPr>
          <w:p w14:paraId="256B2DC6" w14:textId="77777777" w:rsidR="00E1360D" w:rsidRPr="00E1360D" w:rsidRDefault="00E1360D" w:rsidP="00E1360D">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1BC7C286" w14:textId="77777777" w:rsidR="00E1360D" w:rsidRPr="00E1360D" w:rsidRDefault="00E1360D" w:rsidP="00E1360D">
            <w:pPr>
              <w:spacing w:after="0"/>
              <w:jc w:val="right"/>
              <w:rPr>
                <w:rFonts w:ascii="Arial" w:hAnsi="Arial" w:cs="Arial"/>
                <w:b/>
                <w:bCs/>
                <w:color w:val="auto"/>
                <w:sz w:val="16"/>
                <w:szCs w:val="16"/>
              </w:rPr>
            </w:pPr>
            <w:r w:rsidRPr="00E1360D">
              <w:rPr>
                <w:rFonts w:ascii="Arial" w:hAnsi="Arial" w:cs="Arial"/>
                <w:b/>
                <w:bCs/>
                <w:color w:val="auto"/>
                <w:sz w:val="16"/>
                <w:szCs w:val="16"/>
              </w:rPr>
              <w:t> </w:t>
            </w:r>
          </w:p>
        </w:tc>
      </w:tr>
      <w:tr w:rsidR="00E1360D" w:rsidRPr="00E1360D" w14:paraId="2D4B55A8" w14:textId="77777777" w:rsidTr="00E1360D">
        <w:trPr>
          <w:trHeight w:val="225"/>
        </w:trPr>
        <w:tc>
          <w:tcPr>
            <w:tcW w:w="4660" w:type="dxa"/>
            <w:tcBorders>
              <w:top w:val="nil"/>
              <w:left w:val="nil"/>
              <w:bottom w:val="nil"/>
              <w:right w:val="nil"/>
            </w:tcBorders>
            <w:shd w:val="clear" w:color="auto" w:fill="auto"/>
            <w:noWrap/>
            <w:vAlign w:val="bottom"/>
            <w:hideMark/>
          </w:tcPr>
          <w:p w14:paraId="5D82F5C5" w14:textId="77777777" w:rsidR="00E1360D" w:rsidRPr="00E1360D" w:rsidRDefault="00E1360D" w:rsidP="00E1360D">
            <w:pPr>
              <w:spacing w:after="0"/>
              <w:ind w:firstLineChars="200" w:firstLine="320"/>
              <w:rPr>
                <w:rFonts w:ascii="Arial" w:hAnsi="Arial" w:cs="Arial"/>
                <w:color w:val="auto"/>
                <w:sz w:val="16"/>
                <w:szCs w:val="16"/>
              </w:rPr>
            </w:pPr>
            <w:r w:rsidRPr="00E1360D">
              <w:rPr>
                <w:rFonts w:ascii="Arial" w:hAnsi="Arial" w:cs="Arial"/>
                <w:color w:val="auto"/>
                <w:sz w:val="16"/>
                <w:szCs w:val="16"/>
              </w:rPr>
              <w:t>Opening balance</w:t>
            </w:r>
          </w:p>
        </w:tc>
        <w:tc>
          <w:tcPr>
            <w:tcW w:w="1340" w:type="dxa"/>
            <w:tcBorders>
              <w:top w:val="nil"/>
              <w:left w:val="nil"/>
              <w:bottom w:val="nil"/>
              <w:right w:val="nil"/>
            </w:tcBorders>
            <w:shd w:val="clear" w:color="auto" w:fill="auto"/>
            <w:noWrap/>
            <w:vAlign w:val="bottom"/>
            <w:hideMark/>
          </w:tcPr>
          <w:p w14:paraId="041B6102"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3,281,361</w:t>
            </w:r>
          </w:p>
        </w:tc>
        <w:tc>
          <w:tcPr>
            <w:tcW w:w="1340" w:type="dxa"/>
            <w:tcBorders>
              <w:top w:val="nil"/>
              <w:left w:val="nil"/>
              <w:bottom w:val="nil"/>
              <w:right w:val="nil"/>
            </w:tcBorders>
            <w:shd w:val="clear" w:color="000000" w:fill="D9D9D9"/>
            <w:noWrap/>
            <w:vAlign w:val="bottom"/>
            <w:hideMark/>
          </w:tcPr>
          <w:p w14:paraId="2965466C"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3,282,528</w:t>
            </w:r>
          </w:p>
        </w:tc>
      </w:tr>
      <w:tr w:rsidR="00E1360D" w:rsidRPr="00E1360D" w14:paraId="1F81F3A4" w14:textId="77777777" w:rsidTr="00E1360D">
        <w:trPr>
          <w:trHeight w:val="225"/>
        </w:trPr>
        <w:tc>
          <w:tcPr>
            <w:tcW w:w="4660" w:type="dxa"/>
            <w:tcBorders>
              <w:top w:val="nil"/>
              <w:left w:val="nil"/>
              <w:bottom w:val="nil"/>
              <w:right w:val="nil"/>
            </w:tcBorders>
            <w:shd w:val="clear" w:color="auto" w:fill="auto"/>
            <w:noWrap/>
            <w:vAlign w:val="bottom"/>
            <w:hideMark/>
          </w:tcPr>
          <w:p w14:paraId="3E21DF41" w14:textId="77777777" w:rsidR="00E1360D" w:rsidRPr="00E1360D" w:rsidRDefault="00E1360D" w:rsidP="00E1360D">
            <w:pPr>
              <w:spacing w:after="0"/>
              <w:ind w:firstLineChars="200" w:firstLine="320"/>
              <w:rPr>
                <w:rFonts w:ascii="Arial" w:hAnsi="Arial" w:cs="Arial"/>
                <w:color w:val="auto"/>
                <w:sz w:val="16"/>
                <w:szCs w:val="16"/>
              </w:rPr>
            </w:pPr>
            <w:r w:rsidRPr="00E1360D">
              <w:rPr>
                <w:rFonts w:ascii="Arial" w:hAnsi="Arial" w:cs="Arial"/>
                <w:color w:val="auto"/>
                <w:sz w:val="16"/>
                <w:szCs w:val="16"/>
              </w:rPr>
              <w:t xml:space="preserve">Appropriation receipts </w:t>
            </w:r>
            <w:r w:rsidRPr="00E1360D">
              <w:rPr>
                <w:rFonts w:ascii="Arial" w:hAnsi="Arial" w:cs="Arial"/>
                <w:color w:val="auto"/>
                <w:sz w:val="16"/>
                <w:szCs w:val="16"/>
                <w:vertAlign w:val="superscript"/>
              </w:rPr>
              <w:t>(i)</w:t>
            </w:r>
          </w:p>
        </w:tc>
        <w:tc>
          <w:tcPr>
            <w:tcW w:w="1340" w:type="dxa"/>
            <w:tcBorders>
              <w:top w:val="nil"/>
              <w:left w:val="nil"/>
              <w:bottom w:val="nil"/>
              <w:right w:val="nil"/>
            </w:tcBorders>
            <w:shd w:val="clear" w:color="auto" w:fill="auto"/>
            <w:noWrap/>
            <w:vAlign w:val="bottom"/>
            <w:hideMark/>
          </w:tcPr>
          <w:p w14:paraId="347E968F"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7,133</w:t>
            </w:r>
          </w:p>
        </w:tc>
        <w:tc>
          <w:tcPr>
            <w:tcW w:w="1340" w:type="dxa"/>
            <w:tcBorders>
              <w:top w:val="nil"/>
              <w:left w:val="nil"/>
              <w:bottom w:val="nil"/>
              <w:right w:val="nil"/>
            </w:tcBorders>
            <w:shd w:val="clear" w:color="000000" w:fill="D9D9D9"/>
            <w:noWrap/>
            <w:vAlign w:val="bottom"/>
            <w:hideMark/>
          </w:tcPr>
          <w:p w14:paraId="7762AC89"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7,133</w:t>
            </w:r>
          </w:p>
        </w:tc>
      </w:tr>
      <w:tr w:rsidR="00E1360D" w:rsidRPr="00E1360D" w14:paraId="5B07A5D1" w14:textId="77777777" w:rsidTr="00E1360D">
        <w:trPr>
          <w:trHeight w:val="225"/>
        </w:trPr>
        <w:tc>
          <w:tcPr>
            <w:tcW w:w="4660" w:type="dxa"/>
            <w:tcBorders>
              <w:top w:val="nil"/>
              <w:left w:val="nil"/>
              <w:bottom w:val="nil"/>
              <w:right w:val="nil"/>
            </w:tcBorders>
            <w:shd w:val="clear" w:color="auto" w:fill="auto"/>
            <w:noWrap/>
            <w:vAlign w:val="bottom"/>
            <w:hideMark/>
          </w:tcPr>
          <w:p w14:paraId="576C9565" w14:textId="77777777" w:rsidR="00E1360D" w:rsidRPr="00E1360D" w:rsidRDefault="00E1360D" w:rsidP="00E1360D">
            <w:pPr>
              <w:spacing w:after="0"/>
              <w:ind w:firstLineChars="200" w:firstLine="320"/>
              <w:rPr>
                <w:rFonts w:ascii="Arial" w:hAnsi="Arial" w:cs="Arial"/>
                <w:color w:val="auto"/>
                <w:sz w:val="16"/>
                <w:szCs w:val="16"/>
              </w:rPr>
            </w:pPr>
            <w:r w:rsidRPr="00E1360D">
              <w:rPr>
                <w:rFonts w:ascii="Arial" w:hAnsi="Arial" w:cs="Arial"/>
                <w:color w:val="auto"/>
                <w:sz w:val="16"/>
                <w:szCs w:val="16"/>
              </w:rPr>
              <w:t xml:space="preserve">Non-appropriation receipts </w:t>
            </w:r>
          </w:p>
        </w:tc>
        <w:tc>
          <w:tcPr>
            <w:tcW w:w="1340" w:type="dxa"/>
            <w:tcBorders>
              <w:top w:val="nil"/>
              <w:left w:val="nil"/>
              <w:bottom w:val="nil"/>
              <w:right w:val="nil"/>
            </w:tcBorders>
            <w:shd w:val="clear" w:color="auto" w:fill="auto"/>
            <w:noWrap/>
            <w:vAlign w:val="bottom"/>
            <w:hideMark/>
          </w:tcPr>
          <w:p w14:paraId="7BAC3415" w14:textId="318E20D6" w:rsidR="00E1360D" w:rsidRPr="00E1360D" w:rsidRDefault="00C94B58" w:rsidP="00E1360D">
            <w:pPr>
              <w:spacing w:after="0"/>
              <w:jc w:val="right"/>
              <w:rPr>
                <w:rFonts w:ascii="Arial" w:hAnsi="Arial" w:cs="Arial"/>
                <w:color w:val="auto"/>
                <w:sz w:val="16"/>
                <w:szCs w:val="16"/>
              </w:rPr>
            </w:pPr>
            <w:r>
              <w:rPr>
                <w:rFonts w:ascii="Arial" w:hAnsi="Arial" w:cs="Arial"/>
                <w:color w:val="auto"/>
                <w:sz w:val="16"/>
                <w:szCs w:val="16"/>
              </w:rPr>
              <w:t>46,266,544</w:t>
            </w:r>
          </w:p>
        </w:tc>
        <w:tc>
          <w:tcPr>
            <w:tcW w:w="1340" w:type="dxa"/>
            <w:tcBorders>
              <w:top w:val="nil"/>
              <w:left w:val="nil"/>
              <w:bottom w:val="nil"/>
              <w:right w:val="nil"/>
            </w:tcBorders>
            <w:shd w:val="clear" w:color="000000" w:fill="D9D9D9"/>
            <w:noWrap/>
            <w:vAlign w:val="bottom"/>
            <w:hideMark/>
          </w:tcPr>
          <w:p w14:paraId="1856F527" w14:textId="1B2F027B" w:rsidR="00E1360D" w:rsidRPr="00E1360D" w:rsidRDefault="00C94B58" w:rsidP="00E1360D">
            <w:pPr>
              <w:spacing w:after="0"/>
              <w:jc w:val="right"/>
              <w:rPr>
                <w:rFonts w:ascii="Arial" w:hAnsi="Arial" w:cs="Arial"/>
                <w:color w:val="auto"/>
                <w:sz w:val="16"/>
                <w:szCs w:val="16"/>
              </w:rPr>
            </w:pPr>
            <w:r>
              <w:rPr>
                <w:rFonts w:ascii="Arial" w:hAnsi="Arial" w:cs="Arial"/>
                <w:color w:val="auto"/>
                <w:sz w:val="16"/>
                <w:szCs w:val="16"/>
              </w:rPr>
              <w:t>48,174,897</w:t>
            </w:r>
          </w:p>
        </w:tc>
      </w:tr>
      <w:tr w:rsidR="00E1360D" w:rsidRPr="00E1360D" w14:paraId="0D4F3064" w14:textId="77777777" w:rsidTr="00E1360D">
        <w:trPr>
          <w:trHeight w:val="225"/>
        </w:trPr>
        <w:tc>
          <w:tcPr>
            <w:tcW w:w="4660" w:type="dxa"/>
            <w:tcBorders>
              <w:top w:val="nil"/>
              <w:left w:val="nil"/>
              <w:bottom w:val="nil"/>
              <w:right w:val="nil"/>
            </w:tcBorders>
            <w:shd w:val="clear" w:color="auto" w:fill="auto"/>
            <w:noWrap/>
            <w:vAlign w:val="bottom"/>
            <w:hideMark/>
          </w:tcPr>
          <w:p w14:paraId="4F713C29" w14:textId="77777777" w:rsidR="00E1360D" w:rsidRPr="00E1360D" w:rsidRDefault="00E1360D" w:rsidP="00E1360D">
            <w:pPr>
              <w:spacing w:after="0"/>
              <w:ind w:firstLineChars="200" w:firstLine="320"/>
              <w:rPr>
                <w:rFonts w:ascii="Arial" w:hAnsi="Arial" w:cs="Arial"/>
                <w:b/>
                <w:bCs/>
                <w:color w:val="auto"/>
                <w:sz w:val="16"/>
                <w:szCs w:val="16"/>
              </w:rPr>
            </w:pPr>
            <w:r w:rsidRPr="00E1360D">
              <w:rPr>
                <w:rFonts w:ascii="Arial" w:hAnsi="Arial" w:cs="Arial"/>
                <w:b/>
                <w:bCs/>
                <w:color w:val="auto"/>
                <w:sz w:val="16"/>
                <w:szCs w:val="16"/>
              </w:rPr>
              <w:t>Total special accounts</w:t>
            </w:r>
          </w:p>
        </w:tc>
        <w:tc>
          <w:tcPr>
            <w:tcW w:w="1340" w:type="dxa"/>
            <w:tcBorders>
              <w:top w:val="nil"/>
              <w:left w:val="nil"/>
              <w:bottom w:val="single" w:sz="4" w:space="0" w:color="auto"/>
              <w:right w:val="nil"/>
            </w:tcBorders>
            <w:shd w:val="clear" w:color="auto" w:fill="auto"/>
            <w:noWrap/>
            <w:vAlign w:val="bottom"/>
            <w:hideMark/>
          </w:tcPr>
          <w:p w14:paraId="461DC6B0" w14:textId="2CFD53B4" w:rsidR="00E1360D" w:rsidRPr="00E1360D" w:rsidRDefault="00C94B58" w:rsidP="00E1360D">
            <w:pPr>
              <w:spacing w:after="0"/>
              <w:jc w:val="right"/>
              <w:rPr>
                <w:rFonts w:ascii="Arial" w:hAnsi="Arial" w:cs="Arial"/>
                <w:b/>
                <w:bCs/>
                <w:color w:val="auto"/>
                <w:sz w:val="16"/>
                <w:szCs w:val="16"/>
              </w:rPr>
            </w:pPr>
            <w:r>
              <w:rPr>
                <w:rFonts w:ascii="Arial" w:hAnsi="Arial" w:cs="Arial"/>
                <w:b/>
                <w:bCs/>
                <w:color w:val="auto"/>
                <w:sz w:val="16"/>
                <w:szCs w:val="16"/>
              </w:rPr>
              <w:t>49,555,038</w:t>
            </w:r>
          </w:p>
        </w:tc>
        <w:tc>
          <w:tcPr>
            <w:tcW w:w="1340" w:type="dxa"/>
            <w:tcBorders>
              <w:top w:val="nil"/>
              <w:left w:val="nil"/>
              <w:bottom w:val="single" w:sz="4" w:space="0" w:color="auto"/>
              <w:right w:val="nil"/>
            </w:tcBorders>
            <w:shd w:val="clear" w:color="000000" w:fill="D9D9D9"/>
            <w:noWrap/>
            <w:vAlign w:val="bottom"/>
            <w:hideMark/>
          </w:tcPr>
          <w:p w14:paraId="7F5C26F3" w14:textId="2F772D34" w:rsidR="00E1360D" w:rsidRPr="00E1360D" w:rsidRDefault="008C4F35" w:rsidP="00E1360D">
            <w:pPr>
              <w:spacing w:after="0"/>
              <w:jc w:val="right"/>
              <w:rPr>
                <w:rFonts w:ascii="Arial" w:hAnsi="Arial" w:cs="Arial"/>
                <w:b/>
                <w:bCs/>
                <w:color w:val="auto"/>
                <w:sz w:val="16"/>
                <w:szCs w:val="16"/>
              </w:rPr>
            </w:pPr>
            <w:r>
              <w:rPr>
                <w:rFonts w:ascii="Arial" w:hAnsi="Arial" w:cs="Arial"/>
                <w:b/>
                <w:bCs/>
                <w:color w:val="auto"/>
                <w:sz w:val="16"/>
                <w:szCs w:val="16"/>
              </w:rPr>
              <w:t>51,464,558</w:t>
            </w:r>
          </w:p>
        </w:tc>
      </w:tr>
      <w:tr w:rsidR="00E1360D" w:rsidRPr="00E1360D" w14:paraId="6A0C5C77" w14:textId="77777777" w:rsidTr="00E1360D">
        <w:trPr>
          <w:trHeight w:val="300"/>
        </w:trPr>
        <w:tc>
          <w:tcPr>
            <w:tcW w:w="4660" w:type="dxa"/>
            <w:tcBorders>
              <w:top w:val="nil"/>
              <w:left w:val="nil"/>
              <w:bottom w:val="nil"/>
              <w:right w:val="nil"/>
            </w:tcBorders>
            <w:shd w:val="clear" w:color="auto" w:fill="auto"/>
            <w:noWrap/>
            <w:vAlign w:val="bottom"/>
            <w:hideMark/>
          </w:tcPr>
          <w:p w14:paraId="32002666" w14:textId="77777777" w:rsidR="00E1360D" w:rsidRPr="00E1360D" w:rsidRDefault="00E1360D" w:rsidP="00E1360D">
            <w:pPr>
              <w:spacing w:after="0"/>
              <w:ind w:firstLineChars="100" w:firstLine="160"/>
              <w:rPr>
                <w:rFonts w:ascii="Arial" w:hAnsi="Arial" w:cs="Arial"/>
                <w:b/>
                <w:bCs/>
                <w:color w:val="auto"/>
                <w:sz w:val="16"/>
                <w:szCs w:val="16"/>
              </w:rPr>
            </w:pPr>
            <w:r w:rsidRPr="00E1360D">
              <w:rPr>
                <w:rFonts w:ascii="Arial" w:hAnsi="Arial" w:cs="Arial"/>
                <w:b/>
                <w:bCs/>
                <w:color w:val="auto"/>
                <w:sz w:val="16"/>
                <w:szCs w:val="16"/>
              </w:rPr>
              <w:t xml:space="preserve">Total administered resourcing </w:t>
            </w:r>
          </w:p>
        </w:tc>
        <w:tc>
          <w:tcPr>
            <w:tcW w:w="1340" w:type="dxa"/>
            <w:tcBorders>
              <w:top w:val="nil"/>
              <w:left w:val="nil"/>
              <w:bottom w:val="single" w:sz="4" w:space="0" w:color="auto"/>
              <w:right w:val="nil"/>
            </w:tcBorders>
            <w:shd w:val="clear" w:color="auto" w:fill="auto"/>
            <w:noWrap/>
            <w:vAlign w:val="bottom"/>
            <w:hideMark/>
          </w:tcPr>
          <w:p w14:paraId="4ACDE820" w14:textId="21C4FE27" w:rsidR="00E1360D" w:rsidRPr="00E1360D" w:rsidRDefault="008C4F35" w:rsidP="00E1360D">
            <w:pPr>
              <w:spacing w:after="0"/>
              <w:jc w:val="right"/>
              <w:rPr>
                <w:rFonts w:ascii="Arial" w:hAnsi="Arial" w:cs="Arial"/>
                <w:b/>
                <w:bCs/>
                <w:color w:val="auto"/>
                <w:sz w:val="16"/>
                <w:szCs w:val="16"/>
              </w:rPr>
            </w:pPr>
            <w:r>
              <w:rPr>
                <w:rFonts w:ascii="Arial" w:hAnsi="Arial" w:cs="Arial"/>
                <w:b/>
                <w:bCs/>
                <w:color w:val="auto"/>
                <w:sz w:val="16"/>
                <w:szCs w:val="16"/>
              </w:rPr>
              <w:t>100,998,147</w:t>
            </w:r>
          </w:p>
        </w:tc>
        <w:tc>
          <w:tcPr>
            <w:tcW w:w="1340" w:type="dxa"/>
            <w:tcBorders>
              <w:top w:val="nil"/>
              <w:left w:val="nil"/>
              <w:bottom w:val="single" w:sz="4" w:space="0" w:color="auto"/>
              <w:right w:val="nil"/>
            </w:tcBorders>
            <w:shd w:val="clear" w:color="000000" w:fill="D9D9D9"/>
            <w:noWrap/>
            <w:vAlign w:val="bottom"/>
            <w:hideMark/>
          </w:tcPr>
          <w:p w14:paraId="584F01FE" w14:textId="65B6CE02" w:rsidR="00E1360D" w:rsidRPr="00E1360D" w:rsidRDefault="008C4F35" w:rsidP="00E1360D">
            <w:pPr>
              <w:spacing w:after="0"/>
              <w:jc w:val="right"/>
              <w:rPr>
                <w:rFonts w:ascii="Arial" w:hAnsi="Arial" w:cs="Arial"/>
                <w:b/>
                <w:bCs/>
                <w:color w:val="auto"/>
                <w:sz w:val="16"/>
                <w:szCs w:val="16"/>
              </w:rPr>
            </w:pPr>
            <w:r>
              <w:rPr>
                <w:rFonts w:ascii="Arial" w:hAnsi="Arial" w:cs="Arial"/>
                <w:b/>
                <w:bCs/>
                <w:color w:val="auto"/>
                <w:sz w:val="16"/>
                <w:szCs w:val="16"/>
              </w:rPr>
              <w:t>105,164,135</w:t>
            </w:r>
          </w:p>
        </w:tc>
      </w:tr>
      <w:tr w:rsidR="00E1360D" w:rsidRPr="00E1360D" w14:paraId="302C8C48" w14:textId="77777777" w:rsidTr="00E1360D">
        <w:trPr>
          <w:trHeight w:val="900"/>
        </w:trPr>
        <w:tc>
          <w:tcPr>
            <w:tcW w:w="4660" w:type="dxa"/>
            <w:tcBorders>
              <w:top w:val="nil"/>
              <w:left w:val="nil"/>
              <w:bottom w:val="nil"/>
              <w:right w:val="nil"/>
            </w:tcBorders>
            <w:shd w:val="clear" w:color="auto" w:fill="auto"/>
            <w:vAlign w:val="bottom"/>
            <w:hideMark/>
          </w:tcPr>
          <w:p w14:paraId="77443059" w14:textId="77777777" w:rsidR="00E1360D" w:rsidRPr="00E1360D" w:rsidRDefault="00E1360D" w:rsidP="00E1360D">
            <w:pPr>
              <w:spacing w:after="0"/>
              <w:ind w:leftChars="75" w:left="143"/>
              <w:rPr>
                <w:rFonts w:ascii="Arial" w:hAnsi="Arial" w:cs="Arial"/>
                <w:color w:val="auto"/>
                <w:sz w:val="16"/>
                <w:szCs w:val="16"/>
              </w:rPr>
            </w:pPr>
            <w:r w:rsidRPr="00E1360D">
              <w:rPr>
                <w:rFonts w:ascii="Arial" w:hAnsi="Arial" w:cs="Arial"/>
                <w:color w:val="auto"/>
                <w:sz w:val="16"/>
                <w:szCs w:val="16"/>
              </w:rPr>
              <w:t>Less appropriations drawn from annual or special appropriations above and credited to special accounts and/or payments to corporate entities through annual appropriations</w:t>
            </w:r>
            <w:r w:rsidRPr="00E1360D">
              <w:rPr>
                <w:rFonts w:ascii="Arial" w:hAnsi="Arial" w:cs="Arial"/>
                <w:color w:val="auto"/>
                <w:sz w:val="16"/>
                <w:szCs w:val="16"/>
                <w:vertAlign w:val="superscript"/>
              </w:rPr>
              <w:t xml:space="preserve"> (h)</w:t>
            </w:r>
          </w:p>
        </w:tc>
        <w:tc>
          <w:tcPr>
            <w:tcW w:w="1340" w:type="dxa"/>
            <w:tcBorders>
              <w:top w:val="nil"/>
              <w:left w:val="nil"/>
              <w:bottom w:val="nil"/>
              <w:right w:val="nil"/>
            </w:tcBorders>
            <w:shd w:val="clear" w:color="auto" w:fill="auto"/>
            <w:noWrap/>
            <w:vAlign w:val="bottom"/>
            <w:hideMark/>
          </w:tcPr>
          <w:p w14:paraId="0DFFAE7C"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(634,523)</w:t>
            </w:r>
          </w:p>
        </w:tc>
        <w:tc>
          <w:tcPr>
            <w:tcW w:w="1340" w:type="dxa"/>
            <w:tcBorders>
              <w:top w:val="nil"/>
              <w:left w:val="nil"/>
              <w:bottom w:val="nil"/>
              <w:right w:val="nil"/>
            </w:tcBorders>
            <w:shd w:val="clear" w:color="000000" w:fill="D9D9D9"/>
            <w:noWrap/>
            <w:vAlign w:val="bottom"/>
            <w:hideMark/>
          </w:tcPr>
          <w:p w14:paraId="24D5911B" w14:textId="77777777" w:rsidR="00E1360D" w:rsidRPr="00E1360D" w:rsidRDefault="00E1360D" w:rsidP="00E1360D">
            <w:pPr>
              <w:spacing w:after="0"/>
              <w:jc w:val="right"/>
              <w:rPr>
                <w:rFonts w:ascii="Arial" w:hAnsi="Arial" w:cs="Arial"/>
                <w:color w:val="auto"/>
                <w:sz w:val="16"/>
                <w:szCs w:val="16"/>
              </w:rPr>
            </w:pPr>
            <w:r w:rsidRPr="00E1360D">
              <w:rPr>
                <w:rFonts w:ascii="Arial" w:hAnsi="Arial" w:cs="Arial"/>
                <w:color w:val="auto"/>
                <w:sz w:val="16"/>
                <w:szCs w:val="16"/>
              </w:rPr>
              <w:t>(742,563)</w:t>
            </w:r>
          </w:p>
        </w:tc>
      </w:tr>
      <w:tr w:rsidR="00E1360D" w:rsidRPr="00E1360D" w14:paraId="68114FDB" w14:textId="77777777" w:rsidTr="00E1360D">
        <w:trPr>
          <w:trHeight w:val="300"/>
        </w:trPr>
        <w:tc>
          <w:tcPr>
            <w:tcW w:w="4660" w:type="dxa"/>
            <w:tcBorders>
              <w:top w:val="nil"/>
              <w:left w:val="nil"/>
              <w:bottom w:val="nil"/>
              <w:right w:val="nil"/>
            </w:tcBorders>
            <w:shd w:val="clear" w:color="auto" w:fill="auto"/>
            <w:noWrap/>
            <w:vAlign w:val="bottom"/>
            <w:hideMark/>
          </w:tcPr>
          <w:p w14:paraId="380E66F8" w14:textId="77777777" w:rsidR="00E1360D" w:rsidRPr="00E1360D" w:rsidRDefault="00E1360D" w:rsidP="00E1360D">
            <w:pPr>
              <w:spacing w:after="0"/>
              <w:rPr>
                <w:rFonts w:ascii="Arial" w:hAnsi="Arial" w:cs="Arial"/>
                <w:b/>
                <w:bCs/>
                <w:color w:val="auto"/>
                <w:sz w:val="16"/>
                <w:szCs w:val="16"/>
              </w:rPr>
            </w:pPr>
            <w:r w:rsidRPr="00E1360D">
              <w:rPr>
                <w:rFonts w:ascii="Arial" w:hAnsi="Arial" w:cs="Arial"/>
                <w:b/>
                <w:bCs/>
                <w:color w:val="auto"/>
                <w:sz w:val="16"/>
                <w:szCs w:val="16"/>
              </w:rPr>
              <w:t>Total administered resourcing for Health</w:t>
            </w:r>
          </w:p>
        </w:tc>
        <w:tc>
          <w:tcPr>
            <w:tcW w:w="1340" w:type="dxa"/>
            <w:tcBorders>
              <w:top w:val="single" w:sz="4" w:space="0" w:color="auto"/>
              <w:left w:val="nil"/>
              <w:bottom w:val="single" w:sz="4" w:space="0" w:color="auto"/>
              <w:right w:val="nil"/>
            </w:tcBorders>
            <w:shd w:val="clear" w:color="auto" w:fill="auto"/>
            <w:noWrap/>
            <w:vAlign w:val="bottom"/>
            <w:hideMark/>
          </w:tcPr>
          <w:p w14:paraId="1B911682" w14:textId="3812E738" w:rsidR="00E1360D" w:rsidRPr="00E1360D" w:rsidRDefault="008C4F35" w:rsidP="00E1360D">
            <w:pPr>
              <w:spacing w:after="0"/>
              <w:jc w:val="right"/>
              <w:rPr>
                <w:rFonts w:ascii="Arial" w:hAnsi="Arial" w:cs="Arial"/>
                <w:b/>
                <w:bCs/>
                <w:color w:val="auto"/>
                <w:sz w:val="16"/>
                <w:szCs w:val="16"/>
              </w:rPr>
            </w:pPr>
            <w:r>
              <w:rPr>
                <w:rFonts w:ascii="Arial" w:hAnsi="Arial" w:cs="Arial"/>
                <w:b/>
                <w:bCs/>
                <w:color w:val="auto"/>
                <w:sz w:val="16"/>
                <w:szCs w:val="16"/>
              </w:rPr>
              <w:t>100,363,624</w:t>
            </w:r>
          </w:p>
        </w:tc>
        <w:tc>
          <w:tcPr>
            <w:tcW w:w="1340" w:type="dxa"/>
            <w:tcBorders>
              <w:top w:val="single" w:sz="4" w:space="0" w:color="auto"/>
              <w:left w:val="nil"/>
              <w:bottom w:val="single" w:sz="4" w:space="0" w:color="auto"/>
              <w:right w:val="nil"/>
            </w:tcBorders>
            <w:shd w:val="clear" w:color="000000" w:fill="D9D9D9"/>
            <w:noWrap/>
            <w:vAlign w:val="bottom"/>
            <w:hideMark/>
          </w:tcPr>
          <w:p w14:paraId="2819279C" w14:textId="01AF47B2" w:rsidR="00E1360D" w:rsidRPr="00E1360D" w:rsidRDefault="008C4F35" w:rsidP="00E1360D">
            <w:pPr>
              <w:spacing w:after="0"/>
              <w:jc w:val="right"/>
              <w:rPr>
                <w:rFonts w:ascii="Arial" w:hAnsi="Arial" w:cs="Arial"/>
                <w:b/>
                <w:bCs/>
                <w:color w:val="auto"/>
                <w:sz w:val="16"/>
                <w:szCs w:val="16"/>
              </w:rPr>
            </w:pPr>
            <w:r>
              <w:rPr>
                <w:rFonts w:ascii="Arial" w:hAnsi="Arial" w:cs="Arial"/>
                <w:b/>
                <w:bCs/>
                <w:color w:val="auto"/>
                <w:sz w:val="16"/>
                <w:szCs w:val="16"/>
              </w:rPr>
              <w:t>104,421,572</w:t>
            </w:r>
          </w:p>
        </w:tc>
      </w:tr>
      <w:tr w:rsidR="00E1360D" w:rsidRPr="00E1360D" w14:paraId="54ACC202" w14:textId="77777777" w:rsidTr="00E1360D">
        <w:trPr>
          <w:trHeight w:val="300"/>
        </w:trPr>
        <w:tc>
          <w:tcPr>
            <w:tcW w:w="4660" w:type="dxa"/>
            <w:tcBorders>
              <w:top w:val="nil"/>
              <w:left w:val="nil"/>
              <w:bottom w:val="single" w:sz="4" w:space="0" w:color="auto"/>
              <w:right w:val="nil"/>
            </w:tcBorders>
            <w:shd w:val="clear" w:color="auto" w:fill="auto"/>
            <w:noWrap/>
            <w:vAlign w:val="bottom"/>
            <w:hideMark/>
          </w:tcPr>
          <w:p w14:paraId="7B3169A2" w14:textId="28EB5BA4" w:rsidR="00E1360D" w:rsidRPr="00E1360D" w:rsidRDefault="00E1360D" w:rsidP="00E1360D">
            <w:pPr>
              <w:spacing w:after="0"/>
              <w:rPr>
                <w:rFonts w:ascii="Arial" w:hAnsi="Arial" w:cs="Arial"/>
                <w:b/>
                <w:bCs/>
                <w:color w:val="auto"/>
                <w:sz w:val="16"/>
                <w:szCs w:val="16"/>
              </w:rPr>
            </w:pPr>
            <w:r w:rsidRPr="00E1360D">
              <w:rPr>
                <w:rFonts w:ascii="Arial" w:hAnsi="Arial" w:cs="Arial"/>
                <w:b/>
                <w:bCs/>
                <w:color w:val="auto"/>
                <w:sz w:val="16"/>
                <w:szCs w:val="16"/>
              </w:rPr>
              <w:t>Total resourcing for Health</w:t>
            </w:r>
            <w:r w:rsidR="00C94B58">
              <w:rPr>
                <w:rFonts w:ascii="Arial" w:hAnsi="Arial" w:cs="Arial"/>
                <w:b/>
                <w:bCs/>
                <w:color w:val="auto"/>
                <w:sz w:val="16"/>
                <w:szCs w:val="16"/>
              </w:rPr>
              <w:t xml:space="preserve"> and Aged Care</w:t>
            </w:r>
          </w:p>
        </w:tc>
        <w:tc>
          <w:tcPr>
            <w:tcW w:w="1340" w:type="dxa"/>
            <w:tcBorders>
              <w:top w:val="nil"/>
              <w:left w:val="nil"/>
              <w:bottom w:val="single" w:sz="4" w:space="0" w:color="auto"/>
              <w:right w:val="nil"/>
            </w:tcBorders>
            <w:shd w:val="clear" w:color="auto" w:fill="auto"/>
            <w:noWrap/>
            <w:vAlign w:val="bottom"/>
            <w:hideMark/>
          </w:tcPr>
          <w:p w14:paraId="31AE6D54" w14:textId="376F18BB" w:rsidR="00E1360D" w:rsidRPr="00E1360D" w:rsidRDefault="001B585A" w:rsidP="00E1360D">
            <w:pPr>
              <w:spacing w:after="0"/>
              <w:jc w:val="right"/>
              <w:rPr>
                <w:rFonts w:ascii="Arial" w:hAnsi="Arial" w:cs="Arial"/>
                <w:b/>
                <w:bCs/>
                <w:color w:val="auto"/>
                <w:sz w:val="16"/>
                <w:szCs w:val="16"/>
              </w:rPr>
            </w:pPr>
            <w:r>
              <w:rPr>
                <w:rFonts w:ascii="Arial" w:hAnsi="Arial" w:cs="Arial"/>
                <w:b/>
                <w:bCs/>
                <w:color w:val="auto"/>
                <w:sz w:val="16"/>
                <w:szCs w:val="16"/>
              </w:rPr>
              <w:t>102,070,300</w:t>
            </w:r>
          </w:p>
        </w:tc>
        <w:tc>
          <w:tcPr>
            <w:tcW w:w="1340" w:type="dxa"/>
            <w:tcBorders>
              <w:top w:val="nil"/>
              <w:left w:val="nil"/>
              <w:bottom w:val="single" w:sz="4" w:space="0" w:color="auto"/>
              <w:right w:val="nil"/>
            </w:tcBorders>
            <w:shd w:val="clear" w:color="000000" w:fill="D9D9D9"/>
            <w:noWrap/>
            <w:vAlign w:val="bottom"/>
            <w:hideMark/>
          </w:tcPr>
          <w:p w14:paraId="0BA50490" w14:textId="6431297A" w:rsidR="00E1360D" w:rsidRPr="00E1360D" w:rsidRDefault="001B585A" w:rsidP="00E1360D">
            <w:pPr>
              <w:spacing w:after="0"/>
              <w:jc w:val="right"/>
              <w:rPr>
                <w:rFonts w:ascii="Arial" w:hAnsi="Arial" w:cs="Arial"/>
                <w:b/>
                <w:bCs/>
                <w:color w:val="auto"/>
                <w:sz w:val="16"/>
                <w:szCs w:val="16"/>
              </w:rPr>
            </w:pPr>
            <w:r>
              <w:rPr>
                <w:rFonts w:ascii="Arial" w:hAnsi="Arial" w:cs="Arial"/>
                <w:b/>
                <w:bCs/>
                <w:color w:val="auto"/>
                <w:sz w:val="16"/>
                <w:szCs w:val="16"/>
              </w:rPr>
              <w:t>106,300,956</w:t>
            </w:r>
          </w:p>
        </w:tc>
      </w:tr>
      <w:tr w:rsidR="00E1360D" w:rsidRPr="00E1360D" w14:paraId="354DCF3E" w14:textId="77777777" w:rsidTr="00E1360D">
        <w:trPr>
          <w:trHeight w:val="225"/>
        </w:trPr>
        <w:tc>
          <w:tcPr>
            <w:tcW w:w="4660" w:type="dxa"/>
            <w:tcBorders>
              <w:top w:val="nil"/>
              <w:left w:val="nil"/>
              <w:bottom w:val="nil"/>
              <w:right w:val="nil"/>
            </w:tcBorders>
            <w:shd w:val="clear" w:color="auto" w:fill="auto"/>
            <w:noWrap/>
            <w:vAlign w:val="bottom"/>
            <w:hideMark/>
          </w:tcPr>
          <w:p w14:paraId="029B9B53" w14:textId="77777777" w:rsidR="00E1360D" w:rsidRPr="00E1360D" w:rsidRDefault="00E1360D" w:rsidP="00E1360D">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26A27567" w14:textId="77777777" w:rsidR="00E1360D" w:rsidRPr="00E1360D" w:rsidRDefault="00E1360D" w:rsidP="00E1360D">
            <w:pPr>
              <w:spacing w:after="0"/>
              <w:rPr>
                <w:rFonts w:ascii="Times New Roman" w:hAnsi="Times New Roman"/>
                <w:color w:val="auto"/>
                <w:sz w:val="20"/>
                <w:szCs w:val="20"/>
              </w:rPr>
            </w:pPr>
          </w:p>
        </w:tc>
        <w:tc>
          <w:tcPr>
            <w:tcW w:w="1340" w:type="dxa"/>
            <w:tcBorders>
              <w:top w:val="nil"/>
              <w:left w:val="nil"/>
              <w:bottom w:val="nil"/>
              <w:right w:val="nil"/>
            </w:tcBorders>
            <w:shd w:val="clear" w:color="auto" w:fill="auto"/>
            <w:noWrap/>
            <w:vAlign w:val="bottom"/>
            <w:hideMark/>
          </w:tcPr>
          <w:p w14:paraId="417EB761" w14:textId="77777777" w:rsidR="00E1360D" w:rsidRPr="00E1360D" w:rsidRDefault="00E1360D" w:rsidP="00E1360D">
            <w:pPr>
              <w:spacing w:after="0"/>
              <w:rPr>
                <w:rFonts w:ascii="Times New Roman" w:hAnsi="Times New Roman"/>
                <w:color w:val="auto"/>
                <w:sz w:val="20"/>
                <w:szCs w:val="20"/>
              </w:rPr>
            </w:pPr>
          </w:p>
        </w:tc>
      </w:tr>
      <w:tr w:rsidR="00E1360D" w:rsidRPr="00E1360D" w14:paraId="055A161E" w14:textId="77777777" w:rsidTr="00E1360D">
        <w:trPr>
          <w:trHeight w:val="225"/>
        </w:trPr>
        <w:tc>
          <w:tcPr>
            <w:tcW w:w="4660" w:type="dxa"/>
            <w:tcBorders>
              <w:top w:val="nil"/>
              <w:left w:val="nil"/>
              <w:bottom w:val="nil"/>
              <w:right w:val="nil"/>
            </w:tcBorders>
            <w:shd w:val="clear" w:color="auto" w:fill="auto"/>
            <w:noWrap/>
            <w:vAlign w:val="bottom"/>
            <w:hideMark/>
          </w:tcPr>
          <w:p w14:paraId="0514508C" w14:textId="77777777" w:rsidR="00E1360D" w:rsidRPr="00E1360D" w:rsidRDefault="00E1360D" w:rsidP="00E1360D">
            <w:pPr>
              <w:spacing w:after="0"/>
              <w:jc w:val="right"/>
              <w:rPr>
                <w:rFonts w:ascii="Times New Roman" w:hAnsi="Times New Roman"/>
                <w:color w:val="auto"/>
                <w:sz w:val="20"/>
                <w:szCs w:val="20"/>
              </w:rPr>
            </w:pPr>
          </w:p>
        </w:tc>
        <w:tc>
          <w:tcPr>
            <w:tcW w:w="1340" w:type="dxa"/>
            <w:tcBorders>
              <w:top w:val="single" w:sz="4" w:space="0" w:color="auto"/>
              <w:left w:val="nil"/>
              <w:bottom w:val="nil"/>
              <w:right w:val="nil"/>
            </w:tcBorders>
            <w:shd w:val="clear" w:color="auto" w:fill="auto"/>
            <w:noWrap/>
            <w:vAlign w:val="bottom"/>
            <w:hideMark/>
          </w:tcPr>
          <w:p w14:paraId="7762C839" w14:textId="77777777" w:rsidR="00E1360D" w:rsidRPr="00E1360D" w:rsidRDefault="00E1360D" w:rsidP="00E1360D">
            <w:pPr>
              <w:spacing w:after="0"/>
              <w:jc w:val="right"/>
              <w:rPr>
                <w:rFonts w:ascii="Arial" w:hAnsi="Arial" w:cs="Arial"/>
                <w:b/>
                <w:bCs/>
                <w:color w:val="auto"/>
                <w:sz w:val="16"/>
                <w:szCs w:val="16"/>
              </w:rPr>
            </w:pPr>
            <w:r w:rsidRPr="00E1360D">
              <w:rPr>
                <w:rFonts w:ascii="Arial" w:hAnsi="Arial" w:cs="Arial"/>
                <w:b/>
                <w:bCs/>
                <w:color w:val="auto"/>
                <w:sz w:val="16"/>
                <w:szCs w:val="16"/>
              </w:rPr>
              <w:t>2022-23</w:t>
            </w:r>
          </w:p>
        </w:tc>
        <w:tc>
          <w:tcPr>
            <w:tcW w:w="1340" w:type="dxa"/>
            <w:tcBorders>
              <w:top w:val="single" w:sz="4" w:space="0" w:color="auto"/>
              <w:left w:val="nil"/>
              <w:bottom w:val="nil"/>
              <w:right w:val="nil"/>
            </w:tcBorders>
            <w:shd w:val="clear" w:color="000000" w:fill="D9D9D9"/>
            <w:noWrap/>
            <w:vAlign w:val="bottom"/>
            <w:hideMark/>
          </w:tcPr>
          <w:p w14:paraId="23A829D8" w14:textId="77777777" w:rsidR="00E1360D" w:rsidRPr="00E1360D" w:rsidRDefault="00E1360D" w:rsidP="00E1360D">
            <w:pPr>
              <w:spacing w:after="0"/>
              <w:jc w:val="right"/>
              <w:rPr>
                <w:rFonts w:ascii="Arial" w:hAnsi="Arial" w:cs="Arial"/>
                <w:b/>
                <w:bCs/>
                <w:color w:val="auto"/>
                <w:sz w:val="16"/>
                <w:szCs w:val="16"/>
              </w:rPr>
            </w:pPr>
            <w:r w:rsidRPr="00E1360D">
              <w:rPr>
                <w:rFonts w:ascii="Arial" w:hAnsi="Arial" w:cs="Arial"/>
                <w:b/>
                <w:bCs/>
                <w:color w:val="auto"/>
                <w:sz w:val="16"/>
                <w:szCs w:val="16"/>
              </w:rPr>
              <w:t>2023-24</w:t>
            </w:r>
          </w:p>
        </w:tc>
      </w:tr>
      <w:tr w:rsidR="00E1360D" w:rsidRPr="00E1360D" w14:paraId="7DC321A3" w14:textId="77777777" w:rsidTr="00E1360D">
        <w:trPr>
          <w:trHeight w:val="225"/>
        </w:trPr>
        <w:tc>
          <w:tcPr>
            <w:tcW w:w="4660" w:type="dxa"/>
            <w:tcBorders>
              <w:top w:val="nil"/>
              <w:left w:val="nil"/>
              <w:bottom w:val="single" w:sz="4" w:space="0" w:color="auto"/>
              <w:right w:val="nil"/>
            </w:tcBorders>
            <w:shd w:val="clear" w:color="auto" w:fill="auto"/>
            <w:noWrap/>
            <w:vAlign w:val="bottom"/>
            <w:hideMark/>
          </w:tcPr>
          <w:p w14:paraId="6C0F3DC9" w14:textId="77777777" w:rsidR="00E1360D" w:rsidRPr="00E1360D" w:rsidRDefault="00E1360D" w:rsidP="00E1360D">
            <w:pPr>
              <w:spacing w:after="0"/>
              <w:rPr>
                <w:rFonts w:ascii="Arial" w:hAnsi="Arial" w:cs="Arial"/>
                <w:b/>
                <w:bCs/>
                <w:sz w:val="16"/>
                <w:szCs w:val="16"/>
              </w:rPr>
            </w:pPr>
            <w:r w:rsidRPr="00E1360D">
              <w:rPr>
                <w:rFonts w:ascii="Arial" w:hAnsi="Arial" w:cs="Arial"/>
                <w:b/>
                <w:bCs/>
                <w:sz w:val="16"/>
                <w:szCs w:val="16"/>
              </w:rPr>
              <w:t xml:space="preserve">Average </w:t>
            </w:r>
            <w:r w:rsidRPr="00E1360D">
              <w:rPr>
                <w:rFonts w:ascii="Arial" w:hAnsi="Arial" w:cs="Arial"/>
                <w:b/>
                <w:bCs/>
                <w:color w:val="auto"/>
                <w:sz w:val="16"/>
                <w:szCs w:val="16"/>
              </w:rPr>
              <w:t>s</w:t>
            </w:r>
            <w:r w:rsidRPr="00E1360D">
              <w:rPr>
                <w:rFonts w:ascii="Arial" w:hAnsi="Arial" w:cs="Arial"/>
                <w:b/>
                <w:bCs/>
                <w:sz w:val="16"/>
                <w:szCs w:val="16"/>
              </w:rPr>
              <w:t xml:space="preserve">taffing </w:t>
            </w:r>
            <w:r w:rsidRPr="00E1360D">
              <w:rPr>
                <w:rFonts w:ascii="Arial" w:hAnsi="Arial" w:cs="Arial"/>
                <w:b/>
                <w:bCs/>
                <w:color w:val="auto"/>
                <w:sz w:val="16"/>
                <w:szCs w:val="16"/>
              </w:rPr>
              <w:t>l</w:t>
            </w:r>
            <w:r w:rsidRPr="00E1360D">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1FC22D66" w14:textId="77777777" w:rsidR="00E1360D" w:rsidRPr="00E1360D" w:rsidRDefault="00E1360D" w:rsidP="00E1360D">
            <w:pPr>
              <w:spacing w:after="0"/>
              <w:jc w:val="right"/>
              <w:rPr>
                <w:rFonts w:ascii="Arial" w:hAnsi="Arial" w:cs="Arial"/>
                <w:sz w:val="16"/>
                <w:szCs w:val="16"/>
              </w:rPr>
            </w:pPr>
            <w:r w:rsidRPr="00E1360D">
              <w:rPr>
                <w:rFonts w:ascii="Arial" w:hAnsi="Arial" w:cs="Arial"/>
                <w:sz w:val="16"/>
                <w:szCs w:val="16"/>
              </w:rPr>
              <w:t>5,233</w:t>
            </w:r>
          </w:p>
        </w:tc>
        <w:tc>
          <w:tcPr>
            <w:tcW w:w="1340" w:type="dxa"/>
            <w:tcBorders>
              <w:top w:val="single" w:sz="4" w:space="0" w:color="auto"/>
              <w:left w:val="nil"/>
              <w:bottom w:val="single" w:sz="4" w:space="0" w:color="auto"/>
              <w:right w:val="nil"/>
            </w:tcBorders>
            <w:shd w:val="clear" w:color="000000" w:fill="D9D9D9"/>
            <w:noWrap/>
            <w:vAlign w:val="bottom"/>
            <w:hideMark/>
          </w:tcPr>
          <w:p w14:paraId="775472C0" w14:textId="77777777" w:rsidR="00E1360D" w:rsidRPr="00E1360D" w:rsidRDefault="00E1360D" w:rsidP="00E1360D">
            <w:pPr>
              <w:spacing w:after="0"/>
              <w:jc w:val="right"/>
              <w:rPr>
                <w:rFonts w:ascii="Arial" w:hAnsi="Arial" w:cs="Arial"/>
                <w:sz w:val="16"/>
                <w:szCs w:val="16"/>
              </w:rPr>
            </w:pPr>
            <w:r w:rsidRPr="00E1360D">
              <w:rPr>
                <w:rFonts w:ascii="Arial" w:hAnsi="Arial" w:cs="Arial"/>
                <w:sz w:val="16"/>
                <w:szCs w:val="16"/>
              </w:rPr>
              <w:t>5,568</w:t>
            </w:r>
          </w:p>
        </w:tc>
      </w:tr>
    </w:tbl>
    <w:p w14:paraId="31197D57" w14:textId="5C449D46" w:rsidR="00173C78" w:rsidRPr="00173C78" w:rsidRDefault="00173C78" w:rsidP="00173C78">
      <w:pPr>
        <w:pStyle w:val="FootnoteText"/>
        <w:spacing w:before="120" w:after="40"/>
      </w:pPr>
      <w:r w:rsidRPr="00173C78">
        <w:t>All figures are GST exclusive.</w:t>
      </w:r>
    </w:p>
    <w:p w14:paraId="6AFF748B" w14:textId="2A3E49C5" w:rsidR="00173C78" w:rsidRPr="00173C78" w:rsidRDefault="00173C78" w:rsidP="00173C78">
      <w:pPr>
        <w:pStyle w:val="FootnoteText"/>
        <w:spacing w:after="40"/>
      </w:pPr>
      <w:r w:rsidRPr="00173C78">
        <w:t>Prepared on a resourcing (i.e. appropriation available) basis.</w:t>
      </w:r>
    </w:p>
    <w:p w14:paraId="6526E524" w14:textId="43AD7D9F" w:rsidR="00173C78" w:rsidRPr="00173C78" w:rsidRDefault="00173C78" w:rsidP="00173C78">
      <w:pPr>
        <w:pStyle w:val="FootnoteText"/>
        <w:spacing w:after="0"/>
      </w:pPr>
      <w:r w:rsidRPr="00C94B58">
        <w:rPr>
          <w:vertAlign w:val="superscript"/>
        </w:rPr>
        <w:t>(a)</w:t>
      </w:r>
      <w:r>
        <w:tab/>
      </w:r>
      <w:r w:rsidRPr="00173C78">
        <w:t>Appropriation Bill (No. 1) 2023–24.</w:t>
      </w:r>
    </w:p>
    <w:p w14:paraId="20317E9B" w14:textId="04EDDCA4" w:rsidR="00173C78" w:rsidRPr="00173C78" w:rsidRDefault="00173C78" w:rsidP="00173C78">
      <w:pPr>
        <w:pStyle w:val="FootnoteText"/>
        <w:spacing w:after="0"/>
      </w:pPr>
      <w:r w:rsidRPr="00C94B58">
        <w:rPr>
          <w:vertAlign w:val="superscript"/>
        </w:rPr>
        <w:t>(b)</w:t>
      </w:r>
      <w:r>
        <w:tab/>
      </w:r>
      <w:r w:rsidRPr="00173C78">
        <w:t>$65.1 million will be received through the Annual Appropriation Bill (No. 3) 2022–23. The annual appropriations received from these Bills will be recognised in a future Portfolio Budget Statements but only after the Bills have received Royal Assent.</w:t>
      </w:r>
    </w:p>
    <w:p w14:paraId="25D2C2B2" w14:textId="4EB6C16D" w:rsidR="00173C78" w:rsidRPr="00173C78" w:rsidRDefault="00173C78" w:rsidP="00173C78">
      <w:pPr>
        <w:pStyle w:val="FootnoteText"/>
        <w:spacing w:after="0"/>
      </w:pPr>
      <w:r w:rsidRPr="00C94B58">
        <w:rPr>
          <w:vertAlign w:val="superscript"/>
        </w:rPr>
        <w:t>(c)</w:t>
      </w:r>
      <w:r>
        <w:tab/>
      </w:r>
      <w:r w:rsidRPr="00173C78">
        <w:t xml:space="preserve">Estimated retained revenue receipts under section 74 of the </w:t>
      </w:r>
      <w:r w:rsidRPr="00173C78">
        <w:rPr>
          <w:i/>
        </w:rPr>
        <w:t>Public Governance, Performance and Accountability Act 2013</w:t>
      </w:r>
      <w:r w:rsidRPr="00173C78">
        <w:t xml:space="preserve"> (PGPA Act).</w:t>
      </w:r>
    </w:p>
    <w:p w14:paraId="2183FDF5" w14:textId="073B6EE2" w:rsidR="00173C78" w:rsidRPr="00173C78" w:rsidRDefault="00173C78" w:rsidP="00173C78">
      <w:pPr>
        <w:pStyle w:val="FootnoteText"/>
        <w:spacing w:after="0"/>
      </w:pPr>
      <w:r w:rsidRPr="00C94B58">
        <w:rPr>
          <w:vertAlign w:val="superscript"/>
        </w:rPr>
        <w:t>(d)</w:t>
      </w:r>
      <w:r>
        <w:tab/>
      </w:r>
      <w:r w:rsidRPr="00173C78">
        <w:t>Departmental Capital Budgets are not separately identified in Appropriation Bill (No. 1) and form part of ordinary annual services items. Please refer to Table 3.5 for further details. For accounting purposes, this amount has been designated as a 'contribution by owner'.</w:t>
      </w:r>
    </w:p>
    <w:p w14:paraId="5FB26AEE" w14:textId="04049556" w:rsidR="00173C78" w:rsidRPr="00173C78" w:rsidRDefault="00173C78" w:rsidP="00173C78">
      <w:pPr>
        <w:pStyle w:val="FootnoteText"/>
        <w:spacing w:after="0"/>
      </w:pPr>
      <w:r w:rsidRPr="00C94B58">
        <w:rPr>
          <w:vertAlign w:val="superscript"/>
        </w:rPr>
        <w:t>(e)</w:t>
      </w:r>
      <w:r>
        <w:tab/>
      </w:r>
      <w:r w:rsidRPr="00173C78">
        <w:t>Appropriation Bill (No. 2) 2023–24.</w:t>
      </w:r>
    </w:p>
    <w:p w14:paraId="5ABD1EE0" w14:textId="44DA2B3E" w:rsidR="00173C78" w:rsidRPr="00173C78" w:rsidRDefault="00173C78" w:rsidP="00173C78">
      <w:pPr>
        <w:pStyle w:val="FootnoteText"/>
        <w:spacing w:after="0"/>
      </w:pPr>
      <w:r w:rsidRPr="00C94B58">
        <w:rPr>
          <w:vertAlign w:val="superscript"/>
        </w:rPr>
        <w:t>(f)</w:t>
      </w:r>
      <w:r>
        <w:tab/>
      </w:r>
      <w:r w:rsidRPr="00173C78">
        <w:t>$10.4 million will be received through the Annual Appropriation Bill (No. 4) 2022–23. The annual appropriations received from these Bills will be recognised in a future Portfolio Budget Statements but only after the Bills have received Royal Assent.</w:t>
      </w:r>
    </w:p>
    <w:p w14:paraId="24565F3A" w14:textId="224C8B12" w:rsidR="00173C78" w:rsidRPr="00173C78" w:rsidRDefault="00173C78" w:rsidP="00173C78">
      <w:pPr>
        <w:pStyle w:val="FootnoteText"/>
        <w:spacing w:after="0"/>
      </w:pPr>
      <w:r w:rsidRPr="00C94B58">
        <w:rPr>
          <w:vertAlign w:val="superscript"/>
        </w:rPr>
        <w:t>(g)</w:t>
      </w:r>
      <w:r>
        <w:tab/>
      </w:r>
      <w:r w:rsidRPr="00173C78">
        <w:t>For further information on special appropriations and special accounts, please refer to Budget Paper No. 4 - Agency Resourcing. Please also see Table 2.1 for further information on outcome and program expenses broken down by various funding sources, e.g. annual appropriations, special appropriations and</w:t>
      </w:r>
      <w:r w:rsidR="00817FEF">
        <w:t xml:space="preserve"> </w:t>
      </w:r>
      <w:r w:rsidRPr="00173C78">
        <w:t>special</w:t>
      </w:r>
      <w:r w:rsidR="00817FEF">
        <w:t> </w:t>
      </w:r>
      <w:r w:rsidRPr="00173C78">
        <w:t>accounts.</w:t>
      </w:r>
    </w:p>
    <w:p w14:paraId="20900478" w14:textId="30D385AA" w:rsidR="00173C78" w:rsidRPr="00173C78" w:rsidRDefault="00173C78" w:rsidP="00173C78">
      <w:pPr>
        <w:pStyle w:val="FootnoteText"/>
        <w:spacing w:after="0"/>
      </w:pPr>
      <w:r w:rsidRPr="00C94B58">
        <w:rPr>
          <w:vertAlign w:val="superscript"/>
        </w:rPr>
        <w:t>(h)</w:t>
      </w:r>
      <w:r>
        <w:tab/>
      </w:r>
      <w:r w:rsidRPr="00173C78">
        <w:t>Excludes Services for Other Entities and Trust Moneys Special Account as this account is not considered resourcing for the Department of Health and Aged Care (Health).</w:t>
      </w:r>
    </w:p>
    <w:p w14:paraId="5008459C" w14:textId="4361A163" w:rsidR="00173C78" w:rsidRPr="00173C78" w:rsidRDefault="00173C78" w:rsidP="00173C78">
      <w:pPr>
        <w:pStyle w:val="FootnoteText"/>
        <w:spacing w:after="0"/>
      </w:pPr>
      <w:r w:rsidRPr="00C94B58">
        <w:rPr>
          <w:vertAlign w:val="superscript"/>
        </w:rPr>
        <w:t>(i)</w:t>
      </w:r>
      <w:r>
        <w:tab/>
      </w:r>
      <w:r w:rsidRPr="00173C78">
        <w:t>Amounts credited to the special account(s) from Health's annual and special appropriations.</w:t>
      </w:r>
    </w:p>
    <w:p w14:paraId="68635F97" w14:textId="06932F6F" w:rsidR="00173C78" w:rsidRPr="00173C78" w:rsidRDefault="00173C78" w:rsidP="00173C78">
      <w:pPr>
        <w:pStyle w:val="FootnoteText"/>
        <w:spacing w:after="0"/>
      </w:pPr>
      <w:r w:rsidRPr="00C94B58">
        <w:rPr>
          <w:vertAlign w:val="superscript"/>
        </w:rPr>
        <w:t>(j)</w:t>
      </w:r>
      <w:r>
        <w:tab/>
      </w:r>
      <w:r w:rsidRPr="00173C78">
        <w:t>Appropriation receipts from Health annual and special appropriations included above.</w:t>
      </w:r>
    </w:p>
    <w:p w14:paraId="47570F9A" w14:textId="324E6182" w:rsidR="00173C78" w:rsidRPr="00173C78" w:rsidRDefault="00173C78" w:rsidP="00173C78">
      <w:pPr>
        <w:pStyle w:val="FootnoteText"/>
        <w:spacing w:after="0"/>
      </w:pPr>
      <w:r w:rsidRPr="00C94B58">
        <w:rPr>
          <w:vertAlign w:val="superscript"/>
        </w:rPr>
        <w:t>(k)</w:t>
      </w:r>
      <w:r>
        <w:tab/>
      </w:r>
      <w:r w:rsidRPr="00173C78">
        <w:t>$815.8 million will be received through the Annual Appropriation Bill (No. 3) 2022–23. The annual appropriations received from these Bills will be recognised in a future Portfolio Budget Statements but only after the Bills have received Royal Assent.</w:t>
      </w:r>
    </w:p>
    <w:p w14:paraId="1884E946" w14:textId="2EE2C3C4" w:rsidR="00E1360D" w:rsidRPr="00173C78" w:rsidRDefault="00173C78" w:rsidP="00173C78">
      <w:pPr>
        <w:pStyle w:val="FootnoteText"/>
        <w:spacing w:after="0"/>
      </w:pPr>
      <w:r w:rsidRPr="00C94B58">
        <w:rPr>
          <w:vertAlign w:val="subscript"/>
        </w:rPr>
        <w:t>(l)</w:t>
      </w:r>
      <w:r>
        <w:tab/>
      </w:r>
      <w:r w:rsidRPr="00173C78">
        <w:t>'Corporate entities' are corporate Commonwealth entities and Commonwealth companies as defined under the PGPA Act.</w:t>
      </w:r>
    </w:p>
    <w:p w14:paraId="3D018707" w14:textId="4B65B95C" w:rsidR="00A14EB6" w:rsidRDefault="00A14EB6" w:rsidP="00557A54">
      <w:pPr>
        <w:pStyle w:val="FootnoteText"/>
        <w:ind w:left="0" w:firstLine="0"/>
      </w:pPr>
      <w:r>
        <w:br w:type="page"/>
      </w:r>
    </w:p>
    <w:p w14:paraId="7EA5F87F" w14:textId="77777777" w:rsidR="007D48FE" w:rsidRPr="007D48FE" w:rsidRDefault="00232F9B" w:rsidP="000D22DB">
      <w:pPr>
        <w:pStyle w:val="Heading3"/>
        <w:rPr>
          <w:smallCaps/>
        </w:rPr>
      </w:pPr>
      <w:r w:rsidRPr="007D48FE">
        <w:lastRenderedPageBreak/>
        <w:t>1.3</w:t>
      </w:r>
      <w:r w:rsidRPr="007D48FE">
        <w:tab/>
      </w:r>
      <w:bookmarkEnd w:id="10"/>
      <w:bookmarkEnd w:id="11"/>
      <w:r w:rsidR="007D48FE" w:rsidRPr="007D48FE">
        <w:t>Budget measures</w:t>
      </w:r>
    </w:p>
    <w:p w14:paraId="403B21FD" w14:textId="212B5FF1" w:rsidR="00232F9B" w:rsidRPr="00232F9B" w:rsidRDefault="00232F9B" w:rsidP="000D22DB">
      <w:r w:rsidRPr="00232F9B">
        <w:t xml:space="preserve">Budget measures in Part 1 relating to the Department of Health </w:t>
      </w:r>
      <w:r w:rsidR="00D409E9">
        <w:t xml:space="preserve">and Aged Care </w:t>
      </w:r>
      <w:r w:rsidRPr="00232F9B">
        <w:t>are detailed in</w:t>
      </w:r>
      <w:r w:rsidR="007D48FE">
        <w:t xml:space="preserve"> </w:t>
      </w:r>
      <w:r w:rsidRPr="00A21E8B">
        <w:rPr>
          <w:i/>
        </w:rPr>
        <w:t>Budget Paper No. 2</w:t>
      </w:r>
      <w:r w:rsidRPr="00232F9B">
        <w:t xml:space="preserve"> and are summarised below.</w:t>
      </w:r>
    </w:p>
    <w:p w14:paraId="3793B882" w14:textId="506C6D53" w:rsidR="007D48FE" w:rsidRDefault="007D48FE" w:rsidP="000D22DB">
      <w:pPr>
        <w:pStyle w:val="TableGraphic"/>
        <w:rPr>
          <w:rFonts w:ascii="Arial" w:hAnsi="Arial" w:cs="Arial"/>
          <w:b/>
          <w:sz w:val="20"/>
          <w:szCs w:val="20"/>
        </w:rPr>
      </w:pPr>
      <w:r w:rsidRPr="000D22DB">
        <w:rPr>
          <w:rFonts w:ascii="Arial" w:hAnsi="Arial" w:cs="Arial"/>
          <w:b/>
          <w:sz w:val="20"/>
          <w:szCs w:val="20"/>
        </w:rPr>
        <w:t xml:space="preserve">Table 1.2: Department of Health and Aged Care </w:t>
      </w:r>
      <w:r w:rsidR="00BA2102">
        <w:rPr>
          <w:rFonts w:ascii="Arial" w:hAnsi="Arial" w:cs="Arial"/>
          <w:b/>
          <w:sz w:val="20"/>
          <w:szCs w:val="20"/>
        </w:rPr>
        <w:t>2023–24</w:t>
      </w:r>
      <w:r w:rsidRPr="000D22DB">
        <w:rPr>
          <w:rFonts w:ascii="Arial" w:hAnsi="Arial" w:cs="Arial"/>
          <w:b/>
          <w:sz w:val="20"/>
          <w:szCs w:val="20"/>
        </w:rPr>
        <w:t xml:space="preserve"> Budget measures</w:t>
      </w:r>
    </w:p>
    <w:p w14:paraId="391A25A6" w14:textId="7CB1E765" w:rsidR="0076288A" w:rsidRDefault="0076288A" w:rsidP="00B53956">
      <w:pPr>
        <w:rPr>
          <w:rFonts w:ascii="Arial" w:hAnsi="Arial" w:cs="Arial"/>
          <w:b/>
        </w:rPr>
      </w:pPr>
      <w:r w:rsidRPr="002D3721">
        <w:rPr>
          <w:rFonts w:ascii="Arial" w:hAnsi="Arial" w:cs="Arial"/>
          <w:b/>
        </w:rPr>
        <w:t xml:space="preserve">Part 1: Measures </w:t>
      </w:r>
      <w:r w:rsidR="00491822" w:rsidRPr="002D3721">
        <w:rPr>
          <w:rFonts w:ascii="Arial" w:hAnsi="Arial" w:cs="Arial"/>
          <w:b/>
        </w:rPr>
        <w:t>announced</w:t>
      </w:r>
      <w:r w:rsidR="00627240">
        <w:rPr>
          <w:rFonts w:ascii="Arial" w:hAnsi="Arial" w:cs="Arial"/>
          <w:b/>
        </w:rPr>
        <w:t xml:space="preserve"> since the 2022–</w:t>
      </w:r>
      <w:r w:rsidRPr="002D3721">
        <w:rPr>
          <w:rFonts w:ascii="Arial" w:hAnsi="Arial" w:cs="Arial"/>
          <w:b/>
        </w:rPr>
        <w:t>23 October Budget</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F36320" w:rsidRPr="00F36320" w14:paraId="5CEF5CE7" w14:textId="77777777" w:rsidTr="00F36320">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4D88B61E"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 xml:space="preserve">Outcome/ </w:t>
            </w:r>
            <w:r w:rsidRPr="00F36320">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10BF6E0D"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2022–23</w:t>
            </w:r>
            <w:r w:rsidRPr="00F36320">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1AED9156"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2023–24</w:t>
            </w:r>
            <w:r w:rsidRPr="00F36320">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6ED54F4"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2024–25</w:t>
            </w:r>
            <w:r w:rsidRPr="00F36320">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79E0DDC4"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2025–26</w:t>
            </w:r>
            <w:r w:rsidRPr="00F36320">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2A8B332" w14:textId="77777777"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2026–27</w:t>
            </w:r>
            <w:r w:rsidRPr="00F36320">
              <w:rPr>
                <w:rFonts w:ascii="Arial" w:hAnsi="Arial" w:cs="Arial"/>
                <w:b/>
                <w:bCs/>
                <w:color w:val="auto"/>
                <w:sz w:val="16"/>
                <w:szCs w:val="16"/>
              </w:rPr>
              <w:br/>
              <w:t>$'000</w:t>
            </w:r>
          </w:p>
        </w:tc>
      </w:tr>
      <w:tr w:rsidR="00F36320" w:rsidRPr="00F36320" w14:paraId="5DF54CB8" w14:textId="77777777" w:rsidTr="00F36320">
        <w:trPr>
          <w:trHeight w:val="283"/>
          <w:jc w:val="center"/>
        </w:trPr>
        <w:tc>
          <w:tcPr>
            <w:tcW w:w="7380" w:type="dxa"/>
            <w:gridSpan w:val="7"/>
            <w:tcBorders>
              <w:top w:val="nil"/>
              <w:left w:val="nil"/>
              <w:bottom w:val="nil"/>
              <w:right w:val="nil"/>
            </w:tcBorders>
            <w:shd w:val="clear" w:color="auto" w:fill="auto"/>
            <w:vAlign w:val="bottom"/>
            <w:hideMark/>
          </w:tcPr>
          <w:p w14:paraId="65CBFEA7"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 xml:space="preserve">10 Year National Action Plan for LGBTIQA+ Health and Wellbeing </w:t>
            </w:r>
            <w:r w:rsidRPr="00F36320">
              <w:rPr>
                <w:rFonts w:ascii="Arial" w:hAnsi="Arial" w:cs="Arial"/>
                <w:b/>
                <w:bCs/>
                <w:color w:val="auto"/>
                <w:sz w:val="16"/>
                <w:szCs w:val="16"/>
                <w:vertAlign w:val="superscript"/>
              </w:rPr>
              <w:t>(a)</w:t>
            </w:r>
          </w:p>
        </w:tc>
      </w:tr>
      <w:tr w:rsidR="00F36320" w:rsidRPr="00F36320" w14:paraId="07F97914" w14:textId="77777777" w:rsidTr="00F36320">
        <w:trPr>
          <w:trHeight w:val="425"/>
          <w:jc w:val="center"/>
        </w:trPr>
        <w:tc>
          <w:tcPr>
            <w:tcW w:w="2320" w:type="dxa"/>
            <w:tcBorders>
              <w:top w:val="nil"/>
              <w:left w:val="nil"/>
              <w:bottom w:val="nil"/>
              <w:right w:val="nil"/>
            </w:tcBorders>
            <w:shd w:val="clear" w:color="auto" w:fill="auto"/>
            <w:vAlign w:val="bottom"/>
            <w:hideMark/>
          </w:tcPr>
          <w:p w14:paraId="268D18F2"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E02B730"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93A538E"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DA41B04"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BAD5DA4"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4EE39B7"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228F2DA"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669C28BB"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08A6AC9E"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D38CD4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072869F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4754FA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37D218B"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27C989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0F7343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65534793"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0FD37197"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3DB977A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0F30650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E9FFD0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ABAE6A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F30AC0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9455ED1"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2C387C30"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46EDAF77"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277132A3" w14:textId="77777777" w:rsidR="00F36320" w:rsidRPr="00F36320" w:rsidRDefault="00F36320" w:rsidP="00F3632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CB058DA"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544D8187"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3C6F0C2F"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0B332F62"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45AD80F1"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r>
      <w:tr w:rsidR="00F36320" w:rsidRPr="00F36320" w14:paraId="57859764" w14:textId="77777777" w:rsidTr="00F36320">
        <w:trPr>
          <w:trHeight w:val="283"/>
          <w:jc w:val="center"/>
        </w:trPr>
        <w:tc>
          <w:tcPr>
            <w:tcW w:w="7380" w:type="dxa"/>
            <w:gridSpan w:val="7"/>
            <w:tcBorders>
              <w:top w:val="nil"/>
              <w:left w:val="nil"/>
              <w:bottom w:val="nil"/>
              <w:right w:val="nil"/>
            </w:tcBorders>
            <w:shd w:val="clear" w:color="auto" w:fill="auto"/>
            <w:vAlign w:val="bottom"/>
            <w:hideMark/>
          </w:tcPr>
          <w:p w14:paraId="0E0100BA"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A Modern and Clinically Appropriate Medicare Benefits Schedule</w:t>
            </w:r>
          </w:p>
        </w:tc>
      </w:tr>
      <w:tr w:rsidR="00F36320" w:rsidRPr="00F36320" w14:paraId="45566F3F" w14:textId="77777777" w:rsidTr="00F36320">
        <w:trPr>
          <w:trHeight w:val="425"/>
          <w:jc w:val="center"/>
        </w:trPr>
        <w:tc>
          <w:tcPr>
            <w:tcW w:w="2320" w:type="dxa"/>
            <w:tcBorders>
              <w:top w:val="nil"/>
              <w:left w:val="nil"/>
              <w:bottom w:val="nil"/>
              <w:right w:val="nil"/>
            </w:tcBorders>
            <w:shd w:val="clear" w:color="auto" w:fill="auto"/>
            <w:vAlign w:val="bottom"/>
            <w:hideMark/>
          </w:tcPr>
          <w:p w14:paraId="3B0DBD88"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192CDAF5"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8D8A698"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A7BFAE5"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1550FB0"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747AD61"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3D31EEE"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02CFB575" w14:textId="77777777" w:rsidTr="00F36320">
        <w:trPr>
          <w:trHeight w:val="225"/>
          <w:jc w:val="center"/>
        </w:trPr>
        <w:tc>
          <w:tcPr>
            <w:tcW w:w="2320" w:type="dxa"/>
            <w:tcBorders>
              <w:top w:val="nil"/>
              <w:left w:val="nil"/>
              <w:bottom w:val="nil"/>
              <w:right w:val="nil"/>
            </w:tcBorders>
            <w:shd w:val="clear" w:color="auto" w:fill="auto"/>
            <w:vAlign w:val="bottom"/>
            <w:hideMark/>
          </w:tcPr>
          <w:p w14:paraId="1FF6951C"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1C3291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470D247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E3D98E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(2,520)</w:t>
            </w:r>
          </w:p>
        </w:tc>
        <w:tc>
          <w:tcPr>
            <w:tcW w:w="920" w:type="dxa"/>
            <w:tcBorders>
              <w:top w:val="nil"/>
              <w:left w:val="nil"/>
              <w:bottom w:val="nil"/>
              <w:right w:val="nil"/>
            </w:tcBorders>
            <w:shd w:val="clear" w:color="auto" w:fill="auto"/>
            <w:noWrap/>
            <w:vAlign w:val="bottom"/>
            <w:hideMark/>
          </w:tcPr>
          <w:p w14:paraId="7C202A1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(69,764)</w:t>
            </w:r>
          </w:p>
        </w:tc>
        <w:tc>
          <w:tcPr>
            <w:tcW w:w="920" w:type="dxa"/>
            <w:tcBorders>
              <w:top w:val="nil"/>
              <w:left w:val="nil"/>
              <w:bottom w:val="nil"/>
              <w:right w:val="nil"/>
            </w:tcBorders>
            <w:shd w:val="clear" w:color="auto" w:fill="auto"/>
            <w:noWrap/>
            <w:vAlign w:val="bottom"/>
            <w:hideMark/>
          </w:tcPr>
          <w:p w14:paraId="78FC83F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(122,008)</w:t>
            </w:r>
          </w:p>
        </w:tc>
        <w:tc>
          <w:tcPr>
            <w:tcW w:w="920" w:type="dxa"/>
            <w:tcBorders>
              <w:top w:val="nil"/>
              <w:left w:val="nil"/>
              <w:bottom w:val="nil"/>
              <w:right w:val="nil"/>
            </w:tcBorders>
            <w:shd w:val="clear" w:color="auto" w:fill="auto"/>
            <w:noWrap/>
            <w:vAlign w:val="bottom"/>
            <w:hideMark/>
          </w:tcPr>
          <w:p w14:paraId="0A5F3DB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(134,025)</w:t>
            </w:r>
          </w:p>
        </w:tc>
      </w:tr>
      <w:tr w:rsidR="00F36320" w:rsidRPr="00F36320" w14:paraId="4039660A"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7570F569"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983A7E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1ACDCCF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43E1851"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8,125 </w:t>
            </w:r>
          </w:p>
        </w:tc>
        <w:tc>
          <w:tcPr>
            <w:tcW w:w="920" w:type="dxa"/>
            <w:tcBorders>
              <w:top w:val="nil"/>
              <w:left w:val="nil"/>
              <w:bottom w:val="nil"/>
              <w:right w:val="nil"/>
            </w:tcBorders>
            <w:shd w:val="clear" w:color="auto" w:fill="auto"/>
            <w:noWrap/>
            <w:vAlign w:val="bottom"/>
            <w:hideMark/>
          </w:tcPr>
          <w:p w14:paraId="3D37D8C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284461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781237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19CFB9F0" w14:textId="77777777" w:rsidTr="00F36320">
        <w:trPr>
          <w:trHeight w:val="454"/>
          <w:jc w:val="center"/>
        </w:trPr>
        <w:tc>
          <w:tcPr>
            <w:tcW w:w="2320" w:type="dxa"/>
            <w:tcBorders>
              <w:top w:val="nil"/>
              <w:left w:val="nil"/>
              <w:bottom w:val="nil"/>
              <w:right w:val="nil"/>
            </w:tcBorders>
            <w:shd w:val="clear" w:color="auto" w:fill="auto"/>
            <w:vAlign w:val="bottom"/>
            <w:hideMark/>
          </w:tcPr>
          <w:p w14:paraId="750C6C1D"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789C969C"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A4AC51A"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178359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BAD803B"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A1D3A1D"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E4B4CD8"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659CF945" w14:textId="77777777" w:rsidTr="00F36320">
        <w:trPr>
          <w:trHeight w:val="225"/>
          <w:jc w:val="center"/>
        </w:trPr>
        <w:tc>
          <w:tcPr>
            <w:tcW w:w="2320" w:type="dxa"/>
            <w:tcBorders>
              <w:top w:val="nil"/>
              <w:left w:val="nil"/>
              <w:bottom w:val="nil"/>
              <w:right w:val="nil"/>
            </w:tcBorders>
            <w:shd w:val="clear" w:color="auto" w:fill="auto"/>
            <w:vAlign w:val="bottom"/>
            <w:hideMark/>
          </w:tcPr>
          <w:p w14:paraId="511CD9E5"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ADFF863"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D48D1C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DA44A4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445 </w:t>
            </w:r>
          </w:p>
        </w:tc>
        <w:tc>
          <w:tcPr>
            <w:tcW w:w="920" w:type="dxa"/>
            <w:tcBorders>
              <w:top w:val="nil"/>
              <w:left w:val="nil"/>
              <w:bottom w:val="nil"/>
              <w:right w:val="nil"/>
            </w:tcBorders>
            <w:shd w:val="clear" w:color="auto" w:fill="auto"/>
            <w:noWrap/>
            <w:vAlign w:val="bottom"/>
            <w:hideMark/>
          </w:tcPr>
          <w:p w14:paraId="32C3871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(552)</w:t>
            </w:r>
          </w:p>
        </w:tc>
        <w:tc>
          <w:tcPr>
            <w:tcW w:w="920" w:type="dxa"/>
            <w:tcBorders>
              <w:top w:val="nil"/>
              <w:left w:val="nil"/>
              <w:bottom w:val="nil"/>
              <w:right w:val="nil"/>
            </w:tcBorders>
            <w:shd w:val="clear" w:color="auto" w:fill="auto"/>
            <w:noWrap/>
            <w:vAlign w:val="bottom"/>
            <w:hideMark/>
          </w:tcPr>
          <w:p w14:paraId="1221BD9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(1,145)</w:t>
            </w:r>
          </w:p>
        </w:tc>
        <w:tc>
          <w:tcPr>
            <w:tcW w:w="920" w:type="dxa"/>
            <w:tcBorders>
              <w:top w:val="nil"/>
              <w:left w:val="nil"/>
              <w:bottom w:val="nil"/>
              <w:right w:val="nil"/>
            </w:tcBorders>
            <w:shd w:val="clear" w:color="auto" w:fill="auto"/>
            <w:noWrap/>
            <w:vAlign w:val="bottom"/>
            <w:hideMark/>
          </w:tcPr>
          <w:p w14:paraId="337333F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(1,305)</w:t>
            </w:r>
          </w:p>
        </w:tc>
      </w:tr>
      <w:tr w:rsidR="00F36320" w:rsidRPr="00F36320" w14:paraId="0001A5A1" w14:textId="77777777" w:rsidTr="00F36320">
        <w:trPr>
          <w:trHeight w:val="283"/>
          <w:jc w:val="center"/>
        </w:trPr>
        <w:tc>
          <w:tcPr>
            <w:tcW w:w="2320" w:type="dxa"/>
            <w:tcBorders>
              <w:top w:val="nil"/>
              <w:left w:val="nil"/>
              <w:bottom w:val="nil"/>
              <w:right w:val="nil"/>
            </w:tcBorders>
            <w:shd w:val="clear" w:color="auto" w:fill="auto"/>
            <w:vAlign w:val="bottom"/>
            <w:hideMark/>
          </w:tcPr>
          <w:p w14:paraId="5213BFE8"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5AB5FA13"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247A018"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60D56F7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7230624"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5AF9D53"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D333194"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4FD9A83A"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5A3BC111"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16A9021"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028195B"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46 </w:t>
            </w:r>
          </w:p>
        </w:tc>
        <w:tc>
          <w:tcPr>
            <w:tcW w:w="920" w:type="dxa"/>
            <w:tcBorders>
              <w:top w:val="nil"/>
              <w:left w:val="nil"/>
              <w:bottom w:val="nil"/>
              <w:right w:val="nil"/>
            </w:tcBorders>
            <w:shd w:val="clear" w:color="000000" w:fill="D9D9D9"/>
            <w:noWrap/>
            <w:vAlign w:val="bottom"/>
            <w:hideMark/>
          </w:tcPr>
          <w:p w14:paraId="0D6189F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3,561 </w:t>
            </w:r>
          </w:p>
        </w:tc>
        <w:tc>
          <w:tcPr>
            <w:tcW w:w="920" w:type="dxa"/>
            <w:tcBorders>
              <w:top w:val="nil"/>
              <w:left w:val="nil"/>
              <w:bottom w:val="nil"/>
              <w:right w:val="nil"/>
            </w:tcBorders>
            <w:shd w:val="clear" w:color="auto" w:fill="auto"/>
            <w:noWrap/>
            <w:vAlign w:val="bottom"/>
            <w:hideMark/>
          </w:tcPr>
          <w:p w14:paraId="71F643E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(1,179)</w:t>
            </w:r>
          </w:p>
        </w:tc>
        <w:tc>
          <w:tcPr>
            <w:tcW w:w="920" w:type="dxa"/>
            <w:tcBorders>
              <w:top w:val="nil"/>
              <w:left w:val="nil"/>
              <w:bottom w:val="nil"/>
              <w:right w:val="nil"/>
            </w:tcBorders>
            <w:shd w:val="clear" w:color="auto" w:fill="auto"/>
            <w:noWrap/>
            <w:vAlign w:val="bottom"/>
            <w:hideMark/>
          </w:tcPr>
          <w:p w14:paraId="0F99100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(2,141)</w:t>
            </w:r>
          </w:p>
        </w:tc>
        <w:tc>
          <w:tcPr>
            <w:tcW w:w="920" w:type="dxa"/>
            <w:tcBorders>
              <w:top w:val="nil"/>
              <w:left w:val="nil"/>
              <w:bottom w:val="nil"/>
              <w:right w:val="nil"/>
            </w:tcBorders>
            <w:shd w:val="clear" w:color="auto" w:fill="auto"/>
            <w:noWrap/>
            <w:vAlign w:val="bottom"/>
            <w:hideMark/>
          </w:tcPr>
          <w:p w14:paraId="7E098FA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(2,317)</w:t>
            </w:r>
          </w:p>
        </w:tc>
      </w:tr>
      <w:tr w:rsidR="00F36320" w:rsidRPr="00F36320" w14:paraId="217A2EC5"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6C17A4E4"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621DA747" w14:textId="77777777" w:rsidR="00F36320" w:rsidRPr="00F36320" w:rsidRDefault="00F36320" w:rsidP="00F3632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26A730BA"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46 </w:t>
            </w:r>
          </w:p>
        </w:tc>
        <w:tc>
          <w:tcPr>
            <w:tcW w:w="920" w:type="dxa"/>
            <w:tcBorders>
              <w:top w:val="single" w:sz="4" w:space="0" w:color="000000"/>
              <w:left w:val="nil"/>
              <w:bottom w:val="single" w:sz="4" w:space="0" w:color="000000"/>
              <w:right w:val="nil"/>
            </w:tcBorders>
            <w:shd w:val="clear" w:color="000000" w:fill="D9D9D9"/>
            <w:noWrap/>
            <w:vAlign w:val="bottom"/>
            <w:hideMark/>
          </w:tcPr>
          <w:p w14:paraId="7705128E"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9,611 </w:t>
            </w:r>
          </w:p>
        </w:tc>
        <w:tc>
          <w:tcPr>
            <w:tcW w:w="920" w:type="dxa"/>
            <w:tcBorders>
              <w:top w:val="single" w:sz="4" w:space="0" w:color="000000"/>
              <w:left w:val="nil"/>
              <w:bottom w:val="single" w:sz="4" w:space="0" w:color="000000"/>
              <w:right w:val="nil"/>
            </w:tcBorders>
            <w:shd w:val="clear" w:color="auto" w:fill="auto"/>
            <w:noWrap/>
            <w:vAlign w:val="bottom"/>
            <w:hideMark/>
          </w:tcPr>
          <w:p w14:paraId="18A5BA43"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(71,495)</w:t>
            </w:r>
          </w:p>
        </w:tc>
        <w:tc>
          <w:tcPr>
            <w:tcW w:w="920" w:type="dxa"/>
            <w:tcBorders>
              <w:top w:val="single" w:sz="4" w:space="0" w:color="000000"/>
              <w:left w:val="nil"/>
              <w:bottom w:val="single" w:sz="4" w:space="0" w:color="000000"/>
              <w:right w:val="nil"/>
            </w:tcBorders>
            <w:shd w:val="clear" w:color="auto" w:fill="auto"/>
            <w:noWrap/>
            <w:vAlign w:val="bottom"/>
            <w:hideMark/>
          </w:tcPr>
          <w:p w14:paraId="28E76CBD"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(125,294)</w:t>
            </w:r>
          </w:p>
        </w:tc>
        <w:tc>
          <w:tcPr>
            <w:tcW w:w="920" w:type="dxa"/>
            <w:tcBorders>
              <w:top w:val="single" w:sz="4" w:space="0" w:color="000000"/>
              <w:left w:val="nil"/>
              <w:bottom w:val="single" w:sz="4" w:space="0" w:color="000000"/>
              <w:right w:val="nil"/>
            </w:tcBorders>
            <w:shd w:val="clear" w:color="auto" w:fill="auto"/>
            <w:noWrap/>
            <w:vAlign w:val="bottom"/>
            <w:hideMark/>
          </w:tcPr>
          <w:p w14:paraId="514364AD"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(137,647)</w:t>
            </w:r>
          </w:p>
        </w:tc>
      </w:tr>
      <w:tr w:rsidR="00F36320" w:rsidRPr="00F36320" w14:paraId="0F6E4BC3" w14:textId="77777777" w:rsidTr="00F36320">
        <w:trPr>
          <w:trHeight w:val="283"/>
          <w:jc w:val="center"/>
        </w:trPr>
        <w:tc>
          <w:tcPr>
            <w:tcW w:w="7380" w:type="dxa"/>
            <w:gridSpan w:val="7"/>
            <w:tcBorders>
              <w:top w:val="nil"/>
              <w:left w:val="nil"/>
              <w:bottom w:val="nil"/>
              <w:right w:val="nil"/>
            </w:tcBorders>
            <w:shd w:val="clear" w:color="auto" w:fill="auto"/>
            <w:vAlign w:val="bottom"/>
            <w:hideMark/>
          </w:tcPr>
          <w:p w14:paraId="676100F3"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Aged Care Regulatory Reform</w:t>
            </w:r>
          </w:p>
        </w:tc>
      </w:tr>
      <w:tr w:rsidR="00F36320" w:rsidRPr="00F36320" w14:paraId="314E7AAC" w14:textId="77777777" w:rsidTr="00F36320">
        <w:trPr>
          <w:trHeight w:val="425"/>
          <w:jc w:val="center"/>
        </w:trPr>
        <w:tc>
          <w:tcPr>
            <w:tcW w:w="2320" w:type="dxa"/>
            <w:tcBorders>
              <w:top w:val="nil"/>
              <w:left w:val="nil"/>
              <w:bottom w:val="nil"/>
              <w:right w:val="nil"/>
            </w:tcBorders>
            <w:shd w:val="clear" w:color="auto" w:fill="auto"/>
            <w:vAlign w:val="bottom"/>
            <w:hideMark/>
          </w:tcPr>
          <w:p w14:paraId="155D3762"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4225F47"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5ADF4DF"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D97CCD4"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99B53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ACA9EEF"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A3FEC05"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2B3FD336" w14:textId="77777777" w:rsidTr="00F36320">
        <w:trPr>
          <w:trHeight w:val="225"/>
          <w:jc w:val="center"/>
        </w:trPr>
        <w:tc>
          <w:tcPr>
            <w:tcW w:w="2320" w:type="dxa"/>
            <w:tcBorders>
              <w:top w:val="nil"/>
              <w:left w:val="nil"/>
              <w:bottom w:val="nil"/>
              <w:right w:val="nil"/>
            </w:tcBorders>
            <w:shd w:val="clear" w:color="auto" w:fill="auto"/>
            <w:vAlign w:val="bottom"/>
            <w:hideMark/>
          </w:tcPr>
          <w:p w14:paraId="2AC4DFD1"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DCB2BC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565AEC0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91E6D2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33,980 </w:t>
            </w:r>
          </w:p>
        </w:tc>
        <w:tc>
          <w:tcPr>
            <w:tcW w:w="920" w:type="dxa"/>
            <w:tcBorders>
              <w:top w:val="nil"/>
              <w:left w:val="nil"/>
              <w:bottom w:val="nil"/>
              <w:right w:val="nil"/>
            </w:tcBorders>
            <w:shd w:val="clear" w:color="auto" w:fill="auto"/>
            <w:noWrap/>
            <w:vAlign w:val="bottom"/>
            <w:hideMark/>
          </w:tcPr>
          <w:p w14:paraId="1F4DBD52"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29,415 </w:t>
            </w:r>
          </w:p>
        </w:tc>
        <w:tc>
          <w:tcPr>
            <w:tcW w:w="920" w:type="dxa"/>
            <w:tcBorders>
              <w:top w:val="nil"/>
              <w:left w:val="nil"/>
              <w:bottom w:val="nil"/>
              <w:right w:val="nil"/>
            </w:tcBorders>
            <w:shd w:val="clear" w:color="auto" w:fill="auto"/>
            <w:noWrap/>
            <w:vAlign w:val="bottom"/>
            <w:hideMark/>
          </w:tcPr>
          <w:p w14:paraId="0464B1F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18,650 </w:t>
            </w:r>
          </w:p>
        </w:tc>
        <w:tc>
          <w:tcPr>
            <w:tcW w:w="920" w:type="dxa"/>
            <w:tcBorders>
              <w:top w:val="nil"/>
              <w:left w:val="nil"/>
              <w:bottom w:val="nil"/>
              <w:right w:val="nil"/>
            </w:tcBorders>
            <w:shd w:val="clear" w:color="auto" w:fill="auto"/>
            <w:noWrap/>
            <w:vAlign w:val="bottom"/>
            <w:hideMark/>
          </w:tcPr>
          <w:p w14:paraId="260BBC3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15,946 </w:t>
            </w:r>
          </w:p>
        </w:tc>
      </w:tr>
      <w:tr w:rsidR="00F36320" w:rsidRPr="00F36320" w14:paraId="6B6845D5"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4A967A8F"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9E8A5C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D2C975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2B79CFB"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51,311 </w:t>
            </w:r>
          </w:p>
        </w:tc>
        <w:tc>
          <w:tcPr>
            <w:tcW w:w="920" w:type="dxa"/>
            <w:tcBorders>
              <w:top w:val="nil"/>
              <w:left w:val="nil"/>
              <w:bottom w:val="nil"/>
              <w:right w:val="nil"/>
            </w:tcBorders>
            <w:shd w:val="clear" w:color="auto" w:fill="auto"/>
            <w:noWrap/>
            <w:vAlign w:val="bottom"/>
            <w:hideMark/>
          </w:tcPr>
          <w:p w14:paraId="090E2CF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16,520 </w:t>
            </w:r>
          </w:p>
        </w:tc>
        <w:tc>
          <w:tcPr>
            <w:tcW w:w="920" w:type="dxa"/>
            <w:tcBorders>
              <w:top w:val="nil"/>
              <w:left w:val="nil"/>
              <w:bottom w:val="nil"/>
              <w:right w:val="nil"/>
            </w:tcBorders>
            <w:shd w:val="clear" w:color="auto" w:fill="auto"/>
            <w:noWrap/>
            <w:vAlign w:val="bottom"/>
            <w:hideMark/>
          </w:tcPr>
          <w:p w14:paraId="7FE0BDA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10,765 </w:t>
            </w:r>
          </w:p>
        </w:tc>
        <w:tc>
          <w:tcPr>
            <w:tcW w:w="920" w:type="dxa"/>
            <w:tcBorders>
              <w:top w:val="nil"/>
              <w:left w:val="nil"/>
              <w:bottom w:val="nil"/>
              <w:right w:val="nil"/>
            </w:tcBorders>
            <w:shd w:val="clear" w:color="auto" w:fill="auto"/>
            <w:noWrap/>
            <w:vAlign w:val="bottom"/>
            <w:hideMark/>
          </w:tcPr>
          <w:p w14:paraId="6BD87E0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6,996 </w:t>
            </w:r>
          </w:p>
        </w:tc>
      </w:tr>
      <w:tr w:rsidR="00F36320" w:rsidRPr="00F36320" w14:paraId="6BEA15EB" w14:textId="77777777" w:rsidTr="00F36320">
        <w:trPr>
          <w:trHeight w:val="425"/>
          <w:jc w:val="center"/>
        </w:trPr>
        <w:tc>
          <w:tcPr>
            <w:tcW w:w="2320" w:type="dxa"/>
            <w:tcBorders>
              <w:top w:val="nil"/>
              <w:left w:val="nil"/>
              <w:bottom w:val="nil"/>
              <w:right w:val="nil"/>
            </w:tcBorders>
            <w:shd w:val="clear" w:color="auto" w:fill="auto"/>
            <w:vAlign w:val="bottom"/>
            <w:hideMark/>
          </w:tcPr>
          <w:p w14:paraId="1A4BF47E"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6EEF3FD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6B71128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BE126A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13,372 </w:t>
            </w:r>
          </w:p>
        </w:tc>
        <w:tc>
          <w:tcPr>
            <w:tcW w:w="920" w:type="dxa"/>
            <w:tcBorders>
              <w:top w:val="nil"/>
              <w:left w:val="nil"/>
              <w:bottom w:val="nil"/>
              <w:right w:val="nil"/>
            </w:tcBorders>
            <w:shd w:val="clear" w:color="auto" w:fill="auto"/>
            <w:noWrap/>
            <w:vAlign w:val="bottom"/>
            <w:hideMark/>
          </w:tcPr>
          <w:p w14:paraId="3794AB8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2,423 </w:t>
            </w:r>
          </w:p>
        </w:tc>
        <w:tc>
          <w:tcPr>
            <w:tcW w:w="920" w:type="dxa"/>
            <w:tcBorders>
              <w:top w:val="nil"/>
              <w:left w:val="nil"/>
              <w:bottom w:val="nil"/>
              <w:right w:val="nil"/>
            </w:tcBorders>
            <w:shd w:val="clear" w:color="auto" w:fill="auto"/>
            <w:noWrap/>
            <w:vAlign w:val="bottom"/>
            <w:hideMark/>
          </w:tcPr>
          <w:p w14:paraId="5D84882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067DF3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0CFC3675" w14:textId="77777777" w:rsidTr="00F36320">
        <w:trPr>
          <w:trHeight w:val="454"/>
          <w:jc w:val="center"/>
        </w:trPr>
        <w:tc>
          <w:tcPr>
            <w:tcW w:w="2320" w:type="dxa"/>
            <w:tcBorders>
              <w:top w:val="nil"/>
              <w:left w:val="nil"/>
              <w:bottom w:val="nil"/>
              <w:right w:val="nil"/>
            </w:tcBorders>
            <w:shd w:val="clear" w:color="auto" w:fill="auto"/>
            <w:vAlign w:val="bottom"/>
            <w:hideMark/>
          </w:tcPr>
          <w:p w14:paraId="0E57BE47"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Aged Care Quality and Safety Commission</w:t>
            </w:r>
          </w:p>
        </w:tc>
        <w:tc>
          <w:tcPr>
            <w:tcW w:w="460" w:type="dxa"/>
            <w:tcBorders>
              <w:top w:val="nil"/>
              <w:left w:val="nil"/>
              <w:bottom w:val="nil"/>
              <w:right w:val="nil"/>
            </w:tcBorders>
            <w:shd w:val="clear" w:color="auto" w:fill="auto"/>
            <w:noWrap/>
            <w:vAlign w:val="bottom"/>
            <w:hideMark/>
          </w:tcPr>
          <w:p w14:paraId="572B5E77"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5D3EFA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E9E574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B87F931"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A6FACEE"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94A2863"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09D5849F" w14:textId="77777777" w:rsidTr="00F36320">
        <w:trPr>
          <w:trHeight w:val="225"/>
          <w:jc w:val="center"/>
        </w:trPr>
        <w:tc>
          <w:tcPr>
            <w:tcW w:w="2320" w:type="dxa"/>
            <w:tcBorders>
              <w:top w:val="nil"/>
              <w:left w:val="nil"/>
              <w:bottom w:val="nil"/>
              <w:right w:val="nil"/>
            </w:tcBorders>
            <w:shd w:val="clear" w:color="auto" w:fill="auto"/>
            <w:vAlign w:val="bottom"/>
            <w:hideMark/>
          </w:tcPr>
          <w:p w14:paraId="42C1EDD6"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24CE0196"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E1F9EF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E229B3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73,415 </w:t>
            </w:r>
          </w:p>
        </w:tc>
        <w:tc>
          <w:tcPr>
            <w:tcW w:w="920" w:type="dxa"/>
            <w:tcBorders>
              <w:top w:val="nil"/>
              <w:left w:val="nil"/>
              <w:bottom w:val="nil"/>
              <w:right w:val="nil"/>
            </w:tcBorders>
            <w:shd w:val="clear" w:color="auto" w:fill="auto"/>
            <w:noWrap/>
            <w:vAlign w:val="bottom"/>
            <w:hideMark/>
          </w:tcPr>
          <w:p w14:paraId="40AA326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4,272 </w:t>
            </w:r>
          </w:p>
        </w:tc>
        <w:tc>
          <w:tcPr>
            <w:tcW w:w="920" w:type="dxa"/>
            <w:tcBorders>
              <w:top w:val="nil"/>
              <w:left w:val="nil"/>
              <w:bottom w:val="nil"/>
              <w:right w:val="nil"/>
            </w:tcBorders>
            <w:shd w:val="clear" w:color="auto" w:fill="auto"/>
            <w:noWrap/>
            <w:vAlign w:val="bottom"/>
            <w:hideMark/>
          </w:tcPr>
          <w:p w14:paraId="5C5C589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2,869 </w:t>
            </w:r>
          </w:p>
        </w:tc>
        <w:tc>
          <w:tcPr>
            <w:tcW w:w="920" w:type="dxa"/>
            <w:tcBorders>
              <w:top w:val="nil"/>
              <w:left w:val="nil"/>
              <w:bottom w:val="nil"/>
              <w:right w:val="nil"/>
            </w:tcBorders>
            <w:shd w:val="clear" w:color="auto" w:fill="auto"/>
            <w:noWrap/>
            <w:vAlign w:val="bottom"/>
            <w:hideMark/>
          </w:tcPr>
          <w:p w14:paraId="5DBF2AB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2,893 </w:t>
            </w:r>
          </w:p>
        </w:tc>
      </w:tr>
      <w:tr w:rsidR="00F36320" w:rsidRPr="00F36320" w14:paraId="19BE70B9" w14:textId="77777777" w:rsidTr="00F36320">
        <w:trPr>
          <w:trHeight w:val="454"/>
          <w:jc w:val="center"/>
        </w:trPr>
        <w:tc>
          <w:tcPr>
            <w:tcW w:w="2320" w:type="dxa"/>
            <w:tcBorders>
              <w:top w:val="nil"/>
              <w:left w:val="nil"/>
              <w:bottom w:val="nil"/>
              <w:right w:val="nil"/>
            </w:tcBorders>
            <w:shd w:val="clear" w:color="auto" w:fill="auto"/>
            <w:vAlign w:val="bottom"/>
            <w:hideMark/>
          </w:tcPr>
          <w:p w14:paraId="5F4D83B4"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3BC27638"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E3E166A"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EEEB2B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64A8732"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43160E8"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55F72A7"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5BD91D13" w14:textId="77777777" w:rsidTr="00F36320">
        <w:trPr>
          <w:trHeight w:val="225"/>
          <w:jc w:val="center"/>
        </w:trPr>
        <w:tc>
          <w:tcPr>
            <w:tcW w:w="2320" w:type="dxa"/>
            <w:tcBorders>
              <w:top w:val="nil"/>
              <w:left w:val="nil"/>
              <w:bottom w:val="nil"/>
              <w:right w:val="nil"/>
            </w:tcBorders>
            <w:shd w:val="clear" w:color="auto" w:fill="auto"/>
            <w:vAlign w:val="bottom"/>
            <w:hideMark/>
          </w:tcPr>
          <w:p w14:paraId="39F72CF1"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A83FB2E"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448078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A567F05"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1,685 </w:t>
            </w:r>
          </w:p>
        </w:tc>
        <w:tc>
          <w:tcPr>
            <w:tcW w:w="920" w:type="dxa"/>
            <w:tcBorders>
              <w:top w:val="nil"/>
              <w:left w:val="nil"/>
              <w:bottom w:val="nil"/>
              <w:right w:val="nil"/>
            </w:tcBorders>
            <w:shd w:val="clear" w:color="auto" w:fill="auto"/>
            <w:noWrap/>
            <w:vAlign w:val="bottom"/>
            <w:hideMark/>
          </w:tcPr>
          <w:p w14:paraId="5353B1A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1,743 </w:t>
            </w:r>
          </w:p>
        </w:tc>
        <w:tc>
          <w:tcPr>
            <w:tcW w:w="920" w:type="dxa"/>
            <w:tcBorders>
              <w:top w:val="nil"/>
              <w:left w:val="nil"/>
              <w:bottom w:val="nil"/>
              <w:right w:val="nil"/>
            </w:tcBorders>
            <w:shd w:val="clear" w:color="auto" w:fill="auto"/>
            <w:noWrap/>
            <w:vAlign w:val="bottom"/>
            <w:hideMark/>
          </w:tcPr>
          <w:p w14:paraId="4CD2BDB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BC4E6D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4F637DDD" w14:textId="77777777" w:rsidTr="00F36320">
        <w:trPr>
          <w:trHeight w:val="283"/>
          <w:jc w:val="center"/>
        </w:trPr>
        <w:tc>
          <w:tcPr>
            <w:tcW w:w="2320" w:type="dxa"/>
            <w:tcBorders>
              <w:top w:val="nil"/>
              <w:left w:val="nil"/>
              <w:bottom w:val="nil"/>
              <w:right w:val="nil"/>
            </w:tcBorders>
            <w:shd w:val="clear" w:color="auto" w:fill="auto"/>
            <w:vAlign w:val="bottom"/>
            <w:hideMark/>
          </w:tcPr>
          <w:p w14:paraId="333D409D"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4FE4914A"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EA69DF3"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2906337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DF235CC"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006C8D3"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F5307EB"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1270F646" w14:textId="77777777" w:rsidTr="00F36320">
        <w:trPr>
          <w:trHeight w:val="225"/>
          <w:jc w:val="center"/>
        </w:trPr>
        <w:tc>
          <w:tcPr>
            <w:tcW w:w="2320" w:type="dxa"/>
            <w:tcBorders>
              <w:top w:val="nil"/>
              <w:left w:val="nil"/>
              <w:bottom w:val="nil"/>
              <w:right w:val="nil"/>
            </w:tcBorders>
            <w:shd w:val="clear" w:color="auto" w:fill="auto"/>
            <w:vAlign w:val="bottom"/>
            <w:hideMark/>
          </w:tcPr>
          <w:p w14:paraId="36E0774E"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C4DB404"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BFFDEA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7 </w:t>
            </w:r>
          </w:p>
        </w:tc>
        <w:tc>
          <w:tcPr>
            <w:tcW w:w="920" w:type="dxa"/>
            <w:tcBorders>
              <w:top w:val="nil"/>
              <w:left w:val="nil"/>
              <w:bottom w:val="nil"/>
              <w:right w:val="nil"/>
            </w:tcBorders>
            <w:shd w:val="clear" w:color="000000" w:fill="D9D9D9"/>
            <w:noWrap/>
            <w:vAlign w:val="bottom"/>
            <w:hideMark/>
          </w:tcPr>
          <w:p w14:paraId="120CDD3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4,967 </w:t>
            </w:r>
          </w:p>
        </w:tc>
        <w:tc>
          <w:tcPr>
            <w:tcW w:w="920" w:type="dxa"/>
            <w:tcBorders>
              <w:top w:val="nil"/>
              <w:left w:val="nil"/>
              <w:bottom w:val="nil"/>
              <w:right w:val="nil"/>
            </w:tcBorders>
            <w:shd w:val="clear" w:color="auto" w:fill="auto"/>
            <w:noWrap/>
            <w:vAlign w:val="bottom"/>
            <w:hideMark/>
          </w:tcPr>
          <w:p w14:paraId="12907F0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2,703 </w:t>
            </w:r>
          </w:p>
        </w:tc>
        <w:tc>
          <w:tcPr>
            <w:tcW w:w="920" w:type="dxa"/>
            <w:tcBorders>
              <w:top w:val="nil"/>
              <w:left w:val="nil"/>
              <w:bottom w:val="nil"/>
              <w:right w:val="nil"/>
            </w:tcBorders>
            <w:shd w:val="clear" w:color="auto" w:fill="auto"/>
            <w:noWrap/>
            <w:vAlign w:val="bottom"/>
            <w:hideMark/>
          </w:tcPr>
          <w:p w14:paraId="4C66BBF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1,626 </w:t>
            </w:r>
          </w:p>
        </w:tc>
        <w:tc>
          <w:tcPr>
            <w:tcW w:w="920" w:type="dxa"/>
            <w:tcBorders>
              <w:top w:val="nil"/>
              <w:left w:val="nil"/>
              <w:bottom w:val="nil"/>
              <w:right w:val="nil"/>
            </w:tcBorders>
            <w:shd w:val="clear" w:color="auto" w:fill="auto"/>
            <w:noWrap/>
            <w:vAlign w:val="bottom"/>
            <w:hideMark/>
          </w:tcPr>
          <w:p w14:paraId="1C44B21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1,640 </w:t>
            </w:r>
          </w:p>
        </w:tc>
      </w:tr>
      <w:tr w:rsidR="00F36320" w:rsidRPr="00F36320" w14:paraId="148EAFBF" w14:textId="77777777" w:rsidTr="00934D5E">
        <w:trPr>
          <w:trHeight w:val="450"/>
          <w:jc w:val="center"/>
        </w:trPr>
        <w:tc>
          <w:tcPr>
            <w:tcW w:w="2320" w:type="dxa"/>
            <w:tcBorders>
              <w:top w:val="nil"/>
              <w:left w:val="nil"/>
              <w:right w:val="nil"/>
            </w:tcBorders>
            <w:shd w:val="clear" w:color="auto" w:fill="auto"/>
            <w:vAlign w:val="bottom"/>
            <w:hideMark/>
          </w:tcPr>
          <w:p w14:paraId="12A48DB6" w14:textId="77777777" w:rsidR="00F36320" w:rsidRPr="00F36320" w:rsidRDefault="00F36320" w:rsidP="00F36320">
            <w:pPr>
              <w:spacing w:after="0"/>
              <w:ind w:leftChars="75" w:left="143"/>
              <w:rPr>
                <w:rFonts w:ascii="Arial" w:hAnsi="Arial" w:cs="Arial"/>
                <w:color w:val="auto"/>
                <w:sz w:val="16"/>
                <w:szCs w:val="16"/>
              </w:rPr>
            </w:pPr>
            <w:r w:rsidRPr="00F36320">
              <w:rPr>
                <w:rFonts w:ascii="Arial" w:hAnsi="Arial" w:cs="Arial"/>
                <w:color w:val="auto"/>
                <w:sz w:val="16"/>
                <w:szCs w:val="16"/>
              </w:rPr>
              <w:t>Departmental capital payments</w:t>
            </w:r>
          </w:p>
        </w:tc>
        <w:tc>
          <w:tcPr>
            <w:tcW w:w="460" w:type="dxa"/>
            <w:tcBorders>
              <w:top w:val="nil"/>
              <w:left w:val="nil"/>
              <w:right w:val="nil"/>
            </w:tcBorders>
            <w:shd w:val="clear" w:color="auto" w:fill="auto"/>
            <w:noWrap/>
            <w:vAlign w:val="bottom"/>
            <w:hideMark/>
          </w:tcPr>
          <w:p w14:paraId="4DDD2E06"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93B6AC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77C42E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6,323 </w:t>
            </w:r>
          </w:p>
        </w:tc>
        <w:tc>
          <w:tcPr>
            <w:tcW w:w="920" w:type="dxa"/>
            <w:tcBorders>
              <w:top w:val="nil"/>
              <w:left w:val="nil"/>
              <w:bottom w:val="nil"/>
              <w:right w:val="nil"/>
            </w:tcBorders>
            <w:shd w:val="clear" w:color="auto" w:fill="auto"/>
            <w:noWrap/>
            <w:vAlign w:val="bottom"/>
            <w:hideMark/>
          </w:tcPr>
          <w:p w14:paraId="351EDC3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6,394 </w:t>
            </w:r>
          </w:p>
        </w:tc>
        <w:tc>
          <w:tcPr>
            <w:tcW w:w="920" w:type="dxa"/>
            <w:tcBorders>
              <w:top w:val="nil"/>
              <w:left w:val="nil"/>
              <w:bottom w:val="nil"/>
              <w:right w:val="nil"/>
            </w:tcBorders>
            <w:shd w:val="clear" w:color="auto" w:fill="auto"/>
            <w:noWrap/>
            <w:vAlign w:val="bottom"/>
            <w:hideMark/>
          </w:tcPr>
          <w:p w14:paraId="7BF2734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F3D7A6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7C5FBB1F"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40F8E770"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27D37E3E" w14:textId="77777777" w:rsidR="00F36320" w:rsidRPr="00F36320" w:rsidRDefault="00F36320" w:rsidP="00F3632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779EE018"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7 </w:t>
            </w:r>
          </w:p>
        </w:tc>
        <w:tc>
          <w:tcPr>
            <w:tcW w:w="920" w:type="dxa"/>
            <w:tcBorders>
              <w:top w:val="single" w:sz="4" w:space="0" w:color="000000"/>
              <w:left w:val="nil"/>
              <w:bottom w:val="single" w:sz="4" w:space="0" w:color="000000"/>
              <w:right w:val="nil"/>
            </w:tcBorders>
            <w:shd w:val="clear" w:color="000000" w:fill="D9D9D9"/>
            <w:noWrap/>
            <w:vAlign w:val="bottom"/>
            <w:hideMark/>
          </w:tcPr>
          <w:p w14:paraId="2507F52D"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185,053 </w:t>
            </w:r>
          </w:p>
        </w:tc>
        <w:tc>
          <w:tcPr>
            <w:tcW w:w="920" w:type="dxa"/>
            <w:tcBorders>
              <w:top w:val="single" w:sz="4" w:space="0" w:color="000000"/>
              <w:left w:val="nil"/>
              <w:bottom w:val="single" w:sz="4" w:space="0" w:color="000000"/>
              <w:right w:val="nil"/>
            </w:tcBorders>
            <w:shd w:val="clear" w:color="auto" w:fill="auto"/>
            <w:noWrap/>
            <w:vAlign w:val="bottom"/>
            <w:hideMark/>
          </w:tcPr>
          <w:p w14:paraId="3D558DF3"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63,470 </w:t>
            </w:r>
          </w:p>
        </w:tc>
        <w:tc>
          <w:tcPr>
            <w:tcW w:w="920" w:type="dxa"/>
            <w:tcBorders>
              <w:top w:val="single" w:sz="4" w:space="0" w:color="000000"/>
              <w:left w:val="nil"/>
              <w:bottom w:val="single" w:sz="4" w:space="0" w:color="000000"/>
              <w:right w:val="nil"/>
            </w:tcBorders>
            <w:shd w:val="clear" w:color="auto" w:fill="auto"/>
            <w:noWrap/>
            <w:vAlign w:val="bottom"/>
            <w:hideMark/>
          </w:tcPr>
          <w:p w14:paraId="16336B83"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33,910 </w:t>
            </w:r>
          </w:p>
        </w:tc>
        <w:tc>
          <w:tcPr>
            <w:tcW w:w="920" w:type="dxa"/>
            <w:tcBorders>
              <w:top w:val="single" w:sz="4" w:space="0" w:color="000000"/>
              <w:left w:val="nil"/>
              <w:bottom w:val="single" w:sz="4" w:space="0" w:color="000000"/>
              <w:right w:val="nil"/>
            </w:tcBorders>
            <w:shd w:val="clear" w:color="auto" w:fill="auto"/>
            <w:noWrap/>
            <w:vAlign w:val="bottom"/>
            <w:hideMark/>
          </w:tcPr>
          <w:p w14:paraId="4DB037F6"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27,475 </w:t>
            </w:r>
          </w:p>
        </w:tc>
      </w:tr>
    </w:tbl>
    <w:p w14:paraId="6064644F" w14:textId="77777777" w:rsidR="009C684C" w:rsidRDefault="009C684C">
      <w:pPr>
        <w:spacing w:after="0"/>
        <w:rPr>
          <w:rFonts w:ascii="Arial" w:hAnsi="Arial" w:cs="Arial"/>
          <w:b/>
          <w:sz w:val="20"/>
          <w:szCs w:val="18"/>
        </w:rPr>
      </w:pPr>
      <w:r>
        <w:rPr>
          <w:sz w:val="20"/>
        </w:rPr>
        <w:br w:type="page"/>
      </w:r>
    </w:p>
    <w:p w14:paraId="7941A70B" w14:textId="607AC1A9" w:rsidR="000A07C8" w:rsidRPr="0021020D" w:rsidRDefault="007D48FE" w:rsidP="000D22DB">
      <w:pPr>
        <w:pStyle w:val="Tablenumberandreference"/>
        <w:rPr>
          <w:sz w:val="20"/>
        </w:rPr>
      </w:pPr>
      <w:r w:rsidRPr="0021020D">
        <w:rPr>
          <w:sz w:val="20"/>
        </w:rPr>
        <w:lastRenderedPageBreak/>
        <w:t xml:space="preserve">Table 1.2: Department of Health and Aged Care </w:t>
      </w:r>
      <w:r w:rsidR="00BA2102">
        <w:rPr>
          <w:sz w:val="20"/>
        </w:rPr>
        <w:t>2023–24</w:t>
      </w:r>
      <w:r w:rsidRPr="0021020D">
        <w:rPr>
          <w:sz w:val="20"/>
        </w:rPr>
        <w:t xml:space="preserve"> Budget measures </w:t>
      </w:r>
      <w:r w:rsidR="00232F9B" w:rsidRPr="0021020D">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F36320" w:rsidRPr="00F36320" w14:paraId="7C264AC6" w14:textId="77777777" w:rsidTr="00DB2FDE">
        <w:trPr>
          <w:trHeight w:val="283"/>
          <w:jc w:val="center"/>
        </w:trPr>
        <w:tc>
          <w:tcPr>
            <w:tcW w:w="2780" w:type="dxa"/>
            <w:gridSpan w:val="2"/>
            <w:tcBorders>
              <w:top w:val="single" w:sz="4" w:space="0" w:color="auto"/>
              <w:left w:val="nil"/>
              <w:bottom w:val="nil"/>
              <w:right w:val="nil"/>
            </w:tcBorders>
            <w:shd w:val="clear" w:color="auto" w:fill="auto"/>
            <w:tcMar>
              <w:right w:w="57" w:type="dxa"/>
            </w:tcMar>
            <w:vAlign w:val="bottom"/>
            <w:hideMark/>
          </w:tcPr>
          <w:p w14:paraId="57B926B8" w14:textId="77777777" w:rsidR="00F36320" w:rsidRPr="00F36320" w:rsidRDefault="00F36320" w:rsidP="00F36320">
            <w:pPr>
              <w:spacing w:before="40" w:after="0"/>
              <w:jc w:val="right"/>
              <w:rPr>
                <w:rFonts w:ascii="Arial" w:hAnsi="Arial" w:cs="Arial"/>
                <w:b/>
                <w:bCs/>
                <w:color w:val="auto"/>
                <w:sz w:val="16"/>
                <w:szCs w:val="16"/>
              </w:rPr>
            </w:pPr>
            <w:bookmarkStart w:id="12" w:name="_Toc479762909"/>
            <w:bookmarkStart w:id="13" w:name="_Toc481865385"/>
            <w:r w:rsidRPr="00F36320">
              <w:rPr>
                <w:rFonts w:ascii="Arial" w:hAnsi="Arial" w:cs="Arial"/>
                <w:b/>
                <w:bCs/>
                <w:color w:val="auto"/>
                <w:sz w:val="16"/>
                <w:szCs w:val="16"/>
              </w:rPr>
              <w:t xml:space="preserve">Outcome/ </w:t>
            </w:r>
            <w:r w:rsidRPr="00F36320">
              <w:rPr>
                <w:rFonts w:ascii="Arial" w:hAnsi="Arial" w:cs="Arial"/>
                <w:b/>
                <w:bCs/>
                <w:color w:val="auto"/>
                <w:sz w:val="16"/>
                <w:szCs w:val="16"/>
              </w:rPr>
              <w:br w:type="page"/>
              <w:t>Program</w:t>
            </w:r>
          </w:p>
        </w:tc>
        <w:tc>
          <w:tcPr>
            <w:tcW w:w="920" w:type="dxa"/>
            <w:tcBorders>
              <w:top w:val="single" w:sz="4" w:space="0" w:color="000000"/>
              <w:left w:val="nil"/>
              <w:bottom w:val="single" w:sz="4" w:space="0" w:color="000000"/>
              <w:right w:val="nil"/>
            </w:tcBorders>
            <w:shd w:val="clear" w:color="auto" w:fill="auto"/>
            <w:tcMar>
              <w:left w:w="0" w:type="dxa"/>
              <w:right w:w="57" w:type="dxa"/>
            </w:tcMar>
            <w:vAlign w:val="bottom"/>
            <w:hideMark/>
          </w:tcPr>
          <w:p w14:paraId="4467312E" w14:textId="77777777" w:rsid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2022–23</w:t>
            </w:r>
            <w:r w:rsidRPr="00F36320">
              <w:rPr>
                <w:rFonts w:ascii="Arial" w:hAnsi="Arial" w:cs="Arial"/>
                <w:b/>
                <w:bCs/>
                <w:color w:val="auto"/>
                <w:sz w:val="16"/>
                <w:szCs w:val="16"/>
              </w:rPr>
              <w:br w:type="page"/>
            </w:r>
          </w:p>
          <w:p w14:paraId="750F3330" w14:textId="728A72E8"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$'000</w:t>
            </w:r>
          </w:p>
        </w:tc>
        <w:tc>
          <w:tcPr>
            <w:tcW w:w="920" w:type="dxa"/>
            <w:tcBorders>
              <w:top w:val="single" w:sz="4" w:space="0" w:color="000000"/>
              <w:left w:val="nil"/>
              <w:bottom w:val="single" w:sz="4" w:space="0" w:color="000000"/>
              <w:right w:val="nil"/>
            </w:tcBorders>
            <w:shd w:val="clear" w:color="000000" w:fill="D9D9D9"/>
            <w:tcMar>
              <w:left w:w="0" w:type="dxa"/>
              <w:right w:w="57" w:type="dxa"/>
            </w:tcMar>
            <w:vAlign w:val="bottom"/>
            <w:hideMark/>
          </w:tcPr>
          <w:p w14:paraId="7F208F7F" w14:textId="77777777" w:rsid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2023–24</w:t>
            </w:r>
          </w:p>
          <w:p w14:paraId="632BAA2D" w14:textId="09E3B196"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br w:type="page"/>
              <w:t>$'000</w:t>
            </w:r>
          </w:p>
        </w:tc>
        <w:tc>
          <w:tcPr>
            <w:tcW w:w="920" w:type="dxa"/>
            <w:tcBorders>
              <w:top w:val="single" w:sz="4" w:space="0" w:color="000000"/>
              <w:left w:val="nil"/>
              <w:bottom w:val="single" w:sz="4" w:space="0" w:color="000000"/>
              <w:right w:val="nil"/>
            </w:tcBorders>
            <w:shd w:val="clear" w:color="auto" w:fill="auto"/>
            <w:tcMar>
              <w:left w:w="0" w:type="dxa"/>
              <w:right w:w="57" w:type="dxa"/>
            </w:tcMar>
            <w:vAlign w:val="bottom"/>
            <w:hideMark/>
          </w:tcPr>
          <w:p w14:paraId="7B01747E" w14:textId="54C4CB66" w:rsid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w:t>
            </w:r>
            <w:r w:rsidR="003C6CD1">
              <w:rPr>
                <w:rFonts w:ascii="Arial" w:hAnsi="Arial" w:cs="Arial"/>
                <w:b/>
                <w:bCs/>
                <w:color w:val="auto"/>
                <w:sz w:val="16"/>
                <w:szCs w:val="16"/>
              </w:rPr>
              <w:t>4</w:t>
            </w:r>
            <w:r w:rsidRPr="00F36320">
              <w:rPr>
                <w:rFonts w:ascii="Arial" w:hAnsi="Arial" w:cs="Arial"/>
                <w:b/>
                <w:bCs/>
                <w:color w:val="auto"/>
                <w:sz w:val="16"/>
                <w:szCs w:val="16"/>
              </w:rPr>
              <w:t>–2</w:t>
            </w:r>
            <w:r w:rsidR="003C6CD1">
              <w:rPr>
                <w:rFonts w:ascii="Arial" w:hAnsi="Arial" w:cs="Arial"/>
                <w:b/>
                <w:bCs/>
                <w:color w:val="auto"/>
                <w:sz w:val="16"/>
                <w:szCs w:val="16"/>
              </w:rPr>
              <w:t>5</w:t>
            </w:r>
          </w:p>
          <w:p w14:paraId="1D2C765D" w14:textId="2B288DB0" w:rsidR="00F36320" w:rsidRPr="00F36320" w:rsidRDefault="00F36320" w:rsidP="00F36320">
            <w:pPr>
              <w:spacing w:before="40" w:after="0"/>
              <w:jc w:val="center"/>
              <w:rPr>
                <w:rFonts w:ascii="Arial" w:hAnsi="Arial" w:cs="Arial"/>
                <w:b/>
                <w:bCs/>
                <w:color w:val="auto"/>
                <w:sz w:val="16"/>
                <w:szCs w:val="16"/>
              </w:rPr>
            </w:pPr>
            <w:r w:rsidRPr="00F36320">
              <w:rPr>
                <w:rFonts w:ascii="Arial" w:hAnsi="Arial" w:cs="Arial"/>
                <w:b/>
                <w:bCs/>
                <w:color w:val="auto"/>
                <w:sz w:val="16"/>
                <w:szCs w:val="16"/>
              </w:rPr>
              <w:br w:type="page"/>
            </w:r>
            <w:r>
              <w:rPr>
                <w:rFonts w:ascii="Arial" w:hAnsi="Arial" w:cs="Arial"/>
                <w:b/>
                <w:bCs/>
                <w:color w:val="auto"/>
                <w:sz w:val="16"/>
                <w:szCs w:val="16"/>
              </w:rPr>
              <w:t xml:space="preserve">         </w:t>
            </w:r>
            <w:r w:rsidRPr="00F36320">
              <w:rPr>
                <w:rFonts w:ascii="Arial" w:hAnsi="Arial" w:cs="Arial"/>
                <w:b/>
                <w:bCs/>
                <w:color w:val="auto"/>
                <w:sz w:val="16"/>
                <w:szCs w:val="16"/>
              </w:rPr>
              <w:t>$'000</w:t>
            </w:r>
          </w:p>
        </w:tc>
        <w:tc>
          <w:tcPr>
            <w:tcW w:w="920" w:type="dxa"/>
            <w:tcBorders>
              <w:top w:val="single" w:sz="4" w:space="0" w:color="000000"/>
              <w:left w:val="nil"/>
              <w:bottom w:val="single" w:sz="4" w:space="0" w:color="000000"/>
              <w:right w:val="nil"/>
            </w:tcBorders>
            <w:shd w:val="clear" w:color="auto" w:fill="auto"/>
            <w:tcMar>
              <w:left w:w="0" w:type="dxa"/>
              <w:right w:w="57" w:type="dxa"/>
            </w:tcMar>
            <w:vAlign w:val="bottom"/>
            <w:hideMark/>
          </w:tcPr>
          <w:p w14:paraId="1399A0BB" w14:textId="01257916" w:rsid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w:t>
            </w:r>
            <w:r w:rsidR="003C6CD1">
              <w:rPr>
                <w:rFonts w:ascii="Arial" w:hAnsi="Arial" w:cs="Arial"/>
                <w:b/>
                <w:bCs/>
                <w:color w:val="auto"/>
                <w:sz w:val="16"/>
                <w:szCs w:val="16"/>
              </w:rPr>
              <w:t>5–26</w:t>
            </w:r>
          </w:p>
          <w:p w14:paraId="4DC5847B" w14:textId="2FC1DCCB" w:rsidR="00F36320" w:rsidRPr="00F36320" w:rsidRDefault="00F36320" w:rsidP="00F36320">
            <w:pPr>
              <w:spacing w:before="40" w:after="0"/>
              <w:jc w:val="center"/>
              <w:rPr>
                <w:rFonts w:ascii="Arial" w:hAnsi="Arial" w:cs="Arial"/>
                <w:b/>
                <w:bCs/>
                <w:color w:val="auto"/>
                <w:sz w:val="16"/>
                <w:szCs w:val="16"/>
              </w:rPr>
            </w:pPr>
            <w:r w:rsidRPr="00F36320">
              <w:rPr>
                <w:rFonts w:ascii="Arial" w:hAnsi="Arial" w:cs="Arial"/>
                <w:b/>
                <w:bCs/>
                <w:color w:val="auto"/>
                <w:sz w:val="16"/>
                <w:szCs w:val="16"/>
              </w:rPr>
              <w:br w:type="page"/>
            </w:r>
            <w:r>
              <w:rPr>
                <w:rFonts w:ascii="Arial" w:hAnsi="Arial" w:cs="Arial"/>
                <w:b/>
                <w:bCs/>
                <w:color w:val="auto"/>
                <w:sz w:val="16"/>
                <w:szCs w:val="16"/>
              </w:rPr>
              <w:t xml:space="preserve">         </w:t>
            </w:r>
            <w:r w:rsidRPr="00F36320">
              <w:rPr>
                <w:rFonts w:ascii="Arial" w:hAnsi="Arial" w:cs="Arial"/>
                <w:b/>
                <w:bCs/>
                <w:color w:val="auto"/>
                <w:sz w:val="16"/>
                <w:szCs w:val="16"/>
              </w:rPr>
              <w:t>$'000</w:t>
            </w:r>
          </w:p>
        </w:tc>
        <w:tc>
          <w:tcPr>
            <w:tcW w:w="920" w:type="dxa"/>
            <w:tcBorders>
              <w:top w:val="single" w:sz="4" w:space="0" w:color="000000"/>
              <w:left w:val="nil"/>
              <w:bottom w:val="single" w:sz="4" w:space="0" w:color="000000"/>
              <w:right w:val="nil"/>
            </w:tcBorders>
            <w:shd w:val="clear" w:color="auto" w:fill="auto"/>
            <w:tcMar>
              <w:left w:w="0" w:type="dxa"/>
              <w:right w:w="57" w:type="dxa"/>
            </w:tcMar>
            <w:vAlign w:val="bottom"/>
            <w:hideMark/>
          </w:tcPr>
          <w:p w14:paraId="4646120D" w14:textId="77777777" w:rsid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t>2026–27</w:t>
            </w:r>
          </w:p>
          <w:p w14:paraId="2D785374" w14:textId="097E1DB3" w:rsidR="00F36320" w:rsidRPr="00F36320" w:rsidRDefault="00F36320" w:rsidP="00F36320">
            <w:pPr>
              <w:spacing w:before="40" w:after="0"/>
              <w:jc w:val="right"/>
              <w:rPr>
                <w:rFonts w:ascii="Arial" w:hAnsi="Arial" w:cs="Arial"/>
                <w:b/>
                <w:bCs/>
                <w:color w:val="auto"/>
                <w:sz w:val="16"/>
                <w:szCs w:val="16"/>
              </w:rPr>
            </w:pPr>
            <w:r w:rsidRPr="00F36320">
              <w:rPr>
                <w:rFonts w:ascii="Arial" w:hAnsi="Arial" w:cs="Arial"/>
                <w:b/>
                <w:bCs/>
                <w:color w:val="auto"/>
                <w:sz w:val="16"/>
                <w:szCs w:val="16"/>
              </w:rPr>
              <w:br w:type="page"/>
              <w:t>$'000</w:t>
            </w:r>
          </w:p>
        </w:tc>
      </w:tr>
      <w:tr w:rsidR="00F36320" w:rsidRPr="00F36320" w14:paraId="4478F857"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640F92A0"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 xml:space="preserve">Assistance for IVF — assisted reproductive technology storage </w:t>
            </w:r>
            <w:r w:rsidRPr="00F36320">
              <w:rPr>
                <w:rFonts w:ascii="Arial" w:hAnsi="Arial" w:cs="Arial"/>
                <w:b/>
                <w:bCs/>
                <w:color w:val="auto"/>
                <w:sz w:val="16"/>
                <w:szCs w:val="16"/>
                <w:vertAlign w:val="superscript"/>
              </w:rPr>
              <w:t>(b)</w:t>
            </w:r>
          </w:p>
        </w:tc>
      </w:tr>
      <w:tr w:rsidR="00F36320" w:rsidRPr="00F36320" w14:paraId="55580095" w14:textId="77777777" w:rsidTr="00DB2FDE">
        <w:trPr>
          <w:trHeight w:val="425"/>
          <w:jc w:val="center"/>
        </w:trPr>
        <w:tc>
          <w:tcPr>
            <w:tcW w:w="2320" w:type="dxa"/>
            <w:tcBorders>
              <w:top w:val="nil"/>
              <w:left w:val="nil"/>
              <w:bottom w:val="nil"/>
              <w:right w:val="nil"/>
            </w:tcBorders>
            <w:shd w:val="clear" w:color="auto" w:fill="auto"/>
            <w:vAlign w:val="bottom"/>
            <w:hideMark/>
          </w:tcPr>
          <w:p w14:paraId="6FDBF0E1"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63B4C852"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975D0E0"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7DAE81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4073FA2"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520EBEF"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B0837F9"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038E8070" w14:textId="77777777" w:rsidTr="00F36320">
        <w:trPr>
          <w:trHeight w:val="225"/>
          <w:jc w:val="center"/>
        </w:trPr>
        <w:tc>
          <w:tcPr>
            <w:tcW w:w="2320" w:type="dxa"/>
            <w:tcBorders>
              <w:top w:val="nil"/>
              <w:left w:val="nil"/>
              <w:bottom w:val="nil"/>
              <w:right w:val="nil"/>
            </w:tcBorders>
            <w:shd w:val="clear" w:color="auto" w:fill="auto"/>
            <w:vAlign w:val="bottom"/>
            <w:hideMark/>
          </w:tcPr>
          <w:p w14:paraId="2C1B25A7"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880431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5B9BD2B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3F01AF1"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(2,589)</w:t>
            </w:r>
          </w:p>
        </w:tc>
        <w:tc>
          <w:tcPr>
            <w:tcW w:w="920" w:type="dxa"/>
            <w:tcBorders>
              <w:top w:val="nil"/>
              <w:left w:val="nil"/>
              <w:bottom w:val="nil"/>
              <w:right w:val="nil"/>
            </w:tcBorders>
            <w:shd w:val="clear" w:color="auto" w:fill="auto"/>
            <w:noWrap/>
            <w:vAlign w:val="bottom"/>
            <w:hideMark/>
          </w:tcPr>
          <w:p w14:paraId="2D463C3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(1,581)</w:t>
            </w:r>
          </w:p>
        </w:tc>
        <w:tc>
          <w:tcPr>
            <w:tcW w:w="920" w:type="dxa"/>
            <w:tcBorders>
              <w:top w:val="nil"/>
              <w:left w:val="nil"/>
              <w:bottom w:val="nil"/>
              <w:right w:val="nil"/>
            </w:tcBorders>
            <w:shd w:val="clear" w:color="auto" w:fill="auto"/>
            <w:noWrap/>
            <w:vAlign w:val="bottom"/>
            <w:hideMark/>
          </w:tcPr>
          <w:p w14:paraId="7A80A0FB"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(752)</w:t>
            </w:r>
          </w:p>
        </w:tc>
        <w:tc>
          <w:tcPr>
            <w:tcW w:w="920" w:type="dxa"/>
            <w:tcBorders>
              <w:top w:val="nil"/>
              <w:left w:val="nil"/>
              <w:bottom w:val="nil"/>
              <w:right w:val="nil"/>
            </w:tcBorders>
            <w:shd w:val="clear" w:color="auto" w:fill="auto"/>
            <w:noWrap/>
            <w:vAlign w:val="bottom"/>
            <w:hideMark/>
          </w:tcPr>
          <w:p w14:paraId="33ACB452"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164 </w:t>
            </w:r>
          </w:p>
        </w:tc>
      </w:tr>
      <w:tr w:rsidR="00F36320" w:rsidRPr="00F36320" w14:paraId="7040BC16"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0CE20994"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69631C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5B00964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0920CB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DFEAA0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DCE082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41B23F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15E87A19" w14:textId="77777777" w:rsidTr="00DB2FDE">
        <w:trPr>
          <w:trHeight w:val="454"/>
          <w:jc w:val="center"/>
        </w:trPr>
        <w:tc>
          <w:tcPr>
            <w:tcW w:w="2320" w:type="dxa"/>
            <w:tcBorders>
              <w:top w:val="nil"/>
              <w:left w:val="nil"/>
              <w:bottom w:val="nil"/>
              <w:right w:val="nil"/>
            </w:tcBorders>
            <w:shd w:val="clear" w:color="auto" w:fill="auto"/>
            <w:vAlign w:val="bottom"/>
            <w:hideMark/>
          </w:tcPr>
          <w:p w14:paraId="7E7C78A5"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082D5E70"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F8C91FA"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EC912D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2E58977"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AD78AA0"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9EDE148"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423EA311" w14:textId="77777777" w:rsidTr="00F36320">
        <w:trPr>
          <w:trHeight w:val="225"/>
          <w:jc w:val="center"/>
        </w:trPr>
        <w:tc>
          <w:tcPr>
            <w:tcW w:w="2320" w:type="dxa"/>
            <w:tcBorders>
              <w:top w:val="nil"/>
              <w:left w:val="nil"/>
              <w:bottom w:val="nil"/>
              <w:right w:val="nil"/>
            </w:tcBorders>
            <w:shd w:val="clear" w:color="auto" w:fill="auto"/>
            <w:vAlign w:val="bottom"/>
            <w:hideMark/>
          </w:tcPr>
          <w:p w14:paraId="12A0DCFD"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404A8976"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6884C8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5EBEC7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(65)</w:t>
            </w:r>
          </w:p>
        </w:tc>
        <w:tc>
          <w:tcPr>
            <w:tcW w:w="920" w:type="dxa"/>
            <w:tcBorders>
              <w:top w:val="nil"/>
              <w:left w:val="nil"/>
              <w:bottom w:val="nil"/>
              <w:right w:val="nil"/>
            </w:tcBorders>
            <w:shd w:val="clear" w:color="auto" w:fill="auto"/>
            <w:noWrap/>
            <w:vAlign w:val="bottom"/>
            <w:hideMark/>
          </w:tcPr>
          <w:p w14:paraId="36DC92B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(40)</w:t>
            </w:r>
          </w:p>
        </w:tc>
        <w:tc>
          <w:tcPr>
            <w:tcW w:w="920" w:type="dxa"/>
            <w:tcBorders>
              <w:top w:val="nil"/>
              <w:left w:val="nil"/>
              <w:bottom w:val="nil"/>
              <w:right w:val="nil"/>
            </w:tcBorders>
            <w:shd w:val="clear" w:color="auto" w:fill="auto"/>
            <w:noWrap/>
            <w:vAlign w:val="bottom"/>
            <w:hideMark/>
          </w:tcPr>
          <w:p w14:paraId="46F624E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(19)</w:t>
            </w:r>
          </w:p>
        </w:tc>
        <w:tc>
          <w:tcPr>
            <w:tcW w:w="920" w:type="dxa"/>
            <w:tcBorders>
              <w:top w:val="nil"/>
              <w:left w:val="nil"/>
              <w:bottom w:val="nil"/>
              <w:right w:val="nil"/>
            </w:tcBorders>
            <w:shd w:val="clear" w:color="auto" w:fill="auto"/>
            <w:noWrap/>
            <w:vAlign w:val="bottom"/>
            <w:hideMark/>
          </w:tcPr>
          <w:p w14:paraId="6BF21C9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 </w:t>
            </w:r>
          </w:p>
        </w:tc>
      </w:tr>
      <w:tr w:rsidR="00F36320" w:rsidRPr="00F36320" w14:paraId="35DC1CC4" w14:textId="77777777" w:rsidTr="00DB2FDE">
        <w:trPr>
          <w:trHeight w:val="283"/>
          <w:jc w:val="center"/>
        </w:trPr>
        <w:tc>
          <w:tcPr>
            <w:tcW w:w="2320" w:type="dxa"/>
            <w:tcBorders>
              <w:top w:val="nil"/>
              <w:left w:val="nil"/>
              <w:bottom w:val="nil"/>
              <w:right w:val="nil"/>
            </w:tcBorders>
            <w:shd w:val="clear" w:color="auto" w:fill="auto"/>
            <w:vAlign w:val="bottom"/>
            <w:hideMark/>
          </w:tcPr>
          <w:p w14:paraId="7802AC99"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19A4593A"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0FFD26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138569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95EEB7E"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97D3EA7"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4D977F7"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0F488CCC" w14:textId="77777777" w:rsidTr="00F36320">
        <w:trPr>
          <w:trHeight w:val="225"/>
          <w:jc w:val="center"/>
        </w:trPr>
        <w:tc>
          <w:tcPr>
            <w:tcW w:w="2320" w:type="dxa"/>
            <w:tcBorders>
              <w:top w:val="nil"/>
              <w:left w:val="nil"/>
              <w:bottom w:val="nil"/>
              <w:right w:val="nil"/>
            </w:tcBorders>
            <w:shd w:val="clear" w:color="auto" w:fill="auto"/>
            <w:vAlign w:val="bottom"/>
            <w:hideMark/>
          </w:tcPr>
          <w:p w14:paraId="58486378"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C1CCB62"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7B351C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556388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2,560 </w:t>
            </w:r>
          </w:p>
        </w:tc>
        <w:tc>
          <w:tcPr>
            <w:tcW w:w="920" w:type="dxa"/>
            <w:tcBorders>
              <w:top w:val="nil"/>
              <w:left w:val="nil"/>
              <w:bottom w:val="nil"/>
              <w:right w:val="nil"/>
            </w:tcBorders>
            <w:shd w:val="clear" w:color="auto" w:fill="auto"/>
            <w:noWrap/>
            <w:vAlign w:val="bottom"/>
            <w:hideMark/>
          </w:tcPr>
          <w:p w14:paraId="77C48EE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536 </w:t>
            </w:r>
          </w:p>
        </w:tc>
        <w:tc>
          <w:tcPr>
            <w:tcW w:w="920" w:type="dxa"/>
            <w:tcBorders>
              <w:top w:val="nil"/>
              <w:left w:val="nil"/>
              <w:bottom w:val="nil"/>
              <w:right w:val="nil"/>
            </w:tcBorders>
            <w:shd w:val="clear" w:color="auto" w:fill="auto"/>
            <w:noWrap/>
            <w:vAlign w:val="bottom"/>
            <w:hideMark/>
          </w:tcPr>
          <w:p w14:paraId="4AAC172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508 </w:t>
            </w:r>
          </w:p>
        </w:tc>
        <w:tc>
          <w:tcPr>
            <w:tcW w:w="920" w:type="dxa"/>
            <w:tcBorders>
              <w:top w:val="nil"/>
              <w:left w:val="nil"/>
              <w:bottom w:val="nil"/>
              <w:right w:val="nil"/>
            </w:tcBorders>
            <w:shd w:val="clear" w:color="auto" w:fill="auto"/>
            <w:noWrap/>
            <w:vAlign w:val="bottom"/>
            <w:hideMark/>
          </w:tcPr>
          <w:p w14:paraId="4701132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526 </w:t>
            </w:r>
          </w:p>
        </w:tc>
      </w:tr>
      <w:tr w:rsidR="00F36320" w:rsidRPr="00F36320" w14:paraId="4FBD83DB" w14:textId="77777777" w:rsidTr="00DB2FDE">
        <w:trPr>
          <w:trHeight w:val="425"/>
          <w:jc w:val="center"/>
        </w:trPr>
        <w:tc>
          <w:tcPr>
            <w:tcW w:w="2320" w:type="dxa"/>
            <w:tcBorders>
              <w:top w:val="nil"/>
              <w:left w:val="nil"/>
              <w:bottom w:val="nil"/>
              <w:right w:val="nil"/>
            </w:tcBorders>
            <w:shd w:val="clear" w:color="auto" w:fill="auto"/>
            <w:vAlign w:val="bottom"/>
            <w:hideMark/>
          </w:tcPr>
          <w:p w14:paraId="6D4E287A"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6A73BD44"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530B7B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905A5E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972 </w:t>
            </w:r>
          </w:p>
        </w:tc>
        <w:tc>
          <w:tcPr>
            <w:tcW w:w="920" w:type="dxa"/>
            <w:tcBorders>
              <w:top w:val="nil"/>
              <w:left w:val="nil"/>
              <w:bottom w:val="nil"/>
              <w:right w:val="nil"/>
            </w:tcBorders>
            <w:shd w:val="clear" w:color="auto" w:fill="auto"/>
            <w:noWrap/>
            <w:vAlign w:val="bottom"/>
            <w:hideMark/>
          </w:tcPr>
          <w:p w14:paraId="18BB4E0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4ADA06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3EFC09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617B6A7B"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34783835"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03112652" w14:textId="77777777" w:rsidR="00F36320" w:rsidRPr="00F36320" w:rsidRDefault="00F36320" w:rsidP="00F3632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43F7BBD4"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11ED9C06"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878 </w:t>
            </w:r>
          </w:p>
        </w:tc>
        <w:tc>
          <w:tcPr>
            <w:tcW w:w="920" w:type="dxa"/>
            <w:tcBorders>
              <w:top w:val="single" w:sz="4" w:space="0" w:color="000000"/>
              <w:left w:val="nil"/>
              <w:bottom w:val="single" w:sz="4" w:space="0" w:color="000000"/>
              <w:right w:val="nil"/>
            </w:tcBorders>
            <w:shd w:val="clear" w:color="auto" w:fill="auto"/>
            <w:noWrap/>
            <w:vAlign w:val="bottom"/>
            <w:hideMark/>
          </w:tcPr>
          <w:p w14:paraId="63873ACA"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(1,085)</w:t>
            </w:r>
          </w:p>
        </w:tc>
        <w:tc>
          <w:tcPr>
            <w:tcW w:w="920" w:type="dxa"/>
            <w:tcBorders>
              <w:top w:val="single" w:sz="4" w:space="0" w:color="000000"/>
              <w:left w:val="nil"/>
              <w:bottom w:val="single" w:sz="4" w:space="0" w:color="000000"/>
              <w:right w:val="nil"/>
            </w:tcBorders>
            <w:shd w:val="clear" w:color="auto" w:fill="auto"/>
            <w:noWrap/>
            <w:vAlign w:val="bottom"/>
            <w:hideMark/>
          </w:tcPr>
          <w:p w14:paraId="55E74274"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(263)</w:t>
            </w:r>
          </w:p>
        </w:tc>
        <w:tc>
          <w:tcPr>
            <w:tcW w:w="920" w:type="dxa"/>
            <w:tcBorders>
              <w:top w:val="single" w:sz="4" w:space="0" w:color="000000"/>
              <w:left w:val="nil"/>
              <w:bottom w:val="single" w:sz="4" w:space="0" w:color="000000"/>
              <w:right w:val="nil"/>
            </w:tcBorders>
            <w:shd w:val="clear" w:color="auto" w:fill="auto"/>
            <w:noWrap/>
            <w:vAlign w:val="bottom"/>
            <w:hideMark/>
          </w:tcPr>
          <w:p w14:paraId="23ED4BA3"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694 </w:t>
            </w:r>
          </w:p>
        </w:tc>
      </w:tr>
      <w:tr w:rsidR="00F36320" w:rsidRPr="00F36320" w14:paraId="5702EC1A"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56B0C859"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COVID-19 Aged Care Response</w:t>
            </w:r>
          </w:p>
        </w:tc>
      </w:tr>
      <w:tr w:rsidR="00F36320" w:rsidRPr="00F36320" w14:paraId="57E10726" w14:textId="77777777" w:rsidTr="00DB2FDE">
        <w:trPr>
          <w:trHeight w:val="425"/>
          <w:jc w:val="center"/>
        </w:trPr>
        <w:tc>
          <w:tcPr>
            <w:tcW w:w="2320" w:type="dxa"/>
            <w:tcBorders>
              <w:top w:val="nil"/>
              <w:left w:val="nil"/>
              <w:bottom w:val="nil"/>
              <w:right w:val="nil"/>
            </w:tcBorders>
            <w:shd w:val="clear" w:color="auto" w:fill="auto"/>
            <w:vAlign w:val="bottom"/>
            <w:hideMark/>
          </w:tcPr>
          <w:p w14:paraId="26287F42"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7AA6CA55"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BAD2A65"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D4046E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5EDAAAB"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9B9415C"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30D14BA"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715E83FD"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6EDC2614"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EADAEFA"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381E5AE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30,551 </w:t>
            </w:r>
          </w:p>
        </w:tc>
        <w:tc>
          <w:tcPr>
            <w:tcW w:w="920" w:type="dxa"/>
            <w:tcBorders>
              <w:top w:val="nil"/>
              <w:left w:val="nil"/>
              <w:bottom w:val="nil"/>
              <w:right w:val="nil"/>
            </w:tcBorders>
            <w:shd w:val="clear" w:color="000000" w:fill="D9D9D9"/>
            <w:noWrap/>
            <w:vAlign w:val="bottom"/>
            <w:hideMark/>
          </w:tcPr>
          <w:p w14:paraId="7F921E97"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10,000 </w:t>
            </w:r>
          </w:p>
        </w:tc>
        <w:tc>
          <w:tcPr>
            <w:tcW w:w="920" w:type="dxa"/>
            <w:tcBorders>
              <w:top w:val="nil"/>
              <w:left w:val="nil"/>
              <w:bottom w:val="nil"/>
              <w:right w:val="nil"/>
            </w:tcBorders>
            <w:shd w:val="clear" w:color="auto" w:fill="auto"/>
            <w:noWrap/>
            <w:vAlign w:val="bottom"/>
            <w:hideMark/>
          </w:tcPr>
          <w:p w14:paraId="23AC7C6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2B2DEE9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1C25CE0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r>
      <w:tr w:rsidR="00F36320" w:rsidRPr="00F36320" w14:paraId="2D302AFD"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51FA74C0" w14:textId="77777777" w:rsidR="00F36320" w:rsidRPr="00F36320" w:rsidRDefault="00F36320" w:rsidP="00DB2FDE">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05DBCB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771CD56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181,821 </w:t>
            </w:r>
          </w:p>
        </w:tc>
        <w:tc>
          <w:tcPr>
            <w:tcW w:w="920" w:type="dxa"/>
            <w:tcBorders>
              <w:top w:val="nil"/>
              <w:left w:val="nil"/>
              <w:bottom w:val="nil"/>
              <w:right w:val="nil"/>
            </w:tcBorders>
            <w:shd w:val="clear" w:color="000000" w:fill="D9D9D9"/>
            <w:noWrap/>
            <w:vAlign w:val="bottom"/>
            <w:hideMark/>
          </w:tcPr>
          <w:p w14:paraId="28348B7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334,055 </w:t>
            </w:r>
          </w:p>
        </w:tc>
        <w:tc>
          <w:tcPr>
            <w:tcW w:w="920" w:type="dxa"/>
            <w:tcBorders>
              <w:top w:val="nil"/>
              <w:left w:val="nil"/>
              <w:bottom w:val="nil"/>
              <w:right w:val="nil"/>
            </w:tcBorders>
            <w:shd w:val="clear" w:color="auto" w:fill="auto"/>
            <w:noWrap/>
            <w:vAlign w:val="bottom"/>
            <w:hideMark/>
          </w:tcPr>
          <w:p w14:paraId="02D832F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3B2837E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10F54A4D"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r>
      <w:tr w:rsidR="00F36320" w:rsidRPr="00F36320" w14:paraId="77B4D09C" w14:textId="77777777" w:rsidTr="00F36320">
        <w:trPr>
          <w:trHeight w:val="225"/>
          <w:jc w:val="center"/>
        </w:trPr>
        <w:tc>
          <w:tcPr>
            <w:tcW w:w="2320" w:type="dxa"/>
            <w:tcBorders>
              <w:top w:val="nil"/>
              <w:left w:val="nil"/>
              <w:bottom w:val="nil"/>
              <w:right w:val="nil"/>
            </w:tcBorders>
            <w:shd w:val="clear" w:color="auto" w:fill="auto"/>
            <w:noWrap/>
            <w:vAlign w:val="bottom"/>
            <w:hideMark/>
          </w:tcPr>
          <w:p w14:paraId="2BEDFC89"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3FDD85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1C60F01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167 </w:t>
            </w:r>
          </w:p>
        </w:tc>
        <w:tc>
          <w:tcPr>
            <w:tcW w:w="920" w:type="dxa"/>
            <w:tcBorders>
              <w:top w:val="nil"/>
              <w:left w:val="nil"/>
              <w:bottom w:val="nil"/>
              <w:right w:val="nil"/>
            </w:tcBorders>
            <w:shd w:val="clear" w:color="000000" w:fill="D9D9D9"/>
            <w:noWrap/>
            <w:vAlign w:val="bottom"/>
            <w:hideMark/>
          </w:tcPr>
          <w:p w14:paraId="4DE6CF69"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163 </w:t>
            </w:r>
          </w:p>
        </w:tc>
        <w:tc>
          <w:tcPr>
            <w:tcW w:w="920" w:type="dxa"/>
            <w:tcBorders>
              <w:top w:val="nil"/>
              <w:left w:val="nil"/>
              <w:bottom w:val="nil"/>
              <w:right w:val="nil"/>
            </w:tcBorders>
            <w:shd w:val="clear" w:color="auto" w:fill="auto"/>
            <w:noWrap/>
            <w:vAlign w:val="bottom"/>
            <w:hideMark/>
          </w:tcPr>
          <w:p w14:paraId="2AAFC61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4E224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85450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041AF362" w14:textId="77777777" w:rsidTr="00F36320">
        <w:trPr>
          <w:trHeight w:val="225"/>
          <w:jc w:val="center"/>
        </w:trPr>
        <w:tc>
          <w:tcPr>
            <w:tcW w:w="2320" w:type="dxa"/>
            <w:tcBorders>
              <w:top w:val="nil"/>
              <w:left w:val="nil"/>
              <w:bottom w:val="nil"/>
              <w:right w:val="nil"/>
            </w:tcBorders>
            <w:shd w:val="clear" w:color="auto" w:fill="auto"/>
            <w:vAlign w:val="bottom"/>
            <w:hideMark/>
          </w:tcPr>
          <w:p w14:paraId="6EB3F90A" w14:textId="77777777" w:rsidR="00F36320" w:rsidRPr="00F36320" w:rsidRDefault="00F36320" w:rsidP="00F36320">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965E4F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250D22E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10,158 </w:t>
            </w:r>
          </w:p>
        </w:tc>
        <w:tc>
          <w:tcPr>
            <w:tcW w:w="920" w:type="dxa"/>
            <w:tcBorders>
              <w:top w:val="nil"/>
              <w:left w:val="nil"/>
              <w:bottom w:val="nil"/>
              <w:right w:val="nil"/>
            </w:tcBorders>
            <w:shd w:val="clear" w:color="000000" w:fill="D9D9D9"/>
            <w:noWrap/>
            <w:vAlign w:val="bottom"/>
            <w:hideMark/>
          </w:tcPr>
          <w:p w14:paraId="0400F5F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17,084 </w:t>
            </w:r>
          </w:p>
        </w:tc>
        <w:tc>
          <w:tcPr>
            <w:tcW w:w="920" w:type="dxa"/>
            <w:tcBorders>
              <w:top w:val="nil"/>
              <w:left w:val="nil"/>
              <w:bottom w:val="nil"/>
              <w:right w:val="nil"/>
            </w:tcBorders>
            <w:shd w:val="clear" w:color="auto" w:fill="auto"/>
            <w:noWrap/>
            <w:vAlign w:val="bottom"/>
            <w:hideMark/>
          </w:tcPr>
          <w:p w14:paraId="33E832A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6DED4162"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c>
          <w:tcPr>
            <w:tcW w:w="920" w:type="dxa"/>
            <w:tcBorders>
              <w:top w:val="nil"/>
              <w:left w:val="nil"/>
              <w:bottom w:val="nil"/>
              <w:right w:val="nil"/>
            </w:tcBorders>
            <w:shd w:val="clear" w:color="auto" w:fill="auto"/>
            <w:noWrap/>
            <w:vAlign w:val="bottom"/>
            <w:hideMark/>
          </w:tcPr>
          <w:p w14:paraId="41F2365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w:t>
            </w:r>
          </w:p>
        </w:tc>
      </w:tr>
      <w:tr w:rsidR="00F36320" w:rsidRPr="00F36320" w14:paraId="172B6C70" w14:textId="77777777" w:rsidTr="00DB2FDE">
        <w:trPr>
          <w:trHeight w:val="425"/>
          <w:jc w:val="center"/>
        </w:trPr>
        <w:tc>
          <w:tcPr>
            <w:tcW w:w="2320" w:type="dxa"/>
            <w:tcBorders>
              <w:top w:val="nil"/>
              <w:left w:val="nil"/>
              <w:bottom w:val="nil"/>
              <w:right w:val="nil"/>
            </w:tcBorders>
            <w:shd w:val="clear" w:color="auto" w:fill="auto"/>
            <w:vAlign w:val="bottom"/>
            <w:hideMark/>
          </w:tcPr>
          <w:p w14:paraId="18F7B94A"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728C18A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039BD263"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434 </w:t>
            </w:r>
          </w:p>
        </w:tc>
        <w:tc>
          <w:tcPr>
            <w:tcW w:w="920" w:type="dxa"/>
            <w:tcBorders>
              <w:top w:val="nil"/>
              <w:left w:val="nil"/>
              <w:bottom w:val="nil"/>
              <w:right w:val="nil"/>
            </w:tcBorders>
            <w:shd w:val="clear" w:color="000000" w:fill="D9D9D9"/>
            <w:noWrap/>
            <w:vAlign w:val="bottom"/>
            <w:hideMark/>
          </w:tcPr>
          <w:p w14:paraId="0BE2C728"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217 </w:t>
            </w:r>
          </w:p>
        </w:tc>
        <w:tc>
          <w:tcPr>
            <w:tcW w:w="920" w:type="dxa"/>
            <w:tcBorders>
              <w:top w:val="nil"/>
              <w:left w:val="nil"/>
              <w:bottom w:val="nil"/>
              <w:right w:val="nil"/>
            </w:tcBorders>
            <w:shd w:val="clear" w:color="auto" w:fill="auto"/>
            <w:noWrap/>
            <w:vAlign w:val="bottom"/>
            <w:hideMark/>
          </w:tcPr>
          <w:p w14:paraId="15FEFCE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23A2786"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C0B438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4D3EDBF8" w14:textId="77777777" w:rsidTr="00DB2FDE">
        <w:trPr>
          <w:trHeight w:val="454"/>
          <w:jc w:val="center"/>
        </w:trPr>
        <w:tc>
          <w:tcPr>
            <w:tcW w:w="2320" w:type="dxa"/>
            <w:tcBorders>
              <w:top w:val="nil"/>
              <w:left w:val="nil"/>
              <w:bottom w:val="nil"/>
              <w:right w:val="nil"/>
            </w:tcBorders>
            <w:shd w:val="clear" w:color="auto" w:fill="auto"/>
            <w:vAlign w:val="bottom"/>
            <w:hideMark/>
          </w:tcPr>
          <w:p w14:paraId="77EBD3F5" w14:textId="77777777" w:rsidR="00F36320" w:rsidRPr="00F36320" w:rsidRDefault="00F36320" w:rsidP="00F36320">
            <w:pPr>
              <w:spacing w:after="0"/>
              <w:rPr>
                <w:rFonts w:ascii="Arial" w:hAnsi="Arial" w:cs="Arial"/>
                <w:color w:val="auto"/>
                <w:sz w:val="16"/>
                <w:szCs w:val="16"/>
              </w:rPr>
            </w:pPr>
            <w:r w:rsidRPr="00F36320">
              <w:rPr>
                <w:rFonts w:ascii="Arial" w:hAnsi="Arial" w:cs="Arial"/>
                <w:color w:val="auto"/>
                <w:sz w:val="16"/>
                <w:szCs w:val="16"/>
              </w:rPr>
              <w:t>Aged Care Quality and Safety Commission</w:t>
            </w:r>
          </w:p>
        </w:tc>
        <w:tc>
          <w:tcPr>
            <w:tcW w:w="460" w:type="dxa"/>
            <w:tcBorders>
              <w:top w:val="nil"/>
              <w:left w:val="nil"/>
              <w:bottom w:val="nil"/>
              <w:right w:val="nil"/>
            </w:tcBorders>
            <w:shd w:val="clear" w:color="auto" w:fill="auto"/>
            <w:noWrap/>
            <w:vAlign w:val="bottom"/>
            <w:hideMark/>
          </w:tcPr>
          <w:p w14:paraId="2D2F64F4" w14:textId="77777777" w:rsidR="00F36320" w:rsidRPr="00F36320" w:rsidRDefault="00F36320" w:rsidP="00F36320">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E409D5D"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FE1BF8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27D16C6" w14:textId="77777777" w:rsidR="00F36320" w:rsidRPr="00F36320" w:rsidRDefault="00F36320" w:rsidP="00F36320">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3DF9261" w14:textId="77777777" w:rsidR="00F36320" w:rsidRPr="00F36320" w:rsidRDefault="00F36320" w:rsidP="00F36320">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2FF752B" w14:textId="77777777" w:rsidR="00F36320" w:rsidRPr="00F36320" w:rsidRDefault="00F36320" w:rsidP="00F36320">
            <w:pPr>
              <w:spacing w:after="0"/>
              <w:jc w:val="right"/>
              <w:rPr>
                <w:rFonts w:ascii="Times New Roman" w:hAnsi="Times New Roman"/>
                <w:color w:val="auto"/>
                <w:sz w:val="20"/>
                <w:szCs w:val="20"/>
              </w:rPr>
            </w:pPr>
          </w:p>
        </w:tc>
      </w:tr>
      <w:tr w:rsidR="00F36320" w:rsidRPr="00F36320" w14:paraId="3EB53ADA" w14:textId="77777777" w:rsidTr="00934D5E">
        <w:trPr>
          <w:trHeight w:val="225"/>
          <w:jc w:val="center"/>
        </w:trPr>
        <w:tc>
          <w:tcPr>
            <w:tcW w:w="2320" w:type="dxa"/>
            <w:tcBorders>
              <w:top w:val="nil"/>
              <w:left w:val="nil"/>
              <w:right w:val="nil"/>
            </w:tcBorders>
            <w:shd w:val="clear" w:color="auto" w:fill="auto"/>
            <w:vAlign w:val="bottom"/>
            <w:hideMark/>
          </w:tcPr>
          <w:p w14:paraId="7F89A1EA" w14:textId="77777777" w:rsidR="00F36320" w:rsidRPr="00F36320" w:rsidRDefault="00F36320" w:rsidP="00DB2FDE">
            <w:pPr>
              <w:spacing w:after="0"/>
              <w:ind w:leftChars="75" w:left="143"/>
              <w:rPr>
                <w:rFonts w:ascii="Arial" w:hAnsi="Arial" w:cs="Arial"/>
                <w:color w:val="auto"/>
                <w:sz w:val="16"/>
                <w:szCs w:val="16"/>
              </w:rPr>
            </w:pPr>
            <w:r w:rsidRPr="00F36320">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5E1592A1" w14:textId="77777777" w:rsidR="00F36320" w:rsidRPr="00F36320" w:rsidRDefault="00F36320" w:rsidP="00F36320">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CA717CE"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3,146 </w:t>
            </w:r>
          </w:p>
        </w:tc>
        <w:tc>
          <w:tcPr>
            <w:tcW w:w="920" w:type="dxa"/>
            <w:tcBorders>
              <w:top w:val="nil"/>
              <w:left w:val="nil"/>
              <w:bottom w:val="nil"/>
              <w:right w:val="nil"/>
            </w:tcBorders>
            <w:shd w:val="clear" w:color="000000" w:fill="D9D9D9"/>
            <w:noWrap/>
            <w:vAlign w:val="bottom"/>
            <w:hideMark/>
          </w:tcPr>
          <w:p w14:paraId="31493A90"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3,092 </w:t>
            </w:r>
          </w:p>
        </w:tc>
        <w:tc>
          <w:tcPr>
            <w:tcW w:w="920" w:type="dxa"/>
            <w:tcBorders>
              <w:top w:val="nil"/>
              <w:left w:val="nil"/>
              <w:bottom w:val="nil"/>
              <w:right w:val="nil"/>
            </w:tcBorders>
            <w:shd w:val="clear" w:color="auto" w:fill="auto"/>
            <w:noWrap/>
            <w:vAlign w:val="bottom"/>
            <w:hideMark/>
          </w:tcPr>
          <w:p w14:paraId="6158828C"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B9525B4"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3D432FF" w14:textId="77777777" w:rsidR="00F36320" w:rsidRPr="00F36320" w:rsidRDefault="00F36320" w:rsidP="00F36320">
            <w:pPr>
              <w:spacing w:after="0"/>
              <w:jc w:val="right"/>
              <w:rPr>
                <w:rFonts w:ascii="Arial" w:hAnsi="Arial" w:cs="Arial"/>
                <w:color w:val="auto"/>
                <w:sz w:val="16"/>
                <w:szCs w:val="16"/>
              </w:rPr>
            </w:pPr>
            <w:r w:rsidRPr="00F36320">
              <w:rPr>
                <w:rFonts w:ascii="Arial" w:hAnsi="Arial" w:cs="Arial"/>
                <w:color w:val="auto"/>
                <w:sz w:val="16"/>
                <w:szCs w:val="16"/>
              </w:rPr>
              <w:t xml:space="preserve">- </w:t>
            </w:r>
          </w:p>
        </w:tc>
      </w:tr>
      <w:tr w:rsidR="00F36320" w:rsidRPr="00F36320" w14:paraId="5B95F823"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499F8B58" w14:textId="77777777" w:rsidR="00F36320" w:rsidRPr="00F36320" w:rsidRDefault="00F36320" w:rsidP="00F36320">
            <w:pPr>
              <w:spacing w:after="0"/>
              <w:rPr>
                <w:rFonts w:ascii="Arial" w:hAnsi="Arial" w:cs="Arial"/>
                <w:b/>
                <w:bCs/>
                <w:color w:val="auto"/>
                <w:sz w:val="16"/>
                <w:szCs w:val="16"/>
              </w:rPr>
            </w:pPr>
            <w:r w:rsidRPr="00F36320">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08B19A1F" w14:textId="77777777" w:rsidR="00F36320" w:rsidRPr="00F36320" w:rsidRDefault="00F36320" w:rsidP="00F36320">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20724100"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226,277 </w:t>
            </w:r>
          </w:p>
        </w:tc>
        <w:tc>
          <w:tcPr>
            <w:tcW w:w="920" w:type="dxa"/>
            <w:tcBorders>
              <w:top w:val="single" w:sz="4" w:space="0" w:color="000000"/>
              <w:left w:val="nil"/>
              <w:bottom w:val="single" w:sz="4" w:space="0" w:color="000000"/>
              <w:right w:val="nil"/>
            </w:tcBorders>
            <w:shd w:val="clear" w:color="000000" w:fill="D9D9D9"/>
            <w:noWrap/>
            <w:vAlign w:val="bottom"/>
            <w:hideMark/>
          </w:tcPr>
          <w:p w14:paraId="5A345725"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364,611 </w:t>
            </w:r>
          </w:p>
        </w:tc>
        <w:tc>
          <w:tcPr>
            <w:tcW w:w="920" w:type="dxa"/>
            <w:tcBorders>
              <w:top w:val="single" w:sz="4" w:space="0" w:color="000000"/>
              <w:left w:val="nil"/>
              <w:bottom w:val="single" w:sz="4" w:space="0" w:color="000000"/>
              <w:right w:val="nil"/>
            </w:tcBorders>
            <w:shd w:val="clear" w:color="auto" w:fill="auto"/>
            <w:noWrap/>
            <w:vAlign w:val="bottom"/>
            <w:hideMark/>
          </w:tcPr>
          <w:p w14:paraId="24FFFE7C"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0BD29EEF"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2A280008" w14:textId="77777777" w:rsidR="00F36320" w:rsidRPr="00F36320" w:rsidRDefault="00F36320" w:rsidP="00F36320">
            <w:pPr>
              <w:spacing w:after="0"/>
              <w:jc w:val="right"/>
              <w:rPr>
                <w:rFonts w:ascii="Arial" w:hAnsi="Arial" w:cs="Arial"/>
                <w:b/>
                <w:bCs/>
                <w:color w:val="auto"/>
                <w:sz w:val="16"/>
                <w:szCs w:val="16"/>
              </w:rPr>
            </w:pPr>
            <w:r w:rsidRPr="00F36320">
              <w:rPr>
                <w:rFonts w:ascii="Arial" w:hAnsi="Arial" w:cs="Arial"/>
                <w:b/>
                <w:bCs/>
                <w:color w:val="auto"/>
                <w:sz w:val="16"/>
                <w:szCs w:val="16"/>
              </w:rPr>
              <w:t xml:space="preserve">- </w:t>
            </w:r>
          </w:p>
        </w:tc>
      </w:tr>
    </w:tbl>
    <w:p w14:paraId="409A762E" w14:textId="77777777" w:rsidR="009C684C" w:rsidRDefault="009C684C">
      <w:pPr>
        <w:spacing w:after="0"/>
        <w:rPr>
          <w:rFonts w:ascii="Arial" w:hAnsi="Arial" w:cs="Arial"/>
          <w:b/>
          <w:sz w:val="20"/>
          <w:szCs w:val="18"/>
        </w:rPr>
      </w:pPr>
      <w:r>
        <w:rPr>
          <w:sz w:val="20"/>
        </w:rPr>
        <w:br w:type="page"/>
      </w:r>
    </w:p>
    <w:p w14:paraId="57711F48" w14:textId="26450340" w:rsidR="000A07C8" w:rsidRPr="00F277A4" w:rsidRDefault="007D48FE" w:rsidP="000D22DB">
      <w:pPr>
        <w:pStyle w:val="Tablenumberandreference"/>
        <w:rPr>
          <w:sz w:val="20"/>
        </w:rPr>
      </w:pPr>
      <w:r w:rsidRPr="00F277A4">
        <w:rPr>
          <w:sz w:val="20"/>
        </w:rPr>
        <w:lastRenderedPageBreak/>
        <w:t>Table 1.2: Depa</w:t>
      </w:r>
      <w:r w:rsidR="00B53956">
        <w:rPr>
          <w:sz w:val="20"/>
        </w:rPr>
        <w:t xml:space="preserve">rtment of Health and Aged Care </w:t>
      </w:r>
      <w:r w:rsidR="00BA2102">
        <w:rPr>
          <w:sz w:val="20"/>
        </w:rPr>
        <w:t>2023–24</w:t>
      </w:r>
      <w:r w:rsidRPr="00F277A4">
        <w:rPr>
          <w:sz w:val="20"/>
        </w:rPr>
        <w:t xml:space="preserve"> Budget measures </w:t>
      </w:r>
      <w:r w:rsidR="00232F9B"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3C6CD1" w:rsidRPr="003C6CD1" w14:paraId="2135E923" w14:textId="77777777" w:rsidTr="003C6CD1">
        <w:trPr>
          <w:trHeight w:val="283"/>
          <w:jc w:val="center"/>
        </w:trPr>
        <w:tc>
          <w:tcPr>
            <w:tcW w:w="2780" w:type="dxa"/>
            <w:gridSpan w:val="2"/>
            <w:tcBorders>
              <w:top w:val="single" w:sz="4" w:space="0" w:color="auto"/>
              <w:left w:val="nil"/>
              <w:bottom w:val="nil"/>
              <w:right w:val="nil"/>
            </w:tcBorders>
            <w:shd w:val="clear" w:color="auto" w:fill="auto"/>
            <w:vAlign w:val="bottom"/>
            <w:hideMark/>
          </w:tcPr>
          <w:p w14:paraId="41515EDE"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 xml:space="preserve">Outcome/ </w:t>
            </w:r>
            <w:r w:rsidRPr="003C6CD1">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69B138F2"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2022–23</w:t>
            </w:r>
            <w:r w:rsidRPr="003C6CD1">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4EE294FF"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2023–24</w:t>
            </w:r>
            <w:r w:rsidRPr="003C6CD1">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57AE8DB"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2024–25</w:t>
            </w:r>
            <w:r w:rsidRPr="003C6CD1">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743FAD1"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2025–26</w:t>
            </w:r>
            <w:r w:rsidRPr="003C6CD1">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5F9F4EC" w14:textId="77777777" w:rsidR="003C6CD1" w:rsidRPr="003C6CD1" w:rsidRDefault="003C6CD1" w:rsidP="003C6CD1">
            <w:pPr>
              <w:spacing w:before="40" w:after="0"/>
              <w:jc w:val="right"/>
              <w:rPr>
                <w:rFonts w:ascii="Arial" w:hAnsi="Arial" w:cs="Arial"/>
                <w:b/>
                <w:bCs/>
                <w:color w:val="auto"/>
                <w:sz w:val="16"/>
                <w:szCs w:val="16"/>
              </w:rPr>
            </w:pPr>
            <w:r w:rsidRPr="003C6CD1">
              <w:rPr>
                <w:rFonts w:ascii="Arial" w:hAnsi="Arial" w:cs="Arial"/>
                <w:b/>
                <w:bCs/>
                <w:color w:val="auto"/>
                <w:sz w:val="16"/>
                <w:szCs w:val="16"/>
              </w:rPr>
              <w:t>2026–27</w:t>
            </w:r>
            <w:r w:rsidRPr="003C6CD1">
              <w:rPr>
                <w:rFonts w:ascii="Arial" w:hAnsi="Arial" w:cs="Arial"/>
                <w:b/>
                <w:bCs/>
                <w:color w:val="auto"/>
                <w:sz w:val="16"/>
                <w:szCs w:val="16"/>
              </w:rPr>
              <w:br/>
              <w:t>$'000</w:t>
            </w:r>
          </w:p>
        </w:tc>
      </w:tr>
      <w:tr w:rsidR="003C6CD1" w:rsidRPr="003C6CD1" w14:paraId="55AF5880" w14:textId="77777777" w:rsidTr="003C6CD1">
        <w:trPr>
          <w:trHeight w:val="227"/>
          <w:jc w:val="center"/>
        </w:trPr>
        <w:tc>
          <w:tcPr>
            <w:tcW w:w="7380" w:type="dxa"/>
            <w:gridSpan w:val="7"/>
            <w:tcBorders>
              <w:top w:val="nil"/>
              <w:left w:val="nil"/>
              <w:bottom w:val="nil"/>
              <w:right w:val="nil"/>
            </w:tcBorders>
            <w:shd w:val="clear" w:color="auto" w:fill="auto"/>
            <w:vAlign w:val="bottom"/>
            <w:hideMark/>
          </w:tcPr>
          <w:p w14:paraId="2C3DB0AB" w14:textId="77777777" w:rsidR="003C6CD1" w:rsidRPr="003C6CD1" w:rsidRDefault="003C6CD1" w:rsidP="003C6CD1">
            <w:pPr>
              <w:spacing w:after="0"/>
              <w:rPr>
                <w:rFonts w:ascii="Arial" w:hAnsi="Arial" w:cs="Arial"/>
                <w:b/>
                <w:bCs/>
                <w:color w:val="auto"/>
                <w:sz w:val="16"/>
                <w:szCs w:val="16"/>
              </w:rPr>
            </w:pPr>
            <w:r w:rsidRPr="003C6CD1">
              <w:rPr>
                <w:rFonts w:ascii="Arial" w:hAnsi="Arial" w:cs="Arial"/>
                <w:b/>
                <w:bCs/>
                <w:color w:val="auto"/>
                <w:sz w:val="16"/>
                <w:szCs w:val="16"/>
              </w:rPr>
              <w:t xml:space="preserve">COVID-19 Response </w:t>
            </w:r>
            <w:r w:rsidRPr="003C6CD1">
              <w:rPr>
                <w:rFonts w:ascii="Arial" w:hAnsi="Arial" w:cs="Arial"/>
                <w:b/>
                <w:bCs/>
                <w:color w:val="auto"/>
                <w:sz w:val="16"/>
                <w:szCs w:val="16"/>
                <w:vertAlign w:val="superscript"/>
              </w:rPr>
              <w:t>(b) (c) (d)</w:t>
            </w:r>
            <w:r w:rsidRPr="003C6CD1">
              <w:rPr>
                <w:rFonts w:ascii="Arial" w:hAnsi="Arial" w:cs="Arial"/>
                <w:b/>
                <w:bCs/>
                <w:color w:val="auto"/>
                <w:sz w:val="16"/>
                <w:szCs w:val="16"/>
              </w:rPr>
              <w:t xml:space="preserve"> </w:t>
            </w:r>
          </w:p>
        </w:tc>
      </w:tr>
      <w:tr w:rsidR="003C6CD1" w:rsidRPr="003C6CD1" w14:paraId="46BCD13E" w14:textId="77777777" w:rsidTr="003C6CD1">
        <w:trPr>
          <w:trHeight w:val="425"/>
          <w:jc w:val="center"/>
        </w:trPr>
        <w:tc>
          <w:tcPr>
            <w:tcW w:w="2320" w:type="dxa"/>
            <w:tcBorders>
              <w:top w:val="nil"/>
              <w:left w:val="nil"/>
              <w:bottom w:val="nil"/>
              <w:right w:val="nil"/>
            </w:tcBorders>
            <w:shd w:val="clear" w:color="auto" w:fill="auto"/>
            <w:vAlign w:val="bottom"/>
            <w:hideMark/>
          </w:tcPr>
          <w:p w14:paraId="42E3122C"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1C3CFC80"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AAF7E28"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987C58E"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8B2D08D"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EF75D48"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2C26581"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7B1E15A5"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54B40705"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97E404F"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14:paraId="1B75C2FC"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0FC5FE70"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9BECDB4"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67E64303"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07A5B50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29E86C4F"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4C3147D0"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99CCD8F"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2F869601"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593580E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49EDDE7"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0DB3EBC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4A6899FD"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4582DE68"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548FCDAB"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BD1F117"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301ABC4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0CB596C2"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D65555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3879B50"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45E0216"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53E16179"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489B2282"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287B032"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2A7F0EE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676BC29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C14B8FA"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209296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4866BC6"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0F56DD38"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086530EF"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D12E95D"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498F5287"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1A5DD24C"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1C596B81"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D7DE8B0"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525483F3"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562304A1"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12715BF4"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1E1525F"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14:paraId="5C21B8DD"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14BDD28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51422928"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231D27F"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C6552B6"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4373B3D3"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18757FB7"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EB1402E"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20F82777"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6B0EB25B"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DDD3AC1"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1B23D4F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48AD827C"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0930718B"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48C68B41"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3D92225"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3BFF9DA3"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584F58E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7122B7F"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0F1B8CF8"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EFBB3E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0D9DD701"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22809AD2"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AC01C0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77009CD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6D8E1C47"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FDFBBE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4538DE0B"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1AB2456"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49DA8FF6"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7B4DFA15" w14:textId="77777777" w:rsidR="003C6CD1" w:rsidRPr="003C6CD1" w:rsidRDefault="003C6CD1" w:rsidP="003C6CD1">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97FE4B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3A767908"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6E0DEA11"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6D976ED"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FB4398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40103C0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43435BAC"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60D1A08A"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508B59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1A2BF598"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23798C7B"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090F105F"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1F3BD24"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1EABE38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3072FA60" w14:textId="77777777" w:rsidTr="003C6CD1">
        <w:trPr>
          <w:trHeight w:val="225"/>
          <w:jc w:val="center"/>
        </w:trPr>
        <w:tc>
          <w:tcPr>
            <w:tcW w:w="2320" w:type="dxa"/>
            <w:tcBorders>
              <w:top w:val="nil"/>
              <w:left w:val="nil"/>
              <w:bottom w:val="nil"/>
              <w:right w:val="nil"/>
            </w:tcBorders>
            <w:shd w:val="clear" w:color="auto" w:fill="auto"/>
            <w:vAlign w:val="bottom"/>
            <w:hideMark/>
          </w:tcPr>
          <w:p w14:paraId="0A20BBD7" w14:textId="77777777" w:rsidR="003C6CD1" w:rsidRPr="003C6CD1" w:rsidRDefault="003C6CD1" w:rsidP="003C6CD1">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4D2DF3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48CA8FC8"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1DFAD21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A5A551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67EDE3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3C1FF125"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1CFAD5E0" w14:textId="77777777" w:rsidTr="003C6CD1">
        <w:trPr>
          <w:trHeight w:val="225"/>
          <w:jc w:val="center"/>
        </w:trPr>
        <w:tc>
          <w:tcPr>
            <w:tcW w:w="2320" w:type="dxa"/>
            <w:tcBorders>
              <w:top w:val="nil"/>
              <w:left w:val="nil"/>
              <w:bottom w:val="nil"/>
              <w:right w:val="nil"/>
            </w:tcBorders>
            <w:shd w:val="clear" w:color="auto" w:fill="auto"/>
            <w:vAlign w:val="bottom"/>
            <w:hideMark/>
          </w:tcPr>
          <w:p w14:paraId="45FBF7DC" w14:textId="77777777" w:rsidR="003C6CD1" w:rsidRPr="003C6CD1" w:rsidRDefault="003C6CD1" w:rsidP="003C6CD1">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E609B98"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0B3E0CE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6681EF54"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1C75B8F"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81041F5"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22BF3902"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79E8D9D9" w14:textId="77777777" w:rsidTr="003C6CD1">
        <w:trPr>
          <w:trHeight w:val="225"/>
          <w:jc w:val="center"/>
        </w:trPr>
        <w:tc>
          <w:tcPr>
            <w:tcW w:w="2320" w:type="dxa"/>
            <w:tcBorders>
              <w:top w:val="nil"/>
              <w:left w:val="nil"/>
              <w:bottom w:val="nil"/>
              <w:right w:val="nil"/>
            </w:tcBorders>
            <w:shd w:val="clear" w:color="auto" w:fill="auto"/>
            <w:vAlign w:val="bottom"/>
            <w:hideMark/>
          </w:tcPr>
          <w:p w14:paraId="5DEBA52D"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342C8F08"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2C77FE06"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000000" w:fill="D9D9D9"/>
            <w:noWrap/>
            <w:vAlign w:val="bottom"/>
            <w:hideMark/>
          </w:tcPr>
          <w:p w14:paraId="1258F709"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7A09D95A"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66E43DAA" w14:textId="77777777" w:rsidR="003C6CD1" w:rsidRPr="003C6CD1" w:rsidRDefault="003C6CD1" w:rsidP="003C6CD1">
            <w:pPr>
              <w:spacing w:after="0"/>
              <w:jc w:val="right"/>
              <w:rPr>
                <w:rFonts w:ascii="Arial" w:hAnsi="Arial" w:cs="Arial"/>
                <w:i/>
                <w:iCs/>
                <w:color w:val="auto"/>
                <w:sz w:val="16"/>
                <w:szCs w:val="16"/>
              </w:rPr>
            </w:pPr>
            <w:r w:rsidRPr="003C6CD1">
              <w:rPr>
                <w:rFonts w:ascii="Arial" w:hAnsi="Arial" w:cs="Arial"/>
                <w:i/>
                <w:iCs/>
                <w:color w:val="auto"/>
                <w:sz w:val="16"/>
                <w:szCs w:val="16"/>
              </w:rPr>
              <w:t>nfp</w:t>
            </w:r>
          </w:p>
        </w:tc>
        <w:tc>
          <w:tcPr>
            <w:tcW w:w="920" w:type="dxa"/>
            <w:tcBorders>
              <w:top w:val="nil"/>
              <w:left w:val="nil"/>
              <w:bottom w:val="nil"/>
              <w:right w:val="nil"/>
            </w:tcBorders>
            <w:shd w:val="clear" w:color="auto" w:fill="auto"/>
            <w:noWrap/>
            <w:vAlign w:val="bottom"/>
            <w:hideMark/>
          </w:tcPr>
          <w:p w14:paraId="5D1E9938"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520B8DF1" w14:textId="77777777" w:rsidTr="003C6CD1">
        <w:trPr>
          <w:trHeight w:val="454"/>
          <w:jc w:val="center"/>
        </w:trPr>
        <w:tc>
          <w:tcPr>
            <w:tcW w:w="2320" w:type="dxa"/>
            <w:tcBorders>
              <w:top w:val="nil"/>
              <w:left w:val="nil"/>
              <w:bottom w:val="nil"/>
              <w:right w:val="nil"/>
            </w:tcBorders>
            <w:shd w:val="clear" w:color="auto" w:fill="auto"/>
            <w:vAlign w:val="bottom"/>
            <w:hideMark/>
          </w:tcPr>
          <w:p w14:paraId="74FA583C"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Australian Digital Health Agency</w:t>
            </w:r>
          </w:p>
        </w:tc>
        <w:tc>
          <w:tcPr>
            <w:tcW w:w="460" w:type="dxa"/>
            <w:tcBorders>
              <w:top w:val="nil"/>
              <w:left w:val="nil"/>
              <w:bottom w:val="nil"/>
              <w:right w:val="nil"/>
            </w:tcBorders>
            <w:shd w:val="clear" w:color="auto" w:fill="auto"/>
            <w:noWrap/>
            <w:vAlign w:val="bottom"/>
            <w:hideMark/>
          </w:tcPr>
          <w:p w14:paraId="4317E01F"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5FDD584"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75F4CAA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B0FF848" w14:textId="77777777" w:rsidR="003C6CD1" w:rsidRPr="003C6CD1" w:rsidRDefault="003C6CD1" w:rsidP="003C6CD1">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EB4CD3B"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9321990"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43C16AD7" w14:textId="77777777" w:rsidTr="003C6CD1">
        <w:trPr>
          <w:trHeight w:val="225"/>
          <w:jc w:val="center"/>
        </w:trPr>
        <w:tc>
          <w:tcPr>
            <w:tcW w:w="2320" w:type="dxa"/>
            <w:tcBorders>
              <w:top w:val="nil"/>
              <w:left w:val="nil"/>
              <w:bottom w:val="nil"/>
              <w:right w:val="nil"/>
            </w:tcBorders>
            <w:shd w:val="clear" w:color="auto" w:fill="auto"/>
            <w:vAlign w:val="bottom"/>
            <w:hideMark/>
          </w:tcPr>
          <w:p w14:paraId="20512E38"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566E1C0"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6EF609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2,866 </w:t>
            </w:r>
          </w:p>
        </w:tc>
        <w:tc>
          <w:tcPr>
            <w:tcW w:w="920" w:type="dxa"/>
            <w:tcBorders>
              <w:top w:val="nil"/>
              <w:left w:val="nil"/>
              <w:bottom w:val="nil"/>
              <w:right w:val="nil"/>
            </w:tcBorders>
            <w:shd w:val="clear" w:color="000000" w:fill="D9D9D9"/>
            <w:noWrap/>
            <w:vAlign w:val="bottom"/>
            <w:hideMark/>
          </w:tcPr>
          <w:p w14:paraId="185837AD"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B5CA6A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C719D4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DAC3D8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5A7C3929" w14:textId="77777777" w:rsidTr="003C6CD1">
        <w:trPr>
          <w:trHeight w:val="283"/>
          <w:jc w:val="center"/>
        </w:trPr>
        <w:tc>
          <w:tcPr>
            <w:tcW w:w="2320" w:type="dxa"/>
            <w:tcBorders>
              <w:top w:val="nil"/>
              <w:left w:val="nil"/>
              <w:bottom w:val="nil"/>
              <w:right w:val="nil"/>
            </w:tcBorders>
            <w:shd w:val="clear" w:color="auto" w:fill="auto"/>
            <w:vAlign w:val="bottom"/>
            <w:hideMark/>
          </w:tcPr>
          <w:p w14:paraId="6E2C8B2D"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3DE42BB8"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56DFABF"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739677A"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04370FD" w14:textId="77777777" w:rsidR="003C6CD1" w:rsidRPr="003C6CD1" w:rsidRDefault="003C6CD1" w:rsidP="003C6CD1">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6526032"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141202E"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2940AFE0" w14:textId="77777777" w:rsidTr="003C6CD1">
        <w:trPr>
          <w:trHeight w:val="225"/>
          <w:jc w:val="center"/>
        </w:trPr>
        <w:tc>
          <w:tcPr>
            <w:tcW w:w="2320" w:type="dxa"/>
            <w:tcBorders>
              <w:top w:val="nil"/>
              <w:left w:val="nil"/>
              <w:bottom w:val="nil"/>
              <w:right w:val="nil"/>
            </w:tcBorders>
            <w:shd w:val="clear" w:color="auto" w:fill="auto"/>
            <w:vAlign w:val="bottom"/>
            <w:hideMark/>
          </w:tcPr>
          <w:p w14:paraId="6AA9B96D"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C3B7B25"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0EFE72C"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142,630 </w:t>
            </w:r>
          </w:p>
        </w:tc>
        <w:tc>
          <w:tcPr>
            <w:tcW w:w="920" w:type="dxa"/>
            <w:tcBorders>
              <w:top w:val="nil"/>
              <w:left w:val="nil"/>
              <w:bottom w:val="nil"/>
              <w:right w:val="nil"/>
            </w:tcBorders>
            <w:shd w:val="clear" w:color="000000" w:fill="D9D9D9"/>
            <w:noWrap/>
            <w:vAlign w:val="bottom"/>
            <w:hideMark/>
          </w:tcPr>
          <w:p w14:paraId="6E846DAE"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142,630 </w:t>
            </w:r>
          </w:p>
        </w:tc>
        <w:tc>
          <w:tcPr>
            <w:tcW w:w="920" w:type="dxa"/>
            <w:tcBorders>
              <w:top w:val="nil"/>
              <w:left w:val="nil"/>
              <w:bottom w:val="nil"/>
              <w:right w:val="nil"/>
            </w:tcBorders>
            <w:shd w:val="clear" w:color="auto" w:fill="auto"/>
            <w:noWrap/>
            <w:vAlign w:val="bottom"/>
            <w:hideMark/>
          </w:tcPr>
          <w:p w14:paraId="69709F3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0994705"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3464137"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7B5C6DD6" w14:textId="77777777" w:rsidTr="003C6CD1">
        <w:trPr>
          <w:trHeight w:val="454"/>
          <w:jc w:val="center"/>
        </w:trPr>
        <w:tc>
          <w:tcPr>
            <w:tcW w:w="2320" w:type="dxa"/>
            <w:tcBorders>
              <w:top w:val="nil"/>
              <w:left w:val="nil"/>
              <w:bottom w:val="nil"/>
              <w:right w:val="nil"/>
            </w:tcBorders>
            <w:shd w:val="clear" w:color="auto" w:fill="auto"/>
            <w:vAlign w:val="bottom"/>
            <w:hideMark/>
          </w:tcPr>
          <w:p w14:paraId="31A7F67F"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13A842FA"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91E2652"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4B0E5CA"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216C5399" w14:textId="77777777" w:rsidR="003C6CD1" w:rsidRPr="003C6CD1" w:rsidRDefault="003C6CD1" w:rsidP="003C6CD1">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3CFC68F"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5013BB5"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69A7A204" w14:textId="77777777" w:rsidTr="003C6CD1">
        <w:trPr>
          <w:trHeight w:val="225"/>
          <w:jc w:val="center"/>
        </w:trPr>
        <w:tc>
          <w:tcPr>
            <w:tcW w:w="2320" w:type="dxa"/>
            <w:tcBorders>
              <w:top w:val="nil"/>
              <w:left w:val="nil"/>
              <w:bottom w:val="nil"/>
              <w:right w:val="nil"/>
            </w:tcBorders>
            <w:shd w:val="clear" w:color="auto" w:fill="auto"/>
            <w:vAlign w:val="bottom"/>
            <w:hideMark/>
          </w:tcPr>
          <w:p w14:paraId="23EE97D7"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343D891"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CD7F4C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4,871 </w:t>
            </w:r>
          </w:p>
        </w:tc>
        <w:tc>
          <w:tcPr>
            <w:tcW w:w="920" w:type="dxa"/>
            <w:tcBorders>
              <w:top w:val="nil"/>
              <w:left w:val="nil"/>
              <w:bottom w:val="nil"/>
              <w:right w:val="nil"/>
            </w:tcBorders>
            <w:shd w:val="clear" w:color="000000" w:fill="D9D9D9"/>
            <w:noWrap/>
            <w:vAlign w:val="bottom"/>
            <w:hideMark/>
          </w:tcPr>
          <w:p w14:paraId="73D5BE9E"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3,538 </w:t>
            </w:r>
          </w:p>
        </w:tc>
        <w:tc>
          <w:tcPr>
            <w:tcW w:w="920" w:type="dxa"/>
            <w:tcBorders>
              <w:top w:val="nil"/>
              <w:left w:val="nil"/>
              <w:bottom w:val="nil"/>
              <w:right w:val="nil"/>
            </w:tcBorders>
            <w:shd w:val="clear" w:color="auto" w:fill="auto"/>
            <w:noWrap/>
            <w:vAlign w:val="bottom"/>
            <w:hideMark/>
          </w:tcPr>
          <w:p w14:paraId="69FEB52C"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B7949E6"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714F27E"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59604DDE" w14:textId="77777777" w:rsidTr="003C6CD1">
        <w:trPr>
          <w:trHeight w:val="283"/>
          <w:jc w:val="center"/>
        </w:trPr>
        <w:tc>
          <w:tcPr>
            <w:tcW w:w="2320" w:type="dxa"/>
            <w:tcBorders>
              <w:top w:val="nil"/>
              <w:left w:val="nil"/>
              <w:bottom w:val="nil"/>
              <w:right w:val="nil"/>
            </w:tcBorders>
            <w:shd w:val="clear" w:color="auto" w:fill="auto"/>
            <w:vAlign w:val="bottom"/>
            <w:hideMark/>
          </w:tcPr>
          <w:p w14:paraId="5EFF4FEA"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03A9A365"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DEE15F0"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1CC4D2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25B907D8" w14:textId="77777777" w:rsidR="003C6CD1" w:rsidRPr="003C6CD1" w:rsidRDefault="003C6CD1" w:rsidP="003C6CD1">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66EBD2A"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15BC9FA"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44EAE0BC" w14:textId="77777777" w:rsidTr="003C6CD1">
        <w:trPr>
          <w:trHeight w:val="225"/>
          <w:jc w:val="center"/>
        </w:trPr>
        <w:tc>
          <w:tcPr>
            <w:tcW w:w="2320" w:type="dxa"/>
            <w:tcBorders>
              <w:top w:val="nil"/>
              <w:left w:val="nil"/>
              <w:bottom w:val="nil"/>
              <w:right w:val="nil"/>
            </w:tcBorders>
            <w:shd w:val="clear" w:color="auto" w:fill="auto"/>
            <w:vAlign w:val="bottom"/>
            <w:hideMark/>
          </w:tcPr>
          <w:p w14:paraId="5E981384"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B318EF1"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7455AD1"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12,677 </w:t>
            </w:r>
          </w:p>
        </w:tc>
        <w:tc>
          <w:tcPr>
            <w:tcW w:w="920" w:type="dxa"/>
            <w:tcBorders>
              <w:top w:val="nil"/>
              <w:left w:val="nil"/>
              <w:bottom w:val="nil"/>
              <w:right w:val="nil"/>
            </w:tcBorders>
            <w:shd w:val="clear" w:color="000000" w:fill="D9D9D9"/>
            <w:noWrap/>
            <w:vAlign w:val="bottom"/>
            <w:hideMark/>
          </w:tcPr>
          <w:p w14:paraId="0AB9BE4C"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5,816 </w:t>
            </w:r>
          </w:p>
        </w:tc>
        <w:tc>
          <w:tcPr>
            <w:tcW w:w="920" w:type="dxa"/>
            <w:tcBorders>
              <w:top w:val="nil"/>
              <w:left w:val="nil"/>
              <w:bottom w:val="nil"/>
              <w:right w:val="nil"/>
            </w:tcBorders>
            <w:shd w:val="clear" w:color="auto" w:fill="auto"/>
            <w:noWrap/>
            <w:vAlign w:val="bottom"/>
            <w:hideMark/>
          </w:tcPr>
          <w:p w14:paraId="12C63032"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314 </w:t>
            </w:r>
          </w:p>
        </w:tc>
        <w:tc>
          <w:tcPr>
            <w:tcW w:w="920" w:type="dxa"/>
            <w:tcBorders>
              <w:top w:val="nil"/>
              <w:left w:val="nil"/>
              <w:bottom w:val="nil"/>
              <w:right w:val="nil"/>
            </w:tcBorders>
            <w:shd w:val="clear" w:color="auto" w:fill="auto"/>
            <w:noWrap/>
            <w:vAlign w:val="bottom"/>
            <w:hideMark/>
          </w:tcPr>
          <w:p w14:paraId="5833A5AF"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316 </w:t>
            </w:r>
          </w:p>
        </w:tc>
        <w:tc>
          <w:tcPr>
            <w:tcW w:w="920" w:type="dxa"/>
            <w:tcBorders>
              <w:top w:val="nil"/>
              <w:left w:val="nil"/>
              <w:bottom w:val="nil"/>
              <w:right w:val="nil"/>
            </w:tcBorders>
            <w:shd w:val="clear" w:color="auto" w:fill="auto"/>
            <w:noWrap/>
            <w:vAlign w:val="bottom"/>
            <w:hideMark/>
          </w:tcPr>
          <w:p w14:paraId="50681B4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319 </w:t>
            </w:r>
          </w:p>
        </w:tc>
      </w:tr>
      <w:tr w:rsidR="003C6CD1" w:rsidRPr="003C6CD1" w14:paraId="79564FB6" w14:textId="77777777" w:rsidTr="003C6CD1">
        <w:trPr>
          <w:trHeight w:val="425"/>
          <w:jc w:val="center"/>
        </w:trPr>
        <w:tc>
          <w:tcPr>
            <w:tcW w:w="2320" w:type="dxa"/>
            <w:tcBorders>
              <w:top w:val="nil"/>
              <w:left w:val="nil"/>
              <w:bottom w:val="nil"/>
              <w:right w:val="nil"/>
            </w:tcBorders>
            <w:shd w:val="clear" w:color="auto" w:fill="auto"/>
            <w:vAlign w:val="bottom"/>
            <w:hideMark/>
          </w:tcPr>
          <w:p w14:paraId="01BC6EC2"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34F1AF84"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6E726C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2,305 </w:t>
            </w:r>
          </w:p>
        </w:tc>
        <w:tc>
          <w:tcPr>
            <w:tcW w:w="920" w:type="dxa"/>
            <w:tcBorders>
              <w:top w:val="nil"/>
              <w:left w:val="nil"/>
              <w:bottom w:val="nil"/>
              <w:right w:val="nil"/>
            </w:tcBorders>
            <w:shd w:val="clear" w:color="000000" w:fill="D9D9D9"/>
            <w:noWrap/>
            <w:vAlign w:val="bottom"/>
            <w:hideMark/>
          </w:tcPr>
          <w:p w14:paraId="5CC7B09A"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1,536 </w:t>
            </w:r>
          </w:p>
        </w:tc>
        <w:tc>
          <w:tcPr>
            <w:tcW w:w="920" w:type="dxa"/>
            <w:tcBorders>
              <w:top w:val="nil"/>
              <w:left w:val="nil"/>
              <w:bottom w:val="nil"/>
              <w:right w:val="nil"/>
            </w:tcBorders>
            <w:shd w:val="clear" w:color="auto" w:fill="auto"/>
            <w:noWrap/>
            <w:vAlign w:val="bottom"/>
            <w:hideMark/>
          </w:tcPr>
          <w:p w14:paraId="73CEFE0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6F3421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D3AF1AE"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346155F7"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7F3CFF76" w14:textId="77777777" w:rsidR="003C6CD1" w:rsidRPr="003C6CD1" w:rsidRDefault="003C6CD1" w:rsidP="003C6CD1">
            <w:pPr>
              <w:spacing w:after="0"/>
              <w:rPr>
                <w:rFonts w:ascii="Arial" w:hAnsi="Arial" w:cs="Arial"/>
                <w:b/>
                <w:bCs/>
                <w:color w:val="auto"/>
                <w:sz w:val="16"/>
                <w:szCs w:val="16"/>
              </w:rPr>
            </w:pPr>
            <w:r w:rsidRPr="003C6CD1">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622145EE" w14:textId="77777777" w:rsidR="003C6CD1" w:rsidRPr="003C6CD1" w:rsidRDefault="003C6CD1" w:rsidP="003C6CD1">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184A33D"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165,349 </w:t>
            </w:r>
          </w:p>
        </w:tc>
        <w:tc>
          <w:tcPr>
            <w:tcW w:w="920" w:type="dxa"/>
            <w:tcBorders>
              <w:top w:val="single" w:sz="4" w:space="0" w:color="000000"/>
              <w:left w:val="nil"/>
              <w:bottom w:val="single" w:sz="4" w:space="0" w:color="000000"/>
              <w:right w:val="nil"/>
            </w:tcBorders>
            <w:shd w:val="clear" w:color="000000" w:fill="D9D9D9"/>
            <w:noWrap/>
            <w:vAlign w:val="bottom"/>
            <w:hideMark/>
          </w:tcPr>
          <w:p w14:paraId="48772497"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153,520 </w:t>
            </w:r>
          </w:p>
        </w:tc>
        <w:tc>
          <w:tcPr>
            <w:tcW w:w="920" w:type="dxa"/>
            <w:tcBorders>
              <w:top w:val="single" w:sz="4" w:space="0" w:color="000000"/>
              <w:left w:val="nil"/>
              <w:bottom w:val="single" w:sz="4" w:space="0" w:color="000000"/>
              <w:right w:val="nil"/>
            </w:tcBorders>
            <w:shd w:val="clear" w:color="auto" w:fill="auto"/>
            <w:noWrap/>
            <w:vAlign w:val="bottom"/>
            <w:hideMark/>
          </w:tcPr>
          <w:p w14:paraId="1DC38EFF"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314 </w:t>
            </w:r>
          </w:p>
        </w:tc>
        <w:tc>
          <w:tcPr>
            <w:tcW w:w="920" w:type="dxa"/>
            <w:tcBorders>
              <w:top w:val="single" w:sz="4" w:space="0" w:color="000000"/>
              <w:left w:val="nil"/>
              <w:bottom w:val="single" w:sz="4" w:space="0" w:color="000000"/>
              <w:right w:val="nil"/>
            </w:tcBorders>
            <w:shd w:val="clear" w:color="auto" w:fill="auto"/>
            <w:noWrap/>
            <w:vAlign w:val="bottom"/>
            <w:hideMark/>
          </w:tcPr>
          <w:p w14:paraId="725193D1"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316 </w:t>
            </w:r>
          </w:p>
        </w:tc>
        <w:tc>
          <w:tcPr>
            <w:tcW w:w="920" w:type="dxa"/>
            <w:tcBorders>
              <w:top w:val="single" w:sz="4" w:space="0" w:color="000000"/>
              <w:left w:val="nil"/>
              <w:bottom w:val="single" w:sz="4" w:space="0" w:color="000000"/>
              <w:right w:val="nil"/>
            </w:tcBorders>
            <w:shd w:val="clear" w:color="auto" w:fill="auto"/>
            <w:noWrap/>
            <w:vAlign w:val="bottom"/>
            <w:hideMark/>
          </w:tcPr>
          <w:p w14:paraId="3EA0A832"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319 </w:t>
            </w:r>
          </w:p>
        </w:tc>
      </w:tr>
      <w:tr w:rsidR="003C6CD1" w:rsidRPr="003C6CD1" w14:paraId="470D3D4F" w14:textId="77777777" w:rsidTr="003C6CD1">
        <w:trPr>
          <w:trHeight w:val="283"/>
          <w:jc w:val="center"/>
        </w:trPr>
        <w:tc>
          <w:tcPr>
            <w:tcW w:w="7380" w:type="dxa"/>
            <w:gridSpan w:val="7"/>
            <w:tcBorders>
              <w:top w:val="nil"/>
              <w:left w:val="nil"/>
              <w:bottom w:val="nil"/>
              <w:right w:val="nil"/>
            </w:tcBorders>
            <w:shd w:val="clear" w:color="auto" w:fill="auto"/>
            <w:vAlign w:val="bottom"/>
            <w:hideMark/>
          </w:tcPr>
          <w:p w14:paraId="152BA95E" w14:textId="77777777" w:rsidR="003C6CD1" w:rsidRPr="003C6CD1" w:rsidRDefault="003C6CD1" w:rsidP="003C6CD1">
            <w:pPr>
              <w:spacing w:after="0"/>
              <w:rPr>
                <w:rFonts w:ascii="Arial" w:hAnsi="Arial" w:cs="Arial"/>
                <w:b/>
                <w:bCs/>
                <w:color w:val="auto"/>
                <w:sz w:val="16"/>
                <w:szCs w:val="16"/>
              </w:rPr>
            </w:pPr>
            <w:r w:rsidRPr="003C6CD1">
              <w:rPr>
                <w:rFonts w:ascii="Arial" w:hAnsi="Arial" w:cs="Arial"/>
                <w:b/>
                <w:bCs/>
                <w:color w:val="auto"/>
                <w:sz w:val="16"/>
                <w:szCs w:val="16"/>
              </w:rPr>
              <w:t>Dengue and Other Disease Mitigation Through Mosquito Control in Tennant Creek</w:t>
            </w:r>
          </w:p>
        </w:tc>
      </w:tr>
      <w:tr w:rsidR="003C6CD1" w:rsidRPr="003C6CD1" w14:paraId="7CB857A0" w14:textId="77777777" w:rsidTr="003C6CD1">
        <w:trPr>
          <w:trHeight w:val="425"/>
          <w:jc w:val="center"/>
        </w:trPr>
        <w:tc>
          <w:tcPr>
            <w:tcW w:w="2320" w:type="dxa"/>
            <w:tcBorders>
              <w:top w:val="nil"/>
              <w:left w:val="nil"/>
              <w:bottom w:val="nil"/>
              <w:right w:val="nil"/>
            </w:tcBorders>
            <w:shd w:val="clear" w:color="auto" w:fill="auto"/>
            <w:vAlign w:val="bottom"/>
            <w:hideMark/>
          </w:tcPr>
          <w:p w14:paraId="61F5E872"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1E35B12"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A298C77"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6FEA3A6"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1D8D8DF"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7049404"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5AF2F5A"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7B0BF20E"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47067D5A"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F03B2A5"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2BE952B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115EF3F"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(434)</w:t>
            </w:r>
          </w:p>
        </w:tc>
        <w:tc>
          <w:tcPr>
            <w:tcW w:w="920" w:type="dxa"/>
            <w:tcBorders>
              <w:top w:val="nil"/>
              <w:left w:val="nil"/>
              <w:bottom w:val="nil"/>
              <w:right w:val="nil"/>
            </w:tcBorders>
            <w:shd w:val="clear" w:color="auto" w:fill="auto"/>
            <w:noWrap/>
            <w:vAlign w:val="bottom"/>
            <w:hideMark/>
          </w:tcPr>
          <w:p w14:paraId="31881E67"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E031914"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7E5EEED"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4B9E693D" w14:textId="77777777" w:rsidTr="003C6CD1">
        <w:trPr>
          <w:trHeight w:val="283"/>
          <w:jc w:val="center"/>
        </w:trPr>
        <w:tc>
          <w:tcPr>
            <w:tcW w:w="2320" w:type="dxa"/>
            <w:tcBorders>
              <w:top w:val="nil"/>
              <w:left w:val="nil"/>
              <w:bottom w:val="nil"/>
              <w:right w:val="nil"/>
            </w:tcBorders>
            <w:shd w:val="clear" w:color="auto" w:fill="auto"/>
            <w:vAlign w:val="bottom"/>
            <w:hideMark/>
          </w:tcPr>
          <w:p w14:paraId="1451FBE0" w14:textId="77777777" w:rsidR="003C6CD1" w:rsidRPr="003C6CD1" w:rsidRDefault="003C6CD1" w:rsidP="003C6CD1">
            <w:pPr>
              <w:spacing w:after="0"/>
              <w:rPr>
                <w:rFonts w:ascii="Arial" w:hAnsi="Arial" w:cs="Arial"/>
                <w:color w:val="auto"/>
                <w:sz w:val="16"/>
                <w:szCs w:val="16"/>
              </w:rPr>
            </w:pPr>
            <w:r w:rsidRPr="003C6CD1">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28386C5C" w14:textId="77777777" w:rsidR="003C6CD1" w:rsidRPr="003C6CD1" w:rsidRDefault="003C6CD1" w:rsidP="003C6CD1">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7A1D0CD"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5D417F9"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24A87A95" w14:textId="77777777" w:rsidR="003C6CD1" w:rsidRPr="003C6CD1" w:rsidRDefault="003C6CD1" w:rsidP="003C6CD1">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E7378C6" w14:textId="77777777" w:rsidR="003C6CD1" w:rsidRPr="003C6CD1" w:rsidRDefault="003C6CD1" w:rsidP="003C6CD1">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EED2B2E" w14:textId="77777777" w:rsidR="003C6CD1" w:rsidRPr="003C6CD1" w:rsidRDefault="003C6CD1" w:rsidP="003C6CD1">
            <w:pPr>
              <w:spacing w:after="0"/>
              <w:jc w:val="right"/>
              <w:rPr>
                <w:rFonts w:ascii="Times New Roman" w:hAnsi="Times New Roman"/>
                <w:color w:val="auto"/>
                <w:sz w:val="20"/>
                <w:szCs w:val="20"/>
              </w:rPr>
            </w:pPr>
          </w:p>
        </w:tc>
      </w:tr>
      <w:tr w:rsidR="003C6CD1" w:rsidRPr="003C6CD1" w14:paraId="0D339A91"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173827B9" w14:textId="77777777" w:rsidR="003C6CD1" w:rsidRPr="003C6CD1" w:rsidRDefault="003C6CD1" w:rsidP="003C6CD1">
            <w:pPr>
              <w:spacing w:after="0"/>
              <w:ind w:leftChars="75" w:left="143"/>
              <w:rPr>
                <w:rFonts w:ascii="Arial" w:hAnsi="Arial" w:cs="Arial"/>
                <w:color w:val="auto"/>
                <w:sz w:val="16"/>
                <w:szCs w:val="16"/>
              </w:rPr>
            </w:pPr>
            <w:r w:rsidRPr="003C6CD1">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058A086" w14:textId="77777777" w:rsidR="003C6CD1" w:rsidRPr="003C6CD1" w:rsidRDefault="003C6CD1" w:rsidP="003C6CD1">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31316FC"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E65A760"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434 </w:t>
            </w:r>
          </w:p>
        </w:tc>
        <w:tc>
          <w:tcPr>
            <w:tcW w:w="920" w:type="dxa"/>
            <w:tcBorders>
              <w:top w:val="nil"/>
              <w:left w:val="nil"/>
              <w:bottom w:val="nil"/>
              <w:right w:val="nil"/>
            </w:tcBorders>
            <w:shd w:val="clear" w:color="auto" w:fill="auto"/>
            <w:noWrap/>
            <w:vAlign w:val="bottom"/>
            <w:hideMark/>
          </w:tcPr>
          <w:p w14:paraId="2CD2E1F2"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132D31D"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5D9BCFB" w14:textId="77777777" w:rsidR="003C6CD1" w:rsidRPr="003C6CD1" w:rsidRDefault="003C6CD1" w:rsidP="003C6CD1">
            <w:pPr>
              <w:spacing w:after="0"/>
              <w:jc w:val="right"/>
              <w:rPr>
                <w:rFonts w:ascii="Arial" w:hAnsi="Arial" w:cs="Arial"/>
                <w:color w:val="auto"/>
                <w:sz w:val="16"/>
                <w:szCs w:val="16"/>
              </w:rPr>
            </w:pPr>
            <w:r w:rsidRPr="003C6CD1">
              <w:rPr>
                <w:rFonts w:ascii="Arial" w:hAnsi="Arial" w:cs="Arial"/>
                <w:color w:val="auto"/>
                <w:sz w:val="16"/>
                <w:szCs w:val="16"/>
              </w:rPr>
              <w:t xml:space="preserve">- </w:t>
            </w:r>
          </w:p>
        </w:tc>
      </w:tr>
      <w:tr w:rsidR="003C6CD1" w:rsidRPr="003C6CD1" w14:paraId="0B49A052" w14:textId="77777777" w:rsidTr="003C6CD1">
        <w:trPr>
          <w:trHeight w:val="225"/>
          <w:jc w:val="center"/>
        </w:trPr>
        <w:tc>
          <w:tcPr>
            <w:tcW w:w="2320" w:type="dxa"/>
            <w:tcBorders>
              <w:top w:val="nil"/>
              <w:left w:val="nil"/>
              <w:bottom w:val="nil"/>
              <w:right w:val="nil"/>
            </w:tcBorders>
            <w:shd w:val="clear" w:color="auto" w:fill="auto"/>
            <w:noWrap/>
            <w:vAlign w:val="bottom"/>
            <w:hideMark/>
          </w:tcPr>
          <w:p w14:paraId="0FBD54B1" w14:textId="77777777" w:rsidR="003C6CD1" w:rsidRPr="003C6CD1" w:rsidRDefault="003C6CD1" w:rsidP="003C6CD1">
            <w:pPr>
              <w:spacing w:after="0"/>
              <w:rPr>
                <w:rFonts w:ascii="Arial" w:hAnsi="Arial" w:cs="Arial"/>
                <w:b/>
                <w:bCs/>
                <w:color w:val="auto"/>
                <w:sz w:val="16"/>
                <w:szCs w:val="16"/>
              </w:rPr>
            </w:pPr>
            <w:r w:rsidRPr="003C6CD1">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6D66BDA0" w14:textId="77777777" w:rsidR="003C6CD1" w:rsidRPr="003C6CD1" w:rsidRDefault="003C6CD1" w:rsidP="003C6CD1">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9858D3A"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387A557"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75DEC814"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7EAEA06C"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0C4D4480" w14:textId="77777777" w:rsidR="003C6CD1" w:rsidRPr="003C6CD1" w:rsidRDefault="003C6CD1" w:rsidP="003C6CD1">
            <w:pPr>
              <w:spacing w:after="0"/>
              <w:jc w:val="right"/>
              <w:rPr>
                <w:rFonts w:ascii="Arial" w:hAnsi="Arial" w:cs="Arial"/>
                <w:b/>
                <w:bCs/>
                <w:color w:val="auto"/>
                <w:sz w:val="16"/>
                <w:szCs w:val="16"/>
              </w:rPr>
            </w:pPr>
            <w:r w:rsidRPr="003C6CD1">
              <w:rPr>
                <w:rFonts w:ascii="Arial" w:hAnsi="Arial" w:cs="Arial"/>
                <w:b/>
                <w:bCs/>
                <w:color w:val="auto"/>
                <w:sz w:val="16"/>
                <w:szCs w:val="16"/>
              </w:rPr>
              <w:t xml:space="preserve">- </w:t>
            </w:r>
          </w:p>
        </w:tc>
      </w:tr>
    </w:tbl>
    <w:p w14:paraId="08FF3BE9" w14:textId="77777777" w:rsidR="009C684C" w:rsidRDefault="009C684C">
      <w:pPr>
        <w:spacing w:after="0"/>
        <w:rPr>
          <w:rFonts w:ascii="Arial" w:hAnsi="Arial" w:cs="Arial"/>
          <w:b/>
          <w:sz w:val="20"/>
          <w:szCs w:val="18"/>
        </w:rPr>
      </w:pPr>
      <w:r>
        <w:rPr>
          <w:sz w:val="20"/>
        </w:rPr>
        <w:br w:type="page"/>
      </w:r>
    </w:p>
    <w:p w14:paraId="68045591" w14:textId="7EA487EB" w:rsidR="000A07C8" w:rsidRPr="00F277A4" w:rsidRDefault="007D48FE" w:rsidP="000D22DB">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w:t>
      </w:r>
      <w:r w:rsidR="00DA7A80"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DB2FDE" w:rsidRPr="00DB2FDE" w14:paraId="1332D0E6" w14:textId="77777777" w:rsidTr="00DB2FDE">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754C8075"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 xml:space="preserve">Outcome/ </w:t>
            </w:r>
            <w:r w:rsidRPr="00DB2FDE">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12E9050A"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2022–23</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1072FFEA"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2023–24</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6D07F16"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2024–25</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7A848FC"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2025–26</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7E04A4CA"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2026–27</w:t>
            </w:r>
            <w:r w:rsidRPr="00DB2FDE">
              <w:rPr>
                <w:rFonts w:ascii="Arial" w:hAnsi="Arial" w:cs="Arial"/>
                <w:b/>
                <w:bCs/>
                <w:color w:val="auto"/>
                <w:sz w:val="16"/>
                <w:szCs w:val="16"/>
              </w:rPr>
              <w:br/>
              <w:t>$'000</w:t>
            </w:r>
          </w:p>
        </w:tc>
      </w:tr>
      <w:tr w:rsidR="00DB2FDE" w:rsidRPr="00DB2FDE" w14:paraId="406A0634"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1F84B03E"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 xml:space="preserve">Enhancing National Strategies for </w:t>
            </w:r>
            <w:proofErr w:type="spellStart"/>
            <w:r w:rsidRPr="00DB2FDE">
              <w:rPr>
                <w:rFonts w:ascii="Arial" w:hAnsi="Arial" w:cs="Arial"/>
                <w:b/>
                <w:bCs/>
                <w:color w:val="auto"/>
                <w:sz w:val="16"/>
                <w:szCs w:val="16"/>
              </w:rPr>
              <w:t>Bloodborne</w:t>
            </w:r>
            <w:proofErr w:type="spellEnd"/>
            <w:r w:rsidRPr="00DB2FDE">
              <w:rPr>
                <w:rFonts w:ascii="Arial" w:hAnsi="Arial" w:cs="Arial"/>
                <w:b/>
                <w:bCs/>
                <w:color w:val="auto"/>
                <w:sz w:val="16"/>
                <w:szCs w:val="16"/>
              </w:rPr>
              <w:t xml:space="preserve"> Viruses and Sexually Transmissible Infections</w:t>
            </w:r>
          </w:p>
        </w:tc>
      </w:tr>
      <w:tr w:rsidR="00DB2FDE" w:rsidRPr="00DB2FDE" w14:paraId="3AF5CD04" w14:textId="77777777" w:rsidTr="00DB2FDE">
        <w:trPr>
          <w:trHeight w:val="425"/>
          <w:jc w:val="center"/>
        </w:trPr>
        <w:tc>
          <w:tcPr>
            <w:tcW w:w="2320" w:type="dxa"/>
            <w:tcBorders>
              <w:top w:val="nil"/>
              <w:left w:val="nil"/>
              <w:bottom w:val="nil"/>
              <w:right w:val="nil"/>
            </w:tcBorders>
            <w:shd w:val="clear" w:color="auto" w:fill="auto"/>
            <w:vAlign w:val="bottom"/>
            <w:hideMark/>
          </w:tcPr>
          <w:p w14:paraId="3E7CBDE6"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28E058F"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D78131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28158E1"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73BB5C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8B9B835"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7DCC171"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5ED9AB2"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2C6D871"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16A0D3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7C88D5B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87C825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9,558 </w:t>
            </w:r>
          </w:p>
        </w:tc>
        <w:tc>
          <w:tcPr>
            <w:tcW w:w="920" w:type="dxa"/>
            <w:tcBorders>
              <w:top w:val="nil"/>
              <w:left w:val="nil"/>
              <w:bottom w:val="nil"/>
              <w:right w:val="nil"/>
            </w:tcBorders>
            <w:shd w:val="clear" w:color="auto" w:fill="auto"/>
            <w:noWrap/>
            <w:vAlign w:val="bottom"/>
            <w:hideMark/>
          </w:tcPr>
          <w:p w14:paraId="4BA0EC9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7A1446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0CA24A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59D60D66" w14:textId="77777777" w:rsidTr="00DB2FDE">
        <w:trPr>
          <w:trHeight w:val="225"/>
          <w:jc w:val="center"/>
        </w:trPr>
        <w:tc>
          <w:tcPr>
            <w:tcW w:w="2320" w:type="dxa"/>
            <w:tcBorders>
              <w:top w:val="nil"/>
              <w:left w:val="nil"/>
              <w:bottom w:val="nil"/>
              <w:right w:val="nil"/>
            </w:tcBorders>
            <w:shd w:val="clear" w:color="auto" w:fill="auto"/>
            <w:vAlign w:val="bottom"/>
            <w:hideMark/>
          </w:tcPr>
          <w:p w14:paraId="6754920D"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3273FDE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26E0401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4077C8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196 </w:t>
            </w:r>
          </w:p>
        </w:tc>
        <w:tc>
          <w:tcPr>
            <w:tcW w:w="920" w:type="dxa"/>
            <w:tcBorders>
              <w:top w:val="nil"/>
              <w:left w:val="nil"/>
              <w:bottom w:val="nil"/>
              <w:right w:val="nil"/>
            </w:tcBorders>
            <w:shd w:val="clear" w:color="auto" w:fill="auto"/>
            <w:noWrap/>
            <w:vAlign w:val="bottom"/>
            <w:hideMark/>
          </w:tcPr>
          <w:p w14:paraId="2E4166D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E1416F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3C28E3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2BCB6858" w14:textId="77777777" w:rsidTr="00DB2FDE">
        <w:trPr>
          <w:trHeight w:val="283"/>
          <w:jc w:val="center"/>
        </w:trPr>
        <w:tc>
          <w:tcPr>
            <w:tcW w:w="2320" w:type="dxa"/>
            <w:tcBorders>
              <w:top w:val="nil"/>
              <w:left w:val="nil"/>
              <w:bottom w:val="nil"/>
              <w:right w:val="nil"/>
            </w:tcBorders>
            <w:shd w:val="clear" w:color="auto" w:fill="auto"/>
            <w:vAlign w:val="bottom"/>
            <w:hideMark/>
          </w:tcPr>
          <w:p w14:paraId="03CCD7DA"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648178D8"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605EE94"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C9E842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283F89BB"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8939710"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1170945"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3A2DD12"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356ECE5D"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6EF89D1"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E87146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F27A36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2,500 </w:t>
            </w:r>
          </w:p>
        </w:tc>
        <w:tc>
          <w:tcPr>
            <w:tcW w:w="920" w:type="dxa"/>
            <w:tcBorders>
              <w:top w:val="nil"/>
              <w:left w:val="nil"/>
              <w:bottom w:val="nil"/>
              <w:right w:val="nil"/>
            </w:tcBorders>
            <w:shd w:val="clear" w:color="auto" w:fill="auto"/>
            <w:noWrap/>
            <w:vAlign w:val="bottom"/>
            <w:hideMark/>
          </w:tcPr>
          <w:p w14:paraId="2EB40E9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2,500 </w:t>
            </w:r>
          </w:p>
        </w:tc>
        <w:tc>
          <w:tcPr>
            <w:tcW w:w="920" w:type="dxa"/>
            <w:tcBorders>
              <w:top w:val="nil"/>
              <w:left w:val="nil"/>
              <w:bottom w:val="nil"/>
              <w:right w:val="nil"/>
            </w:tcBorders>
            <w:shd w:val="clear" w:color="auto" w:fill="auto"/>
            <w:noWrap/>
            <w:vAlign w:val="bottom"/>
            <w:hideMark/>
          </w:tcPr>
          <w:p w14:paraId="4CA099F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2,500 </w:t>
            </w:r>
          </w:p>
        </w:tc>
        <w:tc>
          <w:tcPr>
            <w:tcW w:w="920" w:type="dxa"/>
            <w:tcBorders>
              <w:top w:val="nil"/>
              <w:left w:val="nil"/>
              <w:bottom w:val="nil"/>
              <w:right w:val="nil"/>
            </w:tcBorders>
            <w:shd w:val="clear" w:color="auto" w:fill="auto"/>
            <w:noWrap/>
            <w:vAlign w:val="bottom"/>
            <w:hideMark/>
          </w:tcPr>
          <w:p w14:paraId="48403E4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2,500 </w:t>
            </w:r>
          </w:p>
        </w:tc>
      </w:tr>
      <w:tr w:rsidR="00DB2FDE" w:rsidRPr="00DB2FDE" w14:paraId="20CCF984"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7A07F837"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1ECA5FC7"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54C90A44"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F9BBCA7"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12,254 </w:t>
            </w:r>
          </w:p>
        </w:tc>
        <w:tc>
          <w:tcPr>
            <w:tcW w:w="920" w:type="dxa"/>
            <w:tcBorders>
              <w:top w:val="single" w:sz="4" w:space="0" w:color="000000"/>
              <w:left w:val="nil"/>
              <w:bottom w:val="single" w:sz="4" w:space="0" w:color="000000"/>
              <w:right w:val="nil"/>
            </w:tcBorders>
            <w:shd w:val="clear" w:color="auto" w:fill="auto"/>
            <w:noWrap/>
            <w:vAlign w:val="bottom"/>
            <w:hideMark/>
          </w:tcPr>
          <w:p w14:paraId="54A1265D"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2,500 </w:t>
            </w:r>
          </w:p>
        </w:tc>
        <w:tc>
          <w:tcPr>
            <w:tcW w:w="920" w:type="dxa"/>
            <w:tcBorders>
              <w:top w:val="single" w:sz="4" w:space="0" w:color="000000"/>
              <w:left w:val="nil"/>
              <w:bottom w:val="single" w:sz="4" w:space="0" w:color="000000"/>
              <w:right w:val="nil"/>
            </w:tcBorders>
            <w:shd w:val="clear" w:color="auto" w:fill="auto"/>
            <w:noWrap/>
            <w:vAlign w:val="bottom"/>
            <w:hideMark/>
          </w:tcPr>
          <w:p w14:paraId="45499381"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2,500 </w:t>
            </w:r>
          </w:p>
        </w:tc>
        <w:tc>
          <w:tcPr>
            <w:tcW w:w="920" w:type="dxa"/>
            <w:tcBorders>
              <w:top w:val="single" w:sz="4" w:space="0" w:color="000000"/>
              <w:left w:val="nil"/>
              <w:bottom w:val="single" w:sz="4" w:space="0" w:color="000000"/>
              <w:right w:val="nil"/>
            </w:tcBorders>
            <w:shd w:val="clear" w:color="auto" w:fill="auto"/>
            <w:noWrap/>
            <w:vAlign w:val="bottom"/>
            <w:hideMark/>
          </w:tcPr>
          <w:p w14:paraId="32AC8DE9"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2,500 </w:t>
            </w:r>
          </w:p>
        </w:tc>
      </w:tr>
      <w:tr w:rsidR="00DB2FDE" w:rsidRPr="00DB2FDE" w14:paraId="24DC3308"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728CF692"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Establish the Australian Centre for Disease Control</w:t>
            </w:r>
          </w:p>
        </w:tc>
      </w:tr>
      <w:tr w:rsidR="00DB2FDE" w:rsidRPr="00DB2FDE" w14:paraId="5B98F342" w14:textId="77777777" w:rsidTr="00DB2FDE">
        <w:trPr>
          <w:trHeight w:val="425"/>
          <w:jc w:val="center"/>
        </w:trPr>
        <w:tc>
          <w:tcPr>
            <w:tcW w:w="2320" w:type="dxa"/>
            <w:tcBorders>
              <w:top w:val="nil"/>
              <w:left w:val="nil"/>
              <w:bottom w:val="nil"/>
              <w:right w:val="nil"/>
            </w:tcBorders>
            <w:shd w:val="clear" w:color="auto" w:fill="auto"/>
            <w:vAlign w:val="bottom"/>
            <w:hideMark/>
          </w:tcPr>
          <w:p w14:paraId="2E9E7447"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FDF8E61"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E65D6C3"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3ECC12A"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CBB6FA7"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DB73C33"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98D44E6"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4661D49B" w14:textId="77777777" w:rsidTr="00DB2FDE">
        <w:trPr>
          <w:trHeight w:val="225"/>
          <w:jc w:val="center"/>
        </w:trPr>
        <w:tc>
          <w:tcPr>
            <w:tcW w:w="2320" w:type="dxa"/>
            <w:tcBorders>
              <w:top w:val="nil"/>
              <w:left w:val="nil"/>
              <w:bottom w:val="nil"/>
              <w:right w:val="nil"/>
            </w:tcBorders>
            <w:shd w:val="clear" w:color="auto" w:fill="auto"/>
            <w:vAlign w:val="bottom"/>
            <w:hideMark/>
          </w:tcPr>
          <w:p w14:paraId="15B924AA"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AC040A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3C7C6D8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C81C20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1,425 </w:t>
            </w:r>
          </w:p>
        </w:tc>
        <w:tc>
          <w:tcPr>
            <w:tcW w:w="920" w:type="dxa"/>
            <w:tcBorders>
              <w:top w:val="nil"/>
              <w:left w:val="nil"/>
              <w:bottom w:val="nil"/>
              <w:right w:val="nil"/>
            </w:tcBorders>
            <w:shd w:val="clear" w:color="auto" w:fill="auto"/>
            <w:noWrap/>
            <w:vAlign w:val="bottom"/>
            <w:hideMark/>
          </w:tcPr>
          <w:p w14:paraId="68FC9FE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1,736 </w:t>
            </w:r>
          </w:p>
        </w:tc>
        <w:tc>
          <w:tcPr>
            <w:tcW w:w="920" w:type="dxa"/>
            <w:tcBorders>
              <w:top w:val="nil"/>
              <w:left w:val="nil"/>
              <w:bottom w:val="nil"/>
              <w:right w:val="nil"/>
            </w:tcBorders>
            <w:shd w:val="clear" w:color="auto" w:fill="auto"/>
            <w:noWrap/>
            <w:vAlign w:val="bottom"/>
            <w:hideMark/>
          </w:tcPr>
          <w:p w14:paraId="3E8ECD8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76EF2B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48E79F74"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322629C2"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D1CBD1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528EC50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A2903F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40,525 </w:t>
            </w:r>
          </w:p>
        </w:tc>
        <w:tc>
          <w:tcPr>
            <w:tcW w:w="920" w:type="dxa"/>
            <w:tcBorders>
              <w:top w:val="nil"/>
              <w:left w:val="nil"/>
              <w:bottom w:val="nil"/>
              <w:right w:val="nil"/>
            </w:tcBorders>
            <w:shd w:val="clear" w:color="auto" w:fill="auto"/>
            <w:noWrap/>
            <w:vAlign w:val="bottom"/>
            <w:hideMark/>
          </w:tcPr>
          <w:p w14:paraId="228B037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46,009 </w:t>
            </w:r>
          </w:p>
        </w:tc>
        <w:tc>
          <w:tcPr>
            <w:tcW w:w="920" w:type="dxa"/>
            <w:tcBorders>
              <w:top w:val="nil"/>
              <w:left w:val="nil"/>
              <w:bottom w:val="nil"/>
              <w:right w:val="nil"/>
            </w:tcBorders>
            <w:shd w:val="clear" w:color="auto" w:fill="auto"/>
            <w:noWrap/>
            <w:vAlign w:val="bottom"/>
            <w:hideMark/>
          </w:tcPr>
          <w:p w14:paraId="4A0FA33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4F4A84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9FA2F48" w14:textId="77777777" w:rsidTr="00DB2FDE">
        <w:trPr>
          <w:trHeight w:val="425"/>
          <w:jc w:val="center"/>
        </w:trPr>
        <w:tc>
          <w:tcPr>
            <w:tcW w:w="2320" w:type="dxa"/>
            <w:tcBorders>
              <w:top w:val="nil"/>
              <w:left w:val="nil"/>
              <w:bottom w:val="nil"/>
              <w:right w:val="nil"/>
            </w:tcBorders>
            <w:shd w:val="clear" w:color="auto" w:fill="auto"/>
            <w:vAlign w:val="bottom"/>
            <w:hideMark/>
          </w:tcPr>
          <w:p w14:paraId="78DCF6CF"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4FF562F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13E1F8F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F18084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162 </w:t>
            </w:r>
          </w:p>
        </w:tc>
        <w:tc>
          <w:tcPr>
            <w:tcW w:w="920" w:type="dxa"/>
            <w:tcBorders>
              <w:top w:val="nil"/>
              <w:left w:val="nil"/>
              <w:bottom w:val="nil"/>
              <w:right w:val="nil"/>
            </w:tcBorders>
            <w:shd w:val="clear" w:color="auto" w:fill="auto"/>
            <w:noWrap/>
            <w:vAlign w:val="bottom"/>
            <w:hideMark/>
          </w:tcPr>
          <w:p w14:paraId="38022D4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6902AC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3C5E54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092E9B8A" w14:textId="77777777" w:rsidTr="00DB2FDE">
        <w:trPr>
          <w:trHeight w:val="283"/>
          <w:jc w:val="center"/>
        </w:trPr>
        <w:tc>
          <w:tcPr>
            <w:tcW w:w="2320" w:type="dxa"/>
            <w:tcBorders>
              <w:top w:val="nil"/>
              <w:left w:val="nil"/>
              <w:bottom w:val="nil"/>
              <w:right w:val="nil"/>
            </w:tcBorders>
            <w:shd w:val="clear" w:color="auto" w:fill="auto"/>
            <w:vAlign w:val="bottom"/>
            <w:hideMark/>
          </w:tcPr>
          <w:p w14:paraId="0DF4D079"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Home Affairs</w:t>
            </w:r>
          </w:p>
        </w:tc>
        <w:tc>
          <w:tcPr>
            <w:tcW w:w="460" w:type="dxa"/>
            <w:tcBorders>
              <w:top w:val="nil"/>
              <w:left w:val="nil"/>
              <w:bottom w:val="nil"/>
              <w:right w:val="nil"/>
            </w:tcBorders>
            <w:shd w:val="clear" w:color="auto" w:fill="auto"/>
            <w:noWrap/>
            <w:vAlign w:val="bottom"/>
            <w:hideMark/>
          </w:tcPr>
          <w:p w14:paraId="03EE7A6B"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EDB00C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62B9F56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308A79F"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E133682"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21EF876"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4EE4B6E9"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5C11BA59"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F26D188"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F41292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1D4490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256 </w:t>
            </w:r>
          </w:p>
        </w:tc>
        <w:tc>
          <w:tcPr>
            <w:tcW w:w="920" w:type="dxa"/>
            <w:tcBorders>
              <w:top w:val="nil"/>
              <w:left w:val="nil"/>
              <w:bottom w:val="nil"/>
              <w:right w:val="nil"/>
            </w:tcBorders>
            <w:shd w:val="clear" w:color="auto" w:fill="auto"/>
            <w:noWrap/>
            <w:vAlign w:val="bottom"/>
            <w:hideMark/>
          </w:tcPr>
          <w:p w14:paraId="4801A02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523 </w:t>
            </w:r>
          </w:p>
        </w:tc>
        <w:tc>
          <w:tcPr>
            <w:tcW w:w="920" w:type="dxa"/>
            <w:tcBorders>
              <w:top w:val="nil"/>
              <w:left w:val="nil"/>
              <w:bottom w:val="nil"/>
              <w:right w:val="nil"/>
            </w:tcBorders>
            <w:shd w:val="clear" w:color="auto" w:fill="auto"/>
            <w:noWrap/>
            <w:vAlign w:val="bottom"/>
            <w:hideMark/>
          </w:tcPr>
          <w:p w14:paraId="016ABF0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72E865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4D12F31D" w14:textId="77777777" w:rsidTr="00DB2FDE">
        <w:trPr>
          <w:trHeight w:val="283"/>
          <w:jc w:val="center"/>
        </w:trPr>
        <w:tc>
          <w:tcPr>
            <w:tcW w:w="2320" w:type="dxa"/>
            <w:tcBorders>
              <w:top w:val="nil"/>
              <w:left w:val="nil"/>
              <w:bottom w:val="nil"/>
              <w:right w:val="nil"/>
            </w:tcBorders>
            <w:shd w:val="clear" w:color="auto" w:fill="auto"/>
            <w:vAlign w:val="bottom"/>
            <w:hideMark/>
          </w:tcPr>
          <w:p w14:paraId="3749DF0A"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Finance</w:t>
            </w:r>
          </w:p>
        </w:tc>
        <w:tc>
          <w:tcPr>
            <w:tcW w:w="460" w:type="dxa"/>
            <w:tcBorders>
              <w:top w:val="nil"/>
              <w:left w:val="nil"/>
              <w:bottom w:val="nil"/>
              <w:right w:val="nil"/>
            </w:tcBorders>
            <w:shd w:val="clear" w:color="auto" w:fill="auto"/>
            <w:noWrap/>
            <w:vAlign w:val="bottom"/>
            <w:hideMark/>
          </w:tcPr>
          <w:p w14:paraId="27FE46AB"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0E9E543"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80D1EB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A5F66F5"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8FDAC1B"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6C05F3F"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741CE32C" w14:textId="77777777" w:rsidTr="00DB2FDE">
        <w:trPr>
          <w:trHeight w:val="225"/>
          <w:jc w:val="center"/>
        </w:trPr>
        <w:tc>
          <w:tcPr>
            <w:tcW w:w="2320" w:type="dxa"/>
            <w:tcBorders>
              <w:top w:val="nil"/>
              <w:left w:val="nil"/>
              <w:bottom w:val="nil"/>
              <w:right w:val="nil"/>
            </w:tcBorders>
            <w:shd w:val="clear" w:color="auto" w:fill="auto"/>
            <w:vAlign w:val="bottom"/>
            <w:hideMark/>
          </w:tcPr>
          <w:p w14:paraId="6B0589DB"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E868D18"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ADFB95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3D646D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135 </w:t>
            </w:r>
          </w:p>
        </w:tc>
        <w:tc>
          <w:tcPr>
            <w:tcW w:w="920" w:type="dxa"/>
            <w:tcBorders>
              <w:top w:val="nil"/>
              <w:left w:val="nil"/>
              <w:bottom w:val="nil"/>
              <w:right w:val="nil"/>
            </w:tcBorders>
            <w:shd w:val="clear" w:color="auto" w:fill="auto"/>
            <w:noWrap/>
            <w:vAlign w:val="bottom"/>
            <w:hideMark/>
          </w:tcPr>
          <w:p w14:paraId="1E67EF0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135 </w:t>
            </w:r>
          </w:p>
        </w:tc>
        <w:tc>
          <w:tcPr>
            <w:tcW w:w="920" w:type="dxa"/>
            <w:tcBorders>
              <w:top w:val="nil"/>
              <w:left w:val="nil"/>
              <w:bottom w:val="nil"/>
              <w:right w:val="nil"/>
            </w:tcBorders>
            <w:shd w:val="clear" w:color="auto" w:fill="auto"/>
            <w:noWrap/>
            <w:vAlign w:val="bottom"/>
            <w:hideMark/>
          </w:tcPr>
          <w:p w14:paraId="1449F2B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3F0B35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FAD6DBA"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134415C9"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36046ACE"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2822FCF"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7710346"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42,503 </w:t>
            </w:r>
          </w:p>
        </w:tc>
        <w:tc>
          <w:tcPr>
            <w:tcW w:w="920" w:type="dxa"/>
            <w:tcBorders>
              <w:top w:val="single" w:sz="4" w:space="0" w:color="000000"/>
              <w:left w:val="nil"/>
              <w:bottom w:val="single" w:sz="4" w:space="0" w:color="000000"/>
              <w:right w:val="nil"/>
            </w:tcBorders>
            <w:shd w:val="clear" w:color="auto" w:fill="auto"/>
            <w:noWrap/>
            <w:vAlign w:val="bottom"/>
            <w:hideMark/>
          </w:tcPr>
          <w:p w14:paraId="05975D90"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48,403 </w:t>
            </w:r>
          </w:p>
        </w:tc>
        <w:tc>
          <w:tcPr>
            <w:tcW w:w="920" w:type="dxa"/>
            <w:tcBorders>
              <w:top w:val="single" w:sz="4" w:space="0" w:color="000000"/>
              <w:left w:val="nil"/>
              <w:bottom w:val="single" w:sz="4" w:space="0" w:color="000000"/>
              <w:right w:val="nil"/>
            </w:tcBorders>
            <w:shd w:val="clear" w:color="auto" w:fill="auto"/>
            <w:noWrap/>
            <w:vAlign w:val="bottom"/>
            <w:hideMark/>
          </w:tcPr>
          <w:p w14:paraId="1AED1B95"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1547D46F"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r>
      <w:tr w:rsidR="00DB2FDE" w:rsidRPr="00DB2FDE" w14:paraId="26596EC0"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3B577CBF"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Funding Pay Increases for Aged Care Workers</w:t>
            </w:r>
          </w:p>
        </w:tc>
      </w:tr>
      <w:tr w:rsidR="00DB2FDE" w:rsidRPr="00DB2FDE" w14:paraId="5F0D328D" w14:textId="77777777" w:rsidTr="00DB2FDE">
        <w:trPr>
          <w:trHeight w:val="425"/>
          <w:jc w:val="center"/>
        </w:trPr>
        <w:tc>
          <w:tcPr>
            <w:tcW w:w="2320" w:type="dxa"/>
            <w:tcBorders>
              <w:top w:val="nil"/>
              <w:left w:val="nil"/>
              <w:bottom w:val="nil"/>
              <w:right w:val="nil"/>
            </w:tcBorders>
            <w:shd w:val="clear" w:color="auto" w:fill="auto"/>
            <w:vAlign w:val="bottom"/>
            <w:hideMark/>
          </w:tcPr>
          <w:p w14:paraId="4FFA7A8A"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73BE236"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F6228E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C80659"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BA87BC5"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9A0FC92"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0065C3C"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5C7D350B" w14:textId="77777777" w:rsidTr="00DB2FDE">
        <w:trPr>
          <w:trHeight w:val="225"/>
          <w:jc w:val="center"/>
        </w:trPr>
        <w:tc>
          <w:tcPr>
            <w:tcW w:w="2320" w:type="dxa"/>
            <w:tcBorders>
              <w:top w:val="nil"/>
              <w:left w:val="nil"/>
              <w:bottom w:val="nil"/>
              <w:right w:val="nil"/>
            </w:tcBorders>
            <w:shd w:val="clear" w:color="auto" w:fill="auto"/>
            <w:vAlign w:val="bottom"/>
            <w:hideMark/>
          </w:tcPr>
          <w:p w14:paraId="18593360"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3114AFC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01A8778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6FF4BA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132,737 </w:t>
            </w:r>
          </w:p>
        </w:tc>
        <w:tc>
          <w:tcPr>
            <w:tcW w:w="920" w:type="dxa"/>
            <w:tcBorders>
              <w:top w:val="nil"/>
              <w:left w:val="nil"/>
              <w:bottom w:val="nil"/>
              <w:right w:val="nil"/>
            </w:tcBorders>
            <w:shd w:val="clear" w:color="auto" w:fill="auto"/>
            <w:noWrap/>
            <w:vAlign w:val="bottom"/>
            <w:hideMark/>
          </w:tcPr>
          <w:p w14:paraId="7B05B03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102,802 </w:t>
            </w:r>
          </w:p>
        </w:tc>
        <w:tc>
          <w:tcPr>
            <w:tcW w:w="920" w:type="dxa"/>
            <w:tcBorders>
              <w:top w:val="nil"/>
              <w:left w:val="nil"/>
              <w:bottom w:val="nil"/>
              <w:right w:val="nil"/>
            </w:tcBorders>
            <w:shd w:val="clear" w:color="auto" w:fill="auto"/>
            <w:noWrap/>
            <w:vAlign w:val="bottom"/>
            <w:hideMark/>
          </w:tcPr>
          <w:p w14:paraId="2446FB6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73,315 </w:t>
            </w:r>
          </w:p>
        </w:tc>
        <w:tc>
          <w:tcPr>
            <w:tcW w:w="920" w:type="dxa"/>
            <w:tcBorders>
              <w:top w:val="nil"/>
              <w:left w:val="nil"/>
              <w:bottom w:val="nil"/>
              <w:right w:val="nil"/>
            </w:tcBorders>
            <w:shd w:val="clear" w:color="auto" w:fill="auto"/>
            <w:noWrap/>
            <w:vAlign w:val="bottom"/>
            <w:hideMark/>
          </w:tcPr>
          <w:p w14:paraId="5227D0A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76,745 </w:t>
            </w:r>
          </w:p>
        </w:tc>
      </w:tr>
      <w:tr w:rsidR="00DB2FDE" w:rsidRPr="00DB2FDE" w14:paraId="18DC5E5F" w14:textId="77777777" w:rsidTr="00DB2FDE">
        <w:trPr>
          <w:trHeight w:val="225"/>
          <w:jc w:val="center"/>
        </w:trPr>
        <w:tc>
          <w:tcPr>
            <w:tcW w:w="2320" w:type="dxa"/>
            <w:tcBorders>
              <w:top w:val="nil"/>
              <w:left w:val="nil"/>
              <w:bottom w:val="nil"/>
              <w:right w:val="nil"/>
            </w:tcBorders>
            <w:shd w:val="clear" w:color="auto" w:fill="auto"/>
            <w:vAlign w:val="bottom"/>
            <w:hideMark/>
          </w:tcPr>
          <w:p w14:paraId="4A68C9AD" w14:textId="77777777" w:rsidR="00DB2FDE" w:rsidRPr="00DB2FDE" w:rsidRDefault="00DB2FDE" w:rsidP="00DB2FDE">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10DD42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7A90C1F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E6F27B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95,656 </w:t>
            </w:r>
          </w:p>
        </w:tc>
        <w:tc>
          <w:tcPr>
            <w:tcW w:w="920" w:type="dxa"/>
            <w:tcBorders>
              <w:top w:val="nil"/>
              <w:left w:val="nil"/>
              <w:bottom w:val="nil"/>
              <w:right w:val="nil"/>
            </w:tcBorders>
            <w:shd w:val="clear" w:color="auto" w:fill="auto"/>
            <w:noWrap/>
            <w:vAlign w:val="bottom"/>
            <w:hideMark/>
          </w:tcPr>
          <w:p w14:paraId="29531D1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49039D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C07232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456FE743"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591D15C3"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BD8BCF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54D65BD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E8E60E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6,563 </w:t>
            </w:r>
          </w:p>
        </w:tc>
        <w:tc>
          <w:tcPr>
            <w:tcW w:w="920" w:type="dxa"/>
            <w:tcBorders>
              <w:top w:val="nil"/>
              <w:left w:val="nil"/>
              <w:bottom w:val="nil"/>
              <w:right w:val="nil"/>
            </w:tcBorders>
            <w:shd w:val="clear" w:color="auto" w:fill="auto"/>
            <w:noWrap/>
            <w:vAlign w:val="bottom"/>
            <w:hideMark/>
          </w:tcPr>
          <w:p w14:paraId="7729872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946 </w:t>
            </w:r>
          </w:p>
        </w:tc>
        <w:tc>
          <w:tcPr>
            <w:tcW w:w="920" w:type="dxa"/>
            <w:tcBorders>
              <w:top w:val="nil"/>
              <w:left w:val="nil"/>
              <w:bottom w:val="nil"/>
              <w:right w:val="nil"/>
            </w:tcBorders>
            <w:shd w:val="clear" w:color="auto" w:fill="auto"/>
            <w:noWrap/>
            <w:vAlign w:val="bottom"/>
            <w:hideMark/>
          </w:tcPr>
          <w:p w14:paraId="0F32538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8BA7D9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ACE671A" w14:textId="77777777" w:rsidTr="00DB2FDE">
        <w:trPr>
          <w:trHeight w:val="425"/>
          <w:jc w:val="center"/>
        </w:trPr>
        <w:tc>
          <w:tcPr>
            <w:tcW w:w="2320" w:type="dxa"/>
            <w:tcBorders>
              <w:top w:val="nil"/>
              <w:left w:val="nil"/>
              <w:bottom w:val="nil"/>
              <w:right w:val="nil"/>
            </w:tcBorders>
            <w:shd w:val="clear" w:color="auto" w:fill="auto"/>
            <w:vAlign w:val="bottom"/>
            <w:hideMark/>
          </w:tcPr>
          <w:p w14:paraId="7107C908"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52B833F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7FAF42F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1A886E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11,361 </w:t>
            </w:r>
          </w:p>
        </w:tc>
        <w:tc>
          <w:tcPr>
            <w:tcW w:w="920" w:type="dxa"/>
            <w:tcBorders>
              <w:top w:val="nil"/>
              <w:left w:val="nil"/>
              <w:bottom w:val="nil"/>
              <w:right w:val="nil"/>
            </w:tcBorders>
            <w:shd w:val="clear" w:color="auto" w:fill="auto"/>
            <w:noWrap/>
            <w:vAlign w:val="bottom"/>
            <w:hideMark/>
          </w:tcPr>
          <w:p w14:paraId="394AF92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1,683 </w:t>
            </w:r>
          </w:p>
        </w:tc>
        <w:tc>
          <w:tcPr>
            <w:tcW w:w="920" w:type="dxa"/>
            <w:tcBorders>
              <w:top w:val="nil"/>
              <w:left w:val="nil"/>
              <w:bottom w:val="nil"/>
              <w:right w:val="nil"/>
            </w:tcBorders>
            <w:shd w:val="clear" w:color="auto" w:fill="auto"/>
            <w:noWrap/>
            <w:vAlign w:val="bottom"/>
            <w:hideMark/>
          </w:tcPr>
          <w:p w14:paraId="0C44DC0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8B8F65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46CD5E3F" w14:textId="77777777" w:rsidTr="00DB2FDE">
        <w:trPr>
          <w:trHeight w:val="454"/>
          <w:jc w:val="center"/>
        </w:trPr>
        <w:tc>
          <w:tcPr>
            <w:tcW w:w="2320" w:type="dxa"/>
            <w:tcBorders>
              <w:top w:val="nil"/>
              <w:left w:val="nil"/>
              <w:bottom w:val="nil"/>
              <w:right w:val="nil"/>
            </w:tcBorders>
            <w:shd w:val="clear" w:color="auto" w:fill="auto"/>
            <w:vAlign w:val="bottom"/>
            <w:hideMark/>
          </w:tcPr>
          <w:p w14:paraId="5B563CF1"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166CC3FE"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5A7A3F7"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6B4A198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4C1AE2E"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543CA4A"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4B45FD5"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59E4A588"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4FA57811"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9FC1492"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6ADEA3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8FE731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1,124 </w:t>
            </w:r>
          </w:p>
        </w:tc>
        <w:tc>
          <w:tcPr>
            <w:tcW w:w="920" w:type="dxa"/>
            <w:tcBorders>
              <w:top w:val="nil"/>
              <w:left w:val="nil"/>
              <w:bottom w:val="nil"/>
              <w:right w:val="nil"/>
            </w:tcBorders>
            <w:shd w:val="clear" w:color="auto" w:fill="auto"/>
            <w:noWrap/>
            <w:vAlign w:val="bottom"/>
            <w:hideMark/>
          </w:tcPr>
          <w:p w14:paraId="24929ED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7E545C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1B28D5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0DF46F6" w14:textId="77777777" w:rsidTr="00DB2FDE">
        <w:trPr>
          <w:trHeight w:val="283"/>
          <w:jc w:val="center"/>
        </w:trPr>
        <w:tc>
          <w:tcPr>
            <w:tcW w:w="2320" w:type="dxa"/>
            <w:tcBorders>
              <w:top w:val="nil"/>
              <w:left w:val="nil"/>
              <w:bottom w:val="nil"/>
              <w:right w:val="nil"/>
            </w:tcBorders>
            <w:shd w:val="clear" w:color="auto" w:fill="auto"/>
            <w:vAlign w:val="bottom"/>
            <w:hideMark/>
          </w:tcPr>
          <w:p w14:paraId="33AF4054"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65439BE6"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DC0A809"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2FB472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CE63E06"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7E63A41"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655B3CC"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751BEC13" w14:textId="77777777" w:rsidTr="00DB2FDE">
        <w:trPr>
          <w:trHeight w:val="225"/>
          <w:jc w:val="center"/>
        </w:trPr>
        <w:tc>
          <w:tcPr>
            <w:tcW w:w="2320" w:type="dxa"/>
            <w:tcBorders>
              <w:top w:val="nil"/>
              <w:left w:val="nil"/>
              <w:bottom w:val="nil"/>
              <w:right w:val="nil"/>
            </w:tcBorders>
            <w:shd w:val="clear" w:color="auto" w:fill="auto"/>
            <w:vAlign w:val="bottom"/>
            <w:hideMark/>
          </w:tcPr>
          <w:p w14:paraId="40B251DD"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3FB66ED"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EA84B3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784 </w:t>
            </w:r>
          </w:p>
        </w:tc>
        <w:tc>
          <w:tcPr>
            <w:tcW w:w="920" w:type="dxa"/>
            <w:tcBorders>
              <w:top w:val="nil"/>
              <w:left w:val="nil"/>
              <w:bottom w:val="nil"/>
              <w:right w:val="nil"/>
            </w:tcBorders>
            <w:shd w:val="clear" w:color="000000" w:fill="D9D9D9"/>
            <w:noWrap/>
            <w:vAlign w:val="bottom"/>
            <w:hideMark/>
          </w:tcPr>
          <w:p w14:paraId="0959806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5,166 </w:t>
            </w:r>
          </w:p>
        </w:tc>
        <w:tc>
          <w:tcPr>
            <w:tcW w:w="920" w:type="dxa"/>
            <w:tcBorders>
              <w:top w:val="nil"/>
              <w:left w:val="nil"/>
              <w:bottom w:val="nil"/>
              <w:right w:val="nil"/>
            </w:tcBorders>
            <w:shd w:val="clear" w:color="auto" w:fill="auto"/>
            <w:noWrap/>
            <w:vAlign w:val="bottom"/>
            <w:hideMark/>
          </w:tcPr>
          <w:p w14:paraId="499EBA1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1,318 </w:t>
            </w:r>
          </w:p>
        </w:tc>
        <w:tc>
          <w:tcPr>
            <w:tcW w:w="920" w:type="dxa"/>
            <w:tcBorders>
              <w:top w:val="nil"/>
              <w:left w:val="nil"/>
              <w:bottom w:val="nil"/>
              <w:right w:val="nil"/>
            </w:tcBorders>
            <w:shd w:val="clear" w:color="auto" w:fill="auto"/>
            <w:noWrap/>
            <w:vAlign w:val="bottom"/>
            <w:hideMark/>
          </w:tcPr>
          <w:p w14:paraId="6955EEA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814 </w:t>
            </w:r>
          </w:p>
        </w:tc>
        <w:tc>
          <w:tcPr>
            <w:tcW w:w="920" w:type="dxa"/>
            <w:tcBorders>
              <w:top w:val="nil"/>
              <w:left w:val="nil"/>
              <w:bottom w:val="nil"/>
              <w:right w:val="nil"/>
            </w:tcBorders>
            <w:shd w:val="clear" w:color="auto" w:fill="auto"/>
            <w:noWrap/>
            <w:vAlign w:val="bottom"/>
            <w:hideMark/>
          </w:tcPr>
          <w:p w14:paraId="20B2596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820 </w:t>
            </w:r>
          </w:p>
        </w:tc>
      </w:tr>
      <w:tr w:rsidR="00DB2FDE" w:rsidRPr="00DB2FDE" w14:paraId="7BD70F6E" w14:textId="77777777" w:rsidTr="00DB2FDE">
        <w:trPr>
          <w:trHeight w:val="425"/>
          <w:jc w:val="center"/>
        </w:trPr>
        <w:tc>
          <w:tcPr>
            <w:tcW w:w="2320" w:type="dxa"/>
            <w:tcBorders>
              <w:top w:val="nil"/>
              <w:left w:val="nil"/>
              <w:bottom w:val="nil"/>
              <w:right w:val="nil"/>
            </w:tcBorders>
            <w:shd w:val="clear" w:color="auto" w:fill="auto"/>
            <w:vAlign w:val="bottom"/>
            <w:hideMark/>
          </w:tcPr>
          <w:p w14:paraId="4B3C8F2F"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6D4DE8B2"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0E4E0B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78D7D4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3,139 </w:t>
            </w:r>
          </w:p>
        </w:tc>
        <w:tc>
          <w:tcPr>
            <w:tcW w:w="920" w:type="dxa"/>
            <w:tcBorders>
              <w:top w:val="nil"/>
              <w:left w:val="nil"/>
              <w:bottom w:val="nil"/>
              <w:right w:val="nil"/>
            </w:tcBorders>
            <w:shd w:val="clear" w:color="auto" w:fill="auto"/>
            <w:noWrap/>
            <w:vAlign w:val="bottom"/>
            <w:hideMark/>
          </w:tcPr>
          <w:p w14:paraId="1A0B305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A4A012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41BDC1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2FF27A29"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477EE31"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07F991C4"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C59B604"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784 </w:t>
            </w:r>
          </w:p>
        </w:tc>
        <w:tc>
          <w:tcPr>
            <w:tcW w:w="920" w:type="dxa"/>
            <w:tcBorders>
              <w:top w:val="single" w:sz="4" w:space="0" w:color="000000"/>
              <w:left w:val="nil"/>
              <w:bottom w:val="single" w:sz="4" w:space="0" w:color="000000"/>
              <w:right w:val="nil"/>
            </w:tcBorders>
            <w:shd w:val="clear" w:color="000000" w:fill="D9D9D9"/>
            <w:noWrap/>
            <w:vAlign w:val="bottom"/>
            <w:hideMark/>
          </w:tcPr>
          <w:p w14:paraId="68A87890"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255,746 </w:t>
            </w:r>
          </w:p>
        </w:tc>
        <w:tc>
          <w:tcPr>
            <w:tcW w:w="920" w:type="dxa"/>
            <w:tcBorders>
              <w:top w:val="single" w:sz="4" w:space="0" w:color="000000"/>
              <w:left w:val="nil"/>
              <w:bottom w:val="single" w:sz="4" w:space="0" w:color="000000"/>
              <w:right w:val="nil"/>
            </w:tcBorders>
            <w:shd w:val="clear" w:color="auto" w:fill="auto"/>
            <w:noWrap/>
            <w:vAlign w:val="bottom"/>
            <w:hideMark/>
          </w:tcPr>
          <w:p w14:paraId="22262699"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106,749 </w:t>
            </w:r>
          </w:p>
        </w:tc>
        <w:tc>
          <w:tcPr>
            <w:tcW w:w="920" w:type="dxa"/>
            <w:tcBorders>
              <w:top w:val="single" w:sz="4" w:space="0" w:color="000000"/>
              <w:left w:val="nil"/>
              <w:bottom w:val="single" w:sz="4" w:space="0" w:color="000000"/>
              <w:right w:val="nil"/>
            </w:tcBorders>
            <w:shd w:val="clear" w:color="auto" w:fill="auto"/>
            <w:noWrap/>
            <w:vAlign w:val="bottom"/>
            <w:hideMark/>
          </w:tcPr>
          <w:p w14:paraId="2CA37FD8"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74,129 </w:t>
            </w:r>
          </w:p>
        </w:tc>
        <w:tc>
          <w:tcPr>
            <w:tcW w:w="920" w:type="dxa"/>
            <w:tcBorders>
              <w:top w:val="single" w:sz="4" w:space="0" w:color="000000"/>
              <w:left w:val="nil"/>
              <w:bottom w:val="single" w:sz="4" w:space="0" w:color="000000"/>
              <w:right w:val="nil"/>
            </w:tcBorders>
            <w:shd w:val="clear" w:color="auto" w:fill="auto"/>
            <w:noWrap/>
            <w:vAlign w:val="bottom"/>
            <w:hideMark/>
          </w:tcPr>
          <w:p w14:paraId="176C4728"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77,565 </w:t>
            </w:r>
          </w:p>
        </w:tc>
      </w:tr>
      <w:tr w:rsidR="00DB2FDE" w:rsidRPr="00DB2FDE" w14:paraId="718D7599"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04454C51"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Good Friday Appeal — Royal Children's Hospital Melbourne</w:t>
            </w:r>
          </w:p>
        </w:tc>
      </w:tr>
      <w:tr w:rsidR="00DB2FDE" w:rsidRPr="00DB2FDE" w14:paraId="01338CF3" w14:textId="77777777" w:rsidTr="00DB2FDE">
        <w:trPr>
          <w:trHeight w:val="425"/>
          <w:jc w:val="center"/>
        </w:trPr>
        <w:tc>
          <w:tcPr>
            <w:tcW w:w="2320" w:type="dxa"/>
            <w:tcBorders>
              <w:top w:val="nil"/>
              <w:left w:val="nil"/>
              <w:bottom w:val="nil"/>
              <w:right w:val="nil"/>
            </w:tcBorders>
            <w:shd w:val="clear" w:color="auto" w:fill="auto"/>
            <w:vAlign w:val="bottom"/>
            <w:hideMark/>
          </w:tcPr>
          <w:p w14:paraId="5AE554EF"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2AF83376"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EDAF92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1952B5B"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2AD01E6"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22EA51A"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280C5DD"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7E6A530F" w14:textId="77777777" w:rsidTr="00934D5E">
        <w:trPr>
          <w:trHeight w:val="225"/>
          <w:jc w:val="center"/>
        </w:trPr>
        <w:tc>
          <w:tcPr>
            <w:tcW w:w="2320" w:type="dxa"/>
            <w:tcBorders>
              <w:top w:val="nil"/>
              <w:left w:val="nil"/>
              <w:right w:val="nil"/>
            </w:tcBorders>
            <w:shd w:val="clear" w:color="auto" w:fill="auto"/>
            <w:noWrap/>
            <w:vAlign w:val="bottom"/>
            <w:hideMark/>
          </w:tcPr>
          <w:p w14:paraId="31B2FBB4" w14:textId="77777777" w:rsidR="00DB2FDE" w:rsidRPr="00DB2FDE" w:rsidRDefault="00DB2FDE" w:rsidP="00DB2FDE">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right w:val="nil"/>
            </w:tcBorders>
            <w:shd w:val="clear" w:color="auto" w:fill="auto"/>
            <w:noWrap/>
            <w:vAlign w:val="bottom"/>
            <w:hideMark/>
          </w:tcPr>
          <w:p w14:paraId="3A6EEF6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4CE3EF1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F5745D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2,000 </w:t>
            </w:r>
          </w:p>
        </w:tc>
        <w:tc>
          <w:tcPr>
            <w:tcW w:w="920" w:type="dxa"/>
            <w:tcBorders>
              <w:top w:val="nil"/>
              <w:left w:val="nil"/>
              <w:bottom w:val="nil"/>
              <w:right w:val="nil"/>
            </w:tcBorders>
            <w:shd w:val="clear" w:color="auto" w:fill="auto"/>
            <w:noWrap/>
            <w:vAlign w:val="bottom"/>
            <w:hideMark/>
          </w:tcPr>
          <w:p w14:paraId="321EAA0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2,000 </w:t>
            </w:r>
          </w:p>
        </w:tc>
        <w:tc>
          <w:tcPr>
            <w:tcW w:w="920" w:type="dxa"/>
            <w:tcBorders>
              <w:top w:val="nil"/>
              <w:left w:val="nil"/>
              <w:bottom w:val="nil"/>
              <w:right w:val="nil"/>
            </w:tcBorders>
            <w:shd w:val="clear" w:color="auto" w:fill="auto"/>
            <w:noWrap/>
            <w:vAlign w:val="bottom"/>
            <w:hideMark/>
          </w:tcPr>
          <w:p w14:paraId="5D6D005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2,000 </w:t>
            </w:r>
          </w:p>
        </w:tc>
        <w:tc>
          <w:tcPr>
            <w:tcW w:w="920" w:type="dxa"/>
            <w:tcBorders>
              <w:top w:val="nil"/>
              <w:left w:val="nil"/>
              <w:bottom w:val="nil"/>
              <w:right w:val="nil"/>
            </w:tcBorders>
            <w:shd w:val="clear" w:color="auto" w:fill="auto"/>
            <w:noWrap/>
            <w:vAlign w:val="bottom"/>
            <w:hideMark/>
          </w:tcPr>
          <w:p w14:paraId="39B20B5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2E5F1C31"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50015EB5"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5F9B341F"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02B7874"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EB8E941"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2,000 </w:t>
            </w:r>
          </w:p>
        </w:tc>
        <w:tc>
          <w:tcPr>
            <w:tcW w:w="920" w:type="dxa"/>
            <w:tcBorders>
              <w:top w:val="single" w:sz="4" w:space="0" w:color="000000"/>
              <w:left w:val="nil"/>
              <w:bottom w:val="single" w:sz="4" w:space="0" w:color="000000"/>
              <w:right w:val="nil"/>
            </w:tcBorders>
            <w:shd w:val="clear" w:color="auto" w:fill="auto"/>
            <w:noWrap/>
            <w:vAlign w:val="bottom"/>
            <w:hideMark/>
          </w:tcPr>
          <w:p w14:paraId="16D97121"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2,000 </w:t>
            </w:r>
          </w:p>
        </w:tc>
        <w:tc>
          <w:tcPr>
            <w:tcW w:w="920" w:type="dxa"/>
            <w:tcBorders>
              <w:top w:val="single" w:sz="4" w:space="0" w:color="000000"/>
              <w:left w:val="nil"/>
              <w:bottom w:val="single" w:sz="4" w:space="0" w:color="000000"/>
              <w:right w:val="nil"/>
            </w:tcBorders>
            <w:shd w:val="clear" w:color="auto" w:fill="auto"/>
            <w:noWrap/>
            <w:vAlign w:val="bottom"/>
            <w:hideMark/>
          </w:tcPr>
          <w:p w14:paraId="2ED5C50C"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2,000 </w:t>
            </w:r>
          </w:p>
        </w:tc>
        <w:tc>
          <w:tcPr>
            <w:tcW w:w="920" w:type="dxa"/>
            <w:tcBorders>
              <w:top w:val="single" w:sz="4" w:space="0" w:color="000000"/>
              <w:left w:val="nil"/>
              <w:bottom w:val="single" w:sz="4" w:space="0" w:color="000000"/>
              <w:right w:val="nil"/>
            </w:tcBorders>
            <w:shd w:val="clear" w:color="auto" w:fill="auto"/>
            <w:noWrap/>
            <w:vAlign w:val="bottom"/>
            <w:hideMark/>
          </w:tcPr>
          <w:p w14:paraId="59F530D4"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r>
    </w:tbl>
    <w:p w14:paraId="67537B20" w14:textId="77777777" w:rsidR="00A6223E" w:rsidRDefault="00A6223E" w:rsidP="000D22DB">
      <w:pPr>
        <w:pStyle w:val="Tablenumberandreference"/>
      </w:pPr>
    </w:p>
    <w:p w14:paraId="12E83431" w14:textId="77777777" w:rsidR="009C684C" w:rsidRDefault="009C684C">
      <w:pPr>
        <w:spacing w:after="0"/>
        <w:rPr>
          <w:rFonts w:ascii="Arial" w:hAnsi="Arial" w:cs="Arial"/>
          <w:b/>
          <w:sz w:val="20"/>
          <w:szCs w:val="18"/>
        </w:rPr>
      </w:pPr>
      <w:r>
        <w:rPr>
          <w:sz w:val="20"/>
        </w:rPr>
        <w:br w:type="page"/>
      </w:r>
    </w:p>
    <w:p w14:paraId="08A75DD5" w14:textId="3A4C0F00" w:rsidR="000A07C8" w:rsidRPr="00F277A4" w:rsidRDefault="007D48FE" w:rsidP="000D22DB">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w:t>
      </w:r>
      <w:r w:rsidR="00DA7A80"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DB2FDE" w:rsidRPr="00DB2FDE" w14:paraId="16AABCA0" w14:textId="77777777" w:rsidTr="00DB2FDE">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004460DA"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 xml:space="preserve">Outcome/ </w:t>
            </w:r>
            <w:r w:rsidRPr="00DB2FDE">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5A4443EA"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2022–23</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07EE551C"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2023–24</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D43C0A7"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2024–25</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0B42AA53"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2025–26</w:t>
            </w:r>
            <w:r w:rsidRPr="00DB2FDE">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178CFBF6" w14:textId="77777777" w:rsidR="00DB2FDE" w:rsidRPr="00DB2FDE" w:rsidRDefault="00DB2FDE" w:rsidP="00DB2FDE">
            <w:pPr>
              <w:spacing w:before="40" w:after="0"/>
              <w:jc w:val="right"/>
              <w:rPr>
                <w:rFonts w:ascii="Arial" w:hAnsi="Arial" w:cs="Arial"/>
                <w:b/>
                <w:bCs/>
                <w:color w:val="auto"/>
                <w:sz w:val="16"/>
                <w:szCs w:val="16"/>
              </w:rPr>
            </w:pPr>
            <w:r w:rsidRPr="00DB2FDE">
              <w:rPr>
                <w:rFonts w:ascii="Arial" w:hAnsi="Arial" w:cs="Arial"/>
                <w:b/>
                <w:bCs/>
                <w:color w:val="auto"/>
                <w:sz w:val="16"/>
                <w:szCs w:val="16"/>
              </w:rPr>
              <w:t>2026–27</w:t>
            </w:r>
            <w:r w:rsidRPr="00DB2FDE">
              <w:rPr>
                <w:rFonts w:ascii="Arial" w:hAnsi="Arial" w:cs="Arial"/>
                <w:b/>
                <w:bCs/>
                <w:color w:val="auto"/>
                <w:sz w:val="16"/>
                <w:szCs w:val="16"/>
              </w:rPr>
              <w:br/>
              <w:t>$'000</w:t>
            </w:r>
          </w:p>
        </w:tc>
      </w:tr>
      <w:tr w:rsidR="00DB2FDE" w:rsidRPr="00DB2FDE" w14:paraId="05DBDC2C" w14:textId="77777777" w:rsidTr="00DB2FDE">
        <w:trPr>
          <w:trHeight w:val="283"/>
          <w:jc w:val="center"/>
        </w:trPr>
        <w:tc>
          <w:tcPr>
            <w:tcW w:w="7380" w:type="dxa"/>
            <w:gridSpan w:val="7"/>
            <w:tcBorders>
              <w:top w:val="nil"/>
              <w:left w:val="nil"/>
              <w:bottom w:val="nil"/>
              <w:right w:val="nil"/>
            </w:tcBorders>
            <w:shd w:val="clear" w:color="auto" w:fill="auto"/>
            <w:vAlign w:val="bottom"/>
            <w:hideMark/>
          </w:tcPr>
          <w:p w14:paraId="2F12F8B4"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Implementing Aged Care Reform — home care</w:t>
            </w:r>
          </w:p>
        </w:tc>
      </w:tr>
      <w:tr w:rsidR="00DB2FDE" w:rsidRPr="00DB2FDE" w14:paraId="77660F2A" w14:textId="77777777" w:rsidTr="00DB2FDE">
        <w:trPr>
          <w:trHeight w:val="425"/>
          <w:jc w:val="center"/>
        </w:trPr>
        <w:tc>
          <w:tcPr>
            <w:tcW w:w="2320" w:type="dxa"/>
            <w:tcBorders>
              <w:top w:val="nil"/>
              <w:left w:val="nil"/>
              <w:bottom w:val="nil"/>
              <w:right w:val="nil"/>
            </w:tcBorders>
            <w:shd w:val="clear" w:color="auto" w:fill="auto"/>
            <w:vAlign w:val="bottom"/>
            <w:hideMark/>
          </w:tcPr>
          <w:p w14:paraId="5E9A4219"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EE6A92C"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1F4F2FF"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D1AFDB3"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F83866E"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3C911F7"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3C2E8B3"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4DF3BB04" w14:textId="77777777" w:rsidTr="00DB2FDE">
        <w:trPr>
          <w:trHeight w:val="225"/>
          <w:jc w:val="center"/>
        </w:trPr>
        <w:tc>
          <w:tcPr>
            <w:tcW w:w="2320" w:type="dxa"/>
            <w:tcBorders>
              <w:top w:val="nil"/>
              <w:left w:val="nil"/>
              <w:bottom w:val="nil"/>
              <w:right w:val="nil"/>
            </w:tcBorders>
            <w:shd w:val="clear" w:color="auto" w:fill="auto"/>
            <w:vAlign w:val="bottom"/>
            <w:hideMark/>
          </w:tcPr>
          <w:p w14:paraId="2160ACEE"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4D6E4E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3.1</w:t>
            </w:r>
          </w:p>
        </w:tc>
        <w:tc>
          <w:tcPr>
            <w:tcW w:w="920" w:type="dxa"/>
            <w:tcBorders>
              <w:top w:val="nil"/>
              <w:left w:val="nil"/>
              <w:bottom w:val="nil"/>
              <w:right w:val="nil"/>
            </w:tcBorders>
            <w:shd w:val="clear" w:color="auto" w:fill="auto"/>
            <w:noWrap/>
            <w:vAlign w:val="bottom"/>
            <w:hideMark/>
          </w:tcPr>
          <w:p w14:paraId="13174AF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FA43E5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19,616 </w:t>
            </w:r>
          </w:p>
        </w:tc>
        <w:tc>
          <w:tcPr>
            <w:tcW w:w="920" w:type="dxa"/>
            <w:tcBorders>
              <w:top w:val="nil"/>
              <w:left w:val="nil"/>
              <w:bottom w:val="nil"/>
              <w:right w:val="nil"/>
            </w:tcBorders>
            <w:shd w:val="clear" w:color="auto" w:fill="auto"/>
            <w:noWrap/>
            <w:vAlign w:val="bottom"/>
            <w:hideMark/>
          </w:tcPr>
          <w:p w14:paraId="5AF8BAE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18,061 </w:t>
            </w:r>
          </w:p>
        </w:tc>
        <w:tc>
          <w:tcPr>
            <w:tcW w:w="920" w:type="dxa"/>
            <w:tcBorders>
              <w:top w:val="nil"/>
              <w:left w:val="nil"/>
              <w:bottom w:val="nil"/>
              <w:right w:val="nil"/>
            </w:tcBorders>
            <w:shd w:val="clear" w:color="auto" w:fill="auto"/>
            <w:noWrap/>
            <w:vAlign w:val="bottom"/>
            <w:hideMark/>
          </w:tcPr>
          <w:p w14:paraId="13269FA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BC7E04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6B1520B5" w14:textId="77777777" w:rsidTr="00DB2FDE">
        <w:trPr>
          <w:trHeight w:val="225"/>
          <w:jc w:val="center"/>
        </w:trPr>
        <w:tc>
          <w:tcPr>
            <w:tcW w:w="2320" w:type="dxa"/>
            <w:tcBorders>
              <w:top w:val="nil"/>
              <w:left w:val="nil"/>
              <w:bottom w:val="nil"/>
              <w:right w:val="nil"/>
            </w:tcBorders>
            <w:shd w:val="clear" w:color="auto" w:fill="auto"/>
            <w:vAlign w:val="bottom"/>
            <w:hideMark/>
          </w:tcPr>
          <w:p w14:paraId="1A5A5D46" w14:textId="77777777" w:rsidR="00DB2FDE" w:rsidRPr="00DB2FDE" w:rsidRDefault="00DB2FDE"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7B9119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31E4621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193C17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164,833 </w:t>
            </w:r>
          </w:p>
        </w:tc>
        <w:tc>
          <w:tcPr>
            <w:tcW w:w="920" w:type="dxa"/>
            <w:tcBorders>
              <w:top w:val="nil"/>
              <w:left w:val="nil"/>
              <w:bottom w:val="nil"/>
              <w:right w:val="nil"/>
            </w:tcBorders>
            <w:shd w:val="clear" w:color="auto" w:fill="auto"/>
            <w:noWrap/>
            <w:vAlign w:val="bottom"/>
            <w:hideMark/>
          </w:tcPr>
          <w:p w14:paraId="3C725D3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A6E85B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D0C473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57929E1C"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2494B924"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88F577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2E1A813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9DAE11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33,509 </w:t>
            </w:r>
          </w:p>
        </w:tc>
        <w:tc>
          <w:tcPr>
            <w:tcW w:w="920" w:type="dxa"/>
            <w:tcBorders>
              <w:top w:val="nil"/>
              <w:left w:val="nil"/>
              <w:bottom w:val="nil"/>
              <w:right w:val="nil"/>
            </w:tcBorders>
            <w:shd w:val="clear" w:color="auto" w:fill="auto"/>
            <w:noWrap/>
            <w:vAlign w:val="bottom"/>
            <w:hideMark/>
          </w:tcPr>
          <w:p w14:paraId="6CF9C9E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17,913 </w:t>
            </w:r>
          </w:p>
        </w:tc>
        <w:tc>
          <w:tcPr>
            <w:tcW w:w="920" w:type="dxa"/>
            <w:tcBorders>
              <w:top w:val="nil"/>
              <w:left w:val="nil"/>
              <w:bottom w:val="nil"/>
              <w:right w:val="nil"/>
            </w:tcBorders>
            <w:shd w:val="clear" w:color="auto" w:fill="auto"/>
            <w:noWrap/>
            <w:vAlign w:val="bottom"/>
            <w:hideMark/>
          </w:tcPr>
          <w:p w14:paraId="45C2A21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17,894 </w:t>
            </w:r>
          </w:p>
        </w:tc>
        <w:tc>
          <w:tcPr>
            <w:tcW w:w="920" w:type="dxa"/>
            <w:tcBorders>
              <w:top w:val="nil"/>
              <w:left w:val="nil"/>
              <w:bottom w:val="nil"/>
              <w:right w:val="nil"/>
            </w:tcBorders>
            <w:shd w:val="clear" w:color="auto" w:fill="auto"/>
            <w:noWrap/>
            <w:vAlign w:val="bottom"/>
            <w:hideMark/>
          </w:tcPr>
          <w:p w14:paraId="56D2299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15,893 </w:t>
            </w:r>
          </w:p>
        </w:tc>
      </w:tr>
      <w:tr w:rsidR="00DB2FDE" w:rsidRPr="00DB2FDE" w14:paraId="1B00E0F7" w14:textId="77777777" w:rsidTr="00DB2FDE">
        <w:trPr>
          <w:trHeight w:val="425"/>
          <w:jc w:val="center"/>
        </w:trPr>
        <w:tc>
          <w:tcPr>
            <w:tcW w:w="2320" w:type="dxa"/>
            <w:tcBorders>
              <w:top w:val="nil"/>
              <w:left w:val="nil"/>
              <w:bottom w:val="nil"/>
              <w:right w:val="nil"/>
            </w:tcBorders>
            <w:shd w:val="clear" w:color="auto" w:fill="auto"/>
            <w:vAlign w:val="bottom"/>
            <w:hideMark/>
          </w:tcPr>
          <w:p w14:paraId="2EC8759C"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5B54A88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59D322F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3F1D76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21,902 </w:t>
            </w:r>
          </w:p>
        </w:tc>
        <w:tc>
          <w:tcPr>
            <w:tcW w:w="920" w:type="dxa"/>
            <w:tcBorders>
              <w:top w:val="nil"/>
              <w:left w:val="nil"/>
              <w:bottom w:val="nil"/>
              <w:right w:val="nil"/>
            </w:tcBorders>
            <w:shd w:val="clear" w:color="auto" w:fill="auto"/>
            <w:noWrap/>
            <w:vAlign w:val="bottom"/>
            <w:hideMark/>
          </w:tcPr>
          <w:p w14:paraId="3FE0F9D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DE414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D7BA1F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08C2055F" w14:textId="77777777" w:rsidTr="00DB2FDE">
        <w:trPr>
          <w:trHeight w:val="454"/>
          <w:jc w:val="center"/>
        </w:trPr>
        <w:tc>
          <w:tcPr>
            <w:tcW w:w="2320" w:type="dxa"/>
            <w:tcBorders>
              <w:top w:val="nil"/>
              <w:left w:val="nil"/>
              <w:bottom w:val="nil"/>
              <w:right w:val="nil"/>
            </w:tcBorders>
            <w:shd w:val="clear" w:color="auto" w:fill="auto"/>
            <w:vAlign w:val="bottom"/>
            <w:hideMark/>
          </w:tcPr>
          <w:p w14:paraId="0BC3169C"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Aged Care Quality and Safety Commission</w:t>
            </w:r>
          </w:p>
        </w:tc>
        <w:tc>
          <w:tcPr>
            <w:tcW w:w="460" w:type="dxa"/>
            <w:tcBorders>
              <w:top w:val="nil"/>
              <w:left w:val="nil"/>
              <w:bottom w:val="nil"/>
              <w:right w:val="nil"/>
            </w:tcBorders>
            <w:shd w:val="clear" w:color="auto" w:fill="auto"/>
            <w:noWrap/>
            <w:vAlign w:val="bottom"/>
            <w:hideMark/>
          </w:tcPr>
          <w:p w14:paraId="56471EF6"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17B975E"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7D6A960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D09D903"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DD7516E"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85BE737"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47C83F9F" w14:textId="77777777" w:rsidTr="00DB2FDE">
        <w:trPr>
          <w:trHeight w:val="225"/>
          <w:jc w:val="center"/>
        </w:trPr>
        <w:tc>
          <w:tcPr>
            <w:tcW w:w="2320" w:type="dxa"/>
            <w:tcBorders>
              <w:top w:val="nil"/>
              <w:left w:val="nil"/>
              <w:bottom w:val="nil"/>
              <w:right w:val="nil"/>
            </w:tcBorders>
            <w:shd w:val="clear" w:color="auto" w:fill="auto"/>
            <w:vAlign w:val="bottom"/>
            <w:hideMark/>
          </w:tcPr>
          <w:p w14:paraId="1654BF91"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C45DE0A"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F64009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A77B4B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1,977 </w:t>
            </w:r>
          </w:p>
        </w:tc>
        <w:tc>
          <w:tcPr>
            <w:tcW w:w="920" w:type="dxa"/>
            <w:tcBorders>
              <w:top w:val="nil"/>
              <w:left w:val="nil"/>
              <w:bottom w:val="nil"/>
              <w:right w:val="nil"/>
            </w:tcBorders>
            <w:shd w:val="clear" w:color="auto" w:fill="auto"/>
            <w:noWrap/>
            <w:vAlign w:val="bottom"/>
            <w:hideMark/>
          </w:tcPr>
          <w:p w14:paraId="4D5BAC3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0EB740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3CE2E0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13A2D1AD" w14:textId="77777777" w:rsidTr="00FF1A9C">
        <w:trPr>
          <w:trHeight w:val="454"/>
          <w:jc w:val="center"/>
        </w:trPr>
        <w:tc>
          <w:tcPr>
            <w:tcW w:w="2320" w:type="dxa"/>
            <w:tcBorders>
              <w:top w:val="nil"/>
              <w:left w:val="nil"/>
              <w:bottom w:val="nil"/>
              <w:right w:val="nil"/>
            </w:tcBorders>
            <w:shd w:val="clear" w:color="auto" w:fill="auto"/>
            <w:vAlign w:val="bottom"/>
            <w:hideMark/>
          </w:tcPr>
          <w:p w14:paraId="683D8D74"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Australian Digital Health Agency</w:t>
            </w:r>
          </w:p>
        </w:tc>
        <w:tc>
          <w:tcPr>
            <w:tcW w:w="460" w:type="dxa"/>
            <w:tcBorders>
              <w:top w:val="nil"/>
              <w:left w:val="nil"/>
              <w:bottom w:val="nil"/>
              <w:right w:val="nil"/>
            </w:tcBorders>
            <w:shd w:val="clear" w:color="auto" w:fill="auto"/>
            <w:noWrap/>
            <w:vAlign w:val="bottom"/>
            <w:hideMark/>
          </w:tcPr>
          <w:p w14:paraId="1C687B0D"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F456861"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4C2361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9A1FD14"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676B140"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27A9494"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67F4E87" w14:textId="77777777" w:rsidTr="00DB2FDE">
        <w:trPr>
          <w:trHeight w:val="225"/>
          <w:jc w:val="center"/>
        </w:trPr>
        <w:tc>
          <w:tcPr>
            <w:tcW w:w="2320" w:type="dxa"/>
            <w:tcBorders>
              <w:top w:val="nil"/>
              <w:left w:val="nil"/>
              <w:bottom w:val="nil"/>
              <w:right w:val="nil"/>
            </w:tcBorders>
            <w:shd w:val="clear" w:color="auto" w:fill="auto"/>
            <w:vAlign w:val="bottom"/>
            <w:hideMark/>
          </w:tcPr>
          <w:p w14:paraId="6852A081"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4E459B7"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752AE0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9EC0A2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4,216 </w:t>
            </w:r>
          </w:p>
        </w:tc>
        <w:tc>
          <w:tcPr>
            <w:tcW w:w="920" w:type="dxa"/>
            <w:tcBorders>
              <w:top w:val="nil"/>
              <w:left w:val="nil"/>
              <w:bottom w:val="nil"/>
              <w:right w:val="nil"/>
            </w:tcBorders>
            <w:shd w:val="clear" w:color="auto" w:fill="auto"/>
            <w:noWrap/>
            <w:vAlign w:val="bottom"/>
            <w:hideMark/>
          </w:tcPr>
          <w:p w14:paraId="3F4D72E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93EA6E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3956CE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0E37C892" w14:textId="77777777" w:rsidTr="00FF1A9C">
        <w:trPr>
          <w:trHeight w:val="283"/>
          <w:jc w:val="center"/>
        </w:trPr>
        <w:tc>
          <w:tcPr>
            <w:tcW w:w="2320" w:type="dxa"/>
            <w:tcBorders>
              <w:top w:val="nil"/>
              <w:left w:val="nil"/>
              <w:bottom w:val="nil"/>
              <w:right w:val="nil"/>
            </w:tcBorders>
            <w:shd w:val="clear" w:color="auto" w:fill="auto"/>
            <w:vAlign w:val="bottom"/>
            <w:hideMark/>
          </w:tcPr>
          <w:p w14:paraId="3CF479DE"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Finance</w:t>
            </w:r>
          </w:p>
        </w:tc>
        <w:tc>
          <w:tcPr>
            <w:tcW w:w="460" w:type="dxa"/>
            <w:tcBorders>
              <w:top w:val="nil"/>
              <w:left w:val="nil"/>
              <w:bottom w:val="nil"/>
              <w:right w:val="nil"/>
            </w:tcBorders>
            <w:shd w:val="clear" w:color="auto" w:fill="auto"/>
            <w:noWrap/>
            <w:vAlign w:val="bottom"/>
            <w:hideMark/>
          </w:tcPr>
          <w:p w14:paraId="09F417E9"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4460C73"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E588A9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5C8C101"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1A12585"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E293734"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17053548"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D163420"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27DA741C"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2A530C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64C737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72 </w:t>
            </w:r>
          </w:p>
        </w:tc>
        <w:tc>
          <w:tcPr>
            <w:tcW w:w="920" w:type="dxa"/>
            <w:tcBorders>
              <w:top w:val="nil"/>
              <w:left w:val="nil"/>
              <w:bottom w:val="nil"/>
              <w:right w:val="nil"/>
            </w:tcBorders>
            <w:shd w:val="clear" w:color="auto" w:fill="auto"/>
            <w:noWrap/>
            <w:vAlign w:val="bottom"/>
            <w:hideMark/>
          </w:tcPr>
          <w:p w14:paraId="0DF6992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85DBCB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F1C982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3A45F30" w14:textId="77777777" w:rsidTr="00FF1A9C">
        <w:trPr>
          <w:trHeight w:val="454"/>
          <w:jc w:val="center"/>
        </w:trPr>
        <w:tc>
          <w:tcPr>
            <w:tcW w:w="2320" w:type="dxa"/>
            <w:tcBorders>
              <w:top w:val="nil"/>
              <w:left w:val="nil"/>
              <w:bottom w:val="nil"/>
              <w:right w:val="nil"/>
            </w:tcBorders>
            <w:shd w:val="clear" w:color="auto" w:fill="auto"/>
            <w:vAlign w:val="bottom"/>
            <w:hideMark/>
          </w:tcPr>
          <w:p w14:paraId="3DD9D855"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694D122A"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CBEB491"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4B21FA5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18CAE85"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D100DE4"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F1BB1F"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DD0101A"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3E4A6DB"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5E1E11E"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58639A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95DA78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329 </w:t>
            </w:r>
          </w:p>
        </w:tc>
        <w:tc>
          <w:tcPr>
            <w:tcW w:w="920" w:type="dxa"/>
            <w:tcBorders>
              <w:top w:val="nil"/>
              <w:left w:val="nil"/>
              <w:bottom w:val="nil"/>
              <w:right w:val="nil"/>
            </w:tcBorders>
            <w:shd w:val="clear" w:color="auto" w:fill="auto"/>
            <w:noWrap/>
            <w:vAlign w:val="bottom"/>
            <w:hideMark/>
          </w:tcPr>
          <w:p w14:paraId="58F108B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1E8151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F7D1D0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3B752DDA" w14:textId="77777777" w:rsidTr="00FF1A9C">
        <w:trPr>
          <w:trHeight w:val="283"/>
          <w:jc w:val="center"/>
        </w:trPr>
        <w:tc>
          <w:tcPr>
            <w:tcW w:w="2320" w:type="dxa"/>
            <w:tcBorders>
              <w:top w:val="nil"/>
              <w:left w:val="nil"/>
              <w:bottom w:val="nil"/>
              <w:right w:val="nil"/>
            </w:tcBorders>
            <w:shd w:val="clear" w:color="auto" w:fill="auto"/>
            <w:vAlign w:val="bottom"/>
            <w:hideMark/>
          </w:tcPr>
          <w:p w14:paraId="62069EDE"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33099A5E"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273DB52"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1B1A41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6F0F541"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4FD6B80"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911D068"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B67B040" w14:textId="77777777" w:rsidTr="00DB2FDE">
        <w:trPr>
          <w:trHeight w:val="225"/>
          <w:jc w:val="center"/>
        </w:trPr>
        <w:tc>
          <w:tcPr>
            <w:tcW w:w="2320" w:type="dxa"/>
            <w:tcBorders>
              <w:top w:val="nil"/>
              <w:left w:val="nil"/>
              <w:bottom w:val="nil"/>
              <w:right w:val="nil"/>
            </w:tcBorders>
            <w:shd w:val="clear" w:color="auto" w:fill="auto"/>
            <w:vAlign w:val="bottom"/>
            <w:hideMark/>
          </w:tcPr>
          <w:p w14:paraId="196CD8A4"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FBFDA40"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E24BEC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2B90B4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22,166 </w:t>
            </w:r>
          </w:p>
        </w:tc>
        <w:tc>
          <w:tcPr>
            <w:tcW w:w="920" w:type="dxa"/>
            <w:tcBorders>
              <w:top w:val="nil"/>
              <w:left w:val="nil"/>
              <w:bottom w:val="nil"/>
              <w:right w:val="nil"/>
            </w:tcBorders>
            <w:shd w:val="clear" w:color="auto" w:fill="auto"/>
            <w:noWrap/>
            <w:vAlign w:val="bottom"/>
            <w:hideMark/>
          </w:tcPr>
          <w:p w14:paraId="6FF1806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ED897D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645B61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6E0A51CB" w14:textId="77777777" w:rsidTr="00FF1A9C">
        <w:trPr>
          <w:trHeight w:val="425"/>
          <w:jc w:val="center"/>
        </w:trPr>
        <w:tc>
          <w:tcPr>
            <w:tcW w:w="2320" w:type="dxa"/>
            <w:tcBorders>
              <w:top w:val="nil"/>
              <w:left w:val="nil"/>
              <w:bottom w:val="nil"/>
              <w:right w:val="nil"/>
            </w:tcBorders>
            <w:shd w:val="clear" w:color="auto" w:fill="auto"/>
            <w:vAlign w:val="bottom"/>
            <w:hideMark/>
          </w:tcPr>
          <w:p w14:paraId="03E17912"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7BEE57B7"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1A7FFD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50DC3F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327 </w:t>
            </w:r>
          </w:p>
        </w:tc>
        <w:tc>
          <w:tcPr>
            <w:tcW w:w="920" w:type="dxa"/>
            <w:tcBorders>
              <w:top w:val="nil"/>
              <w:left w:val="nil"/>
              <w:bottom w:val="nil"/>
              <w:right w:val="nil"/>
            </w:tcBorders>
            <w:shd w:val="clear" w:color="auto" w:fill="auto"/>
            <w:noWrap/>
            <w:vAlign w:val="bottom"/>
            <w:hideMark/>
          </w:tcPr>
          <w:p w14:paraId="1C24198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FF3140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B53846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15ED7F56"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1CF0C50F"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5BC48652"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D61E8A2"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50265775"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268,947 </w:t>
            </w:r>
          </w:p>
        </w:tc>
        <w:tc>
          <w:tcPr>
            <w:tcW w:w="920" w:type="dxa"/>
            <w:tcBorders>
              <w:top w:val="single" w:sz="4" w:space="0" w:color="000000"/>
              <w:left w:val="nil"/>
              <w:bottom w:val="single" w:sz="4" w:space="0" w:color="000000"/>
              <w:right w:val="nil"/>
            </w:tcBorders>
            <w:shd w:val="clear" w:color="auto" w:fill="auto"/>
            <w:noWrap/>
            <w:vAlign w:val="bottom"/>
            <w:hideMark/>
          </w:tcPr>
          <w:p w14:paraId="69F5FDB7"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35,974 </w:t>
            </w:r>
          </w:p>
        </w:tc>
        <w:tc>
          <w:tcPr>
            <w:tcW w:w="920" w:type="dxa"/>
            <w:tcBorders>
              <w:top w:val="single" w:sz="4" w:space="0" w:color="000000"/>
              <w:left w:val="nil"/>
              <w:bottom w:val="single" w:sz="4" w:space="0" w:color="000000"/>
              <w:right w:val="nil"/>
            </w:tcBorders>
            <w:shd w:val="clear" w:color="auto" w:fill="auto"/>
            <w:noWrap/>
            <w:vAlign w:val="bottom"/>
            <w:hideMark/>
          </w:tcPr>
          <w:p w14:paraId="1D1349FF"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17,894 </w:t>
            </w:r>
          </w:p>
        </w:tc>
        <w:tc>
          <w:tcPr>
            <w:tcW w:w="920" w:type="dxa"/>
            <w:tcBorders>
              <w:top w:val="single" w:sz="4" w:space="0" w:color="000000"/>
              <w:left w:val="nil"/>
              <w:bottom w:val="single" w:sz="4" w:space="0" w:color="000000"/>
              <w:right w:val="nil"/>
            </w:tcBorders>
            <w:shd w:val="clear" w:color="auto" w:fill="auto"/>
            <w:noWrap/>
            <w:vAlign w:val="bottom"/>
            <w:hideMark/>
          </w:tcPr>
          <w:p w14:paraId="080A806D"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15,893 </w:t>
            </w:r>
          </w:p>
        </w:tc>
      </w:tr>
      <w:tr w:rsidR="00DB2FDE" w:rsidRPr="00DB2FDE" w14:paraId="0FF36E02" w14:textId="77777777" w:rsidTr="00FF1A9C">
        <w:trPr>
          <w:trHeight w:val="283"/>
          <w:jc w:val="center"/>
        </w:trPr>
        <w:tc>
          <w:tcPr>
            <w:tcW w:w="7380" w:type="dxa"/>
            <w:gridSpan w:val="7"/>
            <w:tcBorders>
              <w:top w:val="nil"/>
              <w:left w:val="nil"/>
              <w:bottom w:val="nil"/>
              <w:right w:val="nil"/>
            </w:tcBorders>
            <w:shd w:val="clear" w:color="auto" w:fill="auto"/>
            <w:vAlign w:val="bottom"/>
            <w:hideMark/>
          </w:tcPr>
          <w:p w14:paraId="533AC063"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Improving Aged Care Support</w:t>
            </w:r>
          </w:p>
        </w:tc>
      </w:tr>
      <w:tr w:rsidR="00DB2FDE" w:rsidRPr="00DB2FDE" w14:paraId="646259D4" w14:textId="77777777" w:rsidTr="00FF1A9C">
        <w:trPr>
          <w:trHeight w:val="425"/>
          <w:jc w:val="center"/>
        </w:trPr>
        <w:tc>
          <w:tcPr>
            <w:tcW w:w="2320" w:type="dxa"/>
            <w:tcBorders>
              <w:top w:val="nil"/>
              <w:left w:val="nil"/>
              <w:bottom w:val="nil"/>
              <w:right w:val="nil"/>
            </w:tcBorders>
            <w:shd w:val="clear" w:color="auto" w:fill="auto"/>
            <w:vAlign w:val="bottom"/>
            <w:hideMark/>
          </w:tcPr>
          <w:p w14:paraId="08D0069E"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2F9A7E3E"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4E9D5C2"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9BA4706"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A4378F5"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9844FA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3F0B527"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60C32C9C"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2C1D10DA"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21C582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446FC68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F1F555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9,247 </w:t>
            </w:r>
          </w:p>
        </w:tc>
        <w:tc>
          <w:tcPr>
            <w:tcW w:w="920" w:type="dxa"/>
            <w:tcBorders>
              <w:top w:val="nil"/>
              <w:left w:val="nil"/>
              <w:bottom w:val="nil"/>
              <w:right w:val="nil"/>
            </w:tcBorders>
            <w:shd w:val="clear" w:color="auto" w:fill="auto"/>
            <w:noWrap/>
            <w:vAlign w:val="bottom"/>
            <w:hideMark/>
          </w:tcPr>
          <w:p w14:paraId="401A154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6,279 </w:t>
            </w:r>
          </w:p>
        </w:tc>
        <w:tc>
          <w:tcPr>
            <w:tcW w:w="920" w:type="dxa"/>
            <w:tcBorders>
              <w:top w:val="nil"/>
              <w:left w:val="nil"/>
              <w:bottom w:val="nil"/>
              <w:right w:val="nil"/>
            </w:tcBorders>
            <w:shd w:val="clear" w:color="auto" w:fill="auto"/>
            <w:noWrap/>
            <w:vAlign w:val="bottom"/>
            <w:hideMark/>
          </w:tcPr>
          <w:p w14:paraId="43AFAF8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6,385 </w:t>
            </w:r>
          </w:p>
        </w:tc>
        <w:tc>
          <w:tcPr>
            <w:tcW w:w="920" w:type="dxa"/>
            <w:tcBorders>
              <w:top w:val="nil"/>
              <w:left w:val="nil"/>
              <w:bottom w:val="nil"/>
              <w:right w:val="nil"/>
            </w:tcBorders>
            <w:shd w:val="clear" w:color="auto" w:fill="auto"/>
            <w:noWrap/>
            <w:vAlign w:val="bottom"/>
            <w:hideMark/>
          </w:tcPr>
          <w:p w14:paraId="45EE446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6,493 </w:t>
            </w:r>
          </w:p>
        </w:tc>
      </w:tr>
      <w:tr w:rsidR="00DB2FDE" w:rsidRPr="00DB2FDE" w14:paraId="7DA50B28"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3A934CEA"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FFA8A9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14:paraId="09A3BE0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9BE50C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16,401 </w:t>
            </w:r>
          </w:p>
        </w:tc>
        <w:tc>
          <w:tcPr>
            <w:tcW w:w="920" w:type="dxa"/>
            <w:tcBorders>
              <w:top w:val="nil"/>
              <w:left w:val="nil"/>
              <w:bottom w:val="nil"/>
              <w:right w:val="nil"/>
            </w:tcBorders>
            <w:shd w:val="clear" w:color="auto" w:fill="auto"/>
            <w:noWrap/>
            <w:vAlign w:val="bottom"/>
            <w:hideMark/>
          </w:tcPr>
          <w:p w14:paraId="452E0FF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19,034 </w:t>
            </w:r>
          </w:p>
        </w:tc>
        <w:tc>
          <w:tcPr>
            <w:tcW w:w="920" w:type="dxa"/>
            <w:tcBorders>
              <w:top w:val="nil"/>
              <w:left w:val="nil"/>
              <w:bottom w:val="nil"/>
              <w:right w:val="nil"/>
            </w:tcBorders>
            <w:shd w:val="clear" w:color="auto" w:fill="auto"/>
            <w:noWrap/>
            <w:vAlign w:val="bottom"/>
            <w:hideMark/>
          </w:tcPr>
          <w:p w14:paraId="1327C55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18,819 </w:t>
            </w:r>
          </w:p>
        </w:tc>
        <w:tc>
          <w:tcPr>
            <w:tcW w:w="920" w:type="dxa"/>
            <w:tcBorders>
              <w:top w:val="nil"/>
              <w:left w:val="nil"/>
              <w:bottom w:val="nil"/>
              <w:right w:val="nil"/>
            </w:tcBorders>
            <w:shd w:val="clear" w:color="auto" w:fill="auto"/>
            <w:noWrap/>
            <w:vAlign w:val="bottom"/>
            <w:hideMark/>
          </w:tcPr>
          <w:p w14:paraId="77C9393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22,235 </w:t>
            </w:r>
          </w:p>
        </w:tc>
      </w:tr>
      <w:tr w:rsidR="00DB2FDE" w:rsidRPr="00DB2FDE" w14:paraId="23D3B81B"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3FA9FA70"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6F96CB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59CD3E2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1D6B16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46024E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1,841 </w:t>
            </w:r>
          </w:p>
        </w:tc>
        <w:tc>
          <w:tcPr>
            <w:tcW w:w="920" w:type="dxa"/>
            <w:tcBorders>
              <w:top w:val="nil"/>
              <w:left w:val="nil"/>
              <w:bottom w:val="nil"/>
              <w:right w:val="nil"/>
            </w:tcBorders>
            <w:shd w:val="clear" w:color="auto" w:fill="auto"/>
            <w:noWrap/>
            <w:vAlign w:val="bottom"/>
            <w:hideMark/>
          </w:tcPr>
          <w:p w14:paraId="4774175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1,993 </w:t>
            </w:r>
          </w:p>
        </w:tc>
        <w:tc>
          <w:tcPr>
            <w:tcW w:w="920" w:type="dxa"/>
            <w:tcBorders>
              <w:top w:val="nil"/>
              <w:left w:val="nil"/>
              <w:bottom w:val="nil"/>
              <w:right w:val="nil"/>
            </w:tcBorders>
            <w:shd w:val="clear" w:color="auto" w:fill="auto"/>
            <w:noWrap/>
            <w:vAlign w:val="bottom"/>
            <w:hideMark/>
          </w:tcPr>
          <w:p w14:paraId="4BAF6C1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2,073 </w:t>
            </w:r>
          </w:p>
        </w:tc>
      </w:tr>
      <w:tr w:rsidR="00DB2FDE" w:rsidRPr="00DB2FDE" w14:paraId="7F9A57BB"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C4AAB4B"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79A1AA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3.1</w:t>
            </w:r>
          </w:p>
        </w:tc>
        <w:tc>
          <w:tcPr>
            <w:tcW w:w="920" w:type="dxa"/>
            <w:tcBorders>
              <w:top w:val="nil"/>
              <w:left w:val="nil"/>
              <w:bottom w:val="nil"/>
              <w:right w:val="nil"/>
            </w:tcBorders>
            <w:shd w:val="clear" w:color="auto" w:fill="auto"/>
            <w:noWrap/>
            <w:vAlign w:val="bottom"/>
            <w:hideMark/>
          </w:tcPr>
          <w:p w14:paraId="5DFDAAF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795DE2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B78CFD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375 </w:t>
            </w:r>
          </w:p>
        </w:tc>
        <w:tc>
          <w:tcPr>
            <w:tcW w:w="920" w:type="dxa"/>
            <w:tcBorders>
              <w:top w:val="nil"/>
              <w:left w:val="nil"/>
              <w:bottom w:val="nil"/>
              <w:right w:val="nil"/>
            </w:tcBorders>
            <w:shd w:val="clear" w:color="auto" w:fill="auto"/>
            <w:noWrap/>
            <w:vAlign w:val="bottom"/>
            <w:hideMark/>
          </w:tcPr>
          <w:p w14:paraId="64C9679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129 </w:t>
            </w:r>
          </w:p>
        </w:tc>
        <w:tc>
          <w:tcPr>
            <w:tcW w:w="920" w:type="dxa"/>
            <w:tcBorders>
              <w:top w:val="nil"/>
              <w:left w:val="nil"/>
              <w:bottom w:val="nil"/>
              <w:right w:val="nil"/>
            </w:tcBorders>
            <w:shd w:val="clear" w:color="auto" w:fill="auto"/>
            <w:noWrap/>
            <w:vAlign w:val="bottom"/>
            <w:hideMark/>
          </w:tcPr>
          <w:p w14:paraId="1D9887B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692AC8BB"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5F24973E"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9CB1E8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205F2EA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E8DC86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12,530 </w:t>
            </w:r>
          </w:p>
        </w:tc>
        <w:tc>
          <w:tcPr>
            <w:tcW w:w="920" w:type="dxa"/>
            <w:tcBorders>
              <w:top w:val="nil"/>
              <w:left w:val="nil"/>
              <w:bottom w:val="nil"/>
              <w:right w:val="nil"/>
            </w:tcBorders>
            <w:shd w:val="clear" w:color="auto" w:fill="auto"/>
            <w:noWrap/>
            <w:vAlign w:val="bottom"/>
            <w:hideMark/>
          </w:tcPr>
          <w:p w14:paraId="204E34C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170,710 </w:t>
            </w:r>
          </w:p>
        </w:tc>
        <w:tc>
          <w:tcPr>
            <w:tcW w:w="920" w:type="dxa"/>
            <w:tcBorders>
              <w:top w:val="nil"/>
              <w:left w:val="nil"/>
              <w:bottom w:val="nil"/>
              <w:right w:val="nil"/>
            </w:tcBorders>
            <w:shd w:val="clear" w:color="auto" w:fill="auto"/>
            <w:noWrap/>
            <w:vAlign w:val="bottom"/>
            <w:hideMark/>
          </w:tcPr>
          <w:p w14:paraId="734B2E1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157,320 </w:t>
            </w:r>
          </w:p>
        </w:tc>
        <w:tc>
          <w:tcPr>
            <w:tcW w:w="920" w:type="dxa"/>
            <w:tcBorders>
              <w:top w:val="nil"/>
              <w:left w:val="nil"/>
              <w:bottom w:val="nil"/>
              <w:right w:val="nil"/>
            </w:tcBorders>
            <w:shd w:val="clear" w:color="auto" w:fill="auto"/>
            <w:noWrap/>
            <w:vAlign w:val="bottom"/>
            <w:hideMark/>
          </w:tcPr>
          <w:p w14:paraId="2635632F"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144,980 </w:t>
            </w:r>
          </w:p>
        </w:tc>
      </w:tr>
      <w:tr w:rsidR="00DB2FDE" w:rsidRPr="00DB2FDE" w14:paraId="058D8A21"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296392CA"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C03159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4D60234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C35A04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45,117 </w:t>
            </w:r>
          </w:p>
        </w:tc>
        <w:tc>
          <w:tcPr>
            <w:tcW w:w="920" w:type="dxa"/>
            <w:tcBorders>
              <w:top w:val="nil"/>
              <w:left w:val="nil"/>
              <w:bottom w:val="nil"/>
              <w:right w:val="nil"/>
            </w:tcBorders>
            <w:shd w:val="clear" w:color="auto" w:fill="auto"/>
            <w:noWrap/>
            <w:vAlign w:val="bottom"/>
            <w:hideMark/>
          </w:tcPr>
          <w:p w14:paraId="30527C9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50,134 </w:t>
            </w:r>
          </w:p>
        </w:tc>
        <w:tc>
          <w:tcPr>
            <w:tcW w:w="920" w:type="dxa"/>
            <w:tcBorders>
              <w:top w:val="nil"/>
              <w:left w:val="nil"/>
              <w:bottom w:val="nil"/>
              <w:right w:val="nil"/>
            </w:tcBorders>
            <w:shd w:val="clear" w:color="auto" w:fill="auto"/>
            <w:noWrap/>
            <w:vAlign w:val="bottom"/>
            <w:hideMark/>
          </w:tcPr>
          <w:p w14:paraId="67827AB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600 </w:t>
            </w:r>
          </w:p>
        </w:tc>
        <w:tc>
          <w:tcPr>
            <w:tcW w:w="920" w:type="dxa"/>
            <w:tcBorders>
              <w:top w:val="nil"/>
              <w:left w:val="nil"/>
              <w:bottom w:val="nil"/>
              <w:right w:val="nil"/>
            </w:tcBorders>
            <w:shd w:val="clear" w:color="auto" w:fill="auto"/>
            <w:noWrap/>
            <w:vAlign w:val="bottom"/>
            <w:hideMark/>
          </w:tcPr>
          <w:p w14:paraId="13AA410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6E9FDEDC" w14:textId="77777777" w:rsidTr="00DB2FDE">
        <w:trPr>
          <w:trHeight w:val="225"/>
          <w:jc w:val="center"/>
        </w:trPr>
        <w:tc>
          <w:tcPr>
            <w:tcW w:w="2320" w:type="dxa"/>
            <w:tcBorders>
              <w:top w:val="nil"/>
              <w:left w:val="nil"/>
              <w:bottom w:val="nil"/>
              <w:right w:val="nil"/>
            </w:tcBorders>
            <w:shd w:val="clear" w:color="auto" w:fill="auto"/>
            <w:vAlign w:val="bottom"/>
            <w:hideMark/>
          </w:tcPr>
          <w:p w14:paraId="21F8CCA3"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0CF48F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0B2F8EC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A84B6E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510 </w:t>
            </w:r>
          </w:p>
        </w:tc>
        <w:tc>
          <w:tcPr>
            <w:tcW w:w="920" w:type="dxa"/>
            <w:tcBorders>
              <w:top w:val="nil"/>
              <w:left w:val="nil"/>
              <w:bottom w:val="nil"/>
              <w:right w:val="nil"/>
            </w:tcBorders>
            <w:shd w:val="clear" w:color="auto" w:fill="auto"/>
            <w:noWrap/>
            <w:vAlign w:val="bottom"/>
            <w:hideMark/>
          </w:tcPr>
          <w:p w14:paraId="106A145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518 </w:t>
            </w:r>
          </w:p>
        </w:tc>
        <w:tc>
          <w:tcPr>
            <w:tcW w:w="920" w:type="dxa"/>
            <w:tcBorders>
              <w:top w:val="nil"/>
              <w:left w:val="nil"/>
              <w:bottom w:val="nil"/>
              <w:right w:val="nil"/>
            </w:tcBorders>
            <w:shd w:val="clear" w:color="auto" w:fill="auto"/>
            <w:noWrap/>
            <w:vAlign w:val="bottom"/>
            <w:hideMark/>
          </w:tcPr>
          <w:p w14:paraId="509A0AB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522 </w:t>
            </w:r>
          </w:p>
        </w:tc>
        <w:tc>
          <w:tcPr>
            <w:tcW w:w="920" w:type="dxa"/>
            <w:tcBorders>
              <w:top w:val="nil"/>
              <w:left w:val="nil"/>
              <w:bottom w:val="nil"/>
              <w:right w:val="nil"/>
            </w:tcBorders>
            <w:shd w:val="clear" w:color="auto" w:fill="auto"/>
            <w:noWrap/>
            <w:vAlign w:val="bottom"/>
            <w:hideMark/>
          </w:tcPr>
          <w:p w14:paraId="4099FD8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527 </w:t>
            </w:r>
          </w:p>
        </w:tc>
      </w:tr>
      <w:tr w:rsidR="00DB2FDE" w:rsidRPr="00DB2FDE" w14:paraId="1092326C" w14:textId="77777777" w:rsidTr="00DB2FDE">
        <w:trPr>
          <w:trHeight w:val="225"/>
          <w:jc w:val="center"/>
        </w:trPr>
        <w:tc>
          <w:tcPr>
            <w:tcW w:w="2320" w:type="dxa"/>
            <w:tcBorders>
              <w:top w:val="nil"/>
              <w:left w:val="nil"/>
              <w:bottom w:val="nil"/>
              <w:right w:val="nil"/>
            </w:tcBorders>
            <w:shd w:val="clear" w:color="auto" w:fill="auto"/>
            <w:vAlign w:val="bottom"/>
            <w:hideMark/>
          </w:tcPr>
          <w:p w14:paraId="06358E51" w14:textId="77777777" w:rsidR="00DB2FDE" w:rsidRPr="00DB2FDE" w:rsidRDefault="00DB2FDE" w:rsidP="00DB2FDE">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FA17E9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01820D1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886 </w:t>
            </w:r>
          </w:p>
        </w:tc>
        <w:tc>
          <w:tcPr>
            <w:tcW w:w="920" w:type="dxa"/>
            <w:tcBorders>
              <w:top w:val="nil"/>
              <w:left w:val="nil"/>
              <w:bottom w:val="nil"/>
              <w:right w:val="nil"/>
            </w:tcBorders>
            <w:shd w:val="clear" w:color="000000" w:fill="D9D9D9"/>
            <w:noWrap/>
            <w:vAlign w:val="bottom"/>
            <w:hideMark/>
          </w:tcPr>
          <w:p w14:paraId="753C377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76,325 </w:t>
            </w:r>
          </w:p>
        </w:tc>
        <w:tc>
          <w:tcPr>
            <w:tcW w:w="920" w:type="dxa"/>
            <w:tcBorders>
              <w:top w:val="nil"/>
              <w:left w:val="nil"/>
              <w:bottom w:val="nil"/>
              <w:right w:val="nil"/>
            </w:tcBorders>
            <w:shd w:val="clear" w:color="auto" w:fill="auto"/>
            <w:noWrap/>
            <w:vAlign w:val="bottom"/>
            <w:hideMark/>
          </w:tcPr>
          <w:p w14:paraId="2227C3F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15,633 </w:t>
            </w:r>
          </w:p>
        </w:tc>
        <w:tc>
          <w:tcPr>
            <w:tcW w:w="920" w:type="dxa"/>
            <w:tcBorders>
              <w:top w:val="nil"/>
              <w:left w:val="nil"/>
              <w:bottom w:val="nil"/>
              <w:right w:val="nil"/>
            </w:tcBorders>
            <w:shd w:val="clear" w:color="auto" w:fill="auto"/>
            <w:noWrap/>
            <w:vAlign w:val="bottom"/>
            <w:hideMark/>
          </w:tcPr>
          <w:p w14:paraId="6A95BEE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9,390 </w:t>
            </w:r>
          </w:p>
        </w:tc>
        <w:tc>
          <w:tcPr>
            <w:tcW w:w="920" w:type="dxa"/>
            <w:tcBorders>
              <w:top w:val="nil"/>
              <w:left w:val="nil"/>
              <w:bottom w:val="nil"/>
              <w:right w:val="nil"/>
            </w:tcBorders>
            <w:shd w:val="clear" w:color="auto" w:fill="auto"/>
            <w:noWrap/>
            <w:vAlign w:val="bottom"/>
            <w:hideMark/>
          </w:tcPr>
          <w:p w14:paraId="0DC9C4DE"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4,509 </w:t>
            </w:r>
          </w:p>
        </w:tc>
      </w:tr>
      <w:tr w:rsidR="00DB2FDE" w:rsidRPr="00DB2FDE" w14:paraId="64D1CB70" w14:textId="77777777" w:rsidTr="00934D5E">
        <w:trPr>
          <w:trHeight w:val="340"/>
          <w:jc w:val="center"/>
        </w:trPr>
        <w:tc>
          <w:tcPr>
            <w:tcW w:w="2320" w:type="dxa"/>
            <w:tcBorders>
              <w:top w:val="nil"/>
              <w:left w:val="nil"/>
              <w:bottom w:val="nil"/>
              <w:right w:val="nil"/>
            </w:tcBorders>
            <w:shd w:val="clear" w:color="auto" w:fill="auto"/>
            <w:vAlign w:val="bottom"/>
            <w:hideMark/>
          </w:tcPr>
          <w:p w14:paraId="53A50E6F"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7E2790D0"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4EEB694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831DFD2"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11,073 </w:t>
            </w:r>
          </w:p>
        </w:tc>
        <w:tc>
          <w:tcPr>
            <w:tcW w:w="920" w:type="dxa"/>
            <w:tcBorders>
              <w:top w:val="nil"/>
              <w:left w:val="nil"/>
              <w:bottom w:val="nil"/>
              <w:right w:val="nil"/>
            </w:tcBorders>
            <w:shd w:val="clear" w:color="auto" w:fill="auto"/>
            <w:noWrap/>
            <w:vAlign w:val="bottom"/>
            <w:hideMark/>
          </w:tcPr>
          <w:p w14:paraId="6C6442C5"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806 </w:t>
            </w:r>
          </w:p>
        </w:tc>
        <w:tc>
          <w:tcPr>
            <w:tcW w:w="920" w:type="dxa"/>
            <w:tcBorders>
              <w:top w:val="nil"/>
              <w:left w:val="nil"/>
              <w:bottom w:val="nil"/>
              <w:right w:val="nil"/>
            </w:tcBorders>
            <w:shd w:val="clear" w:color="auto" w:fill="auto"/>
            <w:noWrap/>
            <w:vAlign w:val="bottom"/>
            <w:hideMark/>
          </w:tcPr>
          <w:p w14:paraId="5D62645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2B069A6"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3E3B20E" w14:textId="77777777" w:rsidTr="00FF1A9C">
        <w:trPr>
          <w:trHeight w:val="454"/>
          <w:jc w:val="center"/>
        </w:trPr>
        <w:tc>
          <w:tcPr>
            <w:tcW w:w="2320" w:type="dxa"/>
            <w:tcBorders>
              <w:top w:val="nil"/>
              <w:left w:val="nil"/>
              <w:bottom w:val="nil"/>
              <w:right w:val="nil"/>
            </w:tcBorders>
            <w:shd w:val="clear" w:color="auto" w:fill="auto"/>
            <w:vAlign w:val="bottom"/>
            <w:hideMark/>
          </w:tcPr>
          <w:p w14:paraId="5F766220"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5B9F48AE"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8B41A00"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0561CD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029DF9DE"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1877A3E"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5694E0A"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2DB2DF08"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132A6AB"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F30B109"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A04619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521A3FA"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69CB18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46 </w:t>
            </w:r>
          </w:p>
        </w:tc>
        <w:tc>
          <w:tcPr>
            <w:tcW w:w="920" w:type="dxa"/>
            <w:tcBorders>
              <w:top w:val="nil"/>
              <w:left w:val="nil"/>
              <w:bottom w:val="nil"/>
              <w:right w:val="nil"/>
            </w:tcBorders>
            <w:shd w:val="clear" w:color="auto" w:fill="auto"/>
            <w:noWrap/>
            <w:vAlign w:val="bottom"/>
            <w:hideMark/>
          </w:tcPr>
          <w:p w14:paraId="645407EC"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50 </w:t>
            </w:r>
          </w:p>
        </w:tc>
        <w:tc>
          <w:tcPr>
            <w:tcW w:w="920" w:type="dxa"/>
            <w:tcBorders>
              <w:top w:val="nil"/>
              <w:left w:val="nil"/>
              <w:bottom w:val="nil"/>
              <w:right w:val="nil"/>
            </w:tcBorders>
            <w:shd w:val="clear" w:color="auto" w:fill="auto"/>
            <w:noWrap/>
            <w:vAlign w:val="bottom"/>
            <w:hideMark/>
          </w:tcPr>
          <w:p w14:paraId="06C0CE31"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52 </w:t>
            </w:r>
          </w:p>
        </w:tc>
      </w:tr>
      <w:tr w:rsidR="00DB2FDE" w:rsidRPr="00DB2FDE" w14:paraId="296A6C25" w14:textId="77777777" w:rsidTr="00FF1A9C">
        <w:trPr>
          <w:trHeight w:val="283"/>
          <w:jc w:val="center"/>
        </w:trPr>
        <w:tc>
          <w:tcPr>
            <w:tcW w:w="2320" w:type="dxa"/>
            <w:tcBorders>
              <w:top w:val="nil"/>
              <w:left w:val="nil"/>
              <w:bottom w:val="nil"/>
              <w:right w:val="nil"/>
            </w:tcBorders>
            <w:shd w:val="clear" w:color="auto" w:fill="auto"/>
            <w:vAlign w:val="bottom"/>
            <w:hideMark/>
          </w:tcPr>
          <w:p w14:paraId="4222F658" w14:textId="77777777" w:rsidR="00DB2FDE" w:rsidRPr="00DB2FDE" w:rsidRDefault="00DB2FDE" w:rsidP="00DB2FDE">
            <w:pPr>
              <w:spacing w:after="0"/>
              <w:rPr>
                <w:rFonts w:ascii="Arial" w:hAnsi="Arial" w:cs="Arial"/>
                <w:color w:val="auto"/>
                <w:sz w:val="16"/>
                <w:szCs w:val="16"/>
              </w:rPr>
            </w:pPr>
            <w:r w:rsidRPr="00DB2FDE">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52516FE6" w14:textId="77777777" w:rsidR="00DB2FDE" w:rsidRPr="00DB2FDE" w:rsidRDefault="00DB2FDE" w:rsidP="00DB2FDE">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93EB3E8"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5888D9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2ACD08B" w14:textId="77777777" w:rsidR="00DB2FDE" w:rsidRPr="00DB2FDE" w:rsidRDefault="00DB2FDE" w:rsidP="00DB2FDE">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AC9338C" w14:textId="77777777" w:rsidR="00DB2FDE" w:rsidRPr="00DB2FDE" w:rsidRDefault="00DB2FDE" w:rsidP="00DB2FDE">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3CB4D8A" w14:textId="77777777" w:rsidR="00DB2FDE" w:rsidRPr="00DB2FDE" w:rsidRDefault="00DB2FDE" w:rsidP="00DB2FDE">
            <w:pPr>
              <w:spacing w:after="0"/>
              <w:jc w:val="right"/>
              <w:rPr>
                <w:rFonts w:ascii="Times New Roman" w:hAnsi="Times New Roman"/>
                <w:color w:val="auto"/>
                <w:sz w:val="20"/>
                <w:szCs w:val="20"/>
              </w:rPr>
            </w:pPr>
          </w:p>
        </w:tc>
      </w:tr>
      <w:tr w:rsidR="00DB2FDE" w:rsidRPr="00DB2FDE" w14:paraId="27EDB022" w14:textId="77777777" w:rsidTr="00DB2FDE">
        <w:trPr>
          <w:trHeight w:val="225"/>
          <w:jc w:val="center"/>
        </w:trPr>
        <w:tc>
          <w:tcPr>
            <w:tcW w:w="2320" w:type="dxa"/>
            <w:tcBorders>
              <w:top w:val="nil"/>
              <w:left w:val="nil"/>
              <w:bottom w:val="nil"/>
              <w:right w:val="nil"/>
            </w:tcBorders>
            <w:shd w:val="clear" w:color="auto" w:fill="auto"/>
            <w:vAlign w:val="bottom"/>
            <w:hideMark/>
          </w:tcPr>
          <w:p w14:paraId="72C38614"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1FBA7C6"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E60302B"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B24C84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16,022 </w:t>
            </w:r>
          </w:p>
        </w:tc>
        <w:tc>
          <w:tcPr>
            <w:tcW w:w="920" w:type="dxa"/>
            <w:tcBorders>
              <w:top w:val="nil"/>
              <w:left w:val="nil"/>
              <w:bottom w:val="nil"/>
              <w:right w:val="nil"/>
            </w:tcBorders>
            <w:shd w:val="clear" w:color="auto" w:fill="auto"/>
            <w:noWrap/>
            <w:vAlign w:val="bottom"/>
            <w:hideMark/>
          </w:tcPr>
          <w:p w14:paraId="1D23F96D"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5,292 </w:t>
            </w:r>
          </w:p>
        </w:tc>
        <w:tc>
          <w:tcPr>
            <w:tcW w:w="920" w:type="dxa"/>
            <w:tcBorders>
              <w:top w:val="nil"/>
              <w:left w:val="nil"/>
              <w:bottom w:val="nil"/>
              <w:right w:val="nil"/>
            </w:tcBorders>
            <w:shd w:val="clear" w:color="auto" w:fill="auto"/>
            <w:noWrap/>
            <w:vAlign w:val="bottom"/>
            <w:hideMark/>
          </w:tcPr>
          <w:p w14:paraId="082495D4"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2,400 </w:t>
            </w:r>
          </w:p>
        </w:tc>
        <w:tc>
          <w:tcPr>
            <w:tcW w:w="920" w:type="dxa"/>
            <w:tcBorders>
              <w:top w:val="nil"/>
              <w:left w:val="nil"/>
              <w:bottom w:val="nil"/>
              <w:right w:val="nil"/>
            </w:tcBorders>
            <w:shd w:val="clear" w:color="auto" w:fill="auto"/>
            <w:noWrap/>
            <w:vAlign w:val="bottom"/>
            <w:hideMark/>
          </w:tcPr>
          <w:p w14:paraId="7E94A79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1,955 </w:t>
            </w:r>
          </w:p>
        </w:tc>
      </w:tr>
      <w:tr w:rsidR="00DB2FDE" w:rsidRPr="00DB2FDE" w14:paraId="68439A6C" w14:textId="77777777" w:rsidTr="00FF1A9C">
        <w:trPr>
          <w:trHeight w:val="425"/>
          <w:jc w:val="center"/>
        </w:trPr>
        <w:tc>
          <w:tcPr>
            <w:tcW w:w="2320" w:type="dxa"/>
            <w:tcBorders>
              <w:top w:val="nil"/>
              <w:left w:val="nil"/>
              <w:bottom w:val="nil"/>
              <w:right w:val="nil"/>
            </w:tcBorders>
            <w:shd w:val="clear" w:color="auto" w:fill="auto"/>
            <w:vAlign w:val="bottom"/>
            <w:hideMark/>
          </w:tcPr>
          <w:p w14:paraId="648ADA65" w14:textId="77777777" w:rsidR="00DB2FDE" w:rsidRPr="00DB2FDE" w:rsidRDefault="00DB2FDE" w:rsidP="00FF1A9C">
            <w:pPr>
              <w:spacing w:after="0"/>
              <w:ind w:leftChars="75" w:left="143"/>
              <w:rPr>
                <w:rFonts w:ascii="Arial" w:hAnsi="Arial" w:cs="Arial"/>
                <w:color w:val="auto"/>
                <w:sz w:val="16"/>
                <w:szCs w:val="16"/>
              </w:rPr>
            </w:pPr>
            <w:r w:rsidRPr="00DB2FDE">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3DE950EC" w14:textId="77777777" w:rsidR="00DB2FDE" w:rsidRPr="00DB2FDE" w:rsidRDefault="00DB2FDE" w:rsidP="00DB2FDE">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AD24DB8"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0FC597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2,148 </w:t>
            </w:r>
          </w:p>
        </w:tc>
        <w:tc>
          <w:tcPr>
            <w:tcW w:w="920" w:type="dxa"/>
            <w:tcBorders>
              <w:top w:val="nil"/>
              <w:left w:val="nil"/>
              <w:bottom w:val="nil"/>
              <w:right w:val="nil"/>
            </w:tcBorders>
            <w:shd w:val="clear" w:color="auto" w:fill="auto"/>
            <w:noWrap/>
            <w:vAlign w:val="bottom"/>
            <w:hideMark/>
          </w:tcPr>
          <w:p w14:paraId="5C013153"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158 </w:t>
            </w:r>
          </w:p>
        </w:tc>
        <w:tc>
          <w:tcPr>
            <w:tcW w:w="920" w:type="dxa"/>
            <w:tcBorders>
              <w:top w:val="nil"/>
              <w:left w:val="nil"/>
              <w:bottom w:val="nil"/>
              <w:right w:val="nil"/>
            </w:tcBorders>
            <w:shd w:val="clear" w:color="auto" w:fill="auto"/>
            <w:noWrap/>
            <w:vAlign w:val="bottom"/>
            <w:hideMark/>
          </w:tcPr>
          <w:p w14:paraId="34CE2A19"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431DEF7" w14:textId="77777777" w:rsidR="00DB2FDE" w:rsidRPr="00DB2FDE" w:rsidRDefault="00DB2FDE" w:rsidP="00DB2FDE">
            <w:pPr>
              <w:spacing w:after="0"/>
              <w:jc w:val="right"/>
              <w:rPr>
                <w:rFonts w:ascii="Arial" w:hAnsi="Arial" w:cs="Arial"/>
                <w:color w:val="auto"/>
                <w:sz w:val="16"/>
                <w:szCs w:val="16"/>
              </w:rPr>
            </w:pPr>
            <w:r w:rsidRPr="00DB2FDE">
              <w:rPr>
                <w:rFonts w:ascii="Arial" w:hAnsi="Arial" w:cs="Arial"/>
                <w:color w:val="auto"/>
                <w:sz w:val="16"/>
                <w:szCs w:val="16"/>
              </w:rPr>
              <w:t xml:space="preserve">- </w:t>
            </w:r>
          </w:p>
        </w:tc>
      </w:tr>
      <w:tr w:rsidR="00DB2FDE" w:rsidRPr="00DB2FDE" w14:paraId="70945319" w14:textId="77777777" w:rsidTr="00DB2FDE">
        <w:trPr>
          <w:trHeight w:val="225"/>
          <w:jc w:val="center"/>
        </w:trPr>
        <w:tc>
          <w:tcPr>
            <w:tcW w:w="2320" w:type="dxa"/>
            <w:tcBorders>
              <w:top w:val="nil"/>
              <w:left w:val="nil"/>
              <w:bottom w:val="nil"/>
              <w:right w:val="nil"/>
            </w:tcBorders>
            <w:shd w:val="clear" w:color="auto" w:fill="auto"/>
            <w:noWrap/>
            <w:vAlign w:val="bottom"/>
            <w:hideMark/>
          </w:tcPr>
          <w:p w14:paraId="04880245" w14:textId="77777777" w:rsidR="00DB2FDE" w:rsidRPr="00DB2FDE" w:rsidRDefault="00DB2FDE" w:rsidP="00DB2FDE">
            <w:pPr>
              <w:spacing w:after="0"/>
              <w:rPr>
                <w:rFonts w:ascii="Arial" w:hAnsi="Arial" w:cs="Arial"/>
                <w:b/>
                <w:bCs/>
                <w:color w:val="auto"/>
                <w:sz w:val="16"/>
                <w:szCs w:val="16"/>
              </w:rPr>
            </w:pPr>
            <w:r w:rsidRPr="00DB2FDE">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70CBCD28" w14:textId="77777777" w:rsidR="00DB2FDE" w:rsidRPr="00DB2FDE" w:rsidRDefault="00DB2FDE" w:rsidP="00DB2FDE">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558A6B4B"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886 </w:t>
            </w:r>
          </w:p>
        </w:tc>
        <w:tc>
          <w:tcPr>
            <w:tcW w:w="920" w:type="dxa"/>
            <w:tcBorders>
              <w:top w:val="single" w:sz="4" w:space="0" w:color="000000"/>
              <w:left w:val="nil"/>
              <w:bottom w:val="single" w:sz="4" w:space="0" w:color="000000"/>
              <w:right w:val="nil"/>
            </w:tcBorders>
            <w:shd w:val="clear" w:color="000000" w:fill="D9D9D9"/>
            <w:noWrap/>
            <w:vAlign w:val="bottom"/>
            <w:hideMark/>
          </w:tcPr>
          <w:p w14:paraId="3A430E83"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189,373 </w:t>
            </w:r>
          </w:p>
        </w:tc>
        <w:tc>
          <w:tcPr>
            <w:tcW w:w="920" w:type="dxa"/>
            <w:tcBorders>
              <w:top w:val="single" w:sz="4" w:space="0" w:color="000000"/>
              <w:left w:val="nil"/>
              <w:bottom w:val="single" w:sz="4" w:space="0" w:color="000000"/>
              <w:right w:val="nil"/>
            </w:tcBorders>
            <w:shd w:val="clear" w:color="auto" w:fill="auto"/>
            <w:noWrap/>
            <w:vAlign w:val="bottom"/>
            <w:hideMark/>
          </w:tcPr>
          <w:p w14:paraId="39909181"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270,826 </w:t>
            </w:r>
          </w:p>
        </w:tc>
        <w:tc>
          <w:tcPr>
            <w:tcW w:w="920" w:type="dxa"/>
            <w:tcBorders>
              <w:top w:val="single" w:sz="4" w:space="0" w:color="000000"/>
              <w:left w:val="nil"/>
              <w:bottom w:val="single" w:sz="4" w:space="0" w:color="000000"/>
              <w:right w:val="nil"/>
            </w:tcBorders>
            <w:shd w:val="clear" w:color="auto" w:fill="auto"/>
            <w:noWrap/>
            <w:vAlign w:val="bottom"/>
            <w:hideMark/>
          </w:tcPr>
          <w:p w14:paraId="7A2ADA80"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197,608 </w:t>
            </w:r>
          </w:p>
        </w:tc>
        <w:tc>
          <w:tcPr>
            <w:tcW w:w="920" w:type="dxa"/>
            <w:tcBorders>
              <w:top w:val="single" w:sz="4" w:space="0" w:color="000000"/>
              <w:left w:val="nil"/>
              <w:bottom w:val="single" w:sz="4" w:space="0" w:color="000000"/>
              <w:right w:val="nil"/>
            </w:tcBorders>
            <w:shd w:val="clear" w:color="auto" w:fill="auto"/>
            <w:noWrap/>
            <w:vAlign w:val="bottom"/>
            <w:hideMark/>
          </w:tcPr>
          <w:p w14:paraId="590D5C21"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xml:space="preserve">182,824 </w:t>
            </w:r>
          </w:p>
        </w:tc>
      </w:tr>
      <w:tr w:rsidR="00DB2FDE" w:rsidRPr="00DB2FDE" w14:paraId="7C9D4FAC" w14:textId="77777777" w:rsidTr="00344A07">
        <w:trPr>
          <w:trHeight w:val="225"/>
          <w:jc w:val="center"/>
        </w:trPr>
        <w:tc>
          <w:tcPr>
            <w:tcW w:w="2320" w:type="dxa"/>
            <w:tcBorders>
              <w:top w:val="nil"/>
              <w:left w:val="nil"/>
              <w:right w:val="nil"/>
            </w:tcBorders>
            <w:shd w:val="clear" w:color="auto" w:fill="auto"/>
            <w:vAlign w:val="bottom"/>
            <w:hideMark/>
          </w:tcPr>
          <w:p w14:paraId="0544E29E" w14:textId="77777777" w:rsidR="00DB2FDE" w:rsidRPr="00DB2FDE" w:rsidRDefault="00DB2FDE" w:rsidP="00FF1A9C">
            <w:pPr>
              <w:spacing w:after="0"/>
              <w:ind w:leftChars="75" w:left="143"/>
              <w:rPr>
                <w:rFonts w:ascii="Arial" w:hAnsi="Arial" w:cs="Arial"/>
                <w:i/>
                <w:iCs/>
                <w:color w:val="auto"/>
                <w:sz w:val="16"/>
                <w:szCs w:val="16"/>
              </w:rPr>
            </w:pPr>
            <w:r w:rsidRPr="00DB2FDE">
              <w:rPr>
                <w:rFonts w:ascii="Arial" w:hAnsi="Arial" w:cs="Arial"/>
                <w:i/>
                <w:iCs/>
                <w:color w:val="auto"/>
                <w:sz w:val="16"/>
                <w:szCs w:val="16"/>
              </w:rPr>
              <w:t>Related receipts</w:t>
            </w:r>
          </w:p>
        </w:tc>
        <w:tc>
          <w:tcPr>
            <w:tcW w:w="460" w:type="dxa"/>
            <w:tcBorders>
              <w:top w:val="nil"/>
              <w:left w:val="nil"/>
              <w:right w:val="nil"/>
            </w:tcBorders>
            <w:shd w:val="clear" w:color="auto" w:fill="auto"/>
            <w:noWrap/>
            <w:vAlign w:val="bottom"/>
            <w:hideMark/>
          </w:tcPr>
          <w:p w14:paraId="3EB676AE" w14:textId="77777777" w:rsidR="00DB2FDE" w:rsidRPr="00DB2FDE" w:rsidRDefault="00DB2FDE" w:rsidP="00DB2FDE">
            <w:pPr>
              <w:spacing w:after="0"/>
              <w:ind w:firstLineChars="100" w:firstLine="160"/>
              <w:rPr>
                <w:rFonts w:ascii="Arial" w:hAnsi="Arial" w:cs="Arial"/>
                <w:i/>
                <w:iCs/>
                <w:color w:val="auto"/>
                <w:sz w:val="16"/>
                <w:szCs w:val="16"/>
              </w:rPr>
            </w:pPr>
          </w:p>
        </w:tc>
        <w:tc>
          <w:tcPr>
            <w:tcW w:w="920" w:type="dxa"/>
            <w:tcBorders>
              <w:top w:val="nil"/>
              <w:left w:val="nil"/>
              <w:right w:val="nil"/>
            </w:tcBorders>
            <w:shd w:val="clear" w:color="auto" w:fill="auto"/>
            <w:noWrap/>
            <w:vAlign w:val="bottom"/>
            <w:hideMark/>
          </w:tcPr>
          <w:p w14:paraId="78F3BC49"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w:t>
            </w:r>
          </w:p>
        </w:tc>
        <w:tc>
          <w:tcPr>
            <w:tcW w:w="920" w:type="dxa"/>
            <w:tcBorders>
              <w:top w:val="nil"/>
              <w:left w:val="nil"/>
              <w:right w:val="nil"/>
            </w:tcBorders>
            <w:shd w:val="clear" w:color="000000" w:fill="D9D9D9"/>
            <w:noWrap/>
            <w:vAlign w:val="bottom"/>
            <w:hideMark/>
          </w:tcPr>
          <w:p w14:paraId="398B3CDF"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w:t>
            </w:r>
          </w:p>
        </w:tc>
        <w:tc>
          <w:tcPr>
            <w:tcW w:w="920" w:type="dxa"/>
            <w:tcBorders>
              <w:top w:val="nil"/>
              <w:left w:val="nil"/>
              <w:right w:val="nil"/>
            </w:tcBorders>
            <w:shd w:val="clear" w:color="auto" w:fill="auto"/>
            <w:noWrap/>
            <w:vAlign w:val="bottom"/>
            <w:hideMark/>
          </w:tcPr>
          <w:p w14:paraId="2DAB16B2"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w:t>
            </w:r>
          </w:p>
        </w:tc>
        <w:tc>
          <w:tcPr>
            <w:tcW w:w="920" w:type="dxa"/>
            <w:tcBorders>
              <w:top w:val="nil"/>
              <w:left w:val="nil"/>
              <w:right w:val="nil"/>
            </w:tcBorders>
            <w:shd w:val="clear" w:color="auto" w:fill="auto"/>
            <w:noWrap/>
            <w:vAlign w:val="bottom"/>
            <w:hideMark/>
          </w:tcPr>
          <w:p w14:paraId="179282C8"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w:t>
            </w:r>
          </w:p>
        </w:tc>
        <w:tc>
          <w:tcPr>
            <w:tcW w:w="920" w:type="dxa"/>
            <w:tcBorders>
              <w:top w:val="nil"/>
              <w:left w:val="nil"/>
              <w:right w:val="nil"/>
            </w:tcBorders>
            <w:shd w:val="clear" w:color="auto" w:fill="auto"/>
            <w:noWrap/>
            <w:vAlign w:val="bottom"/>
            <w:hideMark/>
          </w:tcPr>
          <w:p w14:paraId="6AAFFD82" w14:textId="77777777" w:rsidR="00DB2FDE" w:rsidRPr="00DB2FDE" w:rsidRDefault="00DB2FDE" w:rsidP="00DB2FDE">
            <w:pPr>
              <w:spacing w:after="0"/>
              <w:jc w:val="right"/>
              <w:rPr>
                <w:rFonts w:ascii="Arial" w:hAnsi="Arial" w:cs="Arial"/>
                <w:b/>
                <w:bCs/>
                <w:color w:val="auto"/>
                <w:sz w:val="16"/>
                <w:szCs w:val="16"/>
              </w:rPr>
            </w:pPr>
            <w:r w:rsidRPr="00DB2FDE">
              <w:rPr>
                <w:rFonts w:ascii="Arial" w:hAnsi="Arial" w:cs="Arial"/>
                <w:b/>
                <w:bCs/>
                <w:color w:val="auto"/>
                <w:sz w:val="16"/>
                <w:szCs w:val="16"/>
              </w:rPr>
              <w:t> </w:t>
            </w:r>
          </w:p>
        </w:tc>
      </w:tr>
      <w:tr w:rsidR="00DB2FDE" w:rsidRPr="00DB2FDE" w14:paraId="7491D7C2" w14:textId="77777777" w:rsidTr="00344A07">
        <w:trPr>
          <w:trHeight w:val="225"/>
          <w:jc w:val="center"/>
        </w:trPr>
        <w:tc>
          <w:tcPr>
            <w:tcW w:w="2320" w:type="dxa"/>
            <w:tcBorders>
              <w:top w:val="nil"/>
              <w:left w:val="nil"/>
              <w:right w:val="nil"/>
            </w:tcBorders>
            <w:shd w:val="clear" w:color="auto" w:fill="auto"/>
            <w:vAlign w:val="bottom"/>
            <w:hideMark/>
          </w:tcPr>
          <w:p w14:paraId="3A066575" w14:textId="77777777" w:rsidR="00DB2FDE" w:rsidRPr="00DB2FDE" w:rsidRDefault="00DB2FDE" w:rsidP="00FF1A9C">
            <w:pPr>
              <w:spacing w:after="0"/>
              <w:ind w:leftChars="75" w:left="143"/>
              <w:rPr>
                <w:rFonts w:ascii="Arial" w:hAnsi="Arial" w:cs="Arial"/>
                <w:i/>
                <w:iCs/>
                <w:color w:val="auto"/>
                <w:sz w:val="16"/>
                <w:szCs w:val="16"/>
              </w:rPr>
            </w:pPr>
            <w:r w:rsidRPr="00DB2FDE">
              <w:rPr>
                <w:rFonts w:ascii="Arial" w:hAnsi="Arial" w:cs="Arial"/>
                <w:i/>
                <w:iCs/>
                <w:color w:val="auto"/>
                <w:sz w:val="16"/>
                <w:szCs w:val="16"/>
              </w:rPr>
              <w:t>Australian Taxation Office</w:t>
            </w:r>
          </w:p>
        </w:tc>
        <w:tc>
          <w:tcPr>
            <w:tcW w:w="460" w:type="dxa"/>
            <w:tcBorders>
              <w:top w:val="nil"/>
              <w:left w:val="nil"/>
              <w:right w:val="nil"/>
            </w:tcBorders>
            <w:shd w:val="clear" w:color="auto" w:fill="auto"/>
            <w:noWrap/>
            <w:vAlign w:val="bottom"/>
            <w:hideMark/>
          </w:tcPr>
          <w:p w14:paraId="226F099B" w14:textId="77777777" w:rsidR="00DB2FDE" w:rsidRPr="00DB2FDE" w:rsidRDefault="00DB2FDE" w:rsidP="00DB2FDE">
            <w:pPr>
              <w:spacing w:after="0"/>
              <w:ind w:firstLineChars="100" w:firstLine="160"/>
              <w:rPr>
                <w:rFonts w:ascii="Arial" w:hAnsi="Arial" w:cs="Arial"/>
                <w:i/>
                <w:iCs/>
                <w:color w:val="auto"/>
                <w:sz w:val="16"/>
                <w:szCs w:val="16"/>
              </w:rPr>
            </w:pPr>
          </w:p>
        </w:tc>
        <w:tc>
          <w:tcPr>
            <w:tcW w:w="920" w:type="dxa"/>
            <w:tcBorders>
              <w:top w:val="nil"/>
              <w:left w:val="nil"/>
              <w:right w:val="nil"/>
            </w:tcBorders>
            <w:shd w:val="clear" w:color="auto" w:fill="auto"/>
            <w:noWrap/>
            <w:vAlign w:val="bottom"/>
            <w:hideMark/>
          </w:tcPr>
          <w:p w14:paraId="18D03975" w14:textId="77777777" w:rsidR="00DB2FDE" w:rsidRPr="00DB2FDE" w:rsidRDefault="00DB2FDE" w:rsidP="00DB2FDE">
            <w:pPr>
              <w:spacing w:after="0"/>
              <w:jc w:val="right"/>
              <w:rPr>
                <w:rFonts w:ascii="Arial" w:hAnsi="Arial" w:cs="Arial"/>
                <w:i/>
                <w:iCs/>
                <w:color w:val="auto"/>
                <w:sz w:val="16"/>
                <w:szCs w:val="16"/>
              </w:rPr>
            </w:pPr>
            <w:r w:rsidRPr="00DB2FDE">
              <w:rPr>
                <w:rFonts w:ascii="Arial" w:hAnsi="Arial" w:cs="Arial"/>
                <w:i/>
                <w:iCs/>
                <w:color w:val="auto"/>
                <w:sz w:val="16"/>
                <w:szCs w:val="16"/>
              </w:rPr>
              <w:t xml:space="preserve">- </w:t>
            </w:r>
          </w:p>
        </w:tc>
        <w:tc>
          <w:tcPr>
            <w:tcW w:w="920" w:type="dxa"/>
            <w:tcBorders>
              <w:top w:val="nil"/>
              <w:left w:val="nil"/>
              <w:right w:val="nil"/>
            </w:tcBorders>
            <w:shd w:val="clear" w:color="000000" w:fill="D9D9D9"/>
            <w:noWrap/>
            <w:vAlign w:val="bottom"/>
            <w:hideMark/>
          </w:tcPr>
          <w:p w14:paraId="0738EF2F" w14:textId="77777777" w:rsidR="00DB2FDE" w:rsidRPr="00DB2FDE" w:rsidRDefault="00DB2FDE" w:rsidP="00DB2FDE">
            <w:pPr>
              <w:spacing w:after="0"/>
              <w:jc w:val="right"/>
              <w:rPr>
                <w:rFonts w:ascii="Arial" w:hAnsi="Arial" w:cs="Arial"/>
                <w:i/>
                <w:iCs/>
                <w:color w:val="auto"/>
                <w:sz w:val="16"/>
                <w:szCs w:val="16"/>
              </w:rPr>
            </w:pPr>
            <w:r w:rsidRPr="00DB2FDE">
              <w:rPr>
                <w:rFonts w:ascii="Arial" w:hAnsi="Arial" w:cs="Arial"/>
                <w:i/>
                <w:iCs/>
                <w:color w:val="auto"/>
                <w:sz w:val="16"/>
                <w:szCs w:val="16"/>
              </w:rPr>
              <w:t xml:space="preserve">- </w:t>
            </w:r>
          </w:p>
        </w:tc>
        <w:tc>
          <w:tcPr>
            <w:tcW w:w="920" w:type="dxa"/>
            <w:tcBorders>
              <w:top w:val="nil"/>
              <w:left w:val="nil"/>
              <w:right w:val="nil"/>
            </w:tcBorders>
            <w:shd w:val="clear" w:color="auto" w:fill="auto"/>
            <w:noWrap/>
            <w:vAlign w:val="bottom"/>
            <w:hideMark/>
          </w:tcPr>
          <w:p w14:paraId="2E3CA1F6" w14:textId="77777777" w:rsidR="00DB2FDE" w:rsidRPr="00DB2FDE" w:rsidRDefault="00DB2FDE" w:rsidP="00DB2FDE">
            <w:pPr>
              <w:spacing w:after="0"/>
              <w:jc w:val="right"/>
              <w:rPr>
                <w:rFonts w:ascii="Arial" w:hAnsi="Arial" w:cs="Arial"/>
                <w:i/>
                <w:iCs/>
                <w:color w:val="auto"/>
                <w:sz w:val="16"/>
                <w:szCs w:val="16"/>
              </w:rPr>
            </w:pPr>
            <w:r w:rsidRPr="00DB2FDE">
              <w:rPr>
                <w:rFonts w:ascii="Arial" w:hAnsi="Arial" w:cs="Arial"/>
                <w:i/>
                <w:iCs/>
                <w:color w:val="auto"/>
                <w:sz w:val="16"/>
                <w:szCs w:val="16"/>
              </w:rPr>
              <w:t xml:space="preserve">7,500 </w:t>
            </w:r>
          </w:p>
        </w:tc>
        <w:tc>
          <w:tcPr>
            <w:tcW w:w="920" w:type="dxa"/>
            <w:tcBorders>
              <w:top w:val="nil"/>
              <w:left w:val="nil"/>
              <w:right w:val="nil"/>
            </w:tcBorders>
            <w:shd w:val="clear" w:color="auto" w:fill="auto"/>
            <w:noWrap/>
            <w:vAlign w:val="bottom"/>
            <w:hideMark/>
          </w:tcPr>
          <w:p w14:paraId="671E2392" w14:textId="77777777" w:rsidR="00DB2FDE" w:rsidRPr="00DB2FDE" w:rsidRDefault="00DB2FDE" w:rsidP="00DB2FDE">
            <w:pPr>
              <w:spacing w:after="0"/>
              <w:jc w:val="right"/>
              <w:rPr>
                <w:rFonts w:ascii="Arial" w:hAnsi="Arial" w:cs="Arial"/>
                <w:i/>
                <w:iCs/>
                <w:color w:val="auto"/>
                <w:sz w:val="16"/>
                <w:szCs w:val="16"/>
              </w:rPr>
            </w:pPr>
            <w:r w:rsidRPr="00DB2FDE">
              <w:rPr>
                <w:rFonts w:ascii="Arial" w:hAnsi="Arial" w:cs="Arial"/>
                <w:i/>
                <w:iCs/>
                <w:color w:val="auto"/>
                <w:sz w:val="16"/>
                <w:szCs w:val="16"/>
              </w:rPr>
              <w:t xml:space="preserve">3,700 </w:t>
            </w:r>
          </w:p>
        </w:tc>
        <w:tc>
          <w:tcPr>
            <w:tcW w:w="920" w:type="dxa"/>
            <w:tcBorders>
              <w:top w:val="nil"/>
              <w:left w:val="nil"/>
              <w:right w:val="nil"/>
            </w:tcBorders>
            <w:shd w:val="clear" w:color="auto" w:fill="auto"/>
            <w:noWrap/>
            <w:vAlign w:val="bottom"/>
            <w:hideMark/>
          </w:tcPr>
          <w:p w14:paraId="0A4783A4" w14:textId="77777777" w:rsidR="00DB2FDE" w:rsidRPr="00DB2FDE" w:rsidRDefault="00DB2FDE" w:rsidP="00DB2FDE">
            <w:pPr>
              <w:spacing w:after="0"/>
              <w:jc w:val="right"/>
              <w:rPr>
                <w:rFonts w:ascii="Arial" w:hAnsi="Arial" w:cs="Arial"/>
                <w:i/>
                <w:iCs/>
                <w:color w:val="auto"/>
                <w:sz w:val="16"/>
                <w:szCs w:val="16"/>
              </w:rPr>
            </w:pPr>
            <w:r w:rsidRPr="00DB2FDE">
              <w:rPr>
                <w:rFonts w:ascii="Arial" w:hAnsi="Arial" w:cs="Arial"/>
                <w:i/>
                <w:iCs/>
                <w:color w:val="auto"/>
                <w:sz w:val="16"/>
                <w:szCs w:val="16"/>
              </w:rPr>
              <w:t xml:space="preserve">3,100 </w:t>
            </w:r>
          </w:p>
        </w:tc>
      </w:tr>
    </w:tbl>
    <w:p w14:paraId="09C70346" w14:textId="6E21A046" w:rsidR="004B14B0" w:rsidRPr="00F277A4" w:rsidRDefault="007D48FE" w:rsidP="000D22DB">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w:t>
      </w:r>
      <w:r w:rsidR="00DA7A80"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FF1A9C" w:rsidRPr="00FF1A9C" w14:paraId="6D91AB1D" w14:textId="77777777" w:rsidTr="00FF1A9C">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39D44058"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 xml:space="preserve">Outcome/ </w:t>
            </w:r>
            <w:r w:rsidRPr="00FF1A9C">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1EB53F05"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2022–23</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2A3F6E7F"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2023–24</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E7EC325"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2024–25</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0114772"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2025–26</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71EEB48E"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2026–27</w:t>
            </w:r>
            <w:r w:rsidRPr="00FF1A9C">
              <w:rPr>
                <w:rFonts w:ascii="Arial" w:hAnsi="Arial" w:cs="Arial"/>
                <w:b/>
                <w:bCs/>
                <w:color w:val="auto"/>
                <w:sz w:val="16"/>
                <w:szCs w:val="16"/>
              </w:rPr>
              <w:br/>
              <w:t>$'000</w:t>
            </w:r>
          </w:p>
        </w:tc>
      </w:tr>
      <w:tr w:rsidR="00FF1A9C" w:rsidRPr="00FF1A9C" w14:paraId="264A9747" w14:textId="77777777" w:rsidTr="00FF1A9C">
        <w:trPr>
          <w:trHeight w:val="300"/>
          <w:jc w:val="center"/>
        </w:trPr>
        <w:tc>
          <w:tcPr>
            <w:tcW w:w="7380" w:type="dxa"/>
            <w:gridSpan w:val="7"/>
            <w:tcBorders>
              <w:top w:val="nil"/>
              <w:left w:val="nil"/>
              <w:bottom w:val="nil"/>
              <w:right w:val="nil"/>
            </w:tcBorders>
            <w:shd w:val="clear" w:color="auto" w:fill="auto"/>
            <w:vAlign w:val="bottom"/>
            <w:hideMark/>
          </w:tcPr>
          <w:p w14:paraId="085E575F"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 xml:space="preserve">Improving Health Outcomes for Aboriginal and Torres Strait Islander people </w:t>
            </w:r>
            <w:r w:rsidRPr="00FF1A9C">
              <w:rPr>
                <w:rFonts w:ascii="Arial" w:hAnsi="Arial" w:cs="Arial"/>
                <w:b/>
                <w:bCs/>
                <w:color w:val="auto"/>
                <w:sz w:val="16"/>
                <w:szCs w:val="16"/>
                <w:vertAlign w:val="superscript"/>
              </w:rPr>
              <w:t>(b)</w:t>
            </w:r>
          </w:p>
        </w:tc>
      </w:tr>
      <w:tr w:rsidR="00FF1A9C" w:rsidRPr="00FF1A9C" w14:paraId="78A9DC61" w14:textId="77777777" w:rsidTr="00FF1A9C">
        <w:trPr>
          <w:trHeight w:val="425"/>
          <w:jc w:val="center"/>
        </w:trPr>
        <w:tc>
          <w:tcPr>
            <w:tcW w:w="2320" w:type="dxa"/>
            <w:tcBorders>
              <w:top w:val="nil"/>
              <w:left w:val="nil"/>
              <w:bottom w:val="nil"/>
              <w:right w:val="nil"/>
            </w:tcBorders>
            <w:shd w:val="clear" w:color="auto" w:fill="auto"/>
            <w:vAlign w:val="bottom"/>
            <w:hideMark/>
          </w:tcPr>
          <w:p w14:paraId="169A4860"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7D74C97"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9A1FBCB"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6458AC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4E949E3"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4C44449"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87C6E8D"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24E29F99"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2778682E"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14178C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57C2B8B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4342EB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8,828 </w:t>
            </w:r>
          </w:p>
        </w:tc>
        <w:tc>
          <w:tcPr>
            <w:tcW w:w="920" w:type="dxa"/>
            <w:tcBorders>
              <w:top w:val="nil"/>
              <w:left w:val="nil"/>
              <w:bottom w:val="nil"/>
              <w:right w:val="nil"/>
            </w:tcBorders>
            <w:shd w:val="clear" w:color="auto" w:fill="auto"/>
            <w:noWrap/>
            <w:vAlign w:val="bottom"/>
            <w:hideMark/>
          </w:tcPr>
          <w:p w14:paraId="40F05F0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47,872 </w:t>
            </w:r>
          </w:p>
        </w:tc>
        <w:tc>
          <w:tcPr>
            <w:tcW w:w="920" w:type="dxa"/>
            <w:tcBorders>
              <w:top w:val="nil"/>
              <w:left w:val="nil"/>
              <w:bottom w:val="nil"/>
              <w:right w:val="nil"/>
            </w:tcBorders>
            <w:shd w:val="clear" w:color="auto" w:fill="auto"/>
            <w:noWrap/>
            <w:vAlign w:val="bottom"/>
            <w:hideMark/>
          </w:tcPr>
          <w:p w14:paraId="607B16E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69,185 </w:t>
            </w:r>
          </w:p>
        </w:tc>
        <w:tc>
          <w:tcPr>
            <w:tcW w:w="920" w:type="dxa"/>
            <w:tcBorders>
              <w:top w:val="nil"/>
              <w:left w:val="nil"/>
              <w:bottom w:val="nil"/>
              <w:right w:val="nil"/>
            </w:tcBorders>
            <w:shd w:val="clear" w:color="auto" w:fill="auto"/>
            <w:noWrap/>
            <w:vAlign w:val="bottom"/>
            <w:hideMark/>
          </w:tcPr>
          <w:p w14:paraId="6D2AFAC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83,516 </w:t>
            </w:r>
          </w:p>
        </w:tc>
      </w:tr>
      <w:tr w:rsidR="00FF1A9C" w:rsidRPr="00FF1A9C" w14:paraId="6F1A6D9C"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25117033"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90A102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14:paraId="021B31F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857A8B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934 </w:t>
            </w:r>
          </w:p>
        </w:tc>
        <w:tc>
          <w:tcPr>
            <w:tcW w:w="920" w:type="dxa"/>
            <w:tcBorders>
              <w:top w:val="nil"/>
              <w:left w:val="nil"/>
              <w:bottom w:val="nil"/>
              <w:right w:val="nil"/>
            </w:tcBorders>
            <w:shd w:val="clear" w:color="auto" w:fill="auto"/>
            <w:noWrap/>
            <w:vAlign w:val="bottom"/>
            <w:hideMark/>
          </w:tcPr>
          <w:p w14:paraId="05F151B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5D908B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2310F0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15E28AFE"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63EBF35B"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DE3C34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55C8214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9B0DB7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700 </w:t>
            </w:r>
          </w:p>
        </w:tc>
        <w:tc>
          <w:tcPr>
            <w:tcW w:w="920" w:type="dxa"/>
            <w:tcBorders>
              <w:top w:val="nil"/>
              <w:left w:val="nil"/>
              <w:bottom w:val="nil"/>
              <w:right w:val="nil"/>
            </w:tcBorders>
            <w:shd w:val="clear" w:color="auto" w:fill="auto"/>
            <w:noWrap/>
            <w:vAlign w:val="bottom"/>
            <w:hideMark/>
          </w:tcPr>
          <w:p w14:paraId="10E0FD3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700 </w:t>
            </w:r>
          </w:p>
        </w:tc>
        <w:tc>
          <w:tcPr>
            <w:tcW w:w="920" w:type="dxa"/>
            <w:tcBorders>
              <w:top w:val="nil"/>
              <w:left w:val="nil"/>
              <w:bottom w:val="nil"/>
              <w:right w:val="nil"/>
            </w:tcBorders>
            <w:shd w:val="clear" w:color="auto" w:fill="auto"/>
            <w:noWrap/>
            <w:vAlign w:val="bottom"/>
            <w:hideMark/>
          </w:tcPr>
          <w:p w14:paraId="225EE07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CD581D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24AD730E"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2EFAF81C"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D0D08B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14:paraId="281507D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9DA7A2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D8DFD9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B46839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B33FE3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18464177"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2D23B475"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DCEB43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0DE44EF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AB5266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2900A3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AE60D3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696F51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193282CB"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5A4A234F"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939669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5A208C7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DBA59A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32,264 </w:t>
            </w:r>
          </w:p>
        </w:tc>
        <w:tc>
          <w:tcPr>
            <w:tcW w:w="920" w:type="dxa"/>
            <w:tcBorders>
              <w:top w:val="nil"/>
              <w:left w:val="nil"/>
              <w:bottom w:val="nil"/>
              <w:right w:val="nil"/>
            </w:tcBorders>
            <w:shd w:val="clear" w:color="auto" w:fill="auto"/>
            <w:noWrap/>
            <w:vAlign w:val="bottom"/>
            <w:hideMark/>
          </w:tcPr>
          <w:p w14:paraId="610DFEA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35,786 </w:t>
            </w:r>
          </w:p>
        </w:tc>
        <w:tc>
          <w:tcPr>
            <w:tcW w:w="920" w:type="dxa"/>
            <w:tcBorders>
              <w:top w:val="nil"/>
              <w:left w:val="nil"/>
              <w:bottom w:val="nil"/>
              <w:right w:val="nil"/>
            </w:tcBorders>
            <w:shd w:val="clear" w:color="auto" w:fill="auto"/>
            <w:noWrap/>
            <w:vAlign w:val="bottom"/>
            <w:hideMark/>
          </w:tcPr>
          <w:p w14:paraId="70EF6C9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3,627 </w:t>
            </w:r>
          </w:p>
        </w:tc>
        <w:tc>
          <w:tcPr>
            <w:tcW w:w="920" w:type="dxa"/>
            <w:tcBorders>
              <w:top w:val="nil"/>
              <w:left w:val="nil"/>
              <w:bottom w:val="nil"/>
              <w:right w:val="nil"/>
            </w:tcBorders>
            <w:shd w:val="clear" w:color="auto" w:fill="auto"/>
            <w:noWrap/>
            <w:vAlign w:val="bottom"/>
            <w:hideMark/>
          </w:tcPr>
          <w:p w14:paraId="2C24C1F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643 </w:t>
            </w:r>
          </w:p>
        </w:tc>
      </w:tr>
      <w:tr w:rsidR="00FF1A9C" w:rsidRPr="00FF1A9C" w14:paraId="4DA3054E" w14:textId="77777777" w:rsidTr="00FF1A9C">
        <w:trPr>
          <w:trHeight w:val="225"/>
          <w:jc w:val="center"/>
        </w:trPr>
        <w:tc>
          <w:tcPr>
            <w:tcW w:w="2320" w:type="dxa"/>
            <w:tcBorders>
              <w:top w:val="nil"/>
              <w:left w:val="nil"/>
              <w:bottom w:val="nil"/>
              <w:right w:val="nil"/>
            </w:tcBorders>
            <w:shd w:val="clear" w:color="auto" w:fill="auto"/>
            <w:vAlign w:val="bottom"/>
            <w:hideMark/>
          </w:tcPr>
          <w:p w14:paraId="41D05999"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10A10B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2A30C11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B6C12E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550 </w:t>
            </w:r>
          </w:p>
        </w:tc>
        <w:tc>
          <w:tcPr>
            <w:tcW w:w="920" w:type="dxa"/>
            <w:tcBorders>
              <w:top w:val="nil"/>
              <w:left w:val="nil"/>
              <w:bottom w:val="nil"/>
              <w:right w:val="nil"/>
            </w:tcBorders>
            <w:shd w:val="clear" w:color="auto" w:fill="auto"/>
            <w:noWrap/>
            <w:vAlign w:val="bottom"/>
            <w:hideMark/>
          </w:tcPr>
          <w:p w14:paraId="6C1D09D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493 </w:t>
            </w:r>
          </w:p>
        </w:tc>
        <w:tc>
          <w:tcPr>
            <w:tcW w:w="920" w:type="dxa"/>
            <w:tcBorders>
              <w:top w:val="nil"/>
              <w:left w:val="nil"/>
              <w:bottom w:val="nil"/>
              <w:right w:val="nil"/>
            </w:tcBorders>
            <w:shd w:val="clear" w:color="auto" w:fill="auto"/>
            <w:noWrap/>
            <w:vAlign w:val="bottom"/>
            <w:hideMark/>
          </w:tcPr>
          <w:p w14:paraId="310E8D1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492 </w:t>
            </w:r>
          </w:p>
        </w:tc>
        <w:tc>
          <w:tcPr>
            <w:tcW w:w="920" w:type="dxa"/>
            <w:tcBorders>
              <w:top w:val="nil"/>
              <w:left w:val="nil"/>
              <w:bottom w:val="nil"/>
              <w:right w:val="nil"/>
            </w:tcBorders>
            <w:shd w:val="clear" w:color="auto" w:fill="auto"/>
            <w:noWrap/>
            <w:vAlign w:val="bottom"/>
            <w:hideMark/>
          </w:tcPr>
          <w:p w14:paraId="1647701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496 </w:t>
            </w:r>
          </w:p>
        </w:tc>
      </w:tr>
      <w:tr w:rsidR="00FF1A9C" w:rsidRPr="00FF1A9C" w14:paraId="1618C9F6" w14:textId="77777777" w:rsidTr="00FF1A9C">
        <w:trPr>
          <w:trHeight w:val="225"/>
          <w:jc w:val="center"/>
        </w:trPr>
        <w:tc>
          <w:tcPr>
            <w:tcW w:w="2320" w:type="dxa"/>
            <w:tcBorders>
              <w:top w:val="nil"/>
              <w:left w:val="nil"/>
              <w:bottom w:val="nil"/>
              <w:right w:val="nil"/>
            </w:tcBorders>
            <w:shd w:val="clear" w:color="auto" w:fill="auto"/>
            <w:vAlign w:val="bottom"/>
            <w:hideMark/>
          </w:tcPr>
          <w:p w14:paraId="020F65F8" w14:textId="77777777" w:rsidR="00FF1A9C" w:rsidRPr="00FF1A9C" w:rsidRDefault="00FF1A9C" w:rsidP="00FF1A9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3C78C6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961EC7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CB95FA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2,298 </w:t>
            </w:r>
          </w:p>
        </w:tc>
        <w:tc>
          <w:tcPr>
            <w:tcW w:w="920" w:type="dxa"/>
            <w:tcBorders>
              <w:top w:val="nil"/>
              <w:left w:val="nil"/>
              <w:bottom w:val="nil"/>
              <w:right w:val="nil"/>
            </w:tcBorders>
            <w:shd w:val="clear" w:color="auto" w:fill="auto"/>
            <w:noWrap/>
            <w:vAlign w:val="bottom"/>
            <w:hideMark/>
          </w:tcPr>
          <w:p w14:paraId="6E9876D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874 </w:t>
            </w:r>
          </w:p>
        </w:tc>
        <w:tc>
          <w:tcPr>
            <w:tcW w:w="920" w:type="dxa"/>
            <w:tcBorders>
              <w:top w:val="nil"/>
              <w:left w:val="nil"/>
              <w:bottom w:val="nil"/>
              <w:right w:val="nil"/>
            </w:tcBorders>
            <w:shd w:val="clear" w:color="auto" w:fill="auto"/>
            <w:noWrap/>
            <w:vAlign w:val="bottom"/>
            <w:hideMark/>
          </w:tcPr>
          <w:p w14:paraId="6A1508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880 </w:t>
            </w:r>
          </w:p>
        </w:tc>
        <w:tc>
          <w:tcPr>
            <w:tcW w:w="920" w:type="dxa"/>
            <w:tcBorders>
              <w:top w:val="nil"/>
              <w:left w:val="nil"/>
              <w:bottom w:val="nil"/>
              <w:right w:val="nil"/>
            </w:tcBorders>
            <w:shd w:val="clear" w:color="auto" w:fill="auto"/>
            <w:noWrap/>
            <w:vAlign w:val="bottom"/>
            <w:hideMark/>
          </w:tcPr>
          <w:p w14:paraId="43FE83F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838 </w:t>
            </w:r>
          </w:p>
        </w:tc>
      </w:tr>
      <w:tr w:rsidR="00FF1A9C" w:rsidRPr="00FF1A9C" w14:paraId="340FFDBD" w14:textId="77777777" w:rsidTr="00FF1A9C">
        <w:trPr>
          <w:trHeight w:val="425"/>
          <w:jc w:val="center"/>
        </w:trPr>
        <w:tc>
          <w:tcPr>
            <w:tcW w:w="2320" w:type="dxa"/>
            <w:tcBorders>
              <w:top w:val="nil"/>
              <w:left w:val="nil"/>
              <w:bottom w:val="nil"/>
              <w:right w:val="nil"/>
            </w:tcBorders>
            <w:shd w:val="clear" w:color="auto" w:fill="auto"/>
            <w:vAlign w:val="bottom"/>
            <w:hideMark/>
          </w:tcPr>
          <w:p w14:paraId="50089D2F"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7583047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E4F34C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FA79CC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131 </w:t>
            </w:r>
          </w:p>
        </w:tc>
        <w:tc>
          <w:tcPr>
            <w:tcW w:w="920" w:type="dxa"/>
            <w:tcBorders>
              <w:top w:val="nil"/>
              <w:left w:val="nil"/>
              <w:bottom w:val="nil"/>
              <w:right w:val="nil"/>
            </w:tcBorders>
            <w:shd w:val="clear" w:color="auto" w:fill="auto"/>
            <w:noWrap/>
            <w:vAlign w:val="bottom"/>
            <w:hideMark/>
          </w:tcPr>
          <w:p w14:paraId="5C35DE1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99554D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0E4C96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2A82F699" w14:textId="77777777" w:rsidTr="00FF1A9C">
        <w:trPr>
          <w:trHeight w:val="283"/>
          <w:jc w:val="center"/>
        </w:trPr>
        <w:tc>
          <w:tcPr>
            <w:tcW w:w="2320" w:type="dxa"/>
            <w:tcBorders>
              <w:top w:val="nil"/>
              <w:left w:val="nil"/>
              <w:bottom w:val="nil"/>
              <w:right w:val="nil"/>
            </w:tcBorders>
            <w:shd w:val="clear" w:color="auto" w:fill="auto"/>
            <w:noWrap/>
            <w:vAlign w:val="bottom"/>
            <w:hideMark/>
          </w:tcPr>
          <w:p w14:paraId="64861CC4"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Cancer Australia</w:t>
            </w:r>
          </w:p>
        </w:tc>
        <w:tc>
          <w:tcPr>
            <w:tcW w:w="460" w:type="dxa"/>
            <w:tcBorders>
              <w:top w:val="nil"/>
              <w:left w:val="nil"/>
              <w:bottom w:val="nil"/>
              <w:right w:val="nil"/>
            </w:tcBorders>
            <w:shd w:val="clear" w:color="auto" w:fill="auto"/>
            <w:noWrap/>
            <w:vAlign w:val="bottom"/>
            <w:hideMark/>
          </w:tcPr>
          <w:p w14:paraId="080A74A2"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4290DC5"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6020A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763F6FE"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107366D"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BFF0BA"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42866338"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7D3B1C0D"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FB02212"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317F66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9550D3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1,239 </w:t>
            </w:r>
          </w:p>
        </w:tc>
        <w:tc>
          <w:tcPr>
            <w:tcW w:w="920" w:type="dxa"/>
            <w:tcBorders>
              <w:top w:val="nil"/>
              <w:left w:val="nil"/>
              <w:bottom w:val="nil"/>
              <w:right w:val="nil"/>
            </w:tcBorders>
            <w:shd w:val="clear" w:color="auto" w:fill="auto"/>
            <w:noWrap/>
            <w:vAlign w:val="bottom"/>
            <w:hideMark/>
          </w:tcPr>
          <w:p w14:paraId="5EE990A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10,039 </w:t>
            </w:r>
          </w:p>
        </w:tc>
        <w:tc>
          <w:tcPr>
            <w:tcW w:w="920" w:type="dxa"/>
            <w:tcBorders>
              <w:top w:val="nil"/>
              <w:left w:val="nil"/>
              <w:bottom w:val="nil"/>
              <w:right w:val="nil"/>
            </w:tcBorders>
            <w:shd w:val="clear" w:color="auto" w:fill="auto"/>
            <w:noWrap/>
            <w:vAlign w:val="bottom"/>
            <w:hideMark/>
          </w:tcPr>
          <w:p w14:paraId="415EA5E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11,300 </w:t>
            </w:r>
          </w:p>
        </w:tc>
        <w:tc>
          <w:tcPr>
            <w:tcW w:w="920" w:type="dxa"/>
            <w:tcBorders>
              <w:top w:val="nil"/>
              <w:left w:val="nil"/>
              <w:bottom w:val="nil"/>
              <w:right w:val="nil"/>
            </w:tcBorders>
            <w:shd w:val="clear" w:color="auto" w:fill="auto"/>
            <w:noWrap/>
            <w:vAlign w:val="bottom"/>
            <w:hideMark/>
          </w:tcPr>
          <w:p w14:paraId="670EEC2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10,790 </w:t>
            </w:r>
          </w:p>
        </w:tc>
      </w:tr>
      <w:tr w:rsidR="00FF1A9C" w:rsidRPr="00FF1A9C" w14:paraId="79D860CB" w14:textId="77777777" w:rsidTr="00FF1A9C">
        <w:trPr>
          <w:trHeight w:val="225"/>
          <w:jc w:val="center"/>
        </w:trPr>
        <w:tc>
          <w:tcPr>
            <w:tcW w:w="2320" w:type="dxa"/>
            <w:tcBorders>
              <w:top w:val="nil"/>
              <w:left w:val="nil"/>
              <w:bottom w:val="nil"/>
              <w:right w:val="nil"/>
            </w:tcBorders>
            <w:shd w:val="clear" w:color="auto" w:fill="auto"/>
            <w:vAlign w:val="bottom"/>
            <w:hideMark/>
          </w:tcPr>
          <w:p w14:paraId="38992706"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67AD630"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177D47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D1DC73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970 </w:t>
            </w:r>
          </w:p>
        </w:tc>
        <w:tc>
          <w:tcPr>
            <w:tcW w:w="920" w:type="dxa"/>
            <w:tcBorders>
              <w:top w:val="nil"/>
              <w:left w:val="nil"/>
              <w:bottom w:val="nil"/>
              <w:right w:val="nil"/>
            </w:tcBorders>
            <w:shd w:val="clear" w:color="auto" w:fill="auto"/>
            <w:noWrap/>
            <w:vAlign w:val="bottom"/>
            <w:hideMark/>
          </w:tcPr>
          <w:p w14:paraId="3A6FA25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1,453 </w:t>
            </w:r>
          </w:p>
        </w:tc>
        <w:tc>
          <w:tcPr>
            <w:tcW w:w="920" w:type="dxa"/>
            <w:tcBorders>
              <w:top w:val="nil"/>
              <w:left w:val="nil"/>
              <w:bottom w:val="nil"/>
              <w:right w:val="nil"/>
            </w:tcBorders>
            <w:shd w:val="clear" w:color="auto" w:fill="auto"/>
            <w:noWrap/>
            <w:vAlign w:val="bottom"/>
            <w:hideMark/>
          </w:tcPr>
          <w:p w14:paraId="67B3503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1,370 </w:t>
            </w:r>
          </w:p>
        </w:tc>
        <w:tc>
          <w:tcPr>
            <w:tcW w:w="920" w:type="dxa"/>
            <w:tcBorders>
              <w:top w:val="nil"/>
              <w:left w:val="nil"/>
              <w:bottom w:val="nil"/>
              <w:right w:val="nil"/>
            </w:tcBorders>
            <w:shd w:val="clear" w:color="auto" w:fill="auto"/>
            <w:noWrap/>
            <w:vAlign w:val="bottom"/>
            <w:hideMark/>
          </w:tcPr>
          <w:p w14:paraId="65188CA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1,427 </w:t>
            </w:r>
          </w:p>
        </w:tc>
      </w:tr>
      <w:tr w:rsidR="00FF1A9C" w:rsidRPr="00FF1A9C" w14:paraId="5B2BB801"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7D063731"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72803EEB"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CFAC1C5"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AE87AE7"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47,914 </w:t>
            </w:r>
          </w:p>
        </w:tc>
        <w:tc>
          <w:tcPr>
            <w:tcW w:w="920" w:type="dxa"/>
            <w:tcBorders>
              <w:top w:val="single" w:sz="4" w:space="0" w:color="000000"/>
              <w:left w:val="nil"/>
              <w:bottom w:val="single" w:sz="4" w:space="0" w:color="000000"/>
              <w:right w:val="nil"/>
            </w:tcBorders>
            <w:shd w:val="clear" w:color="auto" w:fill="auto"/>
            <w:noWrap/>
            <w:vAlign w:val="bottom"/>
            <w:hideMark/>
          </w:tcPr>
          <w:p w14:paraId="43BFF60A"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97,217 </w:t>
            </w:r>
          </w:p>
        </w:tc>
        <w:tc>
          <w:tcPr>
            <w:tcW w:w="920" w:type="dxa"/>
            <w:tcBorders>
              <w:top w:val="single" w:sz="4" w:space="0" w:color="000000"/>
              <w:left w:val="nil"/>
              <w:bottom w:val="single" w:sz="4" w:space="0" w:color="000000"/>
              <w:right w:val="nil"/>
            </w:tcBorders>
            <w:shd w:val="clear" w:color="auto" w:fill="auto"/>
            <w:noWrap/>
            <w:vAlign w:val="bottom"/>
            <w:hideMark/>
          </w:tcPr>
          <w:p w14:paraId="364EBCDE"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86,854 </w:t>
            </w:r>
          </w:p>
        </w:tc>
        <w:tc>
          <w:tcPr>
            <w:tcW w:w="920" w:type="dxa"/>
            <w:tcBorders>
              <w:top w:val="single" w:sz="4" w:space="0" w:color="000000"/>
              <w:left w:val="nil"/>
              <w:bottom w:val="single" w:sz="4" w:space="0" w:color="000000"/>
              <w:right w:val="nil"/>
            </w:tcBorders>
            <w:shd w:val="clear" w:color="auto" w:fill="auto"/>
            <w:noWrap/>
            <w:vAlign w:val="bottom"/>
            <w:hideMark/>
          </w:tcPr>
          <w:p w14:paraId="05B06552"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97,710 </w:t>
            </w:r>
          </w:p>
        </w:tc>
      </w:tr>
      <w:tr w:rsidR="00FF1A9C" w:rsidRPr="00FF1A9C" w14:paraId="03465A0E" w14:textId="77777777" w:rsidTr="00FF1A9C">
        <w:trPr>
          <w:trHeight w:val="283"/>
          <w:jc w:val="center"/>
        </w:trPr>
        <w:tc>
          <w:tcPr>
            <w:tcW w:w="7380" w:type="dxa"/>
            <w:gridSpan w:val="7"/>
            <w:tcBorders>
              <w:top w:val="nil"/>
              <w:left w:val="nil"/>
              <w:bottom w:val="nil"/>
              <w:right w:val="nil"/>
            </w:tcBorders>
            <w:shd w:val="clear" w:color="auto" w:fill="auto"/>
            <w:vAlign w:val="bottom"/>
            <w:hideMark/>
          </w:tcPr>
          <w:p w14:paraId="373EE790"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Improving the Investment in Aged Care</w:t>
            </w:r>
          </w:p>
        </w:tc>
      </w:tr>
      <w:tr w:rsidR="00FF1A9C" w:rsidRPr="00FF1A9C" w14:paraId="070DBFCF" w14:textId="77777777" w:rsidTr="00FF1A9C">
        <w:trPr>
          <w:trHeight w:val="425"/>
          <w:jc w:val="center"/>
        </w:trPr>
        <w:tc>
          <w:tcPr>
            <w:tcW w:w="2320" w:type="dxa"/>
            <w:tcBorders>
              <w:top w:val="nil"/>
              <w:left w:val="nil"/>
              <w:bottom w:val="nil"/>
              <w:right w:val="nil"/>
            </w:tcBorders>
            <w:shd w:val="clear" w:color="auto" w:fill="auto"/>
            <w:vAlign w:val="bottom"/>
            <w:hideMark/>
          </w:tcPr>
          <w:p w14:paraId="3CF97D4A"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A484E2F"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2EC4ACC"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DFE5943"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1B3416C"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4E19D28"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E56E7F7"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33847BCA"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358409D8"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57A6C4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64998EB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2055DB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2E9481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(583,498)</w:t>
            </w:r>
          </w:p>
        </w:tc>
        <w:tc>
          <w:tcPr>
            <w:tcW w:w="920" w:type="dxa"/>
            <w:tcBorders>
              <w:top w:val="nil"/>
              <w:left w:val="nil"/>
              <w:bottom w:val="nil"/>
              <w:right w:val="nil"/>
            </w:tcBorders>
            <w:shd w:val="clear" w:color="auto" w:fill="auto"/>
            <w:noWrap/>
            <w:vAlign w:val="bottom"/>
            <w:hideMark/>
          </w:tcPr>
          <w:p w14:paraId="5A806C8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(681,712)</w:t>
            </w:r>
          </w:p>
        </w:tc>
        <w:tc>
          <w:tcPr>
            <w:tcW w:w="920" w:type="dxa"/>
            <w:tcBorders>
              <w:top w:val="nil"/>
              <w:left w:val="nil"/>
              <w:bottom w:val="nil"/>
              <w:right w:val="nil"/>
            </w:tcBorders>
            <w:shd w:val="clear" w:color="auto" w:fill="auto"/>
            <w:noWrap/>
            <w:vAlign w:val="bottom"/>
            <w:hideMark/>
          </w:tcPr>
          <w:p w14:paraId="0BCF874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(851,775)</w:t>
            </w:r>
          </w:p>
        </w:tc>
      </w:tr>
      <w:tr w:rsidR="00FF1A9C" w:rsidRPr="00FF1A9C" w14:paraId="7101E29A" w14:textId="77777777" w:rsidTr="00FF1A9C">
        <w:trPr>
          <w:trHeight w:val="454"/>
          <w:jc w:val="center"/>
        </w:trPr>
        <w:tc>
          <w:tcPr>
            <w:tcW w:w="2320" w:type="dxa"/>
            <w:tcBorders>
              <w:top w:val="nil"/>
              <w:left w:val="nil"/>
              <w:bottom w:val="nil"/>
              <w:right w:val="nil"/>
            </w:tcBorders>
            <w:shd w:val="clear" w:color="auto" w:fill="auto"/>
            <w:vAlign w:val="bottom"/>
            <w:hideMark/>
          </w:tcPr>
          <w:p w14:paraId="7C8DD08B"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67864E5E"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6795F51"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94A60D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55731890"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B82261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AFB97F9"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73AB9FE2"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705F2228"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CAE4E3F"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5FC882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3FFFBA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E6664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(15,515)</w:t>
            </w:r>
          </w:p>
        </w:tc>
        <w:tc>
          <w:tcPr>
            <w:tcW w:w="920" w:type="dxa"/>
            <w:tcBorders>
              <w:top w:val="nil"/>
              <w:left w:val="nil"/>
              <w:bottom w:val="nil"/>
              <w:right w:val="nil"/>
            </w:tcBorders>
            <w:shd w:val="clear" w:color="auto" w:fill="auto"/>
            <w:noWrap/>
            <w:vAlign w:val="bottom"/>
            <w:hideMark/>
          </w:tcPr>
          <w:p w14:paraId="1934ECB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(18,126)</w:t>
            </w:r>
          </w:p>
        </w:tc>
        <w:tc>
          <w:tcPr>
            <w:tcW w:w="920" w:type="dxa"/>
            <w:tcBorders>
              <w:top w:val="nil"/>
              <w:left w:val="nil"/>
              <w:bottom w:val="nil"/>
              <w:right w:val="nil"/>
            </w:tcBorders>
            <w:shd w:val="clear" w:color="auto" w:fill="auto"/>
            <w:noWrap/>
            <w:vAlign w:val="bottom"/>
            <w:hideMark/>
          </w:tcPr>
          <w:p w14:paraId="1E6A6B8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(22,648)</w:t>
            </w:r>
          </w:p>
        </w:tc>
      </w:tr>
      <w:tr w:rsidR="00FF1A9C" w:rsidRPr="00FF1A9C" w14:paraId="36D25259"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1A21A7C0"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182D33F7"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92F3B96"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440DAD74"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5BC40B50"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(599,013)</w:t>
            </w:r>
          </w:p>
        </w:tc>
        <w:tc>
          <w:tcPr>
            <w:tcW w:w="920" w:type="dxa"/>
            <w:tcBorders>
              <w:top w:val="single" w:sz="4" w:space="0" w:color="000000"/>
              <w:left w:val="nil"/>
              <w:bottom w:val="single" w:sz="4" w:space="0" w:color="000000"/>
              <w:right w:val="nil"/>
            </w:tcBorders>
            <w:shd w:val="clear" w:color="auto" w:fill="auto"/>
            <w:noWrap/>
            <w:vAlign w:val="bottom"/>
            <w:hideMark/>
          </w:tcPr>
          <w:p w14:paraId="0AF2E38B"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(699,838)</w:t>
            </w:r>
          </w:p>
        </w:tc>
        <w:tc>
          <w:tcPr>
            <w:tcW w:w="920" w:type="dxa"/>
            <w:tcBorders>
              <w:top w:val="single" w:sz="4" w:space="0" w:color="000000"/>
              <w:left w:val="nil"/>
              <w:bottom w:val="single" w:sz="4" w:space="0" w:color="000000"/>
              <w:right w:val="nil"/>
            </w:tcBorders>
            <w:shd w:val="clear" w:color="auto" w:fill="auto"/>
            <w:noWrap/>
            <w:vAlign w:val="bottom"/>
            <w:hideMark/>
          </w:tcPr>
          <w:p w14:paraId="230FF90E"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(874,423)</w:t>
            </w:r>
          </w:p>
        </w:tc>
      </w:tr>
      <w:tr w:rsidR="00FF1A9C" w:rsidRPr="00FF1A9C" w14:paraId="535DFE72" w14:textId="77777777" w:rsidTr="00FF1A9C">
        <w:trPr>
          <w:trHeight w:val="283"/>
          <w:jc w:val="center"/>
        </w:trPr>
        <w:tc>
          <w:tcPr>
            <w:tcW w:w="7380" w:type="dxa"/>
            <w:gridSpan w:val="7"/>
            <w:tcBorders>
              <w:top w:val="nil"/>
              <w:left w:val="nil"/>
              <w:bottom w:val="nil"/>
              <w:right w:val="nil"/>
            </w:tcBorders>
            <w:shd w:val="clear" w:color="auto" w:fill="auto"/>
            <w:vAlign w:val="bottom"/>
            <w:hideMark/>
          </w:tcPr>
          <w:p w14:paraId="3DADE604"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 xml:space="preserve">Investment in Sport </w:t>
            </w:r>
            <w:r w:rsidRPr="00FF1A9C">
              <w:rPr>
                <w:rFonts w:ascii="Arial" w:hAnsi="Arial" w:cs="Arial"/>
                <w:b/>
                <w:bCs/>
                <w:color w:val="auto"/>
                <w:sz w:val="16"/>
                <w:szCs w:val="16"/>
                <w:vertAlign w:val="superscript"/>
              </w:rPr>
              <w:t>(b)</w:t>
            </w:r>
          </w:p>
        </w:tc>
      </w:tr>
      <w:tr w:rsidR="00FF1A9C" w:rsidRPr="00FF1A9C" w14:paraId="1AD6107B" w14:textId="77777777" w:rsidTr="00FF1A9C">
        <w:trPr>
          <w:trHeight w:val="425"/>
          <w:jc w:val="center"/>
        </w:trPr>
        <w:tc>
          <w:tcPr>
            <w:tcW w:w="2320" w:type="dxa"/>
            <w:tcBorders>
              <w:top w:val="nil"/>
              <w:left w:val="nil"/>
              <w:bottom w:val="nil"/>
              <w:right w:val="nil"/>
            </w:tcBorders>
            <w:shd w:val="clear" w:color="auto" w:fill="auto"/>
            <w:vAlign w:val="bottom"/>
            <w:hideMark/>
          </w:tcPr>
          <w:p w14:paraId="57F730D5"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11937EA"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F82F25B"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D9891E8"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1224D12"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BF37292"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57F2C5F"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42A637F9"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2142FB9A"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1BB104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206C124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D0677F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C3481A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55F2F3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FA4719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23124CC2"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7DBE12EF" w14:textId="77777777" w:rsidR="00FF1A9C" w:rsidRPr="00FF1A9C" w:rsidRDefault="00FF1A9C" w:rsidP="00FF1A9C">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FE965F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4.1</w:t>
            </w:r>
          </w:p>
        </w:tc>
        <w:tc>
          <w:tcPr>
            <w:tcW w:w="920" w:type="dxa"/>
            <w:tcBorders>
              <w:top w:val="nil"/>
              <w:left w:val="nil"/>
              <w:bottom w:val="nil"/>
              <w:right w:val="nil"/>
            </w:tcBorders>
            <w:shd w:val="clear" w:color="auto" w:fill="auto"/>
            <w:noWrap/>
            <w:vAlign w:val="bottom"/>
            <w:hideMark/>
          </w:tcPr>
          <w:p w14:paraId="37F99A6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DA5745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4,830 </w:t>
            </w:r>
          </w:p>
        </w:tc>
        <w:tc>
          <w:tcPr>
            <w:tcW w:w="920" w:type="dxa"/>
            <w:tcBorders>
              <w:top w:val="nil"/>
              <w:left w:val="nil"/>
              <w:bottom w:val="nil"/>
              <w:right w:val="nil"/>
            </w:tcBorders>
            <w:shd w:val="clear" w:color="auto" w:fill="auto"/>
            <w:noWrap/>
            <w:vAlign w:val="bottom"/>
            <w:hideMark/>
          </w:tcPr>
          <w:p w14:paraId="4F6D821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500 </w:t>
            </w:r>
          </w:p>
        </w:tc>
        <w:tc>
          <w:tcPr>
            <w:tcW w:w="920" w:type="dxa"/>
            <w:tcBorders>
              <w:top w:val="nil"/>
              <w:left w:val="nil"/>
              <w:bottom w:val="nil"/>
              <w:right w:val="nil"/>
            </w:tcBorders>
            <w:shd w:val="clear" w:color="auto" w:fill="auto"/>
            <w:noWrap/>
            <w:vAlign w:val="bottom"/>
            <w:hideMark/>
          </w:tcPr>
          <w:p w14:paraId="3724FE6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1,000 </w:t>
            </w:r>
          </w:p>
        </w:tc>
        <w:tc>
          <w:tcPr>
            <w:tcW w:w="920" w:type="dxa"/>
            <w:tcBorders>
              <w:top w:val="nil"/>
              <w:left w:val="nil"/>
              <w:bottom w:val="nil"/>
              <w:right w:val="nil"/>
            </w:tcBorders>
            <w:shd w:val="clear" w:color="auto" w:fill="auto"/>
            <w:noWrap/>
            <w:vAlign w:val="bottom"/>
            <w:hideMark/>
          </w:tcPr>
          <w:p w14:paraId="213FAE6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3,500 </w:t>
            </w:r>
          </w:p>
        </w:tc>
      </w:tr>
      <w:tr w:rsidR="00FF1A9C" w:rsidRPr="00FF1A9C" w14:paraId="1937FBB8" w14:textId="77777777" w:rsidTr="00FF1A9C">
        <w:trPr>
          <w:trHeight w:val="225"/>
          <w:jc w:val="center"/>
        </w:trPr>
        <w:tc>
          <w:tcPr>
            <w:tcW w:w="2320" w:type="dxa"/>
            <w:tcBorders>
              <w:top w:val="nil"/>
              <w:left w:val="nil"/>
              <w:bottom w:val="nil"/>
              <w:right w:val="nil"/>
            </w:tcBorders>
            <w:shd w:val="clear" w:color="auto" w:fill="auto"/>
            <w:vAlign w:val="bottom"/>
            <w:hideMark/>
          </w:tcPr>
          <w:p w14:paraId="10176FD1"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E29676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45701F3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96ABB0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E95D5E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53C018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A1315C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1F3C7BE6" w14:textId="77777777" w:rsidTr="00FF1A9C">
        <w:trPr>
          <w:trHeight w:val="454"/>
          <w:jc w:val="center"/>
        </w:trPr>
        <w:tc>
          <w:tcPr>
            <w:tcW w:w="2320" w:type="dxa"/>
            <w:tcBorders>
              <w:top w:val="nil"/>
              <w:left w:val="nil"/>
              <w:bottom w:val="nil"/>
              <w:right w:val="nil"/>
            </w:tcBorders>
            <w:shd w:val="clear" w:color="auto" w:fill="auto"/>
            <w:noWrap/>
            <w:vAlign w:val="bottom"/>
            <w:hideMark/>
          </w:tcPr>
          <w:p w14:paraId="13C075B2"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Australian Sports Commission</w:t>
            </w:r>
          </w:p>
        </w:tc>
        <w:tc>
          <w:tcPr>
            <w:tcW w:w="460" w:type="dxa"/>
            <w:tcBorders>
              <w:top w:val="nil"/>
              <w:left w:val="nil"/>
              <w:bottom w:val="nil"/>
              <w:right w:val="nil"/>
            </w:tcBorders>
            <w:shd w:val="clear" w:color="auto" w:fill="auto"/>
            <w:noWrap/>
            <w:vAlign w:val="bottom"/>
            <w:hideMark/>
          </w:tcPr>
          <w:p w14:paraId="596FFBD0"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81C45B6"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2FAB273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540C497D"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66C1873"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F2DE07"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34D55CD0" w14:textId="77777777" w:rsidTr="00934D5E">
        <w:trPr>
          <w:trHeight w:val="225"/>
          <w:jc w:val="center"/>
        </w:trPr>
        <w:tc>
          <w:tcPr>
            <w:tcW w:w="2320" w:type="dxa"/>
            <w:tcBorders>
              <w:top w:val="nil"/>
              <w:left w:val="nil"/>
              <w:right w:val="nil"/>
            </w:tcBorders>
            <w:shd w:val="clear" w:color="auto" w:fill="auto"/>
            <w:vAlign w:val="bottom"/>
            <w:hideMark/>
          </w:tcPr>
          <w:p w14:paraId="6E69F9B9"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729E1FDF"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7399CF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848237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8,541 </w:t>
            </w:r>
          </w:p>
        </w:tc>
        <w:tc>
          <w:tcPr>
            <w:tcW w:w="920" w:type="dxa"/>
            <w:tcBorders>
              <w:top w:val="nil"/>
              <w:left w:val="nil"/>
              <w:bottom w:val="nil"/>
              <w:right w:val="nil"/>
            </w:tcBorders>
            <w:shd w:val="clear" w:color="auto" w:fill="auto"/>
            <w:noWrap/>
            <w:vAlign w:val="bottom"/>
            <w:hideMark/>
          </w:tcPr>
          <w:p w14:paraId="4285AE1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1,135 </w:t>
            </w:r>
          </w:p>
        </w:tc>
        <w:tc>
          <w:tcPr>
            <w:tcW w:w="920" w:type="dxa"/>
            <w:tcBorders>
              <w:top w:val="nil"/>
              <w:left w:val="nil"/>
              <w:bottom w:val="nil"/>
              <w:right w:val="nil"/>
            </w:tcBorders>
            <w:shd w:val="clear" w:color="auto" w:fill="auto"/>
            <w:noWrap/>
            <w:vAlign w:val="bottom"/>
            <w:hideMark/>
          </w:tcPr>
          <w:p w14:paraId="1D73F5E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4AE7BF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3C362F3C"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78565AFF"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23EDD4C3"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7607F482"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2A3C1DDB"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13,371 </w:t>
            </w:r>
          </w:p>
        </w:tc>
        <w:tc>
          <w:tcPr>
            <w:tcW w:w="920" w:type="dxa"/>
            <w:tcBorders>
              <w:top w:val="single" w:sz="4" w:space="0" w:color="000000"/>
              <w:left w:val="nil"/>
              <w:bottom w:val="single" w:sz="4" w:space="0" w:color="000000"/>
              <w:right w:val="nil"/>
            </w:tcBorders>
            <w:shd w:val="clear" w:color="auto" w:fill="auto"/>
            <w:noWrap/>
            <w:vAlign w:val="bottom"/>
            <w:hideMark/>
          </w:tcPr>
          <w:p w14:paraId="5F52337F"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1,635 </w:t>
            </w:r>
          </w:p>
        </w:tc>
        <w:tc>
          <w:tcPr>
            <w:tcW w:w="920" w:type="dxa"/>
            <w:tcBorders>
              <w:top w:val="single" w:sz="4" w:space="0" w:color="000000"/>
              <w:left w:val="nil"/>
              <w:bottom w:val="single" w:sz="4" w:space="0" w:color="000000"/>
              <w:right w:val="nil"/>
            </w:tcBorders>
            <w:shd w:val="clear" w:color="auto" w:fill="auto"/>
            <w:noWrap/>
            <w:vAlign w:val="bottom"/>
            <w:hideMark/>
          </w:tcPr>
          <w:p w14:paraId="6F8E8047"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1,000 </w:t>
            </w:r>
          </w:p>
        </w:tc>
        <w:tc>
          <w:tcPr>
            <w:tcW w:w="920" w:type="dxa"/>
            <w:tcBorders>
              <w:top w:val="single" w:sz="4" w:space="0" w:color="000000"/>
              <w:left w:val="nil"/>
              <w:bottom w:val="single" w:sz="4" w:space="0" w:color="000000"/>
              <w:right w:val="nil"/>
            </w:tcBorders>
            <w:shd w:val="clear" w:color="auto" w:fill="auto"/>
            <w:noWrap/>
            <w:vAlign w:val="bottom"/>
            <w:hideMark/>
          </w:tcPr>
          <w:p w14:paraId="48DC0846"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3,500 </w:t>
            </w:r>
          </w:p>
        </w:tc>
      </w:tr>
    </w:tbl>
    <w:p w14:paraId="3C1D367A" w14:textId="77777777" w:rsidR="00D409E9" w:rsidRDefault="00D409E9" w:rsidP="000D22DB">
      <w:pPr>
        <w:rPr>
          <w:rFonts w:ascii="Arial" w:hAnsi="Arial" w:cs="Arial"/>
          <w:szCs w:val="18"/>
        </w:rPr>
      </w:pPr>
    </w:p>
    <w:p w14:paraId="784CCB38" w14:textId="77777777" w:rsidR="009C684C" w:rsidRDefault="009C684C">
      <w:pPr>
        <w:spacing w:after="0"/>
        <w:rPr>
          <w:rFonts w:ascii="Arial" w:hAnsi="Arial" w:cs="Arial"/>
          <w:b/>
          <w:sz w:val="20"/>
          <w:szCs w:val="18"/>
        </w:rPr>
      </w:pPr>
      <w:r>
        <w:rPr>
          <w:sz w:val="20"/>
        </w:rPr>
        <w:br w:type="page"/>
      </w:r>
    </w:p>
    <w:p w14:paraId="47BFCB2C" w14:textId="264D2337" w:rsidR="004B14B0" w:rsidRPr="00F277A4" w:rsidRDefault="007D48FE" w:rsidP="000D22DB">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w:t>
      </w:r>
      <w:r w:rsidR="00DA7A80"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FF1A9C" w:rsidRPr="00FF1A9C" w14:paraId="7920F53C" w14:textId="77777777" w:rsidTr="00FF1A9C">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4319BD73"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 xml:space="preserve">Outcome/ </w:t>
            </w:r>
            <w:r w:rsidRPr="00FF1A9C">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4D85C1EA"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2022–23</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1F6CFF62"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2023–24</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38E101E"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2024–25</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C0D2D9B"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2025–26</w:t>
            </w:r>
            <w:r w:rsidRPr="00FF1A9C">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09B83ED" w14:textId="77777777" w:rsidR="00FF1A9C" w:rsidRPr="00FF1A9C" w:rsidRDefault="00FF1A9C" w:rsidP="00FF1A9C">
            <w:pPr>
              <w:spacing w:before="40" w:after="0"/>
              <w:jc w:val="right"/>
              <w:rPr>
                <w:rFonts w:ascii="Arial" w:hAnsi="Arial" w:cs="Arial"/>
                <w:b/>
                <w:bCs/>
                <w:color w:val="auto"/>
                <w:sz w:val="16"/>
                <w:szCs w:val="16"/>
              </w:rPr>
            </w:pPr>
            <w:r w:rsidRPr="00FF1A9C">
              <w:rPr>
                <w:rFonts w:ascii="Arial" w:hAnsi="Arial" w:cs="Arial"/>
                <w:b/>
                <w:bCs/>
                <w:color w:val="auto"/>
                <w:sz w:val="16"/>
                <w:szCs w:val="16"/>
              </w:rPr>
              <w:t>2026–27</w:t>
            </w:r>
            <w:r w:rsidRPr="00FF1A9C">
              <w:rPr>
                <w:rFonts w:ascii="Arial" w:hAnsi="Arial" w:cs="Arial"/>
                <w:b/>
                <w:bCs/>
                <w:color w:val="auto"/>
                <w:sz w:val="16"/>
                <w:szCs w:val="16"/>
              </w:rPr>
              <w:br/>
              <w:t>$'000</w:t>
            </w:r>
          </w:p>
        </w:tc>
      </w:tr>
      <w:tr w:rsidR="00FF1A9C" w:rsidRPr="00FF1A9C" w14:paraId="6DB3B505" w14:textId="77777777" w:rsidTr="00FF1A9C">
        <w:trPr>
          <w:trHeight w:val="300"/>
          <w:jc w:val="center"/>
        </w:trPr>
        <w:tc>
          <w:tcPr>
            <w:tcW w:w="7380" w:type="dxa"/>
            <w:gridSpan w:val="7"/>
            <w:tcBorders>
              <w:top w:val="nil"/>
              <w:left w:val="nil"/>
              <w:bottom w:val="nil"/>
              <w:right w:val="nil"/>
            </w:tcBorders>
            <w:shd w:val="clear" w:color="auto" w:fill="auto"/>
            <w:vAlign w:val="bottom"/>
            <w:hideMark/>
          </w:tcPr>
          <w:p w14:paraId="006CEC59"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 xml:space="preserve">Long Term Dental Funding Reform Developmental Work and Interim Funding </w:t>
            </w:r>
            <w:r w:rsidRPr="00FF1A9C">
              <w:rPr>
                <w:rFonts w:ascii="Arial" w:hAnsi="Arial" w:cs="Arial"/>
                <w:b/>
                <w:bCs/>
                <w:color w:val="auto"/>
                <w:sz w:val="16"/>
                <w:szCs w:val="16"/>
                <w:vertAlign w:val="superscript"/>
              </w:rPr>
              <w:t>(b)</w:t>
            </w:r>
          </w:p>
        </w:tc>
      </w:tr>
      <w:tr w:rsidR="00FF1A9C" w:rsidRPr="00FF1A9C" w14:paraId="2A2A58D5" w14:textId="77777777" w:rsidTr="00FF1A9C">
        <w:trPr>
          <w:trHeight w:val="425"/>
          <w:jc w:val="center"/>
        </w:trPr>
        <w:tc>
          <w:tcPr>
            <w:tcW w:w="2320" w:type="dxa"/>
            <w:tcBorders>
              <w:top w:val="nil"/>
              <w:left w:val="nil"/>
              <w:bottom w:val="nil"/>
              <w:right w:val="nil"/>
            </w:tcBorders>
            <w:shd w:val="clear" w:color="auto" w:fill="auto"/>
            <w:vAlign w:val="bottom"/>
            <w:hideMark/>
          </w:tcPr>
          <w:p w14:paraId="223484D8"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3D9136E"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9CB4F4F"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7AE563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62DCDD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63DF5AF"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2073934"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610B3574"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359EAE29"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38C190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50A851D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457B4F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1,479 </w:t>
            </w:r>
          </w:p>
        </w:tc>
        <w:tc>
          <w:tcPr>
            <w:tcW w:w="920" w:type="dxa"/>
            <w:tcBorders>
              <w:top w:val="nil"/>
              <w:left w:val="nil"/>
              <w:bottom w:val="nil"/>
              <w:right w:val="nil"/>
            </w:tcBorders>
            <w:shd w:val="clear" w:color="auto" w:fill="auto"/>
            <w:noWrap/>
            <w:vAlign w:val="bottom"/>
            <w:hideMark/>
          </w:tcPr>
          <w:p w14:paraId="13C5384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812 </w:t>
            </w:r>
          </w:p>
        </w:tc>
        <w:tc>
          <w:tcPr>
            <w:tcW w:w="920" w:type="dxa"/>
            <w:tcBorders>
              <w:top w:val="nil"/>
              <w:left w:val="nil"/>
              <w:bottom w:val="nil"/>
              <w:right w:val="nil"/>
            </w:tcBorders>
            <w:shd w:val="clear" w:color="auto" w:fill="auto"/>
            <w:noWrap/>
            <w:vAlign w:val="bottom"/>
            <w:hideMark/>
          </w:tcPr>
          <w:p w14:paraId="100BB9A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205 </w:t>
            </w:r>
          </w:p>
        </w:tc>
        <w:tc>
          <w:tcPr>
            <w:tcW w:w="920" w:type="dxa"/>
            <w:tcBorders>
              <w:top w:val="nil"/>
              <w:left w:val="nil"/>
              <w:bottom w:val="nil"/>
              <w:right w:val="nil"/>
            </w:tcBorders>
            <w:shd w:val="clear" w:color="auto" w:fill="auto"/>
            <w:noWrap/>
            <w:vAlign w:val="bottom"/>
            <w:hideMark/>
          </w:tcPr>
          <w:p w14:paraId="2CDE23A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6CAFFB01" w14:textId="77777777" w:rsidTr="00FF1A9C">
        <w:trPr>
          <w:trHeight w:val="225"/>
          <w:jc w:val="center"/>
        </w:trPr>
        <w:tc>
          <w:tcPr>
            <w:tcW w:w="2320" w:type="dxa"/>
            <w:tcBorders>
              <w:top w:val="nil"/>
              <w:left w:val="nil"/>
              <w:bottom w:val="nil"/>
              <w:right w:val="nil"/>
            </w:tcBorders>
            <w:shd w:val="clear" w:color="auto" w:fill="auto"/>
            <w:vAlign w:val="bottom"/>
            <w:hideMark/>
          </w:tcPr>
          <w:p w14:paraId="060E9749"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8CE6D7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224A2C9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29CBBA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332 </w:t>
            </w:r>
          </w:p>
        </w:tc>
        <w:tc>
          <w:tcPr>
            <w:tcW w:w="920" w:type="dxa"/>
            <w:tcBorders>
              <w:top w:val="nil"/>
              <w:left w:val="nil"/>
              <w:bottom w:val="nil"/>
              <w:right w:val="nil"/>
            </w:tcBorders>
            <w:shd w:val="clear" w:color="auto" w:fill="auto"/>
            <w:noWrap/>
            <w:vAlign w:val="bottom"/>
            <w:hideMark/>
          </w:tcPr>
          <w:p w14:paraId="21D89F2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121 </w:t>
            </w:r>
          </w:p>
        </w:tc>
        <w:tc>
          <w:tcPr>
            <w:tcW w:w="920" w:type="dxa"/>
            <w:tcBorders>
              <w:top w:val="nil"/>
              <w:left w:val="nil"/>
              <w:bottom w:val="nil"/>
              <w:right w:val="nil"/>
            </w:tcBorders>
            <w:shd w:val="clear" w:color="auto" w:fill="auto"/>
            <w:noWrap/>
            <w:vAlign w:val="bottom"/>
            <w:hideMark/>
          </w:tcPr>
          <w:p w14:paraId="0E5DB98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27 </w:t>
            </w:r>
          </w:p>
        </w:tc>
        <w:tc>
          <w:tcPr>
            <w:tcW w:w="920" w:type="dxa"/>
            <w:tcBorders>
              <w:top w:val="nil"/>
              <w:left w:val="nil"/>
              <w:bottom w:val="nil"/>
              <w:right w:val="nil"/>
            </w:tcBorders>
            <w:shd w:val="clear" w:color="auto" w:fill="auto"/>
            <w:noWrap/>
            <w:vAlign w:val="bottom"/>
            <w:hideMark/>
          </w:tcPr>
          <w:p w14:paraId="3CA3A2F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27 </w:t>
            </w:r>
          </w:p>
        </w:tc>
      </w:tr>
      <w:tr w:rsidR="00FF1A9C" w:rsidRPr="00FF1A9C" w14:paraId="2B4019CE" w14:textId="77777777" w:rsidTr="00FF1A9C">
        <w:trPr>
          <w:trHeight w:val="425"/>
          <w:jc w:val="center"/>
        </w:trPr>
        <w:tc>
          <w:tcPr>
            <w:tcW w:w="2320" w:type="dxa"/>
            <w:tcBorders>
              <w:top w:val="nil"/>
              <w:left w:val="nil"/>
              <w:bottom w:val="nil"/>
              <w:right w:val="nil"/>
            </w:tcBorders>
            <w:shd w:val="clear" w:color="auto" w:fill="auto"/>
            <w:vAlign w:val="bottom"/>
            <w:hideMark/>
          </w:tcPr>
          <w:p w14:paraId="363D3952"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65CCBE4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7AAB97A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3E6E6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85 </w:t>
            </w:r>
          </w:p>
        </w:tc>
        <w:tc>
          <w:tcPr>
            <w:tcW w:w="920" w:type="dxa"/>
            <w:tcBorders>
              <w:top w:val="nil"/>
              <w:left w:val="nil"/>
              <w:bottom w:val="nil"/>
              <w:right w:val="nil"/>
            </w:tcBorders>
            <w:shd w:val="clear" w:color="auto" w:fill="auto"/>
            <w:noWrap/>
            <w:vAlign w:val="bottom"/>
            <w:hideMark/>
          </w:tcPr>
          <w:p w14:paraId="6C2FF77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734AF2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B2F28E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507A6BE5" w14:textId="77777777" w:rsidTr="00FF1A9C">
        <w:trPr>
          <w:trHeight w:val="454"/>
          <w:jc w:val="center"/>
        </w:trPr>
        <w:tc>
          <w:tcPr>
            <w:tcW w:w="2320" w:type="dxa"/>
            <w:tcBorders>
              <w:top w:val="nil"/>
              <w:left w:val="nil"/>
              <w:bottom w:val="nil"/>
              <w:right w:val="nil"/>
            </w:tcBorders>
            <w:shd w:val="clear" w:color="auto" w:fill="auto"/>
            <w:vAlign w:val="bottom"/>
            <w:hideMark/>
          </w:tcPr>
          <w:p w14:paraId="552AB40C"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Australian Institute of Health and Welfare</w:t>
            </w:r>
          </w:p>
        </w:tc>
        <w:tc>
          <w:tcPr>
            <w:tcW w:w="460" w:type="dxa"/>
            <w:tcBorders>
              <w:top w:val="nil"/>
              <w:left w:val="nil"/>
              <w:bottom w:val="nil"/>
              <w:right w:val="nil"/>
            </w:tcBorders>
            <w:shd w:val="clear" w:color="auto" w:fill="auto"/>
            <w:noWrap/>
            <w:vAlign w:val="bottom"/>
            <w:hideMark/>
          </w:tcPr>
          <w:p w14:paraId="624A23BF"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14A4C19"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2A5642A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A471BBD"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500082A"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D45F952"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3A41B460" w14:textId="77777777" w:rsidTr="00FF1A9C">
        <w:trPr>
          <w:trHeight w:val="225"/>
          <w:jc w:val="center"/>
        </w:trPr>
        <w:tc>
          <w:tcPr>
            <w:tcW w:w="2320" w:type="dxa"/>
            <w:tcBorders>
              <w:top w:val="nil"/>
              <w:left w:val="nil"/>
              <w:bottom w:val="nil"/>
              <w:right w:val="nil"/>
            </w:tcBorders>
            <w:shd w:val="clear" w:color="auto" w:fill="auto"/>
            <w:vAlign w:val="bottom"/>
            <w:hideMark/>
          </w:tcPr>
          <w:p w14:paraId="038A175F"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3AF4F8E"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78BF5B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F5D71D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EE576E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0FA3C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70A1E8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46518CE0" w14:textId="77777777" w:rsidTr="00FF1A9C">
        <w:trPr>
          <w:trHeight w:val="283"/>
          <w:jc w:val="center"/>
        </w:trPr>
        <w:tc>
          <w:tcPr>
            <w:tcW w:w="2320" w:type="dxa"/>
            <w:tcBorders>
              <w:top w:val="nil"/>
              <w:left w:val="nil"/>
              <w:bottom w:val="nil"/>
              <w:right w:val="nil"/>
            </w:tcBorders>
            <w:shd w:val="clear" w:color="auto" w:fill="auto"/>
            <w:noWrap/>
            <w:vAlign w:val="bottom"/>
            <w:hideMark/>
          </w:tcPr>
          <w:p w14:paraId="05B19B79"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09A62735"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63AE336"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C2B68F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08674146"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C3FD6F8"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826DF4E"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1CA3EE89"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41964989"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3D8FF6A5"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6F5E4A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2524DF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107,800 </w:t>
            </w:r>
          </w:p>
        </w:tc>
        <w:tc>
          <w:tcPr>
            <w:tcW w:w="920" w:type="dxa"/>
            <w:tcBorders>
              <w:top w:val="nil"/>
              <w:left w:val="nil"/>
              <w:bottom w:val="nil"/>
              <w:right w:val="nil"/>
            </w:tcBorders>
            <w:shd w:val="clear" w:color="auto" w:fill="auto"/>
            <w:noWrap/>
            <w:vAlign w:val="bottom"/>
            <w:hideMark/>
          </w:tcPr>
          <w:p w14:paraId="1A85A80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107,800 </w:t>
            </w:r>
          </w:p>
        </w:tc>
        <w:tc>
          <w:tcPr>
            <w:tcW w:w="920" w:type="dxa"/>
            <w:tcBorders>
              <w:top w:val="nil"/>
              <w:left w:val="nil"/>
              <w:bottom w:val="nil"/>
              <w:right w:val="nil"/>
            </w:tcBorders>
            <w:shd w:val="clear" w:color="auto" w:fill="auto"/>
            <w:noWrap/>
            <w:vAlign w:val="bottom"/>
            <w:hideMark/>
          </w:tcPr>
          <w:p w14:paraId="148C610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872F16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7E610A6D"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5802C9BF"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7E028544"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41BF7C96"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6A1B5C22"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109,696 </w:t>
            </w:r>
          </w:p>
        </w:tc>
        <w:tc>
          <w:tcPr>
            <w:tcW w:w="920" w:type="dxa"/>
            <w:tcBorders>
              <w:top w:val="single" w:sz="4" w:space="0" w:color="000000"/>
              <w:left w:val="nil"/>
              <w:bottom w:val="single" w:sz="4" w:space="0" w:color="000000"/>
              <w:right w:val="nil"/>
            </w:tcBorders>
            <w:shd w:val="clear" w:color="auto" w:fill="auto"/>
            <w:noWrap/>
            <w:vAlign w:val="bottom"/>
            <w:hideMark/>
          </w:tcPr>
          <w:p w14:paraId="36AA75CB"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108,733 </w:t>
            </w:r>
          </w:p>
        </w:tc>
        <w:tc>
          <w:tcPr>
            <w:tcW w:w="920" w:type="dxa"/>
            <w:tcBorders>
              <w:top w:val="single" w:sz="4" w:space="0" w:color="000000"/>
              <w:left w:val="nil"/>
              <w:bottom w:val="single" w:sz="4" w:space="0" w:color="000000"/>
              <w:right w:val="nil"/>
            </w:tcBorders>
            <w:shd w:val="clear" w:color="auto" w:fill="auto"/>
            <w:noWrap/>
            <w:vAlign w:val="bottom"/>
            <w:hideMark/>
          </w:tcPr>
          <w:p w14:paraId="4475C6BC"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232 </w:t>
            </w:r>
          </w:p>
        </w:tc>
        <w:tc>
          <w:tcPr>
            <w:tcW w:w="920" w:type="dxa"/>
            <w:tcBorders>
              <w:top w:val="single" w:sz="4" w:space="0" w:color="000000"/>
              <w:left w:val="nil"/>
              <w:bottom w:val="single" w:sz="4" w:space="0" w:color="000000"/>
              <w:right w:val="nil"/>
            </w:tcBorders>
            <w:shd w:val="clear" w:color="auto" w:fill="auto"/>
            <w:noWrap/>
            <w:vAlign w:val="bottom"/>
            <w:hideMark/>
          </w:tcPr>
          <w:p w14:paraId="7555F9E7"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27 </w:t>
            </w:r>
          </w:p>
        </w:tc>
      </w:tr>
      <w:tr w:rsidR="00FF1A9C" w:rsidRPr="00FF1A9C" w14:paraId="226657D8" w14:textId="77777777" w:rsidTr="00FF1A9C">
        <w:trPr>
          <w:trHeight w:val="283"/>
          <w:jc w:val="center"/>
        </w:trPr>
        <w:tc>
          <w:tcPr>
            <w:tcW w:w="7380" w:type="dxa"/>
            <w:gridSpan w:val="7"/>
            <w:tcBorders>
              <w:top w:val="nil"/>
              <w:left w:val="nil"/>
              <w:bottom w:val="nil"/>
              <w:right w:val="nil"/>
            </w:tcBorders>
            <w:shd w:val="clear" w:color="auto" w:fill="auto"/>
            <w:vAlign w:val="bottom"/>
            <w:hideMark/>
          </w:tcPr>
          <w:p w14:paraId="6BD9ED02"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 xml:space="preserve">Medicare Urgent Care Clinics — additional funding </w:t>
            </w:r>
            <w:r w:rsidRPr="00FF1A9C">
              <w:rPr>
                <w:rFonts w:ascii="Arial" w:hAnsi="Arial" w:cs="Arial"/>
                <w:b/>
                <w:bCs/>
                <w:color w:val="auto"/>
                <w:sz w:val="16"/>
                <w:szCs w:val="16"/>
                <w:vertAlign w:val="superscript"/>
              </w:rPr>
              <w:t>(d)</w:t>
            </w:r>
          </w:p>
        </w:tc>
      </w:tr>
      <w:tr w:rsidR="00FF1A9C" w:rsidRPr="00FF1A9C" w14:paraId="1F0C59C7" w14:textId="77777777" w:rsidTr="00FF1A9C">
        <w:trPr>
          <w:trHeight w:val="425"/>
          <w:jc w:val="center"/>
        </w:trPr>
        <w:tc>
          <w:tcPr>
            <w:tcW w:w="2320" w:type="dxa"/>
            <w:tcBorders>
              <w:top w:val="nil"/>
              <w:left w:val="nil"/>
              <w:bottom w:val="nil"/>
              <w:right w:val="nil"/>
            </w:tcBorders>
            <w:shd w:val="clear" w:color="auto" w:fill="auto"/>
            <w:vAlign w:val="bottom"/>
            <w:hideMark/>
          </w:tcPr>
          <w:p w14:paraId="4B44C585"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285A672B"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F34AD05"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2DE6ED6"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A4ECF4C"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73825B"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65CBEB1"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15A9446D"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37DCFA17"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3373132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60B3A8D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12,147 </w:t>
            </w:r>
          </w:p>
        </w:tc>
        <w:tc>
          <w:tcPr>
            <w:tcW w:w="920" w:type="dxa"/>
            <w:tcBorders>
              <w:top w:val="nil"/>
              <w:left w:val="nil"/>
              <w:bottom w:val="nil"/>
              <w:right w:val="nil"/>
            </w:tcBorders>
            <w:shd w:val="clear" w:color="000000" w:fill="D9D9D9"/>
            <w:noWrap/>
            <w:vAlign w:val="bottom"/>
            <w:hideMark/>
          </w:tcPr>
          <w:p w14:paraId="67615E3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(2,850)</w:t>
            </w:r>
          </w:p>
        </w:tc>
        <w:tc>
          <w:tcPr>
            <w:tcW w:w="920" w:type="dxa"/>
            <w:tcBorders>
              <w:top w:val="nil"/>
              <w:left w:val="nil"/>
              <w:bottom w:val="nil"/>
              <w:right w:val="nil"/>
            </w:tcBorders>
            <w:shd w:val="clear" w:color="auto" w:fill="auto"/>
            <w:noWrap/>
            <w:vAlign w:val="bottom"/>
            <w:hideMark/>
          </w:tcPr>
          <w:p w14:paraId="1D67D4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(17,533)</w:t>
            </w:r>
          </w:p>
        </w:tc>
        <w:tc>
          <w:tcPr>
            <w:tcW w:w="920" w:type="dxa"/>
            <w:tcBorders>
              <w:top w:val="nil"/>
              <w:left w:val="nil"/>
              <w:bottom w:val="nil"/>
              <w:right w:val="nil"/>
            </w:tcBorders>
            <w:shd w:val="clear" w:color="auto" w:fill="auto"/>
            <w:noWrap/>
            <w:vAlign w:val="bottom"/>
            <w:hideMark/>
          </w:tcPr>
          <w:p w14:paraId="335A684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2,481 </w:t>
            </w:r>
          </w:p>
        </w:tc>
        <w:tc>
          <w:tcPr>
            <w:tcW w:w="920" w:type="dxa"/>
            <w:tcBorders>
              <w:top w:val="nil"/>
              <w:left w:val="nil"/>
              <w:bottom w:val="nil"/>
              <w:right w:val="nil"/>
            </w:tcBorders>
            <w:shd w:val="clear" w:color="auto" w:fill="auto"/>
            <w:noWrap/>
            <w:vAlign w:val="bottom"/>
            <w:hideMark/>
          </w:tcPr>
          <w:p w14:paraId="2E5F360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117C3944" w14:textId="77777777" w:rsidTr="00FF1A9C">
        <w:trPr>
          <w:trHeight w:val="225"/>
          <w:jc w:val="center"/>
        </w:trPr>
        <w:tc>
          <w:tcPr>
            <w:tcW w:w="2320" w:type="dxa"/>
            <w:tcBorders>
              <w:top w:val="nil"/>
              <w:left w:val="nil"/>
              <w:bottom w:val="nil"/>
              <w:right w:val="nil"/>
            </w:tcBorders>
            <w:shd w:val="clear" w:color="auto" w:fill="auto"/>
            <w:vAlign w:val="bottom"/>
            <w:hideMark/>
          </w:tcPr>
          <w:p w14:paraId="19B2C9D0" w14:textId="77777777" w:rsidR="00FF1A9C" w:rsidRPr="00FF1A9C" w:rsidRDefault="00FF1A9C" w:rsidP="00FF1A9C">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AF4FD9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23B1593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2,361 </w:t>
            </w:r>
          </w:p>
        </w:tc>
        <w:tc>
          <w:tcPr>
            <w:tcW w:w="920" w:type="dxa"/>
            <w:tcBorders>
              <w:top w:val="nil"/>
              <w:left w:val="nil"/>
              <w:bottom w:val="nil"/>
              <w:right w:val="nil"/>
            </w:tcBorders>
            <w:shd w:val="clear" w:color="000000" w:fill="D9D9D9"/>
            <w:noWrap/>
            <w:vAlign w:val="bottom"/>
            <w:hideMark/>
          </w:tcPr>
          <w:p w14:paraId="65B8078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(2,209)</w:t>
            </w:r>
          </w:p>
        </w:tc>
        <w:tc>
          <w:tcPr>
            <w:tcW w:w="920" w:type="dxa"/>
            <w:tcBorders>
              <w:top w:val="nil"/>
              <w:left w:val="nil"/>
              <w:bottom w:val="nil"/>
              <w:right w:val="nil"/>
            </w:tcBorders>
            <w:shd w:val="clear" w:color="auto" w:fill="auto"/>
            <w:noWrap/>
            <w:vAlign w:val="bottom"/>
            <w:hideMark/>
          </w:tcPr>
          <w:p w14:paraId="600534C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593 </w:t>
            </w:r>
          </w:p>
        </w:tc>
        <w:tc>
          <w:tcPr>
            <w:tcW w:w="920" w:type="dxa"/>
            <w:tcBorders>
              <w:top w:val="nil"/>
              <w:left w:val="nil"/>
              <w:bottom w:val="nil"/>
              <w:right w:val="nil"/>
            </w:tcBorders>
            <w:shd w:val="clear" w:color="auto" w:fill="auto"/>
            <w:noWrap/>
            <w:vAlign w:val="bottom"/>
            <w:hideMark/>
          </w:tcPr>
          <w:p w14:paraId="42C7CB9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53 </w:t>
            </w:r>
          </w:p>
        </w:tc>
        <w:tc>
          <w:tcPr>
            <w:tcW w:w="920" w:type="dxa"/>
            <w:tcBorders>
              <w:top w:val="nil"/>
              <w:left w:val="nil"/>
              <w:bottom w:val="nil"/>
              <w:right w:val="nil"/>
            </w:tcBorders>
            <w:shd w:val="clear" w:color="auto" w:fill="auto"/>
            <w:noWrap/>
            <w:vAlign w:val="bottom"/>
            <w:hideMark/>
          </w:tcPr>
          <w:p w14:paraId="05D9D99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47826AA3" w14:textId="77777777" w:rsidTr="00FF1A9C">
        <w:trPr>
          <w:trHeight w:val="283"/>
          <w:jc w:val="center"/>
        </w:trPr>
        <w:tc>
          <w:tcPr>
            <w:tcW w:w="2320" w:type="dxa"/>
            <w:tcBorders>
              <w:top w:val="nil"/>
              <w:left w:val="nil"/>
              <w:bottom w:val="nil"/>
              <w:right w:val="nil"/>
            </w:tcBorders>
            <w:shd w:val="clear" w:color="auto" w:fill="auto"/>
            <w:noWrap/>
            <w:vAlign w:val="bottom"/>
            <w:hideMark/>
          </w:tcPr>
          <w:p w14:paraId="65AD91E9"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4EC377ED"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BDCA899"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B3CC5D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057E4477"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81532AA"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0458EC1"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57F6AC28"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7141D7F6"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606F607"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4190F2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9,173 </w:t>
            </w:r>
          </w:p>
        </w:tc>
        <w:tc>
          <w:tcPr>
            <w:tcW w:w="920" w:type="dxa"/>
            <w:tcBorders>
              <w:top w:val="nil"/>
              <w:left w:val="nil"/>
              <w:bottom w:val="nil"/>
              <w:right w:val="nil"/>
            </w:tcBorders>
            <w:shd w:val="clear" w:color="000000" w:fill="D9D9D9"/>
            <w:noWrap/>
            <w:vAlign w:val="bottom"/>
            <w:hideMark/>
          </w:tcPr>
          <w:p w14:paraId="6068511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19,410 </w:t>
            </w:r>
          </w:p>
        </w:tc>
        <w:tc>
          <w:tcPr>
            <w:tcW w:w="920" w:type="dxa"/>
            <w:tcBorders>
              <w:top w:val="nil"/>
              <w:left w:val="nil"/>
              <w:bottom w:val="nil"/>
              <w:right w:val="nil"/>
            </w:tcBorders>
            <w:shd w:val="clear" w:color="auto" w:fill="auto"/>
            <w:noWrap/>
            <w:vAlign w:val="bottom"/>
            <w:hideMark/>
          </w:tcPr>
          <w:p w14:paraId="1CFBE97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25,815 </w:t>
            </w:r>
          </w:p>
        </w:tc>
        <w:tc>
          <w:tcPr>
            <w:tcW w:w="920" w:type="dxa"/>
            <w:tcBorders>
              <w:top w:val="nil"/>
              <w:left w:val="nil"/>
              <w:bottom w:val="nil"/>
              <w:right w:val="nil"/>
            </w:tcBorders>
            <w:shd w:val="clear" w:color="auto" w:fill="auto"/>
            <w:noWrap/>
            <w:vAlign w:val="bottom"/>
            <w:hideMark/>
          </w:tcPr>
          <w:p w14:paraId="0737B18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26,253 </w:t>
            </w:r>
          </w:p>
        </w:tc>
        <w:tc>
          <w:tcPr>
            <w:tcW w:w="920" w:type="dxa"/>
            <w:tcBorders>
              <w:top w:val="nil"/>
              <w:left w:val="nil"/>
              <w:bottom w:val="nil"/>
              <w:right w:val="nil"/>
            </w:tcBorders>
            <w:shd w:val="clear" w:color="auto" w:fill="auto"/>
            <w:noWrap/>
            <w:vAlign w:val="bottom"/>
            <w:hideMark/>
          </w:tcPr>
          <w:p w14:paraId="7EA340B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712DBDF8" w14:textId="77777777" w:rsidTr="00FF1A9C">
        <w:trPr>
          <w:trHeight w:val="454"/>
          <w:jc w:val="center"/>
        </w:trPr>
        <w:tc>
          <w:tcPr>
            <w:tcW w:w="2320" w:type="dxa"/>
            <w:tcBorders>
              <w:top w:val="nil"/>
              <w:left w:val="nil"/>
              <w:bottom w:val="nil"/>
              <w:right w:val="nil"/>
            </w:tcBorders>
            <w:shd w:val="clear" w:color="auto" w:fill="auto"/>
            <w:vAlign w:val="bottom"/>
            <w:hideMark/>
          </w:tcPr>
          <w:p w14:paraId="2D376827"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41A3700B"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60E219A"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72BCEF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6B082AC"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C91D440"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1889E4E"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0B763A40"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02DDD6AC"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3814201"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0CDD8B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23 </w:t>
            </w:r>
          </w:p>
        </w:tc>
        <w:tc>
          <w:tcPr>
            <w:tcW w:w="920" w:type="dxa"/>
            <w:tcBorders>
              <w:top w:val="nil"/>
              <w:left w:val="nil"/>
              <w:bottom w:val="nil"/>
              <w:right w:val="nil"/>
            </w:tcBorders>
            <w:shd w:val="clear" w:color="000000" w:fill="D9D9D9"/>
            <w:noWrap/>
            <w:vAlign w:val="bottom"/>
            <w:hideMark/>
          </w:tcPr>
          <w:p w14:paraId="53FF9F6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578 </w:t>
            </w:r>
          </w:p>
        </w:tc>
        <w:tc>
          <w:tcPr>
            <w:tcW w:w="920" w:type="dxa"/>
            <w:tcBorders>
              <w:top w:val="nil"/>
              <w:left w:val="nil"/>
              <w:bottom w:val="nil"/>
              <w:right w:val="nil"/>
            </w:tcBorders>
            <w:shd w:val="clear" w:color="auto" w:fill="auto"/>
            <w:noWrap/>
            <w:vAlign w:val="bottom"/>
            <w:hideMark/>
          </w:tcPr>
          <w:p w14:paraId="1091F6E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446 </w:t>
            </w:r>
          </w:p>
        </w:tc>
        <w:tc>
          <w:tcPr>
            <w:tcW w:w="920" w:type="dxa"/>
            <w:tcBorders>
              <w:top w:val="nil"/>
              <w:left w:val="nil"/>
              <w:bottom w:val="nil"/>
              <w:right w:val="nil"/>
            </w:tcBorders>
            <w:shd w:val="clear" w:color="auto" w:fill="auto"/>
            <w:noWrap/>
            <w:vAlign w:val="bottom"/>
            <w:hideMark/>
          </w:tcPr>
          <w:p w14:paraId="4AB8B06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453 </w:t>
            </w:r>
          </w:p>
        </w:tc>
        <w:tc>
          <w:tcPr>
            <w:tcW w:w="920" w:type="dxa"/>
            <w:tcBorders>
              <w:top w:val="nil"/>
              <w:left w:val="nil"/>
              <w:bottom w:val="nil"/>
              <w:right w:val="nil"/>
            </w:tcBorders>
            <w:shd w:val="clear" w:color="auto" w:fill="auto"/>
            <w:noWrap/>
            <w:vAlign w:val="bottom"/>
            <w:hideMark/>
          </w:tcPr>
          <w:p w14:paraId="2A549F7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462 </w:t>
            </w:r>
          </w:p>
        </w:tc>
      </w:tr>
      <w:tr w:rsidR="00FF1A9C" w:rsidRPr="00FF1A9C" w14:paraId="03B0F271" w14:textId="77777777" w:rsidTr="00FF1A9C">
        <w:trPr>
          <w:trHeight w:val="283"/>
          <w:jc w:val="center"/>
        </w:trPr>
        <w:tc>
          <w:tcPr>
            <w:tcW w:w="2320" w:type="dxa"/>
            <w:tcBorders>
              <w:top w:val="nil"/>
              <w:left w:val="nil"/>
              <w:bottom w:val="nil"/>
              <w:right w:val="nil"/>
            </w:tcBorders>
            <w:shd w:val="clear" w:color="auto" w:fill="auto"/>
            <w:vAlign w:val="bottom"/>
            <w:hideMark/>
          </w:tcPr>
          <w:p w14:paraId="51A56E8F"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528F3E76"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C5C1EE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519EB7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5E6C125E"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30998EE"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23CDB2B"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29BCF7F1" w14:textId="77777777" w:rsidTr="00FF1A9C">
        <w:trPr>
          <w:trHeight w:val="225"/>
          <w:jc w:val="center"/>
        </w:trPr>
        <w:tc>
          <w:tcPr>
            <w:tcW w:w="2320" w:type="dxa"/>
            <w:tcBorders>
              <w:top w:val="nil"/>
              <w:left w:val="nil"/>
              <w:bottom w:val="nil"/>
              <w:right w:val="nil"/>
            </w:tcBorders>
            <w:shd w:val="clear" w:color="auto" w:fill="auto"/>
            <w:vAlign w:val="bottom"/>
            <w:hideMark/>
          </w:tcPr>
          <w:p w14:paraId="36518928"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1078E88"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9F3F0C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746 </w:t>
            </w:r>
          </w:p>
        </w:tc>
        <w:tc>
          <w:tcPr>
            <w:tcW w:w="920" w:type="dxa"/>
            <w:tcBorders>
              <w:top w:val="nil"/>
              <w:left w:val="nil"/>
              <w:bottom w:val="nil"/>
              <w:right w:val="nil"/>
            </w:tcBorders>
            <w:shd w:val="clear" w:color="000000" w:fill="D9D9D9"/>
            <w:noWrap/>
            <w:vAlign w:val="bottom"/>
            <w:hideMark/>
          </w:tcPr>
          <w:p w14:paraId="2E69591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4,017 </w:t>
            </w:r>
          </w:p>
        </w:tc>
        <w:tc>
          <w:tcPr>
            <w:tcW w:w="920" w:type="dxa"/>
            <w:tcBorders>
              <w:top w:val="nil"/>
              <w:left w:val="nil"/>
              <w:bottom w:val="nil"/>
              <w:right w:val="nil"/>
            </w:tcBorders>
            <w:shd w:val="clear" w:color="auto" w:fill="auto"/>
            <w:noWrap/>
            <w:vAlign w:val="bottom"/>
            <w:hideMark/>
          </w:tcPr>
          <w:p w14:paraId="1A8C7E4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1,215 </w:t>
            </w:r>
          </w:p>
        </w:tc>
        <w:tc>
          <w:tcPr>
            <w:tcW w:w="920" w:type="dxa"/>
            <w:tcBorders>
              <w:top w:val="nil"/>
              <w:left w:val="nil"/>
              <w:bottom w:val="nil"/>
              <w:right w:val="nil"/>
            </w:tcBorders>
            <w:shd w:val="clear" w:color="auto" w:fill="auto"/>
            <w:noWrap/>
            <w:vAlign w:val="bottom"/>
            <w:hideMark/>
          </w:tcPr>
          <w:p w14:paraId="1AD66F3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1,130 </w:t>
            </w:r>
          </w:p>
        </w:tc>
        <w:tc>
          <w:tcPr>
            <w:tcW w:w="920" w:type="dxa"/>
            <w:tcBorders>
              <w:top w:val="nil"/>
              <w:left w:val="nil"/>
              <w:bottom w:val="nil"/>
              <w:right w:val="nil"/>
            </w:tcBorders>
            <w:shd w:val="clear" w:color="auto" w:fill="auto"/>
            <w:noWrap/>
            <w:vAlign w:val="bottom"/>
            <w:hideMark/>
          </w:tcPr>
          <w:p w14:paraId="2F74AA7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53F3A89E"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5180A86C"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4FCA2933"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99B6DEF"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24,450 </w:t>
            </w:r>
          </w:p>
        </w:tc>
        <w:tc>
          <w:tcPr>
            <w:tcW w:w="920" w:type="dxa"/>
            <w:tcBorders>
              <w:top w:val="single" w:sz="4" w:space="0" w:color="000000"/>
              <w:left w:val="nil"/>
              <w:bottom w:val="single" w:sz="4" w:space="0" w:color="000000"/>
              <w:right w:val="nil"/>
            </w:tcBorders>
            <w:shd w:val="clear" w:color="000000" w:fill="D9D9D9"/>
            <w:noWrap/>
            <w:vAlign w:val="bottom"/>
            <w:hideMark/>
          </w:tcPr>
          <w:p w14:paraId="7AD52C95"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18,946 </w:t>
            </w:r>
          </w:p>
        </w:tc>
        <w:tc>
          <w:tcPr>
            <w:tcW w:w="920" w:type="dxa"/>
            <w:tcBorders>
              <w:top w:val="single" w:sz="4" w:space="0" w:color="000000"/>
              <w:left w:val="nil"/>
              <w:bottom w:val="single" w:sz="4" w:space="0" w:color="000000"/>
              <w:right w:val="nil"/>
            </w:tcBorders>
            <w:shd w:val="clear" w:color="auto" w:fill="auto"/>
            <w:noWrap/>
            <w:vAlign w:val="bottom"/>
            <w:hideMark/>
          </w:tcPr>
          <w:p w14:paraId="5F1C4A43"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10,536 </w:t>
            </w:r>
          </w:p>
        </w:tc>
        <w:tc>
          <w:tcPr>
            <w:tcW w:w="920" w:type="dxa"/>
            <w:tcBorders>
              <w:top w:val="single" w:sz="4" w:space="0" w:color="000000"/>
              <w:left w:val="nil"/>
              <w:bottom w:val="single" w:sz="4" w:space="0" w:color="000000"/>
              <w:right w:val="nil"/>
            </w:tcBorders>
            <w:shd w:val="clear" w:color="auto" w:fill="auto"/>
            <w:noWrap/>
            <w:vAlign w:val="bottom"/>
            <w:hideMark/>
          </w:tcPr>
          <w:p w14:paraId="5B59C92D"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30,370 </w:t>
            </w:r>
          </w:p>
        </w:tc>
        <w:tc>
          <w:tcPr>
            <w:tcW w:w="920" w:type="dxa"/>
            <w:tcBorders>
              <w:top w:val="single" w:sz="4" w:space="0" w:color="000000"/>
              <w:left w:val="nil"/>
              <w:bottom w:val="single" w:sz="4" w:space="0" w:color="000000"/>
              <w:right w:val="nil"/>
            </w:tcBorders>
            <w:shd w:val="clear" w:color="auto" w:fill="auto"/>
            <w:noWrap/>
            <w:vAlign w:val="bottom"/>
            <w:hideMark/>
          </w:tcPr>
          <w:p w14:paraId="1E879F36"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462 </w:t>
            </w:r>
          </w:p>
        </w:tc>
      </w:tr>
      <w:tr w:rsidR="00FF1A9C" w:rsidRPr="00FF1A9C" w14:paraId="093D4304" w14:textId="77777777" w:rsidTr="00FF1A9C">
        <w:trPr>
          <w:trHeight w:val="283"/>
          <w:jc w:val="center"/>
        </w:trPr>
        <w:tc>
          <w:tcPr>
            <w:tcW w:w="7380" w:type="dxa"/>
            <w:gridSpan w:val="7"/>
            <w:tcBorders>
              <w:top w:val="nil"/>
              <w:left w:val="nil"/>
              <w:bottom w:val="nil"/>
              <w:right w:val="nil"/>
            </w:tcBorders>
            <w:shd w:val="clear" w:color="auto" w:fill="auto"/>
            <w:vAlign w:val="bottom"/>
            <w:hideMark/>
          </w:tcPr>
          <w:p w14:paraId="4598929C"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 xml:space="preserve">Mental Health </w:t>
            </w:r>
            <w:r w:rsidRPr="00FF1A9C">
              <w:rPr>
                <w:rFonts w:ascii="Arial" w:hAnsi="Arial" w:cs="Arial"/>
                <w:b/>
                <w:bCs/>
                <w:color w:val="auto"/>
                <w:sz w:val="16"/>
                <w:szCs w:val="16"/>
                <w:vertAlign w:val="superscript"/>
              </w:rPr>
              <w:t>(b)</w:t>
            </w:r>
          </w:p>
        </w:tc>
      </w:tr>
      <w:tr w:rsidR="00FF1A9C" w:rsidRPr="00FF1A9C" w14:paraId="36AA6EDB" w14:textId="77777777" w:rsidTr="00FF1A9C">
        <w:trPr>
          <w:trHeight w:val="425"/>
          <w:jc w:val="center"/>
        </w:trPr>
        <w:tc>
          <w:tcPr>
            <w:tcW w:w="2320" w:type="dxa"/>
            <w:tcBorders>
              <w:top w:val="nil"/>
              <w:left w:val="nil"/>
              <w:bottom w:val="nil"/>
              <w:right w:val="nil"/>
            </w:tcBorders>
            <w:shd w:val="clear" w:color="auto" w:fill="auto"/>
            <w:vAlign w:val="bottom"/>
            <w:hideMark/>
          </w:tcPr>
          <w:p w14:paraId="0E40A9DA"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61C0C8EA"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BE8A61B"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7391F4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5715C28"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8E925F3"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61B6B0"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762F5A4E"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436B9722"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191C97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20E9E8F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(1,328)</w:t>
            </w:r>
          </w:p>
        </w:tc>
        <w:tc>
          <w:tcPr>
            <w:tcW w:w="920" w:type="dxa"/>
            <w:tcBorders>
              <w:top w:val="nil"/>
              <w:left w:val="nil"/>
              <w:bottom w:val="nil"/>
              <w:right w:val="nil"/>
            </w:tcBorders>
            <w:shd w:val="clear" w:color="000000" w:fill="D9D9D9"/>
            <w:noWrap/>
            <w:vAlign w:val="bottom"/>
            <w:hideMark/>
          </w:tcPr>
          <w:p w14:paraId="489A26D0"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157,103 </w:t>
            </w:r>
          </w:p>
        </w:tc>
        <w:tc>
          <w:tcPr>
            <w:tcW w:w="920" w:type="dxa"/>
            <w:tcBorders>
              <w:top w:val="nil"/>
              <w:left w:val="nil"/>
              <w:bottom w:val="nil"/>
              <w:right w:val="nil"/>
            </w:tcBorders>
            <w:shd w:val="clear" w:color="auto" w:fill="auto"/>
            <w:noWrap/>
            <w:vAlign w:val="bottom"/>
            <w:hideMark/>
          </w:tcPr>
          <w:p w14:paraId="5CCFDB6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91,295 </w:t>
            </w:r>
          </w:p>
        </w:tc>
        <w:tc>
          <w:tcPr>
            <w:tcW w:w="920" w:type="dxa"/>
            <w:tcBorders>
              <w:top w:val="nil"/>
              <w:left w:val="nil"/>
              <w:bottom w:val="nil"/>
              <w:right w:val="nil"/>
            </w:tcBorders>
            <w:shd w:val="clear" w:color="auto" w:fill="auto"/>
            <w:noWrap/>
            <w:vAlign w:val="bottom"/>
            <w:hideMark/>
          </w:tcPr>
          <w:p w14:paraId="2D217A4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(82,085)</w:t>
            </w:r>
          </w:p>
        </w:tc>
        <w:tc>
          <w:tcPr>
            <w:tcW w:w="920" w:type="dxa"/>
            <w:tcBorders>
              <w:top w:val="nil"/>
              <w:left w:val="nil"/>
              <w:bottom w:val="nil"/>
              <w:right w:val="nil"/>
            </w:tcBorders>
            <w:shd w:val="clear" w:color="auto" w:fill="auto"/>
            <w:noWrap/>
            <w:vAlign w:val="bottom"/>
            <w:hideMark/>
          </w:tcPr>
          <w:p w14:paraId="785BD60B"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(84,976)</w:t>
            </w:r>
          </w:p>
        </w:tc>
      </w:tr>
      <w:tr w:rsidR="00FF1A9C" w:rsidRPr="00FF1A9C" w14:paraId="6BE0EE82"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11A85B59" w14:textId="77777777" w:rsidR="00FF1A9C" w:rsidRPr="00FF1A9C" w:rsidRDefault="00FF1A9C" w:rsidP="00FF1A9C">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2C5264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14:paraId="605AF79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CD94EBA"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2,210 </w:t>
            </w:r>
          </w:p>
        </w:tc>
        <w:tc>
          <w:tcPr>
            <w:tcW w:w="920" w:type="dxa"/>
            <w:tcBorders>
              <w:top w:val="nil"/>
              <w:left w:val="nil"/>
              <w:bottom w:val="nil"/>
              <w:right w:val="nil"/>
            </w:tcBorders>
            <w:shd w:val="clear" w:color="auto" w:fill="auto"/>
            <w:noWrap/>
            <w:vAlign w:val="bottom"/>
            <w:hideMark/>
          </w:tcPr>
          <w:p w14:paraId="57ADEB25"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2,256 </w:t>
            </w:r>
          </w:p>
        </w:tc>
        <w:tc>
          <w:tcPr>
            <w:tcW w:w="920" w:type="dxa"/>
            <w:tcBorders>
              <w:top w:val="nil"/>
              <w:left w:val="nil"/>
              <w:bottom w:val="nil"/>
              <w:right w:val="nil"/>
            </w:tcBorders>
            <w:shd w:val="clear" w:color="auto" w:fill="auto"/>
            <w:noWrap/>
            <w:vAlign w:val="bottom"/>
            <w:hideMark/>
          </w:tcPr>
          <w:p w14:paraId="4622BF6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2,295 </w:t>
            </w:r>
          </w:p>
        </w:tc>
        <w:tc>
          <w:tcPr>
            <w:tcW w:w="920" w:type="dxa"/>
            <w:tcBorders>
              <w:top w:val="nil"/>
              <w:left w:val="nil"/>
              <w:bottom w:val="nil"/>
              <w:right w:val="nil"/>
            </w:tcBorders>
            <w:shd w:val="clear" w:color="auto" w:fill="auto"/>
            <w:noWrap/>
            <w:vAlign w:val="bottom"/>
            <w:hideMark/>
          </w:tcPr>
          <w:p w14:paraId="3E15F83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2B042AFF" w14:textId="77777777" w:rsidTr="00FF1A9C">
        <w:trPr>
          <w:trHeight w:val="225"/>
          <w:jc w:val="center"/>
        </w:trPr>
        <w:tc>
          <w:tcPr>
            <w:tcW w:w="2320" w:type="dxa"/>
            <w:tcBorders>
              <w:top w:val="nil"/>
              <w:left w:val="nil"/>
              <w:bottom w:val="nil"/>
              <w:right w:val="nil"/>
            </w:tcBorders>
            <w:shd w:val="clear" w:color="auto" w:fill="auto"/>
            <w:vAlign w:val="bottom"/>
            <w:hideMark/>
          </w:tcPr>
          <w:p w14:paraId="2F2AF3D4"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DD8D69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22AC6E9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C1C532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1,499 </w:t>
            </w:r>
          </w:p>
        </w:tc>
        <w:tc>
          <w:tcPr>
            <w:tcW w:w="920" w:type="dxa"/>
            <w:tcBorders>
              <w:top w:val="nil"/>
              <w:left w:val="nil"/>
              <w:bottom w:val="nil"/>
              <w:right w:val="nil"/>
            </w:tcBorders>
            <w:shd w:val="clear" w:color="auto" w:fill="auto"/>
            <w:noWrap/>
            <w:vAlign w:val="bottom"/>
            <w:hideMark/>
          </w:tcPr>
          <w:p w14:paraId="75ADE78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309 </w:t>
            </w:r>
          </w:p>
        </w:tc>
        <w:tc>
          <w:tcPr>
            <w:tcW w:w="920" w:type="dxa"/>
            <w:tcBorders>
              <w:top w:val="nil"/>
              <w:left w:val="nil"/>
              <w:bottom w:val="nil"/>
              <w:right w:val="nil"/>
            </w:tcBorders>
            <w:shd w:val="clear" w:color="auto" w:fill="auto"/>
            <w:noWrap/>
            <w:vAlign w:val="bottom"/>
            <w:hideMark/>
          </w:tcPr>
          <w:p w14:paraId="2B97743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131 </w:t>
            </w:r>
          </w:p>
        </w:tc>
        <w:tc>
          <w:tcPr>
            <w:tcW w:w="920" w:type="dxa"/>
            <w:tcBorders>
              <w:top w:val="nil"/>
              <w:left w:val="nil"/>
              <w:bottom w:val="nil"/>
              <w:right w:val="nil"/>
            </w:tcBorders>
            <w:shd w:val="clear" w:color="auto" w:fill="auto"/>
            <w:noWrap/>
            <w:vAlign w:val="bottom"/>
            <w:hideMark/>
          </w:tcPr>
          <w:p w14:paraId="6C5243E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148 </w:t>
            </w:r>
          </w:p>
        </w:tc>
      </w:tr>
      <w:tr w:rsidR="00FF1A9C" w:rsidRPr="00FF1A9C" w14:paraId="6798061E" w14:textId="77777777" w:rsidTr="00FF1A9C">
        <w:trPr>
          <w:trHeight w:val="283"/>
          <w:jc w:val="center"/>
        </w:trPr>
        <w:tc>
          <w:tcPr>
            <w:tcW w:w="2780" w:type="dxa"/>
            <w:gridSpan w:val="2"/>
            <w:tcBorders>
              <w:top w:val="nil"/>
              <w:left w:val="nil"/>
              <w:bottom w:val="nil"/>
              <w:right w:val="nil"/>
            </w:tcBorders>
            <w:shd w:val="clear" w:color="auto" w:fill="auto"/>
            <w:noWrap/>
            <w:vAlign w:val="bottom"/>
            <w:hideMark/>
          </w:tcPr>
          <w:p w14:paraId="59F23B19"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National Mental Health Commission</w:t>
            </w:r>
          </w:p>
        </w:tc>
        <w:tc>
          <w:tcPr>
            <w:tcW w:w="920" w:type="dxa"/>
            <w:tcBorders>
              <w:top w:val="nil"/>
              <w:left w:val="nil"/>
              <w:bottom w:val="nil"/>
              <w:right w:val="nil"/>
            </w:tcBorders>
            <w:shd w:val="clear" w:color="auto" w:fill="auto"/>
            <w:noWrap/>
            <w:vAlign w:val="bottom"/>
            <w:hideMark/>
          </w:tcPr>
          <w:p w14:paraId="3CD20C58"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613052C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5E468B9" w14:textId="77777777" w:rsidR="00FF1A9C" w:rsidRPr="00FF1A9C" w:rsidRDefault="00FF1A9C" w:rsidP="00FF1A9C">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6923F2B"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8E5D23"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48537C12" w14:textId="77777777" w:rsidTr="00FF1A9C">
        <w:trPr>
          <w:trHeight w:val="225"/>
          <w:jc w:val="center"/>
        </w:trPr>
        <w:tc>
          <w:tcPr>
            <w:tcW w:w="2320" w:type="dxa"/>
            <w:tcBorders>
              <w:top w:val="nil"/>
              <w:left w:val="nil"/>
              <w:bottom w:val="nil"/>
              <w:right w:val="nil"/>
            </w:tcBorders>
            <w:shd w:val="clear" w:color="auto" w:fill="auto"/>
            <w:vAlign w:val="bottom"/>
            <w:hideMark/>
          </w:tcPr>
          <w:p w14:paraId="4E2F9725"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2C65603" w14:textId="77777777" w:rsidR="00FF1A9C" w:rsidRPr="00FF1A9C" w:rsidRDefault="00FF1A9C" w:rsidP="00FF1A9C">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DDE7652"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A6E21B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E0F97CF"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73FBA7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2E2228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r>
      <w:tr w:rsidR="00FF1A9C" w:rsidRPr="00FF1A9C" w14:paraId="7A822CF9"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45CB8F03"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2D3A4314"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2F2C19B4"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(1,328)</w:t>
            </w:r>
          </w:p>
        </w:tc>
        <w:tc>
          <w:tcPr>
            <w:tcW w:w="920" w:type="dxa"/>
            <w:tcBorders>
              <w:top w:val="single" w:sz="4" w:space="0" w:color="000000"/>
              <w:left w:val="nil"/>
              <w:bottom w:val="single" w:sz="4" w:space="0" w:color="000000"/>
              <w:right w:val="nil"/>
            </w:tcBorders>
            <w:shd w:val="clear" w:color="000000" w:fill="D9D9D9"/>
            <w:noWrap/>
            <w:vAlign w:val="bottom"/>
            <w:hideMark/>
          </w:tcPr>
          <w:p w14:paraId="49E2D426"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160,812 </w:t>
            </w:r>
          </w:p>
        </w:tc>
        <w:tc>
          <w:tcPr>
            <w:tcW w:w="920" w:type="dxa"/>
            <w:tcBorders>
              <w:top w:val="single" w:sz="4" w:space="0" w:color="000000"/>
              <w:left w:val="nil"/>
              <w:bottom w:val="single" w:sz="4" w:space="0" w:color="000000"/>
              <w:right w:val="nil"/>
            </w:tcBorders>
            <w:shd w:val="clear" w:color="auto" w:fill="auto"/>
            <w:noWrap/>
            <w:vAlign w:val="bottom"/>
            <w:hideMark/>
          </w:tcPr>
          <w:p w14:paraId="1DF193C4"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93,860 </w:t>
            </w:r>
          </w:p>
        </w:tc>
        <w:tc>
          <w:tcPr>
            <w:tcW w:w="920" w:type="dxa"/>
            <w:tcBorders>
              <w:top w:val="single" w:sz="4" w:space="0" w:color="000000"/>
              <w:left w:val="nil"/>
              <w:bottom w:val="single" w:sz="4" w:space="0" w:color="000000"/>
              <w:right w:val="nil"/>
            </w:tcBorders>
            <w:shd w:val="clear" w:color="auto" w:fill="auto"/>
            <w:noWrap/>
            <w:vAlign w:val="bottom"/>
            <w:hideMark/>
          </w:tcPr>
          <w:p w14:paraId="57BE9780"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(79,659)</w:t>
            </w:r>
          </w:p>
        </w:tc>
        <w:tc>
          <w:tcPr>
            <w:tcW w:w="920" w:type="dxa"/>
            <w:tcBorders>
              <w:top w:val="single" w:sz="4" w:space="0" w:color="000000"/>
              <w:left w:val="nil"/>
              <w:bottom w:val="single" w:sz="4" w:space="0" w:color="000000"/>
              <w:right w:val="nil"/>
            </w:tcBorders>
            <w:shd w:val="clear" w:color="auto" w:fill="auto"/>
            <w:noWrap/>
            <w:vAlign w:val="bottom"/>
            <w:hideMark/>
          </w:tcPr>
          <w:p w14:paraId="45C6E669"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(84,828)</w:t>
            </w:r>
          </w:p>
        </w:tc>
      </w:tr>
      <w:tr w:rsidR="00FF1A9C" w:rsidRPr="00FF1A9C" w14:paraId="10997CC4" w14:textId="77777777" w:rsidTr="00FF1A9C">
        <w:trPr>
          <w:trHeight w:val="300"/>
          <w:jc w:val="center"/>
        </w:trPr>
        <w:tc>
          <w:tcPr>
            <w:tcW w:w="7380" w:type="dxa"/>
            <w:gridSpan w:val="7"/>
            <w:tcBorders>
              <w:top w:val="nil"/>
              <w:left w:val="nil"/>
              <w:bottom w:val="nil"/>
              <w:right w:val="nil"/>
            </w:tcBorders>
            <w:shd w:val="clear" w:color="auto" w:fill="auto"/>
            <w:vAlign w:val="bottom"/>
            <w:hideMark/>
          </w:tcPr>
          <w:p w14:paraId="6F043CB2"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National Clinical Quality Registry Program</w:t>
            </w:r>
          </w:p>
        </w:tc>
      </w:tr>
      <w:tr w:rsidR="00FF1A9C" w:rsidRPr="00FF1A9C" w14:paraId="1273F858" w14:textId="77777777" w:rsidTr="00FF1A9C">
        <w:trPr>
          <w:trHeight w:val="450"/>
          <w:jc w:val="center"/>
        </w:trPr>
        <w:tc>
          <w:tcPr>
            <w:tcW w:w="2320" w:type="dxa"/>
            <w:tcBorders>
              <w:top w:val="nil"/>
              <w:left w:val="nil"/>
              <w:bottom w:val="nil"/>
              <w:right w:val="nil"/>
            </w:tcBorders>
            <w:shd w:val="clear" w:color="auto" w:fill="auto"/>
            <w:vAlign w:val="bottom"/>
            <w:hideMark/>
          </w:tcPr>
          <w:p w14:paraId="6B5427AB" w14:textId="77777777" w:rsidR="00FF1A9C" w:rsidRPr="00FF1A9C" w:rsidRDefault="00FF1A9C" w:rsidP="00FF1A9C">
            <w:pPr>
              <w:spacing w:after="0"/>
              <w:rPr>
                <w:rFonts w:ascii="Arial" w:hAnsi="Arial" w:cs="Arial"/>
                <w:color w:val="auto"/>
                <w:sz w:val="16"/>
                <w:szCs w:val="16"/>
              </w:rPr>
            </w:pPr>
            <w:r w:rsidRPr="00FF1A9C">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1682BB5E" w14:textId="77777777" w:rsidR="00FF1A9C" w:rsidRPr="00FF1A9C" w:rsidRDefault="00FF1A9C" w:rsidP="00FF1A9C">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05ABC86"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3FF1D13"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D0B24D1"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F902144" w14:textId="77777777" w:rsidR="00FF1A9C" w:rsidRPr="00FF1A9C" w:rsidRDefault="00FF1A9C" w:rsidP="00FF1A9C">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7592882" w14:textId="77777777" w:rsidR="00FF1A9C" w:rsidRPr="00FF1A9C" w:rsidRDefault="00FF1A9C" w:rsidP="00FF1A9C">
            <w:pPr>
              <w:spacing w:after="0"/>
              <w:jc w:val="right"/>
              <w:rPr>
                <w:rFonts w:ascii="Times New Roman" w:hAnsi="Times New Roman"/>
                <w:color w:val="auto"/>
                <w:sz w:val="20"/>
                <w:szCs w:val="20"/>
              </w:rPr>
            </w:pPr>
          </w:p>
        </w:tc>
      </w:tr>
      <w:tr w:rsidR="00FF1A9C" w:rsidRPr="00FF1A9C" w14:paraId="35FBB64F" w14:textId="77777777" w:rsidTr="00FF1A9C">
        <w:trPr>
          <w:trHeight w:val="225"/>
          <w:jc w:val="center"/>
        </w:trPr>
        <w:tc>
          <w:tcPr>
            <w:tcW w:w="2320" w:type="dxa"/>
            <w:tcBorders>
              <w:top w:val="nil"/>
              <w:left w:val="nil"/>
              <w:bottom w:val="nil"/>
              <w:right w:val="nil"/>
            </w:tcBorders>
            <w:shd w:val="clear" w:color="auto" w:fill="auto"/>
            <w:noWrap/>
            <w:vAlign w:val="bottom"/>
            <w:hideMark/>
          </w:tcPr>
          <w:p w14:paraId="060AF7C7"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DD03C6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14:paraId="68AADEBD"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E2FDAE3"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7,982 </w:t>
            </w:r>
          </w:p>
        </w:tc>
        <w:tc>
          <w:tcPr>
            <w:tcW w:w="920" w:type="dxa"/>
            <w:tcBorders>
              <w:top w:val="nil"/>
              <w:left w:val="nil"/>
              <w:bottom w:val="nil"/>
              <w:right w:val="nil"/>
            </w:tcBorders>
            <w:shd w:val="clear" w:color="auto" w:fill="auto"/>
            <w:noWrap/>
            <w:vAlign w:val="bottom"/>
            <w:hideMark/>
          </w:tcPr>
          <w:p w14:paraId="0CED3BB1"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9,982 </w:t>
            </w:r>
          </w:p>
        </w:tc>
        <w:tc>
          <w:tcPr>
            <w:tcW w:w="920" w:type="dxa"/>
            <w:tcBorders>
              <w:top w:val="nil"/>
              <w:left w:val="nil"/>
              <w:bottom w:val="nil"/>
              <w:right w:val="nil"/>
            </w:tcBorders>
            <w:shd w:val="clear" w:color="auto" w:fill="auto"/>
            <w:noWrap/>
            <w:vAlign w:val="bottom"/>
            <w:hideMark/>
          </w:tcPr>
          <w:p w14:paraId="0417A748"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10,982 </w:t>
            </w:r>
          </w:p>
        </w:tc>
        <w:tc>
          <w:tcPr>
            <w:tcW w:w="920" w:type="dxa"/>
            <w:tcBorders>
              <w:top w:val="nil"/>
              <w:left w:val="nil"/>
              <w:bottom w:val="nil"/>
              <w:right w:val="nil"/>
            </w:tcBorders>
            <w:shd w:val="clear" w:color="auto" w:fill="auto"/>
            <w:noWrap/>
            <w:vAlign w:val="bottom"/>
            <w:hideMark/>
          </w:tcPr>
          <w:p w14:paraId="1A792E8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10,175 </w:t>
            </w:r>
          </w:p>
        </w:tc>
      </w:tr>
      <w:tr w:rsidR="00FF1A9C" w:rsidRPr="00FF1A9C" w14:paraId="66B17555" w14:textId="77777777" w:rsidTr="00934D5E">
        <w:trPr>
          <w:trHeight w:val="225"/>
          <w:jc w:val="center"/>
        </w:trPr>
        <w:tc>
          <w:tcPr>
            <w:tcW w:w="2320" w:type="dxa"/>
            <w:tcBorders>
              <w:top w:val="nil"/>
              <w:left w:val="nil"/>
              <w:right w:val="nil"/>
            </w:tcBorders>
            <w:shd w:val="clear" w:color="auto" w:fill="auto"/>
            <w:vAlign w:val="bottom"/>
            <w:hideMark/>
          </w:tcPr>
          <w:p w14:paraId="148DBB6F" w14:textId="77777777" w:rsidR="00FF1A9C" w:rsidRPr="00FF1A9C" w:rsidRDefault="00FF1A9C" w:rsidP="00FF1A9C">
            <w:pPr>
              <w:spacing w:after="0"/>
              <w:ind w:leftChars="75" w:left="143"/>
              <w:rPr>
                <w:rFonts w:ascii="Arial" w:hAnsi="Arial" w:cs="Arial"/>
                <w:color w:val="auto"/>
                <w:sz w:val="16"/>
                <w:szCs w:val="16"/>
              </w:rPr>
            </w:pPr>
            <w:r w:rsidRPr="00FF1A9C">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1C5C56C9"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1D7A1F1C"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1083096"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303 </w:t>
            </w:r>
          </w:p>
        </w:tc>
        <w:tc>
          <w:tcPr>
            <w:tcW w:w="920" w:type="dxa"/>
            <w:tcBorders>
              <w:top w:val="nil"/>
              <w:left w:val="nil"/>
              <w:bottom w:val="nil"/>
              <w:right w:val="nil"/>
            </w:tcBorders>
            <w:shd w:val="clear" w:color="auto" w:fill="auto"/>
            <w:noWrap/>
            <w:vAlign w:val="bottom"/>
            <w:hideMark/>
          </w:tcPr>
          <w:p w14:paraId="623CEC44"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259 </w:t>
            </w:r>
          </w:p>
        </w:tc>
        <w:tc>
          <w:tcPr>
            <w:tcW w:w="920" w:type="dxa"/>
            <w:tcBorders>
              <w:top w:val="nil"/>
              <w:left w:val="nil"/>
              <w:bottom w:val="nil"/>
              <w:right w:val="nil"/>
            </w:tcBorders>
            <w:shd w:val="clear" w:color="auto" w:fill="auto"/>
            <w:noWrap/>
            <w:vAlign w:val="bottom"/>
            <w:hideMark/>
          </w:tcPr>
          <w:p w14:paraId="5640DD9E"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15 </w:t>
            </w:r>
          </w:p>
        </w:tc>
        <w:tc>
          <w:tcPr>
            <w:tcW w:w="920" w:type="dxa"/>
            <w:tcBorders>
              <w:top w:val="nil"/>
              <w:left w:val="nil"/>
              <w:bottom w:val="nil"/>
              <w:right w:val="nil"/>
            </w:tcBorders>
            <w:shd w:val="clear" w:color="auto" w:fill="auto"/>
            <w:noWrap/>
            <w:vAlign w:val="bottom"/>
            <w:hideMark/>
          </w:tcPr>
          <w:p w14:paraId="1182EC57" w14:textId="77777777" w:rsidR="00FF1A9C" w:rsidRPr="00FF1A9C" w:rsidRDefault="00FF1A9C" w:rsidP="00FF1A9C">
            <w:pPr>
              <w:spacing w:after="0"/>
              <w:jc w:val="right"/>
              <w:rPr>
                <w:rFonts w:ascii="Arial" w:hAnsi="Arial" w:cs="Arial"/>
                <w:color w:val="auto"/>
                <w:sz w:val="16"/>
                <w:szCs w:val="16"/>
              </w:rPr>
            </w:pPr>
            <w:r w:rsidRPr="00FF1A9C">
              <w:rPr>
                <w:rFonts w:ascii="Arial" w:hAnsi="Arial" w:cs="Arial"/>
                <w:color w:val="auto"/>
                <w:sz w:val="16"/>
                <w:szCs w:val="16"/>
              </w:rPr>
              <w:t xml:space="preserve">274 </w:t>
            </w:r>
          </w:p>
        </w:tc>
      </w:tr>
      <w:tr w:rsidR="00FF1A9C" w:rsidRPr="00FF1A9C" w14:paraId="22F9C0E4"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40EF32C4" w14:textId="77777777" w:rsidR="00FF1A9C" w:rsidRPr="00FF1A9C" w:rsidRDefault="00FF1A9C" w:rsidP="00FF1A9C">
            <w:pPr>
              <w:spacing w:after="0"/>
              <w:rPr>
                <w:rFonts w:ascii="Arial" w:hAnsi="Arial" w:cs="Arial"/>
                <w:b/>
                <w:bCs/>
                <w:color w:val="auto"/>
                <w:sz w:val="16"/>
                <w:szCs w:val="16"/>
              </w:rPr>
            </w:pPr>
            <w:r w:rsidRPr="00FF1A9C">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337B70D4" w14:textId="77777777" w:rsidR="00FF1A9C" w:rsidRPr="00FF1A9C" w:rsidRDefault="00FF1A9C" w:rsidP="00FF1A9C">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21A456E0"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8A58B65"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8,285 </w:t>
            </w:r>
          </w:p>
        </w:tc>
        <w:tc>
          <w:tcPr>
            <w:tcW w:w="920" w:type="dxa"/>
            <w:tcBorders>
              <w:top w:val="single" w:sz="4" w:space="0" w:color="000000"/>
              <w:left w:val="nil"/>
              <w:bottom w:val="single" w:sz="4" w:space="0" w:color="000000"/>
              <w:right w:val="nil"/>
            </w:tcBorders>
            <w:shd w:val="clear" w:color="auto" w:fill="auto"/>
            <w:noWrap/>
            <w:vAlign w:val="bottom"/>
            <w:hideMark/>
          </w:tcPr>
          <w:p w14:paraId="41E16820"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10,241 </w:t>
            </w:r>
          </w:p>
        </w:tc>
        <w:tc>
          <w:tcPr>
            <w:tcW w:w="920" w:type="dxa"/>
            <w:tcBorders>
              <w:top w:val="single" w:sz="4" w:space="0" w:color="000000"/>
              <w:left w:val="nil"/>
              <w:bottom w:val="single" w:sz="4" w:space="0" w:color="000000"/>
              <w:right w:val="nil"/>
            </w:tcBorders>
            <w:shd w:val="clear" w:color="auto" w:fill="auto"/>
            <w:noWrap/>
            <w:vAlign w:val="bottom"/>
            <w:hideMark/>
          </w:tcPr>
          <w:p w14:paraId="7F646392"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10,997 </w:t>
            </w:r>
          </w:p>
        </w:tc>
        <w:tc>
          <w:tcPr>
            <w:tcW w:w="920" w:type="dxa"/>
            <w:tcBorders>
              <w:top w:val="single" w:sz="4" w:space="0" w:color="000000"/>
              <w:left w:val="nil"/>
              <w:bottom w:val="single" w:sz="4" w:space="0" w:color="000000"/>
              <w:right w:val="nil"/>
            </w:tcBorders>
            <w:shd w:val="clear" w:color="auto" w:fill="auto"/>
            <w:noWrap/>
            <w:vAlign w:val="bottom"/>
            <w:hideMark/>
          </w:tcPr>
          <w:p w14:paraId="494CD0F9" w14:textId="77777777" w:rsidR="00FF1A9C" w:rsidRPr="00FF1A9C" w:rsidRDefault="00FF1A9C" w:rsidP="00FF1A9C">
            <w:pPr>
              <w:spacing w:after="0"/>
              <w:jc w:val="right"/>
              <w:rPr>
                <w:rFonts w:ascii="Arial" w:hAnsi="Arial" w:cs="Arial"/>
                <w:b/>
                <w:bCs/>
                <w:color w:val="auto"/>
                <w:sz w:val="16"/>
                <w:szCs w:val="16"/>
              </w:rPr>
            </w:pPr>
            <w:r w:rsidRPr="00FF1A9C">
              <w:rPr>
                <w:rFonts w:ascii="Arial" w:hAnsi="Arial" w:cs="Arial"/>
                <w:b/>
                <w:bCs/>
                <w:color w:val="auto"/>
                <w:sz w:val="16"/>
                <w:szCs w:val="16"/>
              </w:rPr>
              <w:t xml:space="preserve">10,449 </w:t>
            </w:r>
          </w:p>
        </w:tc>
      </w:tr>
    </w:tbl>
    <w:p w14:paraId="3A467FFE" w14:textId="77777777" w:rsidR="00A6223E" w:rsidRDefault="00DA7A80" w:rsidP="000D22DB">
      <w:pPr>
        <w:rPr>
          <w:rFonts w:ascii="Arial" w:hAnsi="Arial" w:cs="Arial"/>
          <w:szCs w:val="18"/>
        </w:rPr>
      </w:pPr>
      <w:r>
        <w:t xml:space="preserve"> </w:t>
      </w:r>
    </w:p>
    <w:p w14:paraId="5AC2A476" w14:textId="77777777" w:rsidR="009C684C" w:rsidRDefault="009C684C">
      <w:pPr>
        <w:spacing w:after="0"/>
        <w:rPr>
          <w:rFonts w:ascii="Arial" w:hAnsi="Arial" w:cs="Arial"/>
          <w:b/>
          <w:sz w:val="20"/>
          <w:szCs w:val="18"/>
        </w:rPr>
      </w:pPr>
      <w:r>
        <w:rPr>
          <w:sz w:val="20"/>
        </w:rPr>
        <w:br w:type="page"/>
      </w:r>
    </w:p>
    <w:p w14:paraId="3DA91235" w14:textId="02F70D37" w:rsidR="004B14B0" w:rsidRPr="00F277A4" w:rsidRDefault="007D48FE" w:rsidP="000D22DB">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w:t>
      </w:r>
      <w:r w:rsidR="00DA7A80" w:rsidRPr="00F277A4">
        <w:rPr>
          <w:sz w:val="20"/>
        </w:rPr>
        <w:t>(continued)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757236" w:rsidRPr="00757236" w14:paraId="2B826305" w14:textId="77777777" w:rsidTr="00757236">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4C957BEE"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 xml:space="preserve">Outcome/ </w:t>
            </w:r>
            <w:r w:rsidRPr="00757236">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1DC03D0B"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2022–23</w:t>
            </w:r>
            <w:r w:rsidRPr="00757236">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72F291D4"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2023–24</w:t>
            </w:r>
            <w:r w:rsidRPr="00757236">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ED1731E"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2024–25</w:t>
            </w:r>
            <w:r w:rsidRPr="00757236">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43A1E8A"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2025–26</w:t>
            </w:r>
            <w:r w:rsidRPr="00757236">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4B26966"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2026–27</w:t>
            </w:r>
            <w:r w:rsidRPr="00757236">
              <w:rPr>
                <w:rFonts w:ascii="Arial" w:hAnsi="Arial" w:cs="Arial"/>
                <w:b/>
                <w:bCs/>
                <w:color w:val="auto"/>
                <w:sz w:val="16"/>
                <w:szCs w:val="16"/>
              </w:rPr>
              <w:br/>
              <w:t>$'000</w:t>
            </w:r>
          </w:p>
        </w:tc>
      </w:tr>
      <w:tr w:rsidR="00757236" w:rsidRPr="00757236" w14:paraId="3A9FCD18" w14:textId="77777777" w:rsidTr="00757236">
        <w:trPr>
          <w:trHeight w:val="283"/>
          <w:jc w:val="center"/>
        </w:trPr>
        <w:tc>
          <w:tcPr>
            <w:tcW w:w="7380" w:type="dxa"/>
            <w:gridSpan w:val="7"/>
            <w:tcBorders>
              <w:top w:val="nil"/>
              <w:left w:val="nil"/>
              <w:bottom w:val="nil"/>
              <w:right w:val="nil"/>
            </w:tcBorders>
            <w:shd w:val="clear" w:color="auto" w:fill="auto"/>
            <w:vAlign w:val="bottom"/>
            <w:hideMark/>
          </w:tcPr>
          <w:p w14:paraId="441D7F0C"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National Immunisation Program</w:t>
            </w:r>
          </w:p>
        </w:tc>
      </w:tr>
      <w:tr w:rsidR="00757236" w:rsidRPr="00757236" w14:paraId="30E502FD" w14:textId="77777777" w:rsidTr="00757236">
        <w:trPr>
          <w:trHeight w:val="425"/>
          <w:jc w:val="center"/>
        </w:trPr>
        <w:tc>
          <w:tcPr>
            <w:tcW w:w="2320" w:type="dxa"/>
            <w:tcBorders>
              <w:top w:val="nil"/>
              <w:left w:val="nil"/>
              <w:bottom w:val="nil"/>
              <w:right w:val="nil"/>
            </w:tcBorders>
            <w:shd w:val="clear" w:color="auto" w:fill="auto"/>
            <w:vAlign w:val="bottom"/>
            <w:hideMark/>
          </w:tcPr>
          <w:p w14:paraId="1F8BF47A"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72EAF3B"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5054C2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746D586"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7A445A"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49D2642"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BD18B96"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5C4BD097"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5CB0635F"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5E12DF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1.9</w:t>
            </w:r>
          </w:p>
        </w:tc>
        <w:tc>
          <w:tcPr>
            <w:tcW w:w="920" w:type="dxa"/>
            <w:tcBorders>
              <w:top w:val="nil"/>
              <w:left w:val="nil"/>
              <w:bottom w:val="nil"/>
              <w:right w:val="nil"/>
            </w:tcBorders>
            <w:shd w:val="clear" w:color="auto" w:fill="auto"/>
            <w:noWrap/>
            <w:vAlign w:val="bottom"/>
            <w:hideMark/>
          </w:tcPr>
          <w:p w14:paraId="5AAC6F1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42F690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65,555 </w:t>
            </w:r>
          </w:p>
        </w:tc>
        <w:tc>
          <w:tcPr>
            <w:tcW w:w="920" w:type="dxa"/>
            <w:tcBorders>
              <w:top w:val="nil"/>
              <w:left w:val="nil"/>
              <w:bottom w:val="nil"/>
              <w:right w:val="nil"/>
            </w:tcBorders>
            <w:shd w:val="clear" w:color="auto" w:fill="auto"/>
            <w:noWrap/>
            <w:vAlign w:val="bottom"/>
            <w:hideMark/>
          </w:tcPr>
          <w:p w14:paraId="49DDF66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95,391 </w:t>
            </w:r>
          </w:p>
        </w:tc>
        <w:tc>
          <w:tcPr>
            <w:tcW w:w="920" w:type="dxa"/>
            <w:tcBorders>
              <w:top w:val="nil"/>
              <w:left w:val="nil"/>
              <w:bottom w:val="nil"/>
              <w:right w:val="nil"/>
            </w:tcBorders>
            <w:shd w:val="clear" w:color="auto" w:fill="auto"/>
            <w:noWrap/>
            <w:vAlign w:val="bottom"/>
            <w:hideMark/>
          </w:tcPr>
          <w:p w14:paraId="6343CA9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102,324 </w:t>
            </w:r>
          </w:p>
        </w:tc>
        <w:tc>
          <w:tcPr>
            <w:tcW w:w="920" w:type="dxa"/>
            <w:tcBorders>
              <w:top w:val="nil"/>
              <w:left w:val="nil"/>
              <w:bottom w:val="nil"/>
              <w:right w:val="nil"/>
            </w:tcBorders>
            <w:shd w:val="clear" w:color="auto" w:fill="auto"/>
            <w:noWrap/>
            <w:vAlign w:val="bottom"/>
            <w:hideMark/>
          </w:tcPr>
          <w:p w14:paraId="3ABF69D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103,798 </w:t>
            </w:r>
          </w:p>
        </w:tc>
      </w:tr>
      <w:tr w:rsidR="00757236" w:rsidRPr="00757236" w14:paraId="30C552C9" w14:textId="77777777" w:rsidTr="00757236">
        <w:trPr>
          <w:trHeight w:val="283"/>
          <w:jc w:val="center"/>
        </w:trPr>
        <w:tc>
          <w:tcPr>
            <w:tcW w:w="2320" w:type="dxa"/>
            <w:tcBorders>
              <w:top w:val="nil"/>
              <w:left w:val="nil"/>
              <w:bottom w:val="nil"/>
              <w:right w:val="nil"/>
            </w:tcBorders>
            <w:shd w:val="clear" w:color="auto" w:fill="auto"/>
            <w:noWrap/>
            <w:vAlign w:val="bottom"/>
            <w:hideMark/>
          </w:tcPr>
          <w:p w14:paraId="638E243E"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5F11543C"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6D96959"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4DAB563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11788D9" w14:textId="77777777" w:rsidR="00757236" w:rsidRPr="00757236" w:rsidRDefault="00757236" w:rsidP="00757236">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EE9B2E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680A84D"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03CB7004"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1D05C76E"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1C09BB5" w14:textId="77777777" w:rsidR="00757236" w:rsidRPr="00757236" w:rsidRDefault="00757236" w:rsidP="00757236">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52232F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C09064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14250D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2,919 </w:t>
            </w:r>
          </w:p>
        </w:tc>
        <w:tc>
          <w:tcPr>
            <w:tcW w:w="920" w:type="dxa"/>
            <w:tcBorders>
              <w:top w:val="nil"/>
              <w:left w:val="nil"/>
              <w:bottom w:val="nil"/>
              <w:right w:val="nil"/>
            </w:tcBorders>
            <w:shd w:val="clear" w:color="auto" w:fill="auto"/>
            <w:noWrap/>
            <w:vAlign w:val="bottom"/>
            <w:hideMark/>
          </w:tcPr>
          <w:p w14:paraId="0823544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E64959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4FC88B3C" w14:textId="77777777" w:rsidTr="00757236">
        <w:trPr>
          <w:trHeight w:val="283"/>
          <w:jc w:val="center"/>
        </w:trPr>
        <w:tc>
          <w:tcPr>
            <w:tcW w:w="2320" w:type="dxa"/>
            <w:tcBorders>
              <w:top w:val="nil"/>
              <w:left w:val="nil"/>
              <w:bottom w:val="nil"/>
              <w:right w:val="nil"/>
            </w:tcBorders>
            <w:shd w:val="clear" w:color="auto" w:fill="auto"/>
            <w:vAlign w:val="bottom"/>
            <w:hideMark/>
          </w:tcPr>
          <w:p w14:paraId="2E94F8BC"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24170F61"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3B5AFDE"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C2890E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0B4B7258" w14:textId="77777777" w:rsidR="00757236" w:rsidRPr="00757236" w:rsidRDefault="00757236" w:rsidP="00757236">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86E429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8FD12D6"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2B049A72" w14:textId="77777777" w:rsidTr="00757236">
        <w:trPr>
          <w:trHeight w:val="225"/>
          <w:jc w:val="center"/>
        </w:trPr>
        <w:tc>
          <w:tcPr>
            <w:tcW w:w="2320" w:type="dxa"/>
            <w:tcBorders>
              <w:top w:val="nil"/>
              <w:left w:val="nil"/>
              <w:bottom w:val="nil"/>
              <w:right w:val="nil"/>
            </w:tcBorders>
            <w:shd w:val="clear" w:color="auto" w:fill="auto"/>
            <w:vAlign w:val="bottom"/>
            <w:hideMark/>
          </w:tcPr>
          <w:p w14:paraId="5B92616D"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9B06A44" w14:textId="77777777" w:rsidR="00757236" w:rsidRPr="00757236" w:rsidRDefault="00757236" w:rsidP="00757236">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FE97A1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1,569 </w:t>
            </w:r>
          </w:p>
        </w:tc>
        <w:tc>
          <w:tcPr>
            <w:tcW w:w="920" w:type="dxa"/>
            <w:tcBorders>
              <w:top w:val="nil"/>
              <w:left w:val="nil"/>
              <w:bottom w:val="nil"/>
              <w:right w:val="nil"/>
            </w:tcBorders>
            <w:shd w:val="clear" w:color="000000" w:fill="D9D9D9"/>
            <w:noWrap/>
            <w:vAlign w:val="bottom"/>
            <w:hideMark/>
          </w:tcPr>
          <w:p w14:paraId="5AFE61F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2,278 </w:t>
            </w:r>
          </w:p>
        </w:tc>
        <w:tc>
          <w:tcPr>
            <w:tcW w:w="920" w:type="dxa"/>
            <w:tcBorders>
              <w:top w:val="nil"/>
              <w:left w:val="nil"/>
              <w:bottom w:val="nil"/>
              <w:right w:val="nil"/>
            </w:tcBorders>
            <w:shd w:val="clear" w:color="auto" w:fill="auto"/>
            <w:noWrap/>
            <w:vAlign w:val="bottom"/>
            <w:hideMark/>
          </w:tcPr>
          <w:p w14:paraId="6C01C3E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485 </w:t>
            </w:r>
          </w:p>
        </w:tc>
        <w:tc>
          <w:tcPr>
            <w:tcW w:w="920" w:type="dxa"/>
            <w:tcBorders>
              <w:top w:val="nil"/>
              <w:left w:val="nil"/>
              <w:bottom w:val="nil"/>
              <w:right w:val="nil"/>
            </w:tcBorders>
            <w:shd w:val="clear" w:color="auto" w:fill="auto"/>
            <w:noWrap/>
            <w:vAlign w:val="bottom"/>
            <w:hideMark/>
          </w:tcPr>
          <w:p w14:paraId="1AC5807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489 </w:t>
            </w:r>
          </w:p>
        </w:tc>
        <w:tc>
          <w:tcPr>
            <w:tcW w:w="920" w:type="dxa"/>
            <w:tcBorders>
              <w:top w:val="nil"/>
              <w:left w:val="nil"/>
              <w:bottom w:val="nil"/>
              <w:right w:val="nil"/>
            </w:tcBorders>
            <w:shd w:val="clear" w:color="auto" w:fill="auto"/>
            <w:noWrap/>
            <w:vAlign w:val="bottom"/>
            <w:hideMark/>
          </w:tcPr>
          <w:p w14:paraId="25DD048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494 </w:t>
            </w:r>
          </w:p>
        </w:tc>
      </w:tr>
      <w:tr w:rsidR="00757236" w:rsidRPr="00757236" w14:paraId="43638594"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6AA5DF9A"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78800F21" w14:textId="77777777" w:rsidR="00757236" w:rsidRPr="00757236" w:rsidRDefault="00757236" w:rsidP="00757236">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3D14C50"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1,569 </w:t>
            </w:r>
          </w:p>
        </w:tc>
        <w:tc>
          <w:tcPr>
            <w:tcW w:w="920" w:type="dxa"/>
            <w:tcBorders>
              <w:top w:val="single" w:sz="4" w:space="0" w:color="000000"/>
              <w:left w:val="nil"/>
              <w:bottom w:val="single" w:sz="4" w:space="0" w:color="000000"/>
              <w:right w:val="nil"/>
            </w:tcBorders>
            <w:shd w:val="clear" w:color="000000" w:fill="D9D9D9"/>
            <w:noWrap/>
            <w:vAlign w:val="bottom"/>
            <w:hideMark/>
          </w:tcPr>
          <w:p w14:paraId="6F69857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67,833 </w:t>
            </w:r>
          </w:p>
        </w:tc>
        <w:tc>
          <w:tcPr>
            <w:tcW w:w="920" w:type="dxa"/>
            <w:tcBorders>
              <w:top w:val="single" w:sz="4" w:space="0" w:color="000000"/>
              <w:left w:val="nil"/>
              <w:bottom w:val="single" w:sz="4" w:space="0" w:color="000000"/>
              <w:right w:val="nil"/>
            </w:tcBorders>
            <w:shd w:val="clear" w:color="auto" w:fill="auto"/>
            <w:noWrap/>
            <w:vAlign w:val="bottom"/>
            <w:hideMark/>
          </w:tcPr>
          <w:p w14:paraId="3E32B98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98,795 </w:t>
            </w:r>
          </w:p>
        </w:tc>
        <w:tc>
          <w:tcPr>
            <w:tcW w:w="920" w:type="dxa"/>
            <w:tcBorders>
              <w:top w:val="single" w:sz="4" w:space="0" w:color="000000"/>
              <w:left w:val="nil"/>
              <w:bottom w:val="single" w:sz="4" w:space="0" w:color="000000"/>
              <w:right w:val="nil"/>
            </w:tcBorders>
            <w:shd w:val="clear" w:color="auto" w:fill="auto"/>
            <w:noWrap/>
            <w:vAlign w:val="bottom"/>
            <w:hideMark/>
          </w:tcPr>
          <w:p w14:paraId="3B03E448"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102,813 </w:t>
            </w:r>
          </w:p>
        </w:tc>
        <w:tc>
          <w:tcPr>
            <w:tcW w:w="920" w:type="dxa"/>
            <w:tcBorders>
              <w:top w:val="single" w:sz="4" w:space="0" w:color="000000"/>
              <w:left w:val="nil"/>
              <w:bottom w:val="single" w:sz="4" w:space="0" w:color="000000"/>
              <w:right w:val="nil"/>
            </w:tcBorders>
            <w:shd w:val="clear" w:color="auto" w:fill="auto"/>
            <w:noWrap/>
            <w:vAlign w:val="bottom"/>
            <w:hideMark/>
          </w:tcPr>
          <w:p w14:paraId="1F59642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104,292 </w:t>
            </w:r>
          </w:p>
        </w:tc>
      </w:tr>
      <w:tr w:rsidR="00757236" w:rsidRPr="00757236" w14:paraId="49D9C5D9" w14:textId="77777777" w:rsidTr="00757236">
        <w:trPr>
          <w:trHeight w:val="283"/>
          <w:jc w:val="center"/>
        </w:trPr>
        <w:tc>
          <w:tcPr>
            <w:tcW w:w="7380" w:type="dxa"/>
            <w:gridSpan w:val="7"/>
            <w:tcBorders>
              <w:top w:val="nil"/>
              <w:left w:val="nil"/>
              <w:bottom w:val="nil"/>
              <w:right w:val="nil"/>
            </w:tcBorders>
            <w:shd w:val="clear" w:color="auto" w:fill="auto"/>
            <w:vAlign w:val="bottom"/>
            <w:hideMark/>
          </w:tcPr>
          <w:p w14:paraId="5C086A10"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National Medical Stockpile</w:t>
            </w:r>
          </w:p>
        </w:tc>
      </w:tr>
      <w:tr w:rsidR="00757236" w:rsidRPr="00757236" w14:paraId="7BC3D234" w14:textId="77777777" w:rsidTr="00757236">
        <w:trPr>
          <w:trHeight w:val="425"/>
          <w:jc w:val="center"/>
        </w:trPr>
        <w:tc>
          <w:tcPr>
            <w:tcW w:w="2320" w:type="dxa"/>
            <w:tcBorders>
              <w:top w:val="nil"/>
              <w:left w:val="nil"/>
              <w:bottom w:val="nil"/>
              <w:right w:val="nil"/>
            </w:tcBorders>
            <w:shd w:val="clear" w:color="auto" w:fill="auto"/>
            <w:vAlign w:val="bottom"/>
            <w:hideMark/>
          </w:tcPr>
          <w:p w14:paraId="4287EE19"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73C60DDF"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00F0738"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94B5B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30B8360"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BBBAA3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97D6CCE"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5A5CF846" w14:textId="77777777" w:rsidTr="00757236">
        <w:trPr>
          <w:trHeight w:val="225"/>
          <w:jc w:val="center"/>
        </w:trPr>
        <w:tc>
          <w:tcPr>
            <w:tcW w:w="2320" w:type="dxa"/>
            <w:tcBorders>
              <w:top w:val="nil"/>
              <w:left w:val="nil"/>
              <w:bottom w:val="nil"/>
              <w:right w:val="nil"/>
            </w:tcBorders>
            <w:shd w:val="clear" w:color="auto" w:fill="auto"/>
            <w:vAlign w:val="bottom"/>
            <w:hideMark/>
          </w:tcPr>
          <w:p w14:paraId="22641E03"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5E01C2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31A4CD7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700 </w:t>
            </w:r>
          </w:p>
        </w:tc>
        <w:tc>
          <w:tcPr>
            <w:tcW w:w="920" w:type="dxa"/>
            <w:tcBorders>
              <w:top w:val="nil"/>
              <w:left w:val="nil"/>
              <w:bottom w:val="nil"/>
              <w:right w:val="nil"/>
            </w:tcBorders>
            <w:shd w:val="clear" w:color="000000" w:fill="D9D9D9"/>
            <w:noWrap/>
            <w:vAlign w:val="bottom"/>
            <w:hideMark/>
          </w:tcPr>
          <w:p w14:paraId="1A6A812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722 </w:t>
            </w:r>
          </w:p>
        </w:tc>
        <w:tc>
          <w:tcPr>
            <w:tcW w:w="920" w:type="dxa"/>
            <w:tcBorders>
              <w:top w:val="nil"/>
              <w:left w:val="nil"/>
              <w:bottom w:val="nil"/>
              <w:right w:val="nil"/>
            </w:tcBorders>
            <w:shd w:val="clear" w:color="auto" w:fill="auto"/>
            <w:noWrap/>
            <w:vAlign w:val="bottom"/>
            <w:hideMark/>
          </w:tcPr>
          <w:p w14:paraId="02E8AC5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328B89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C3F103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32D961BB"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3BAD726B"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080B364F" w14:textId="77777777" w:rsidR="00757236" w:rsidRPr="00757236" w:rsidRDefault="00757236" w:rsidP="00757236">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12F3A75"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700 </w:t>
            </w:r>
          </w:p>
        </w:tc>
        <w:tc>
          <w:tcPr>
            <w:tcW w:w="920" w:type="dxa"/>
            <w:tcBorders>
              <w:top w:val="single" w:sz="4" w:space="0" w:color="000000"/>
              <w:left w:val="nil"/>
              <w:bottom w:val="single" w:sz="4" w:space="0" w:color="000000"/>
              <w:right w:val="nil"/>
            </w:tcBorders>
            <w:shd w:val="clear" w:color="000000" w:fill="D9D9D9"/>
            <w:noWrap/>
            <w:vAlign w:val="bottom"/>
            <w:hideMark/>
          </w:tcPr>
          <w:p w14:paraId="7BE27876"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722 </w:t>
            </w:r>
          </w:p>
        </w:tc>
        <w:tc>
          <w:tcPr>
            <w:tcW w:w="920" w:type="dxa"/>
            <w:tcBorders>
              <w:top w:val="single" w:sz="4" w:space="0" w:color="000000"/>
              <w:left w:val="nil"/>
              <w:bottom w:val="single" w:sz="4" w:space="0" w:color="000000"/>
              <w:right w:val="nil"/>
            </w:tcBorders>
            <w:shd w:val="clear" w:color="auto" w:fill="auto"/>
            <w:noWrap/>
            <w:vAlign w:val="bottom"/>
            <w:hideMark/>
          </w:tcPr>
          <w:p w14:paraId="3A343E87"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014F9E08"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666E5C57"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r>
      <w:tr w:rsidR="00757236" w:rsidRPr="00757236" w14:paraId="4EFDD0EA" w14:textId="77777777" w:rsidTr="00757236">
        <w:trPr>
          <w:trHeight w:val="283"/>
          <w:jc w:val="center"/>
        </w:trPr>
        <w:tc>
          <w:tcPr>
            <w:tcW w:w="7380" w:type="dxa"/>
            <w:gridSpan w:val="7"/>
            <w:tcBorders>
              <w:top w:val="nil"/>
              <w:left w:val="nil"/>
              <w:bottom w:val="nil"/>
              <w:right w:val="nil"/>
            </w:tcBorders>
            <w:shd w:val="clear" w:color="auto" w:fill="auto"/>
            <w:vAlign w:val="bottom"/>
            <w:hideMark/>
          </w:tcPr>
          <w:p w14:paraId="588705FE"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 xml:space="preserve">Pharmaceutical Benefits Scheme (PBS) New and Amended Listings </w:t>
            </w:r>
            <w:r w:rsidRPr="00757236">
              <w:rPr>
                <w:rFonts w:ascii="Arial" w:hAnsi="Arial" w:cs="Arial"/>
                <w:b/>
                <w:bCs/>
                <w:color w:val="auto"/>
                <w:sz w:val="16"/>
                <w:szCs w:val="16"/>
                <w:vertAlign w:val="superscript"/>
              </w:rPr>
              <w:t>(c)</w:t>
            </w:r>
          </w:p>
        </w:tc>
      </w:tr>
      <w:tr w:rsidR="00757236" w:rsidRPr="00757236" w14:paraId="79C4C13C" w14:textId="77777777" w:rsidTr="00757236">
        <w:trPr>
          <w:trHeight w:val="425"/>
          <w:jc w:val="center"/>
        </w:trPr>
        <w:tc>
          <w:tcPr>
            <w:tcW w:w="2320" w:type="dxa"/>
            <w:tcBorders>
              <w:top w:val="nil"/>
              <w:left w:val="nil"/>
              <w:bottom w:val="nil"/>
              <w:right w:val="nil"/>
            </w:tcBorders>
            <w:shd w:val="clear" w:color="auto" w:fill="auto"/>
            <w:vAlign w:val="bottom"/>
            <w:hideMark/>
          </w:tcPr>
          <w:p w14:paraId="7A449392"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3DE3DD4"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FF6B62B"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6B78CC0"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A9F88C7"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54F0AC4"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45CDE31"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73611D51"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0C3606EC"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FB4436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118AC50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3B6362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2,909 </w:t>
            </w:r>
          </w:p>
        </w:tc>
        <w:tc>
          <w:tcPr>
            <w:tcW w:w="920" w:type="dxa"/>
            <w:tcBorders>
              <w:top w:val="nil"/>
              <w:left w:val="nil"/>
              <w:bottom w:val="nil"/>
              <w:right w:val="nil"/>
            </w:tcBorders>
            <w:shd w:val="clear" w:color="auto" w:fill="auto"/>
            <w:noWrap/>
            <w:vAlign w:val="bottom"/>
            <w:hideMark/>
          </w:tcPr>
          <w:p w14:paraId="5048330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CD9C07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8B8C4C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6C994AAA"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6FAE9A45" w14:textId="77777777" w:rsidR="00757236" w:rsidRPr="00757236" w:rsidRDefault="00757236" w:rsidP="00757236">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8612DF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632E5CE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(2,281)</w:t>
            </w:r>
          </w:p>
        </w:tc>
        <w:tc>
          <w:tcPr>
            <w:tcW w:w="920" w:type="dxa"/>
            <w:tcBorders>
              <w:top w:val="nil"/>
              <w:left w:val="nil"/>
              <w:bottom w:val="nil"/>
              <w:right w:val="nil"/>
            </w:tcBorders>
            <w:shd w:val="clear" w:color="000000" w:fill="D9D9D9"/>
            <w:noWrap/>
            <w:vAlign w:val="bottom"/>
            <w:hideMark/>
          </w:tcPr>
          <w:p w14:paraId="04AE54B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(19,973)</w:t>
            </w:r>
          </w:p>
        </w:tc>
        <w:tc>
          <w:tcPr>
            <w:tcW w:w="920" w:type="dxa"/>
            <w:tcBorders>
              <w:top w:val="nil"/>
              <w:left w:val="nil"/>
              <w:bottom w:val="nil"/>
              <w:right w:val="nil"/>
            </w:tcBorders>
            <w:shd w:val="clear" w:color="auto" w:fill="auto"/>
            <w:noWrap/>
            <w:vAlign w:val="bottom"/>
            <w:hideMark/>
          </w:tcPr>
          <w:p w14:paraId="2EF4F20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(28,894)</w:t>
            </w:r>
          </w:p>
        </w:tc>
        <w:tc>
          <w:tcPr>
            <w:tcW w:w="920" w:type="dxa"/>
            <w:tcBorders>
              <w:top w:val="nil"/>
              <w:left w:val="nil"/>
              <w:bottom w:val="nil"/>
              <w:right w:val="nil"/>
            </w:tcBorders>
            <w:shd w:val="clear" w:color="auto" w:fill="auto"/>
            <w:noWrap/>
            <w:vAlign w:val="bottom"/>
            <w:hideMark/>
          </w:tcPr>
          <w:p w14:paraId="05F5F8E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(33,036)</w:t>
            </w:r>
          </w:p>
        </w:tc>
        <w:tc>
          <w:tcPr>
            <w:tcW w:w="920" w:type="dxa"/>
            <w:tcBorders>
              <w:top w:val="nil"/>
              <w:left w:val="nil"/>
              <w:bottom w:val="nil"/>
              <w:right w:val="nil"/>
            </w:tcBorders>
            <w:shd w:val="clear" w:color="auto" w:fill="auto"/>
            <w:noWrap/>
            <w:vAlign w:val="bottom"/>
            <w:hideMark/>
          </w:tcPr>
          <w:p w14:paraId="485B2B4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(37,561)</w:t>
            </w:r>
          </w:p>
        </w:tc>
      </w:tr>
      <w:tr w:rsidR="00757236" w:rsidRPr="00757236" w14:paraId="4156F1B6"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4FD25B36" w14:textId="77777777" w:rsidR="00757236" w:rsidRPr="00757236" w:rsidRDefault="00757236" w:rsidP="00757236">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401FF6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6BB01BF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138,855 </w:t>
            </w:r>
          </w:p>
        </w:tc>
        <w:tc>
          <w:tcPr>
            <w:tcW w:w="920" w:type="dxa"/>
            <w:tcBorders>
              <w:top w:val="nil"/>
              <w:left w:val="nil"/>
              <w:bottom w:val="nil"/>
              <w:right w:val="nil"/>
            </w:tcBorders>
            <w:shd w:val="clear" w:color="000000" w:fill="D9D9D9"/>
            <w:noWrap/>
            <w:vAlign w:val="bottom"/>
            <w:hideMark/>
          </w:tcPr>
          <w:p w14:paraId="5E2E7F4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467,916 </w:t>
            </w:r>
          </w:p>
        </w:tc>
        <w:tc>
          <w:tcPr>
            <w:tcW w:w="920" w:type="dxa"/>
            <w:tcBorders>
              <w:top w:val="nil"/>
              <w:left w:val="nil"/>
              <w:bottom w:val="nil"/>
              <w:right w:val="nil"/>
            </w:tcBorders>
            <w:shd w:val="clear" w:color="auto" w:fill="auto"/>
            <w:noWrap/>
            <w:vAlign w:val="bottom"/>
            <w:hideMark/>
          </w:tcPr>
          <w:p w14:paraId="38D5431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537,807 </w:t>
            </w:r>
          </w:p>
        </w:tc>
        <w:tc>
          <w:tcPr>
            <w:tcW w:w="920" w:type="dxa"/>
            <w:tcBorders>
              <w:top w:val="nil"/>
              <w:left w:val="nil"/>
              <w:bottom w:val="nil"/>
              <w:right w:val="nil"/>
            </w:tcBorders>
            <w:shd w:val="clear" w:color="auto" w:fill="auto"/>
            <w:noWrap/>
            <w:vAlign w:val="bottom"/>
            <w:hideMark/>
          </w:tcPr>
          <w:p w14:paraId="687CD9E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578,627 </w:t>
            </w:r>
          </w:p>
        </w:tc>
        <w:tc>
          <w:tcPr>
            <w:tcW w:w="920" w:type="dxa"/>
            <w:tcBorders>
              <w:top w:val="nil"/>
              <w:left w:val="nil"/>
              <w:bottom w:val="nil"/>
              <w:right w:val="nil"/>
            </w:tcBorders>
            <w:shd w:val="clear" w:color="auto" w:fill="auto"/>
            <w:noWrap/>
            <w:vAlign w:val="bottom"/>
            <w:hideMark/>
          </w:tcPr>
          <w:p w14:paraId="18C10E8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596,093 </w:t>
            </w:r>
          </w:p>
        </w:tc>
      </w:tr>
      <w:tr w:rsidR="00757236" w:rsidRPr="00757236" w14:paraId="3BBC84D0"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3F83B473" w14:textId="77777777" w:rsidR="00757236" w:rsidRPr="00757236" w:rsidRDefault="00757236" w:rsidP="00757236">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AAE77B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2.7</w:t>
            </w:r>
          </w:p>
        </w:tc>
        <w:tc>
          <w:tcPr>
            <w:tcW w:w="920" w:type="dxa"/>
            <w:tcBorders>
              <w:top w:val="nil"/>
              <w:left w:val="nil"/>
              <w:bottom w:val="nil"/>
              <w:right w:val="nil"/>
            </w:tcBorders>
            <w:shd w:val="clear" w:color="auto" w:fill="auto"/>
            <w:noWrap/>
            <w:vAlign w:val="bottom"/>
            <w:hideMark/>
          </w:tcPr>
          <w:p w14:paraId="5234974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174 </w:t>
            </w:r>
          </w:p>
        </w:tc>
        <w:tc>
          <w:tcPr>
            <w:tcW w:w="920" w:type="dxa"/>
            <w:tcBorders>
              <w:top w:val="nil"/>
              <w:left w:val="nil"/>
              <w:bottom w:val="nil"/>
              <w:right w:val="nil"/>
            </w:tcBorders>
            <w:shd w:val="clear" w:color="000000" w:fill="D9D9D9"/>
            <w:noWrap/>
            <w:vAlign w:val="bottom"/>
            <w:hideMark/>
          </w:tcPr>
          <w:p w14:paraId="469D58A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(783)</w:t>
            </w:r>
          </w:p>
        </w:tc>
        <w:tc>
          <w:tcPr>
            <w:tcW w:w="920" w:type="dxa"/>
            <w:tcBorders>
              <w:top w:val="nil"/>
              <w:left w:val="nil"/>
              <w:bottom w:val="nil"/>
              <w:right w:val="nil"/>
            </w:tcBorders>
            <w:shd w:val="clear" w:color="auto" w:fill="auto"/>
            <w:noWrap/>
            <w:vAlign w:val="bottom"/>
            <w:hideMark/>
          </w:tcPr>
          <w:p w14:paraId="1D5F369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(1,386)</w:t>
            </w:r>
          </w:p>
        </w:tc>
        <w:tc>
          <w:tcPr>
            <w:tcW w:w="920" w:type="dxa"/>
            <w:tcBorders>
              <w:top w:val="nil"/>
              <w:left w:val="nil"/>
              <w:bottom w:val="nil"/>
              <w:right w:val="nil"/>
            </w:tcBorders>
            <w:shd w:val="clear" w:color="auto" w:fill="auto"/>
            <w:noWrap/>
            <w:vAlign w:val="bottom"/>
            <w:hideMark/>
          </w:tcPr>
          <w:p w14:paraId="68BF227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(1,448)</w:t>
            </w:r>
          </w:p>
        </w:tc>
        <w:tc>
          <w:tcPr>
            <w:tcW w:w="920" w:type="dxa"/>
            <w:tcBorders>
              <w:top w:val="nil"/>
              <w:left w:val="nil"/>
              <w:bottom w:val="nil"/>
              <w:right w:val="nil"/>
            </w:tcBorders>
            <w:shd w:val="clear" w:color="auto" w:fill="auto"/>
            <w:noWrap/>
            <w:vAlign w:val="bottom"/>
            <w:hideMark/>
          </w:tcPr>
          <w:p w14:paraId="079A0B9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(1,553)</w:t>
            </w:r>
          </w:p>
        </w:tc>
      </w:tr>
      <w:tr w:rsidR="00757236" w:rsidRPr="00757236" w14:paraId="50345A5F" w14:textId="77777777" w:rsidTr="00757236">
        <w:trPr>
          <w:trHeight w:val="225"/>
          <w:jc w:val="center"/>
        </w:trPr>
        <w:tc>
          <w:tcPr>
            <w:tcW w:w="2320" w:type="dxa"/>
            <w:tcBorders>
              <w:top w:val="nil"/>
              <w:left w:val="nil"/>
              <w:bottom w:val="nil"/>
              <w:right w:val="nil"/>
            </w:tcBorders>
            <w:shd w:val="clear" w:color="auto" w:fill="auto"/>
            <w:vAlign w:val="bottom"/>
            <w:hideMark/>
          </w:tcPr>
          <w:p w14:paraId="4A40064A"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53E1FD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0B588EF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F70757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602 </w:t>
            </w:r>
          </w:p>
        </w:tc>
        <w:tc>
          <w:tcPr>
            <w:tcW w:w="920" w:type="dxa"/>
            <w:tcBorders>
              <w:top w:val="nil"/>
              <w:left w:val="nil"/>
              <w:bottom w:val="nil"/>
              <w:right w:val="nil"/>
            </w:tcBorders>
            <w:shd w:val="clear" w:color="auto" w:fill="auto"/>
            <w:noWrap/>
            <w:vAlign w:val="bottom"/>
            <w:hideMark/>
          </w:tcPr>
          <w:p w14:paraId="7858104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574714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F2A2E0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2772FA2C" w14:textId="77777777" w:rsidTr="00757236">
        <w:trPr>
          <w:trHeight w:val="454"/>
          <w:jc w:val="center"/>
        </w:trPr>
        <w:tc>
          <w:tcPr>
            <w:tcW w:w="2320" w:type="dxa"/>
            <w:tcBorders>
              <w:top w:val="nil"/>
              <w:left w:val="nil"/>
              <w:bottom w:val="nil"/>
              <w:right w:val="nil"/>
            </w:tcBorders>
            <w:shd w:val="clear" w:color="auto" w:fill="auto"/>
            <w:vAlign w:val="bottom"/>
            <w:hideMark/>
          </w:tcPr>
          <w:p w14:paraId="037BBF37"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3D634625"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486D6E1"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63EE3C9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5987328" w14:textId="77777777" w:rsidR="00757236" w:rsidRPr="00757236" w:rsidRDefault="00757236" w:rsidP="00757236">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486A5BE"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912631"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46615E83"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00F431B2"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3323269F" w14:textId="77777777" w:rsidR="00757236" w:rsidRPr="00757236" w:rsidRDefault="00757236" w:rsidP="00757236">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68D7B0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1,935 </w:t>
            </w:r>
          </w:p>
        </w:tc>
        <w:tc>
          <w:tcPr>
            <w:tcW w:w="920" w:type="dxa"/>
            <w:tcBorders>
              <w:top w:val="nil"/>
              <w:left w:val="nil"/>
              <w:bottom w:val="nil"/>
              <w:right w:val="nil"/>
            </w:tcBorders>
            <w:shd w:val="clear" w:color="000000" w:fill="D9D9D9"/>
            <w:noWrap/>
            <w:vAlign w:val="bottom"/>
            <w:hideMark/>
          </w:tcPr>
          <w:p w14:paraId="5CB4A12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4,622 </w:t>
            </w:r>
          </w:p>
        </w:tc>
        <w:tc>
          <w:tcPr>
            <w:tcW w:w="920" w:type="dxa"/>
            <w:tcBorders>
              <w:top w:val="nil"/>
              <w:left w:val="nil"/>
              <w:bottom w:val="nil"/>
              <w:right w:val="nil"/>
            </w:tcBorders>
            <w:shd w:val="clear" w:color="auto" w:fill="auto"/>
            <w:noWrap/>
            <w:vAlign w:val="bottom"/>
            <w:hideMark/>
          </w:tcPr>
          <w:p w14:paraId="189737C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4,990 </w:t>
            </w:r>
          </w:p>
        </w:tc>
        <w:tc>
          <w:tcPr>
            <w:tcW w:w="920" w:type="dxa"/>
            <w:tcBorders>
              <w:top w:val="nil"/>
              <w:left w:val="nil"/>
              <w:bottom w:val="nil"/>
              <w:right w:val="nil"/>
            </w:tcBorders>
            <w:shd w:val="clear" w:color="auto" w:fill="auto"/>
            <w:noWrap/>
            <w:vAlign w:val="bottom"/>
            <w:hideMark/>
          </w:tcPr>
          <w:p w14:paraId="7C43824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5,664 </w:t>
            </w:r>
          </w:p>
        </w:tc>
        <w:tc>
          <w:tcPr>
            <w:tcW w:w="920" w:type="dxa"/>
            <w:tcBorders>
              <w:top w:val="nil"/>
              <w:left w:val="nil"/>
              <w:bottom w:val="nil"/>
              <w:right w:val="nil"/>
            </w:tcBorders>
            <w:shd w:val="clear" w:color="auto" w:fill="auto"/>
            <w:noWrap/>
            <w:vAlign w:val="bottom"/>
            <w:hideMark/>
          </w:tcPr>
          <w:p w14:paraId="44E954A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4,737 </w:t>
            </w:r>
          </w:p>
        </w:tc>
      </w:tr>
      <w:tr w:rsidR="00757236" w:rsidRPr="00757236" w14:paraId="7042DA5A" w14:textId="77777777" w:rsidTr="00757236">
        <w:trPr>
          <w:trHeight w:val="283"/>
          <w:jc w:val="center"/>
        </w:trPr>
        <w:tc>
          <w:tcPr>
            <w:tcW w:w="2320" w:type="dxa"/>
            <w:tcBorders>
              <w:top w:val="nil"/>
              <w:left w:val="nil"/>
              <w:bottom w:val="nil"/>
              <w:right w:val="nil"/>
            </w:tcBorders>
            <w:shd w:val="clear" w:color="auto" w:fill="auto"/>
            <w:vAlign w:val="bottom"/>
            <w:hideMark/>
          </w:tcPr>
          <w:p w14:paraId="2073AB3F"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107D59B2" w14:textId="77777777" w:rsidR="00757236" w:rsidRPr="00757236" w:rsidRDefault="00757236" w:rsidP="00757236">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3E6B1EB"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4445D5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DBC90D7" w14:textId="77777777" w:rsidR="00757236" w:rsidRPr="00757236" w:rsidRDefault="00757236" w:rsidP="00757236">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60D6C97"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C0B8039"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5800C65E" w14:textId="77777777" w:rsidTr="00757236">
        <w:trPr>
          <w:trHeight w:val="225"/>
          <w:jc w:val="center"/>
        </w:trPr>
        <w:tc>
          <w:tcPr>
            <w:tcW w:w="2320" w:type="dxa"/>
            <w:tcBorders>
              <w:top w:val="nil"/>
              <w:left w:val="nil"/>
              <w:bottom w:val="nil"/>
              <w:right w:val="nil"/>
            </w:tcBorders>
            <w:shd w:val="clear" w:color="auto" w:fill="auto"/>
            <w:vAlign w:val="bottom"/>
            <w:hideMark/>
          </w:tcPr>
          <w:p w14:paraId="4FBFB21E" w14:textId="77777777" w:rsidR="00757236" w:rsidRPr="00757236" w:rsidRDefault="00757236" w:rsidP="00757236">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82119D2" w14:textId="77777777" w:rsidR="00757236" w:rsidRPr="00757236" w:rsidRDefault="00757236" w:rsidP="00757236">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8E8367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785 </w:t>
            </w:r>
          </w:p>
        </w:tc>
        <w:tc>
          <w:tcPr>
            <w:tcW w:w="920" w:type="dxa"/>
            <w:tcBorders>
              <w:top w:val="nil"/>
              <w:left w:val="nil"/>
              <w:bottom w:val="nil"/>
              <w:right w:val="nil"/>
            </w:tcBorders>
            <w:shd w:val="clear" w:color="000000" w:fill="D9D9D9"/>
            <w:noWrap/>
            <w:vAlign w:val="bottom"/>
            <w:hideMark/>
          </w:tcPr>
          <w:p w14:paraId="7F7FA29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(475)</w:t>
            </w:r>
          </w:p>
        </w:tc>
        <w:tc>
          <w:tcPr>
            <w:tcW w:w="920" w:type="dxa"/>
            <w:tcBorders>
              <w:top w:val="nil"/>
              <w:left w:val="nil"/>
              <w:bottom w:val="nil"/>
              <w:right w:val="nil"/>
            </w:tcBorders>
            <w:shd w:val="clear" w:color="auto" w:fill="auto"/>
            <w:noWrap/>
            <w:vAlign w:val="bottom"/>
            <w:hideMark/>
          </w:tcPr>
          <w:p w14:paraId="5E8D6FD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(714)</w:t>
            </w:r>
          </w:p>
        </w:tc>
        <w:tc>
          <w:tcPr>
            <w:tcW w:w="920" w:type="dxa"/>
            <w:tcBorders>
              <w:top w:val="nil"/>
              <w:left w:val="nil"/>
              <w:bottom w:val="nil"/>
              <w:right w:val="nil"/>
            </w:tcBorders>
            <w:shd w:val="clear" w:color="auto" w:fill="auto"/>
            <w:noWrap/>
            <w:vAlign w:val="bottom"/>
            <w:hideMark/>
          </w:tcPr>
          <w:p w14:paraId="7307939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(858)</w:t>
            </w:r>
          </w:p>
        </w:tc>
        <w:tc>
          <w:tcPr>
            <w:tcW w:w="920" w:type="dxa"/>
            <w:tcBorders>
              <w:top w:val="nil"/>
              <w:left w:val="nil"/>
              <w:bottom w:val="nil"/>
              <w:right w:val="nil"/>
            </w:tcBorders>
            <w:shd w:val="clear" w:color="auto" w:fill="auto"/>
            <w:noWrap/>
            <w:vAlign w:val="bottom"/>
            <w:hideMark/>
          </w:tcPr>
          <w:p w14:paraId="04B612E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(984)</w:t>
            </w:r>
          </w:p>
        </w:tc>
      </w:tr>
      <w:tr w:rsidR="00757236" w:rsidRPr="00757236" w14:paraId="1A2CFCF0" w14:textId="77777777" w:rsidTr="00757236">
        <w:trPr>
          <w:trHeight w:val="225"/>
          <w:jc w:val="center"/>
        </w:trPr>
        <w:tc>
          <w:tcPr>
            <w:tcW w:w="2320" w:type="dxa"/>
            <w:tcBorders>
              <w:top w:val="nil"/>
              <w:left w:val="nil"/>
              <w:bottom w:val="nil"/>
              <w:right w:val="nil"/>
            </w:tcBorders>
            <w:shd w:val="clear" w:color="auto" w:fill="auto"/>
            <w:noWrap/>
            <w:vAlign w:val="bottom"/>
            <w:hideMark/>
          </w:tcPr>
          <w:p w14:paraId="30C6EDCC"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5A9D894B" w14:textId="77777777" w:rsidR="00757236" w:rsidRPr="00757236" w:rsidRDefault="00757236" w:rsidP="00757236">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8A8E872"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139,468 </w:t>
            </w:r>
          </w:p>
        </w:tc>
        <w:tc>
          <w:tcPr>
            <w:tcW w:w="920" w:type="dxa"/>
            <w:tcBorders>
              <w:top w:val="single" w:sz="4" w:space="0" w:color="000000"/>
              <w:left w:val="nil"/>
              <w:bottom w:val="single" w:sz="4" w:space="0" w:color="000000"/>
              <w:right w:val="nil"/>
            </w:tcBorders>
            <w:shd w:val="clear" w:color="000000" w:fill="D9D9D9"/>
            <w:noWrap/>
            <w:vAlign w:val="bottom"/>
            <w:hideMark/>
          </w:tcPr>
          <w:p w14:paraId="32EA545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454,818 </w:t>
            </w:r>
          </w:p>
        </w:tc>
        <w:tc>
          <w:tcPr>
            <w:tcW w:w="920" w:type="dxa"/>
            <w:tcBorders>
              <w:top w:val="single" w:sz="4" w:space="0" w:color="000000"/>
              <w:left w:val="nil"/>
              <w:bottom w:val="single" w:sz="4" w:space="0" w:color="000000"/>
              <w:right w:val="nil"/>
            </w:tcBorders>
            <w:shd w:val="clear" w:color="auto" w:fill="auto"/>
            <w:noWrap/>
            <w:vAlign w:val="bottom"/>
            <w:hideMark/>
          </w:tcPr>
          <w:p w14:paraId="62B1D81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511,803 </w:t>
            </w:r>
          </w:p>
        </w:tc>
        <w:tc>
          <w:tcPr>
            <w:tcW w:w="920" w:type="dxa"/>
            <w:tcBorders>
              <w:top w:val="single" w:sz="4" w:space="0" w:color="000000"/>
              <w:left w:val="nil"/>
              <w:bottom w:val="single" w:sz="4" w:space="0" w:color="000000"/>
              <w:right w:val="nil"/>
            </w:tcBorders>
            <w:shd w:val="clear" w:color="auto" w:fill="auto"/>
            <w:noWrap/>
            <w:vAlign w:val="bottom"/>
            <w:hideMark/>
          </w:tcPr>
          <w:p w14:paraId="5BBC697C"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548,949 </w:t>
            </w:r>
          </w:p>
        </w:tc>
        <w:tc>
          <w:tcPr>
            <w:tcW w:w="920" w:type="dxa"/>
            <w:tcBorders>
              <w:top w:val="single" w:sz="4" w:space="0" w:color="000000"/>
              <w:left w:val="nil"/>
              <w:bottom w:val="single" w:sz="4" w:space="0" w:color="000000"/>
              <w:right w:val="nil"/>
            </w:tcBorders>
            <w:shd w:val="clear" w:color="auto" w:fill="auto"/>
            <w:noWrap/>
            <w:vAlign w:val="bottom"/>
            <w:hideMark/>
          </w:tcPr>
          <w:p w14:paraId="6627A68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560,732 </w:t>
            </w:r>
          </w:p>
        </w:tc>
      </w:tr>
      <w:tr w:rsidR="00757236" w:rsidRPr="00757236" w14:paraId="400B34E5" w14:textId="77777777" w:rsidTr="00934D5E">
        <w:trPr>
          <w:trHeight w:val="225"/>
          <w:jc w:val="center"/>
        </w:trPr>
        <w:tc>
          <w:tcPr>
            <w:tcW w:w="2320" w:type="dxa"/>
            <w:tcBorders>
              <w:top w:val="nil"/>
              <w:left w:val="nil"/>
              <w:right w:val="nil"/>
            </w:tcBorders>
            <w:shd w:val="clear" w:color="auto" w:fill="auto"/>
            <w:noWrap/>
            <w:vAlign w:val="bottom"/>
            <w:hideMark/>
          </w:tcPr>
          <w:p w14:paraId="4AF03FE1" w14:textId="77777777" w:rsidR="00757236" w:rsidRPr="00757236" w:rsidRDefault="00757236" w:rsidP="00757236">
            <w:pPr>
              <w:spacing w:after="0"/>
              <w:ind w:leftChars="75" w:left="143"/>
              <w:rPr>
                <w:rFonts w:ascii="Arial" w:hAnsi="Arial" w:cs="Arial"/>
                <w:i/>
                <w:iCs/>
                <w:color w:val="auto"/>
                <w:sz w:val="16"/>
                <w:szCs w:val="16"/>
              </w:rPr>
            </w:pPr>
            <w:r w:rsidRPr="00757236">
              <w:rPr>
                <w:rFonts w:ascii="Arial" w:hAnsi="Arial" w:cs="Arial"/>
                <w:i/>
                <w:iCs/>
                <w:color w:val="auto"/>
                <w:sz w:val="16"/>
                <w:szCs w:val="16"/>
              </w:rPr>
              <w:t>Related receipts</w:t>
            </w:r>
          </w:p>
        </w:tc>
        <w:tc>
          <w:tcPr>
            <w:tcW w:w="460" w:type="dxa"/>
            <w:tcBorders>
              <w:top w:val="nil"/>
              <w:left w:val="nil"/>
              <w:right w:val="nil"/>
            </w:tcBorders>
            <w:shd w:val="clear" w:color="auto" w:fill="auto"/>
            <w:noWrap/>
            <w:vAlign w:val="bottom"/>
            <w:hideMark/>
          </w:tcPr>
          <w:p w14:paraId="7DCF7985" w14:textId="77777777" w:rsidR="00757236" w:rsidRPr="00757236" w:rsidRDefault="00757236" w:rsidP="00757236">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14:paraId="1B75DAE8"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35BA5DD"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3DF6CFE0" w14:textId="77777777" w:rsidR="00757236" w:rsidRPr="00757236" w:rsidRDefault="00757236" w:rsidP="00757236">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40918DE1" w14:textId="77777777" w:rsidR="00757236" w:rsidRPr="00757236" w:rsidRDefault="00757236" w:rsidP="00757236">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AFCD1D9"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767F2571" w14:textId="77777777" w:rsidTr="00934D5E">
        <w:trPr>
          <w:trHeight w:val="425"/>
          <w:jc w:val="center"/>
        </w:trPr>
        <w:tc>
          <w:tcPr>
            <w:tcW w:w="2320" w:type="dxa"/>
            <w:tcBorders>
              <w:top w:val="nil"/>
              <w:left w:val="nil"/>
              <w:bottom w:val="single" w:sz="4" w:space="0" w:color="auto"/>
              <w:right w:val="nil"/>
            </w:tcBorders>
            <w:shd w:val="clear" w:color="auto" w:fill="auto"/>
            <w:vAlign w:val="bottom"/>
            <w:hideMark/>
          </w:tcPr>
          <w:p w14:paraId="08F8FE7A" w14:textId="77777777" w:rsidR="00757236" w:rsidRPr="00757236" w:rsidRDefault="00757236" w:rsidP="00757236">
            <w:pPr>
              <w:spacing w:after="0"/>
              <w:ind w:leftChars="75" w:left="143"/>
              <w:rPr>
                <w:rFonts w:ascii="Arial" w:hAnsi="Arial" w:cs="Arial"/>
                <w:i/>
                <w:iCs/>
                <w:color w:val="auto"/>
                <w:sz w:val="16"/>
                <w:szCs w:val="16"/>
              </w:rPr>
            </w:pPr>
            <w:r w:rsidRPr="00757236">
              <w:rPr>
                <w:rFonts w:ascii="Arial" w:hAnsi="Arial" w:cs="Arial"/>
                <w:i/>
                <w:iCs/>
                <w:color w:val="auto"/>
                <w:sz w:val="16"/>
                <w:szCs w:val="16"/>
              </w:rPr>
              <w:t xml:space="preserve">Department of Health and Aged Care </w:t>
            </w:r>
          </w:p>
        </w:tc>
        <w:tc>
          <w:tcPr>
            <w:tcW w:w="460" w:type="dxa"/>
            <w:tcBorders>
              <w:top w:val="nil"/>
              <w:left w:val="nil"/>
              <w:bottom w:val="single" w:sz="4" w:space="0" w:color="auto"/>
              <w:right w:val="nil"/>
            </w:tcBorders>
            <w:shd w:val="clear" w:color="auto" w:fill="auto"/>
            <w:noWrap/>
            <w:vAlign w:val="bottom"/>
            <w:hideMark/>
          </w:tcPr>
          <w:p w14:paraId="53473429" w14:textId="77777777" w:rsidR="00757236" w:rsidRPr="00757236" w:rsidRDefault="00757236" w:rsidP="00757236">
            <w:pPr>
              <w:spacing w:after="0"/>
              <w:ind w:firstLineChars="100" w:firstLine="160"/>
              <w:rPr>
                <w:rFonts w:ascii="Arial" w:hAnsi="Arial" w:cs="Arial"/>
                <w:i/>
                <w:iCs/>
                <w:color w:val="auto"/>
                <w:sz w:val="16"/>
                <w:szCs w:val="16"/>
              </w:rPr>
            </w:pPr>
          </w:p>
        </w:tc>
        <w:tc>
          <w:tcPr>
            <w:tcW w:w="920" w:type="dxa"/>
            <w:tcBorders>
              <w:top w:val="nil"/>
              <w:left w:val="nil"/>
              <w:bottom w:val="single" w:sz="4" w:space="0" w:color="auto"/>
              <w:right w:val="nil"/>
            </w:tcBorders>
            <w:shd w:val="clear" w:color="auto" w:fill="auto"/>
            <w:noWrap/>
            <w:vAlign w:val="bottom"/>
            <w:hideMark/>
          </w:tcPr>
          <w:p w14:paraId="6DA8D851"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920" w:type="dxa"/>
            <w:tcBorders>
              <w:top w:val="nil"/>
              <w:left w:val="nil"/>
              <w:bottom w:val="single" w:sz="4" w:space="0" w:color="auto"/>
              <w:right w:val="nil"/>
            </w:tcBorders>
            <w:shd w:val="clear" w:color="000000" w:fill="D9D9D9"/>
            <w:noWrap/>
            <w:vAlign w:val="bottom"/>
            <w:hideMark/>
          </w:tcPr>
          <w:p w14:paraId="017F89F3"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920" w:type="dxa"/>
            <w:tcBorders>
              <w:top w:val="nil"/>
              <w:left w:val="nil"/>
              <w:bottom w:val="single" w:sz="4" w:space="0" w:color="auto"/>
              <w:right w:val="nil"/>
            </w:tcBorders>
            <w:shd w:val="clear" w:color="auto" w:fill="auto"/>
            <w:noWrap/>
            <w:vAlign w:val="bottom"/>
            <w:hideMark/>
          </w:tcPr>
          <w:p w14:paraId="14DBDFC2"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920" w:type="dxa"/>
            <w:tcBorders>
              <w:top w:val="nil"/>
              <w:left w:val="nil"/>
              <w:bottom w:val="single" w:sz="4" w:space="0" w:color="auto"/>
              <w:right w:val="nil"/>
            </w:tcBorders>
            <w:shd w:val="clear" w:color="auto" w:fill="auto"/>
            <w:noWrap/>
            <w:vAlign w:val="bottom"/>
            <w:hideMark/>
          </w:tcPr>
          <w:p w14:paraId="5223DCF5"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920" w:type="dxa"/>
            <w:tcBorders>
              <w:top w:val="nil"/>
              <w:left w:val="nil"/>
              <w:bottom w:val="single" w:sz="4" w:space="0" w:color="auto"/>
              <w:right w:val="nil"/>
            </w:tcBorders>
            <w:shd w:val="clear" w:color="auto" w:fill="auto"/>
            <w:noWrap/>
            <w:vAlign w:val="bottom"/>
            <w:hideMark/>
          </w:tcPr>
          <w:p w14:paraId="44E09349"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r>
    </w:tbl>
    <w:p w14:paraId="32956236" w14:textId="77777777" w:rsidR="001807F5" w:rsidRDefault="001807F5" w:rsidP="001807F5">
      <w:pPr>
        <w:rPr>
          <w:rFonts w:ascii="Arial" w:hAnsi="Arial" w:cs="Arial"/>
          <w:szCs w:val="18"/>
        </w:rPr>
      </w:pPr>
      <w:r>
        <w:br w:type="page"/>
      </w:r>
    </w:p>
    <w:p w14:paraId="27E572F5" w14:textId="77777777" w:rsidR="001807F5" w:rsidRPr="00F277A4" w:rsidRDefault="001807F5" w:rsidP="001807F5">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516"/>
        <w:gridCol w:w="436"/>
        <w:gridCol w:w="868"/>
        <w:gridCol w:w="883"/>
        <w:gridCol w:w="896"/>
        <w:gridCol w:w="885"/>
        <w:gridCol w:w="896"/>
      </w:tblGrid>
      <w:tr w:rsidR="00757236" w:rsidRPr="00757236" w14:paraId="435C8AAD" w14:textId="77777777" w:rsidTr="00757236">
        <w:trPr>
          <w:trHeight w:val="340"/>
          <w:jc w:val="center"/>
        </w:trPr>
        <w:tc>
          <w:tcPr>
            <w:tcW w:w="2952" w:type="dxa"/>
            <w:gridSpan w:val="2"/>
            <w:tcBorders>
              <w:top w:val="single" w:sz="4" w:space="0" w:color="auto"/>
              <w:left w:val="nil"/>
              <w:bottom w:val="nil"/>
              <w:right w:val="nil"/>
            </w:tcBorders>
            <w:shd w:val="clear" w:color="auto" w:fill="auto"/>
            <w:vAlign w:val="bottom"/>
            <w:hideMark/>
          </w:tcPr>
          <w:p w14:paraId="036F8652"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 xml:space="preserve">Outcome/ </w:t>
            </w:r>
            <w:r w:rsidRPr="00757236">
              <w:rPr>
                <w:rFonts w:ascii="Arial" w:hAnsi="Arial" w:cs="Arial"/>
                <w:b/>
                <w:bCs/>
                <w:color w:val="auto"/>
                <w:sz w:val="16"/>
                <w:szCs w:val="16"/>
              </w:rPr>
              <w:br/>
              <w:t>Program</w:t>
            </w:r>
          </w:p>
        </w:tc>
        <w:tc>
          <w:tcPr>
            <w:tcW w:w="868" w:type="dxa"/>
            <w:tcBorders>
              <w:top w:val="single" w:sz="4" w:space="0" w:color="000000"/>
              <w:left w:val="nil"/>
              <w:bottom w:val="single" w:sz="4" w:space="0" w:color="000000"/>
              <w:right w:val="nil"/>
            </w:tcBorders>
            <w:shd w:val="clear" w:color="auto" w:fill="auto"/>
            <w:vAlign w:val="bottom"/>
            <w:hideMark/>
          </w:tcPr>
          <w:p w14:paraId="68809EAD"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2022–23</w:t>
            </w:r>
            <w:r w:rsidRPr="00757236">
              <w:rPr>
                <w:rFonts w:ascii="Arial" w:hAnsi="Arial" w:cs="Arial"/>
                <w:b/>
                <w:bCs/>
                <w:color w:val="auto"/>
                <w:sz w:val="16"/>
                <w:szCs w:val="16"/>
              </w:rPr>
              <w:br/>
              <w:t>$'000</w:t>
            </w:r>
          </w:p>
        </w:tc>
        <w:tc>
          <w:tcPr>
            <w:tcW w:w="883" w:type="dxa"/>
            <w:tcBorders>
              <w:top w:val="single" w:sz="4" w:space="0" w:color="000000"/>
              <w:left w:val="nil"/>
              <w:bottom w:val="single" w:sz="4" w:space="0" w:color="000000"/>
              <w:right w:val="nil"/>
            </w:tcBorders>
            <w:shd w:val="clear" w:color="000000" w:fill="D9D9D9"/>
            <w:vAlign w:val="bottom"/>
            <w:hideMark/>
          </w:tcPr>
          <w:p w14:paraId="2954371A"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2023–24</w:t>
            </w:r>
            <w:r w:rsidRPr="00757236">
              <w:rPr>
                <w:rFonts w:ascii="Arial" w:hAnsi="Arial" w:cs="Arial"/>
                <w:b/>
                <w:bCs/>
                <w:color w:val="auto"/>
                <w:sz w:val="16"/>
                <w:szCs w:val="16"/>
              </w:rPr>
              <w:br/>
              <w:t>$'000</w:t>
            </w:r>
          </w:p>
        </w:tc>
        <w:tc>
          <w:tcPr>
            <w:tcW w:w="896" w:type="dxa"/>
            <w:tcBorders>
              <w:top w:val="single" w:sz="4" w:space="0" w:color="000000"/>
              <w:left w:val="nil"/>
              <w:bottom w:val="single" w:sz="4" w:space="0" w:color="000000"/>
              <w:right w:val="nil"/>
            </w:tcBorders>
            <w:shd w:val="clear" w:color="auto" w:fill="auto"/>
            <w:vAlign w:val="bottom"/>
            <w:hideMark/>
          </w:tcPr>
          <w:p w14:paraId="1ED2BBA3"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2024–25</w:t>
            </w:r>
            <w:r w:rsidRPr="00757236">
              <w:rPr>
                <w:rFonts w:ascii="Arial" w:hAnsi="Arial" w:cs="Arial"/>
                <w:b/>
                <w:bCs/>
                <w:color w:val="auto"/>
                <w:sz w:val="16"/>
                <w:szCs w:val="16"/>
              </w:rPr>
              <w:br/>
              <w:t>$'000</w:t>
            </w:r>
          </w:p>
        </w:tc>
        <w:tc>
          <w:tcPr>
            <w:tcW w:w="885" w:type="dxa"/>
            <w:tcBorders>
              <w:top w:val="single" w:sz="4" w:space="0" w:color="000000"/>
              <w:left w:val="nil"/>
              <w:bottom w:val="single" w:sz="4" w:space="0" w:color="000000"/>
              <w:right w:val="nil"/>
            </w:tcBorders>
            <w:shd w:val="clear" w:color="auto" w:fill="auto"/>
            <w:vAlign w:val="bottom"/>
            <w:hideMark/>
          </w:tcPr>
          <w:p w14:paraId="157511DE"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2025–26</w:t>
            </w:r>
            <w:r w:rsidRPr="00757236">
              <w:rPr>
                <w:rFonts w:ascii="Arial" w:hAnsi="Arial" w:cs="Arial"/>
                <w:b/>
                <w:bCs/>
                <w:color w:val="auto"/>
                <w:sz w:val="16"/>
                <w:szCs w:val="16"/>
              </w:rPr>
              <w:br/>
              <w:t>$'000</w:t>
            </w:r>
          </w:p>
        </w:tc>
        <w:tc>
          <w:tcPr>
            <w:tcW w:w="896" w:type="dxa"/>
            <w:tcBorders>
              <w:top w:val="single" w:sz="4" w:space="0" w:color="000000"/>
              <w:left w:val="nil"/>
              <w:bottom w:val="single" w:sz="4" w:space="0" w:color="000000"/>
              <w:right w:val="nil"/>
            </w:tcBorders>
            <w:shd w:val="clear" w:color="auto" w:fill="auto"/>
            <w:vAlign w:val="bottom"/>
            <w:hideMark/>
          </w:tcPr>
          <w:p w14:paraId="473B2739" w14:textId="77777777" w:rsidR="00757236" w:rsidRPr="00757236" w:rsidRDefault="00757236" w:rsidP="00757236">
            <w:pPr>
              <w:spacing w:before="40" w:after="0"/>
              <w:jc w:val="right"/>
              <w:rPr>
                <w:rFonts w:ascii="Arial" w:hAnsi="Arial" w:cs="Arial"/>
                <w:b/>
                <w:bCs/>
                <w:color w:val="auto"/>
                <w:sz w:val="16"/>
                <w:szCs w:val="16"/>
              </w:rPr>
            </w:pPr>
            <w:r w:rsidRPr="00757236">
              <w:rPr>
                <w:rFonts w:ascii="Arial" w:hAnsi="Arial" w:cs="Arial"/>
                <w:b/>
                <w:bCs/>
                <w:color w:val="auto"/>
                <w:sz w:val="16"/>
                <w:szCs w:val="16"/>
              </w:rPr>
              <w:t>2026–27</w:t>
            </w:r>
            <w:r w:rsidRPr="00757236">
              <w:rPr>
                <w:rFonts w:ascii="Arial" w:hAnsi="Arial" w:cs="Arial"/>
                <w:b/>
                <w:bCs/>
                <w:color w:val="auto"/>
                <w:sz w:val="16"/>
                <w:szCs w:val="16"/>
              </w:rPr>
              <w:br/>
              <w:t>$'000</w:t>
            </w:r>
          </w:p>
        </w:tc>
      </w:tr>
      <w:tr w:rsidR="00757236" w:rsidRPr="00757236" w14:paraId="650EBAE7" w14:textId="77777777" w:rsidTr="00757236">
        <w:trPr>
          <w:trHeight w:val="454"/>
          <w:jc w:val="center"/>
        </w:trPr>
        <w:tc>
          <w:tcPr>
            <w:tcW w:w="7380" w:type="dxa"/>
            <w:gridSpan w:val="7"/>
            <w:tcBorders>
              <w:top w:val="nil"/>
              <w:left w:val="nil"/>
              <w:bottom w:val="nil"/>
              <w:right w:val="nil"/>
            </w:tcBorders>
            <w:shd w:val="clear" w:color="auto" w:fill="auto"/>
            <w:vAlign w:val="bottom"/>
            <w:hideMark/>
          </w:tcPr>
          <w:p w14:paraId="5040E7F0"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Preparatory Work for Implementation of New Legislation to Modernise the National Gene Technology Scheme — more effective delivery of regulation</w:t>
            </w:r>
          </w:p>
        </w:tc>
      </w:tr>
      <w:tr w:rsidR="00757236" w:rsidRPr="00757236" w14:paraId="0701649B" w14:textId="77777777" w:rsidTr="00757236">
        <w:trPr>
          <w:trHeight w:val="425"/>
          <w:jc w:val="center"/>
        </w:trPr>
        <w:tc>
          <w:tcPr>
            <w:tcW w:w="2516" w:type="dxa"/>
            <w:tcBorders>
              <w:top w:val="nil"/>
              <w:left w:val="nil"/>
              <w:bottom w:val="nil"/>
              <w:right w:val="nil"/>
            </w:tcBorders>
            <w:shd w:val="clear" w:color="auto" w:fill="auto"/>
            <w:vAlign w:val="bottom"/>
            <w:hideMark/>
          </w:tcPr>
          <w:p w14:paraId="579CC00B" w14:textId="77777777" w:rsidR="00B70687"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w:t>
            </w:r>
          </w:p>
          <w:p w14:paraId="01250C29" w14:textId="18BAF6DA"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Aged Care </w:t>
            </w:r>
          </w:p>
        </w:tc>
        <w:tc>
          <w:tcPr>
            <w:tcW w:w="436" w:type="dxa"/>
            <w:tcBorders>
              <w:top w:val="nil"/>
              <w:left w:val="nil"/>
              <w:bottom w:val="nil"/>
              <w:right w:val="nil"/>
            </w:tcBorders>
            <w:shd w:val="clear" w:color="auto" w:fill="auto"/>
            <w:noWrap/>
            <w:vAlign w:val="bottom"/>
            <w:hideMark/>
          </w:tcPr>
          <w:p w14:paraId="05502504"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6EA8ACB2"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auto" w:fill="auto"/>
            <w:noWrap/>
            <w:vAlign w:val="bottom"/>
            <w:hideMark/>
          </w:tcPr>
          <w:p w14:paraId="57F60E60"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15924E12" w14:textId="77777777" w:rsidR="00757236" w:rsidRPr="00757236" w:rsidRDefault="00757236" w:rsidP="00757236">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14:paraId="28C9D02C"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6143F456"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4AD1725E"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5B7D4E39"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36" w:type="dxa"/>
            <w:tcBorders>
              <w:top w:val="nil"/>
              <w:left w:val="nil"/>
              <w:bottom w:val="nil"/>
              <w:right w:val="nil"/>
            </w:tcBorders>
            <w:shd w:val="clear" w:color="auto" w:fill="auto"/>
            <w:noWrap/>
            <w:vAlign w:val="bottom"/>
            <w:hideMark/>
          </w:tcPr>
          <w:p w14:paraId="712EB83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285E428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432B8E4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2,059 </w:t>
            </w:r>
          </w:p>
        </w:tc>
        <w:tc>
          <w:tcPr>
            <w:tcW w:w="896" w:type="dxa"/>
            <w:tcBorders>
              <w:top w:val="nil"/>
              <w:left w:val="nil"/>
              <w:bottom w:val="nil"/>
              <w:right w:val="nil"/>
            </w:tcBorders>
            <w:shd w:val="clear" w:color="auto" w:fill="auto"/>
            <w:noWrap/>
            <w:vAlign w:val="bottom"/>
            <w:hideMark/>
          </w:tcPr>
          <w:p w14:paraId="78FD69E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5" w:type="dxa"/>
            <w:tcBorders>
              <w:top w:val="nil"/>
              <w:left w:val="nil"/>
              <w:bottom w:val="nil"/>
              <w:right w:val="nil"/>
            </w:tcBorders>
            <w:shd w:val="clear" w:color="auto" w:fill="auto"/>
            <w:noWrap/>
            <w:vAlign w:val="bottom"/>
            <w:hideMark/>
          </w:tcPr>
          <w:p w14:paraId="2CD5447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0CAFAEC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2893A4A1" w14:textId="77777777" w:rsidTr="00757236">
        <w:trPr>
          <w:trHeight w:val="397"/>
          <w:jc w:val="center"/>
        </w:trPr>
        <w:tc>
          <w:tcPr>
            <w:tcW w:w="2516" w:type="dxa"/>
            <w:tcBorders>
              <w:top w:val="nil"/>
              <w:left w:val="nil"/>
              <w:bottom w:val="nil"/>
              <w:right w:val="nil"/>
            </w:tcBorders>
            <w:shd w:val="clear" w:color="auto" w:fill="auto"/>
            <w:noWrap/>
            <w:vAlign w:val="bottom"/>
            <w:hideMark/>
          </w:tcPr>
          <w:p w14:paraId="601D6B12"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capital payments</w:t>
            </w:r>
          </w:p>
        </w:tc>
        <w:tc>
          <w:tcPr>
            <w:tcW w:w="436" w:type="dxa"/>
            <w:tcBorders>
              <w:top w:val="nil"/>
              <w:left w:val="nil"/>
              <w:bottom w:val="nil"/>
              <w:right w:val="nil"/>
            </w:tcBorders>
            <w:shd w:val="clear" w:color="auto" w:fill="auto"/>
            <w:noWrap/>
            <w:vAlign w:val="bottom"/>
            <w:hideMark/>
          </w:tcPr>
          <w:p w14:paraId="63A1731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43C94C9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1C8C13C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1,097 </w:t>
            </w:r>
          </w:p>
        </w:tc>
        <w:tc>
          <w:tcPr>
            <w:tcW w:w="896" w:type="dxa"/>
            <w:tcBorders>
              <w:top w:val="nil"/>
              <w:left w:val="nil"/>
              <w:bottom w:val="nil"/>
              <w:right w:val="nil"/>
            </w:tcBorders>
            <w:shd w:val="clear" w:color="auto" w:fill="auto"/>
            <w:noWrap/>
            <w:vAlign w:val="bottom"/>
            <w:hideMark/>
          </w:tcPr>
          <w:p w14:paraId="44DF6161" w14:textId="77777777" w:rsidR="00757236" w:rsidRPr="00757236" w:rsidRDefault="00757236" w:rsidP="00757236">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14:paraId="48A7A6E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62BA852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0D7D5258"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431F7E71"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36" w:type="dxa"/>
            <w:tcBorders>
              <w:top w:val="nil"/>
              <w:left w:val="nil"/>
              <w:bottom w:val="nil"/>
              <w:right w:val="nil"/>
            </w:tcBorders>
            <w:shd w:val="clear" w:color="auto" w:fill="auto"/>
            <w:noWrap/>
            <w:vAlign w:val="bottom"/>
            <w:hideMark/>
          </w:tcPr>
          <w:p w14:paraId="2A42999B" w14:textId="77777777" w:rsidR="00757236" w:rsidRPr="00757236" w:rsidRDefault="00757236" w:rsidP="00757236">
            <w:pPr>
              <w:spacing w:after="0"/>
              <w:rPr>
                <w:rFonts w:ascii="Arial" w:hAnsi="Arial" w:cs="Arial"/>
                <w:b/>
                <w:bCs/>
                <w:color w:val="auto"/>
                <w:sz w:val="16"/>
                <w:szCs w:val="16"/>
              </w:rPr>
            </w:pPr>
          </w:p>
        </w:tc>
        <w:tc>
          <w:tcPr>
            <w:tcW w:w="868" w:type="dxa"/>
            <w:tcBorders>
              <w:top w:val="single" w:sz="4" w:space="0" w:color="000000"/>
              <w:left w:val="nil"/>
              <w:bottom w:val="single" w:sz="4" w:space="0" w:color="000000"/>
              <w:right w:val="nil"/>
            </w:tcBorders>
            <w:shd w:val="clear" w:color="000000" w:fill="FFFFFF"/>
            <w:noWrap/>
            <w:vAlign w:val="bottom"/>
            <w:hideMark/>
          </w:tcPr>
          <w:p w14:paraId="580BA001"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83" w:type="dxa"/>
            <w:tcBorders>
              <w:top w:val="single" w:sz="4" w:space="0" w:color="000000"/>
              <w:left w:val="nil"/>
              <w:bottom w:val="single" w:sz="4" w:space="0" w:color="000000"/>
              <w:right w:val="nil"/>
            </w:tcBorders>
            <w:shd w:val="clear" w:color="000000" w:fill="D9D9D9"/>
            <w:noWrap/>
            <w:vAlign w:val="bottom"/>
            <w:hideMark/>
          </w:tcPr>
          <w:p w14:paraId="51063841"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3,156 </w:t>
            </w:r>
          </w:p>
        </w:tc>
        <w:tc>
          <w:tcPr>
            <w:tcW w:w="896" w:type="dxa"/>
            <w:tcBorders>
              <w:top w:val="single" w:sz="4" w:space="0" w:color="000000"/>
              <w:left w:val="nil"/>
              <w:bottom w:val="single" w:sz="4" w:space="0" w:color="000000"/>
              <w:right w:val="nil"/>
            </w:tcBorders>
            <w:shd w:val="clear" w:color="000000" w:fill="FFFFFF"/>
            <w:noWrap/>
            <w:vAlign w:val="bottom"/>
            <w:hideMark/>
          </w:tcPr>
          <w:p w14:paraId="76A8F30C"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85" w:type="dxa"/>
            <w:tcBorders>
              <w:top w:val="single" w:sz="4" w:space="0" w:color="000000"/>
              <w:left w:val="nil"/>
              <w:bottom w:val="single" w:sz="4" w:space="0" w:color="000000"/>
              <w:right w:val="nil"/>
            </w:tcBorders>
            <w:shd w:val="clear" w:color="000000" w:fill="FFFFFF"/>
            <w:noWrap/>
            <w:vAlign w:val="bottom"/>
            <w:hideMark/>
          </w:tcPr>
          <w:p w14:paraId="4A81009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96" w:type="dxa"/>
            <w:tcBorders>
              <w:top w:val="single" w:sz="4" w:space="0" w:color="000000"/>
              <w:left w:val="nil"/>
              <w:bottom w:val="single" w:sz="4" w:space="0" w:color="000000"/>
              <w:right w:val="nil"/>
            </w:tcBorders>
            <w:shd w:val="clear" w:color="000000" w:fill="FFFFFF"/>
            <w:noWrap/>
            <w:vAlign w:val="bottom"/>
            <w:hideMark/>
          </w:tcPr>
          <w:p w14:paraId="52010DDA"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r>
      <w:tr w:rsidR="00757236" w:rsidRPr="00757236" w14:paraId="1637FF50" w14:textId="77777777" w:rsidTr="00757236">
        <w:trPr>
          <w:trHeight w:val="283"/>
          <w:jc w:val="center"/>
        </w:trPr>
        <w:tc>
          <w:tcPr>
            <w:tcW w:w="7380" w:type="dxa"/>
            <w:gridSpan w:val="7"/>
            <w:tcBorders>
              <w:top w:val="nil"/>
              <w:left w:val="nil"/>
              <w:bottom w:val="nil"/>
              <w:right w:val="nil"/>
            </w:tcBorders>
            <w:shd w:val="clear" w:color="auto" w:fill="auto"/>
            <w:vAlign w:val="bottom"/>
            <w:hideMark/>
          </w:tcPr>
          <w:p w14:paraId="1BCCADE6"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 xml:space="preserve">Preventive Health Reform </w:t>
            </w:r>
            <w:r w:rsidRPr="00757236">
              <w:rPr>
                <w:rFonts w:ascii="Arial" w:hAnsi="Arial" w:cs="Arial"/>
                <w:b/>
                <w:bCs/>
                <w:color w:val="auto"/>
                <w:sz w:val="16"/>
                <w:szCs w:val="16"/>
                <w:vertAlign w:val="superscript"/>
              </w:rPr>
              <w:t>(b)</w:t>
            </w:r>
          </w:p>
        </w:tc>
      </w:tr>
      <w:tr w:rsidR="00757236" w:rsidRPr="00757236" w14:paraId="1043104E" w14:textId="77777777" w:rsidTr="00757236">
        <w:trPr>
          <w:trHeight w:val="425"/>
          <w:jc w:val="center"/>
        </w:trPr>
        <w:tc>
          <w:tcPr>
            <w:tcW w:w="2516" w:type="dxa"/>
            <w:tcBorders>
              <w:top w:val="nil"/>
              <w:left w:val="nil"/>
              <w:bottom w:val="nil"/>
              <w:right w:val="nil"/>
            </w:tcBorders>
            <w:shd w:val="clear" w:color="auto" w:fill="auto"/>
            <w:vAlign w:val="bottom"/>
            <w:hideMark/>
          </w:tcPr>
          <w:p w14:paraId="224B7E36" w14:textId="77777777" w:rsidR="00B70687"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w:t>
            </w:r>
          </w:p>
          <w:p w14:paraId="7D4A60B9" w14:textId="124954EB"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Aged Care </w:t>
            </w:r>
          </w:p>
        </w:tc>
        <w:tc>
          <w:tcPr>
            <w:tcW w:w="436" w:type="dxa"/>
            <w:tcBorders>
              <w:top w:val="nil"/>
              <w:left w:val="nil"/>
              <w:bottom w:val="nil"/>
              <w:right w:val="nil"/>
            </w:tcBorders>
            <w:shd w:val="clear" w:color="auto" w:fill="auto"/>
            <w:noWrap/>
            <w:vAlign w:val="bottom"/>
            <w:hideMark/>
          </w:tcPr>
          <w:p w14:paraId="296D900C"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6B3BD321"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auto" w:fill="auto"/>
            <w:noWrap/>
            <w:vAlign w:val="bottom"/>
            <w:hideMark/>
          </w:tcPr>
          <w:p w14:paraId="711F90B9"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62FFED3C" w14:textId="77777777" w:rsidR="00757236" w:rsidRPr="00757236" w:rsidRDefault="00757236" w:rsidP="00757236">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14:paraId="0F3D0385"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32BCCE4C"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405F378D"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77D539E1"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36" w:type="dxa"/>
            <w:tcBorders>
              <w:top w:val="nil"/>
              <w:left w:val="nil"/>
              <w:bottom w:val="nil"/>
              <w:right w:val="nil"/>
            </w:tcBorders>
            <w:shd w:val="clear" w:color="auto" w:fill="auto"/>
            <w:noWrap/>
            <w:tcMar>
              <w:left w:w="0" w:type="dxa"/>
            </w:tcMar>
            <w:vAlign w:val="bottom"/>
            <w:hideMark/>
          </w:tcPr>
          <w:p w14:paraId="4A1A59C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1.5</w:t>
            </w:r>
          </w:p>
        </w:tc>
        <w:tc>
          <w:tcPr>
            <w:tcW w:w="868" w:type="dxa"/>
            <w:tcBorders>
              <w:top w:val="nil"/>
              <w:left w:val="nil"/>
              <w:bottom w:val="nil"/>
              <w:right w:val="nil"/>
            </w:tcBorders>
            <w:shd w:val="clear" w:color="auto" w:fill="auto"/>
            <w:noWrap/>
            <w:vAlign w:val="bottom"/>
            <w:hideMark/>
          </w:tcPr>
          <w:p w14:paraId="6FF24C6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3D69FEF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19,408 </w:t>
            </w:r>
          </w:p>
        </w:tc>
        <w:tc>
          <w:tcPr>
            <w:tcW w:w="896" w:type="dxa"/>
            <w:tcBorders>
              <w:top w:val="nil"/>
              <w:left w:val="nil"/>
              <w:bottom w:val="nil"/>
              <w:right w:val="nil"/>
            </w:tcBorders>
            <w:shd w:val="clear" w:color="auto" w:fill="auto"/>
            <w:noWrap/>
            <w:vAlign w:val="bottom"/>
            <w:hideMark/>
          </w:tcPr>
          <w:p w14:paraId="2666DA7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10,178 </w:t>
            </w:r>
          </w:p>
        </w:tc>
        <w:tc>
          <w:tcPr>
            <w:tcW w:w="885" w:type="dxa"/>
            <w:tcBorders>
              <w:top w:val="nil"/>
              <w:left w:val="nil"/>
              <w:bottom w:val="nil"/>
              <w:right w:val="nil"/>
            </w:tcBorders>
            <w:shd w:val="clear" w:color="auto" w:fill="auto"/>
            <w:noWrap/>
            <w:vAlign w:val="bottom"/>
            <w:hideMark/>
          </w:tcPr>
          <w:p w14:paraId="52D6E7E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6,309 </w:t>
            </w:r>
          </w:p>
        </w:tc>
        <w:tc>
          <w:tcPr>
            <w:tcW w:w="896" w:type="dxa"/>
            <w:tcBorders>
              <w:top w:val="nil"/>
              <w:left w:val="nil"/>
              <w:bottom w:val="nil"/>
              <w:right w:val="nil"/>
            </w:tcBorders>
            <w:shd w:val="clear" w:color="auto" w:fill="auto"/>
            <w:noWrap/>
            <w:vAlign w:val="bottom"/>
            <w:hideMark/>
          </w:tcPr>
          <w:p w14:paraId="198C8F3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4,172 </w:t>
            </w:r>
          </w:p>
        </w:tc>
      </w:tr>
      <w:tr w:rsidR="00757236" w:rsidRPr="00757236" w14:paraId="1C97A7CD"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1FE2FEC1" w14:textId="77777777" w:rsidR="00757236" w:rsidRPr="00757236" w:rsidRDefault="00757236" w:rsidP="00B70687">
            <w:pPr>
              <w:spacing w:after="0"/>
              <w:ind w:leftChars="75" w:left="143"/>
              <w:jc w:val="right"/>
              <w:rPr>
                <w:rFonts w:ascii="Arial" w:hAnsi="Arial" w:cs="Arial"/>
                <w:color w:val="auto"/>
                <w:sz w:val="16"/>
                <w:szCs w:val="16"/>
              </w:rPr>
            </w:pPr>
          </w:p>
        </w:tc>
        <w:tc>
          <w:tcPr>
            <w:tcW w:w="436" w:type="dxa"/>
            <w:tcBorders>
              <w:top w:val="nil"/>
              <w:left w:val="nil"/>
              <w:bottom w:val="nil"/>
              <w:right w:val="nil"/>
            </w:tcBorders>
            <w:shd w:val="clear" w:color="auto" w:fill="auto"/>
            <w:noWrap/>
            <w:tcMar>
              <w:left w:w="0" w:type="dxa"/>
            </w:tcMar>
            <w:vAlign w:val="bottom"/>
            <w:hideMark/>
          </w:tcPr>
          <w:p w14:paraId="6254067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1.6</w:t>
            </w:r>
          </w:p>
        </w:tc>
        <w:tc>
          <w:tcPr>
            <w:tcW w:w="868" w:type="dxa"/>
            <w:tcBorders>
              <w:top w:val="nil"/>
              <w:left w:val="nil"/>
              <w:bottom w:val="nil"/>
              <w:right w:val="nil"/>
            </w:tcBorders>
            <w:shd w:val="clear" w:color="auto" w:fill="auto"/>
            <w:noWrap/>
            <w:vAlign w:val="bottom"/>
            <w:hideMark/>
          </w:tcPr>
          <w:p w14:paraId="4C898AC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539CE16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3,400 </w:t>
            </w:r>
          </w:p>
        </w:tc>
        <w:tc>
          <w:tcPr>
            <w:tcW w:w="896" w:type="dxa"/>
            <w:tcBorders>
              <w:top w:val="nil"/>
              <w:left w:val="nil"/>
              <w:bottom w:val="nil"/>
              <w:right w:val="nil"/>
            </w:tcBorders>
            <w:shd w:val="clear" w:color="auto" w:fill="auto"/>
            <w:noWrap/>
            <w:vAlign w:val="bottom"/>
            <w:hideMark/>
          </w:tcPr>
          <w:p w14:paraId="4481389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3,696 </w:t>
            </w:r>
          </w:p>
        </w:tc>
        <w:tc>
          <w:tcPr>
            <w:tcW w:w="885" w:type="dxa"/>
            <w:tcBorders>
              <w:top w:val="nil"/>
              <w:left w:val="nil"/>
              <w:bottom w:val="nil"/>
              <w:right w:val="nil"/>
            </w:tcBorders>
            <w:shd w:val="clear" w:color="auto" w:fill="auto"/>
            <w:noWrap/>
            <w:vAlign w:val="bottom"/>
            <w:hideMark/>
          </w:tcPr>
          <w:p w14:paraId="2C63D2F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3,323 </w:t>
            </w:r>
          </w:p>
        </w:tc>
        <w:tc>
          <w:tcPr>
            <w:tcW w:w="896" w:type="dxa"/>
            <w:tcBorders>
              <w:top w:val="nil"/>
              <w:left w:val="nil"/>
              <w:bottom w:val="nil"/>
              <w:right w:val="nil"/>
            </w:tcBorders>
            <w:shd w:val="clear" w:color="auto" w:fill="auto"/>
            <w:noWrap/>
            <w:vAlign w:val="bottom"/>
            <w:hideMark/>
          </w:tcPr>
          <w:p w14:paraId="0CA121B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017D7015" w14:textId="77777777" w:rsidTr="00757236">
        <w:trPr>
          <w:trHeight w:val="225"/>
          <w:jc w:val="center"/>
        </w:trPr>
        <w:tc>
          <w:tcPr>
            <w:tcW w:w="2516" w:type="dxa"/>
            <w:tcBorders>
              <w:top w:val="nil"/>
              <w:left w:val="nil"/>
              <w:bottom w:val="nil"/>
              <w:right w:val="nil"/>
            </w:tcBorders>
            <w:shd w:val="clear" w:color="auto" w:fill="auto"/>
            <w:vAlign w:val="bottom"/>
            <w:hideMark/>
          </w:tcPr>
          <w:p w14:paraId="010D250A"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36" w:type="dxa"/>
            <w:tcBorders>
              <w:top w:val="nil"/>
              <w:left w:val="nil"/>
              <w:bottom w:val="nil"/>
              <w:right w:val="nil"/>
            </w:tcBorders>
            <w:shd w:val="clear" w:color="auto" w:fill="auto"/>
            <w:noWrap/>
            <w:vAlign w:val="bottom"/>
            <w:hideMark/>
          </w:tcPr>
          <w:p w14:paraId="7052A1A2"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2D0FBC1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4FB0781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243 </w:t>
            </w:r>
          </w:p>
        </w:tc>
        <w:tc>
          <w:tcPr>
            <w:tcW w:w="896" w:type="dxa"/>
            <w:tcBorders>
              <w:top w:val="nil"/>
              <w:left w:val="nil"/>
              <w:bottom w:val="nil"/>
              <w:right w:val="nil"/>
            </w:tcBorders>
            <w:shd w:val="clear" w:color="auto" w:fill="auto"/>
            <w:noWrap/>
            <w:vAlign w:val="bottom"/>
            <w:hideMark/>
          </w:tcPr>
          <w:p w14:paraId="3FFB856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5 </w:t>
            </w:r>
          </w:p>
        </w:tc>
        <w:tc>
          <w:tcPr>
            <w:tcW w:w="885" w:type="dxa"/>
            <w:tcBorders>
              <w:top w:val="nil"/>
              <w:left w:val="nil"/>
              <w:bottom w:val="nil"/>
              <w:right w:val="nil"/>
            </w:tcBorders>
            <w:shd w:val="clear" w:color="auto" w:fill="auto"/>
            <w:noWrap/>
            <w:vAlign w:val="bottom"/>
            <w:hideMark/>
          </w:tcPr>
          <w:p w14:paraId="2F39E76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5B70627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2B964EEB"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44417FBD"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36" w:type="dxa"/>
            <w:tcBorders>
              <w:top w:val="nil"/>
              <w:left w:val="nil"/>
              <w:bottom w:val="nil"/>
              <w:right w:val="nil"/>
            </w:tcBorders>
            <w:shd w:val="clear" w:color="auto" w:fill="auto"/>
            <w:noWrap/>
            <w:vAlign w:val="bottom"/>
            <w:hideMark/>
          </w:tcPr>
          <w:p w14:paraId="1FCE52A6" w14:textId="77777777" w:rsidR="00757236" w:rsidRPr="00757236" w:rsidRDefault="00757236" w:rsidP="00757236">
            <w:pPr>
              <w:spacing w:after="0"/>
              <w:rPr>
                <w:rFonts w:ascii="Arial" w:hAnsi="Arial" w:cs="Arial"/>
                <w:b/>
                <w:bCs/>
                <w:color w:val="auto"/>
                <w:sz w:val="16"/>
                <w:szCs w:val="16"/>
              </w:rPr>
            </w:pPr>
          </w:p>
        </w:tc>
        <w:tc>
          <w:tcPr>
            <w:tcW w:w="868" w:type="dxa"/>
            <w:tcBorders>
              <w:top w:val="single" w:sz="4" w:space="0" w:color="000000"/>
              <w:left w:val="nil"/>
              <w:bottom w:val="single" w:sz="4" w:space="0" w:color="000000"/>
              <w:right w:val="nil"/>
            </w:tcBorders>
            <w:shd w:val="clear" w:color="auto" w:fill="auto"/>
            <w:noWrap/>
            <w:vAlign w:val="bottom"/>
            <w:hideMark/>
          </w:tcPr>
          <w:p w14:paraId="4945793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83" w:type="dxa"/>
            <w:tcBorders>
              <w:top w:val="single" w:sz="4" w:space="0" w:color="000000"/>
              <w:left w:val="nil"/>
              <w:bottom w:val="single" w:sz="4" w:space="0" w:color="000000"/>
              <w:right w:val="nil"/>
            </w:tcBorders>
            <w:shd w:val="clear" w:color="000000" w:fill="D9D9D9"/>
            <w:noWrap/>
            <w:vAlign w:val="bottom"/>
            <w:hideMark/>
          </w:tcPr>
          <w:p w14:paraId="0947A400"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23,051 </w:t>
            </w:r>
          </w:p>
        </w:tc>
        <w:tc>
          <w:tcPr>
            <w:tcW w:w="896" w:type="dxa"/>
            <w:tcBorders>
              <w:top w:val="single" w:sz="4" w:space="0" w:color="000000"/>
              <w:left w:val="nil"/>
              <w:bottom w:val="single" w:sz="4" w:space="0" w:color="000000"/>
              <w:right w:val="nil"/>
            </w:tcBorders>
            <w:shd w:val="clear" w:color="auto" w:fill="auto"/>
            <w:noWrap/>
            <w:vAlign w:val="bottom"/>
            <w:hideMark/>
          </w:tcPr>
          <w:p w14:paraId="1C6B3AE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13,879 </w:t>
            </w:r>
          </w:p>
        </w:tc>
        <w:tc>
          <w:tcPr>
            <w:tcW w:w="885" w:type="dxa"/>
            <w:tcBorders>
              <w:top w:val="single" w:sz="4" w:space="0" w:color="000000"/>
              <w:left w:val="nil"/>
              <w:bottom w:val="single" w:sz="4" w:space="0" w:color="000000"/>
              <w:right w:val="nil"/>
            </w:tcBorders>
            <w:shd w:val="clear" w:color="auto" w:fill="auto"/>
            <w:noWrap/>
            <w:vAlign w:val="bottom"/>
            <w:hideMark/>
          </w:tcPr>
          <w:p w14:paraId="58BEFAB8"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9,632 </w:t>
            </w:r>
          </w:p>
        </w:tc>
        <w:tc>
          <w:tcPr>
            <w:tcW w:w="896" w:type="dxa"/>
            <w:tcBorders>
              <w:top w:val="single" w:sz="4" w:space="0" w:color="000000"/>
              <w:left w:val="nil"/>
              <w:bottom w:val="single" w:sz="4" w:space="0" w:color="000000"/>
              <w:right w:val="nil"/>
            </w:tcBorders>
            <w:shd w:val="clear" w:color="auto" w:fill="auto"/>
            <w:noWrap/>
            <w:vAlign w:val="bottom"/>
            <w:hideMark/>
          </w:tcPr>
          <w:p w14:paraId="31A54008"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4,172 </w:t>
            </w:r>
          </w:p>
        </w:tc>
      </w:tr>
      <w:tr w:rsidR="00757236" w:rsidRPr="00757236" w14:paraId="00FAD0AC" w14:textId="77777777" w:rsidTr="00757236">
        <w:trPr>
          <w:trHeight w:val="300"/>
          <w:jc w:val="center"/>
        </w:trPr>
        <w:tc>
          <w:tcPr>
            <w:tcW w:w="7380" w:type="dxa"/>
            <w:gridSpan w:val="7"/>
            <w:tcBorders>
              <w:top w:val="nil"/>
              <w:left w:val="nil"/>
              <w:bottom w:val="nil"/>
              <w:right w:val="nil"/>
            </w:tcBorders>
            <w:shd w:val="clear" w:color="auto" w:fill="auto"/>
            <w:vAlign w:val="bottom"/>
            <w:hideMark/>
          </w:tcPr>
          <w:p w14:paraId="405E694F"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 xml:space="preserve">Reducing Harm Caused by Alcohol and Other Drugs in Australia </w:t>
            </w:r>
            <w:r w:rsidRPr="00757236">
              <w:rPr>
                <w:rFonts w:ascii="Arial" w:hAnsi="Arial" w:cs="Arial"/>
                <w:b/>
                <w:bCs/>
                <w:color w:val="auto"/>
                <w:sz w:val="16"/>
                <w:szCs w:val="16"/>
                <w:vertAlign w:val="superscript"/>
              </w:rPr>
              <w:t>(b)</w:t>
            </w:r>
          </w:p>
        </w:tc>
      </w:tr>
      <w:tr w:rsidR="00757236" w:rsidRPr="00757236" w14:paraId="66955195" w14:textId="77777777" w:rsidTr="00757236">
        <w:trPr>
          <w:trHeight w:val="425"/>
          <w:jc w:val="center"/>
        </w:trPr>
        <w:tc>
          <w:tcPr>
            <w:tcW w:w="2516" w:type="dxa"/>
            <w:tcBorders>
              <w:top w:val="nil"/>
              <w:left w:val="nil"/>
              <w:bottom w:val="nil"/>
              <w:right w:val="nil"/>
            </w:tcBorders>
            <w:shd w:val="clear" w:color="auto" w:fill="auto"/>
            <w:vAlign w:val="bottom"/>
            <w:hideMark/>
          </w:tcPr>
          <w:p w14:paraId="04274AAB" w14:textId="77777777" w:rsidR="00B70687"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w:t>
            </w:r>
          </w:p>
          <w:p w14:paraId="31240936" w14:textId="5333C55C"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Aged Care </w:t>
            </w:r>
          </w:p>
        </w:tc>
        <w:tc>
          <w:tcPr>
            <w:tcW w:w="436" w:type="dxa"/>
            <w:tcBorders>
              <w:top w:val="nil"/>
              <w:left w:val="nil"/>
              <w:bottom w:val="nil"/>
              <w:right w:val="nil"/>
            </w:tcBorders>
            <w:shd w:val="clear" w:color="auto" w:fill="auto"/>
            <w:noWrap/>
            <w:vAlign w:val="bottom"/>
            <w:hideMark/>
          </w:tcPr>
          <w:p w14:paraId="4E823555"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7444E59D"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auto" w:fill="auto"/>
            <w:noWrap/>
            <w:vAlign w:val="bottom"/>
            <w:hideMark/>
          </w:tcPr>
          <w:p w14:paraId="1229B791"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6573EF25" w14:textId="77777777" w:rsidR="00757236" w:rsidRPr="00757236" w:rsidRDefault="00757236" w:rsidP="00757236">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14:paraId="2BAA447F"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3E127EC0"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3158241D"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0967A610"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36" w:type="dxa"/>
            <w:tcBorders>
              <w:top w:val="nil"/>
              <w:left w:val="nil"/>
              <w:bottom w:val="nil"/>
              <w:right w:val="nil"/>
            </w:tcBorders>
            <w:shd w:val="clear" w:color="auto" w:fill="auto"/>
            <w:noWrap/>
            <w:tcMar>
              <w:left w:w="0" w:type="dxa"/>
            </w:tcMar>
            <w:vAlign w:val="bottom"/>
            <w:hideMark/>
          </w:tcPr>
          <w:p w14:paraId="685A5AA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1.5</w:t>
            </w:r>
          </w:p>
        </w:tc>
        <w:tc>
          <w:tcPr>
            <w:tcW w:w="868" w:type="dxa"/>
            <w:tcBorders>
              <w:top w:val="nil"/>
              <w:left w:val="nil"/>
              <w:bottom w:val="nil"/>
              <w:right w:val="nil"/>
            </w:tcBorders>
            <w:shd w:val="clear" w:color="auto" w:fill="auto"/>
            <w:noWrap/>
            <w:vAlign w:val="bottom"/>
            <w:hideMark/>
          </w:tcPr>
          <w:p w14:paraId="6D53896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38CB607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13,325 </w:t>
            </w:r>
          </w:p>
        </w:tc>
        <w:tc>
          <w:tcPr>
            <w:tcW w:w="896" w:type="dxa"/>
            <w:tcBorders>
              <w:top w:val="nil"/>
              <w:left w:val="nil"/>
              <w:bottom w:val="nil"/>
              <w:right w:val="nil"/>
            </w:tcBorders>
            <w:shd w:val="clear" w:color="auto" w:fill="auto"/>
            <w:noWrap/>
            <w:vAlign w:val="bottom"/>
            <w:hideMark/>
          </w:tcPr>
          <w:p w14:paraId="6D401DC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13,606 </w:t>
            </w:r>
          </w:p>
        </w:tc>
        <w:tc>
          <w:tcPr>
            <w:tcW w:w="885" w:type="dxa"/>
            <w:tcBorders>
              <w:top w:val="nil"/>
              <w:left w:val="nil"/>
              <w:bottom w:val="nil"/>
              <w:right w:val="nil"/>
            </w:tcBorders>
            <w:shd w:val="clear" w:color="auto" w:fill="auto"/>
            <w:noWrap/>
            <w:vAlign w:val="bottom"/>
            <w:hideMark/>
          </w:tcPr>
          <w:p w14:paraId="4FC33AC0"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0FB1C17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7D160831" w14:textId="77777777" w:rsidTr="00757236">
        <w:trPr>
          <w:trHeight w:val="225"/>
          <w:jc w:val="center"/>
        </w:trPr>
        <w:tc>
          <w:tcPr>
            <w:tcW w:w="2516" w:type="dxa"/>
            <w:tcBorders>
              <w:top w:val="nil"/>
              <w:left w:val="nil"/>
              <w:bottom w:val="nil"/>
              <w:right w:val="nil"/>
            </w:tcBorders>
            <w:shd w:val="clear" w:color="auto" w:fill="auto"/>
            <w:vAlign w:val="bottom"/>
            <w:hideMark/>
          </w:tcPr>
          <w:p w14:paraId="1D6E2841"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36" w:type="dxa"/>
            <w:tcBorders>
              <w:top w:val="nil"/>
              <w:left w:val="nil"/>
              <w:bottom w:val="nil"/>
              <w:right w:val="nil"/>
            </w:tcBorders>
            <w:shd w:val="clear" w:color="auto" w:fill="auto"/>
            <w:noWrap/>
            <w:vAlign w:val="bottom"/>
            <w:hideMark/>
          </w:tcPr>
          <w:p w14:paraId="260B168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126C663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6399A9F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6,096 </w:t>
            </w:r>
          </w:p>
        </w:tc>
        <w:tc>
          <w:tcPr>
            <w:tcW w:w="896" w:type="dxa"/>
            <w:tcBorders>
              <w:top w:val="nil"/>
              <w:left w:val="nil"/>
              <w:bottom w:val="nil"/>
              <w:right w:val="nil"/>
            </w:tcBorders>
            <w:shd w:val="clear" w:color="auto" w:fill="auto"/>
            <w:noWrap/>
            <w:vAlign w:val="bottom"/>
            <w:hideMark/>
          </w:tcPr>
          <w:p w14:paraId="191A30B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93 </w:t>
            </w:r>
          </w:p>
        </w:tc>
        <w:tc>
          <w:tcPr>
            <w:tcW w:w="885" w:type="dxa"/>
            <w:tcBorders>
              <w:top w:val="nil"/>
              <w:left w:val="nil"/>
              <w:bottom w:val="nil"/>
              <w:right w:val="nil"/>
            </w:tcBorders>
            <w:shd w:val="clear" w:color="auto" w:fill="auto"/>
            <w:noWrap/>
            <w:vAlign w:val="bottom"/>
            <w:hideMark/>
          </w:tcPr>
          <w:p w14:paraId="1CCC8B7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6E10298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1FC928F2"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51452C39"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36" w:type="dxa"/>
            <w:tcBorders>
              <w:top w:val="nil"/>
              <w:left w:val="nil"/>
              <w:bottom w:val="nil"/>
              <w:right w:val="nil"/>
            </w:tcBorders>
            <w:shd w:val="clear" w:color="auto" w:fill="auto"/>
            <w:noWrap/>
            <w:vAlign w:val="bottom"/>
            <w:hideMark/>
          </w:tcPr>
          <w:p w14:paraId="65BE5A40" w14:textId="77777777" w:rsidR="00757236" w:rsidRPr="00757236" w:rsidRDefault="00757236" w:rsidP="00757236">
            <w:pPr>
              <w:spacing w:after="0"/>
              <w:rPr>
                <w:rFonts w:ascii="Arial" w:hAnsi="Arial" w:cs="Arial"/>
                <w:b/>
                <w:bCs/>
                <w:color w:val="auto"/>
                <w:sz w:val="16"/>
                <w:szCs w:val="16"/>
              </w:rPr>
            </w:pPr>
          </w:p>
        </w:tc>
        <w:tc>
          <w:tcPr>
            <w:tcW w:w="868" w:type="dxa"/>
            <w:tcBorders>
              <w:top w:val="single" w:sz="4" w:space="0" w:color="000000"/>
              <w:left w:val="nil"/>
              <w:bottom w:val="single" w:sz="4" w:space="0" w:color="000000"/>
              <w:right w:val="nil"/>
            </w:tcBorders>
            <w:shd w:val="clear" w:color="auto" w:fill="auto"/>
            <w:noWrap/>
            <w:vAlign w:val="bottom"/>
            <w:hideMark/>
          </w:tcPr>
          <w:p w14:paraId="52993765"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83" w:type="dxa"/>
            <w:tcBorders>
              <w:top w:val="single" w:sz="4" w:space="0" w:color="000000"/>
              <w:left w:val="nil"/>
              <w:bottom w:val="single" w:sz="4" w:space="0" w:color="000000"/>
              <w:right w:val="nil"/>
            </w:tcBorders>
            <w:shd w:val="clear" w:color="000000" w:fill="D9D9D9"/>
            <w:noWrap/>
            <w:vAlign w:val="bottom"/>
            <w:hideMark/>
          </w:tcPr>
          <w:p w14:paraId="5AEEF7F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19,421 </w:t>
            </w:r>
          </w:p>
        </w:tc>
        <w:tc>
          <w:tcPr>
            <w:tcW w:w="896" w:type="dxa"/>
            <w:tcBorders>
              <w:top w:val="single" w:sz="4" w:space="0" w:color="000000"/>
              <w:left w:val="nil"/>
              <w:bottom w:val="single" w:sz="4" w:space="0" w:color="000000"/>
              <w:right w:val="nil"/>
            </w:tcBorders>
            <w:shd w:val="clear" w:color="auto" w:fill="auto"/>
            <w:noWrap/>
            <w:vAlign w:val="bottom"/>
            <w:hideMark/>
          </w:tcPr>
          <w:p w14:paraId="1CAC2D4E"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13,699 </w:t>
            </w:r>
          </w:p>
        </w:tc>
        <w:tc>
          <w:tcPr>
            <w:tcW w:w="885" w:type="dxa"/>
            <w:tcBorders>
              <w:top w:val="single" w:sz="4" w:space="0" w:color="000000"/>
              <w:left w:val="nil"/>
              <w:bottom w:val="single" w:sz="4" w:space="0" w:color="000000"/>
              <w:right w:val="nil"/>
            </w:tcBorders>
            <w:shd w:val="clear" w:color="auto" w:fill="auto"/>
            <w:noWrap/>
            <w:vAlign w:val="bottom"/>
            <w:hideMark/>
          </w:tcPr>
          <w:p w14:paraId="1452CA01"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c>
          <w:tcPr>
            <w:tcW w:w="896" w:type="dxa"/>
            <w:tcBorders>
              <w:top w:val="single" w:sz="4" w:space="0" w:color="000000"/>
              <w:left w:val="nil"/>
              <w:bottom w:val="single" w:sz="4" w:space="0" w:color="000000"/>
              <w:right w:val="nil"/>
            </w:tcBorders>
            <w:shd w:val="clear" w:color="auto" w:fill="auto"/>
            <w:noWrap/>
            <w:vAlign w:val="bottom"/>
            <w:hideMark/>
          </w:tcPr>
          <w:p w14:paraId="471C3279"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 </w:t>
            </w:r>
          </w:p>
        </w:tc>
      </w:tr>
      <w:tr w:rsidR="00757236" w:rsidRPr="00757236" w14:paraId="126C3575" w14:textId="77777777" w:rsidTr="00B70687">
        <w:trPr>
          <w:trHeight w:val="283"/>
          <w:jc w:val="center"/>
        </w:trPr>
        <w:tc>
          <w:tcPr>
            <w:tcW w:w="7380" w:type="dxa"/>
            <w:gridSpan w:val="7"/>
            <w:tcBorders>
              <w:top w:val="nil"/>
              <w:left w:val="nil"/>
              <w:bottom w:val="nil"/>
              <w:right w:val="nil"/>
            </w:tcBorders>
            <w:shd w:val="clear" w:color="auto" w:fill="auto"/>
            <w:vAlign w:val="bottom"/>
            <w:hideMark/>
          </w:tcPr>
          <w:p w14:paraId="03348F5B"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 xml:space="preserve">Reducing Patient Costs and Improving Services through Community Pharmacies </w:t>
            </w:r>
            <w:r w:rsidRPr="00757236">
              <w:rPr>
                <w:rFonts w:ascii="Arial" w:hAnsi="Arial" w:cs="Arial"/>
                <w:b/>
                <w:bCs/>
                <w:color w:val="auto"/>
                <w:sz w:val="16"/>
                <w:szCs w:val="16"/>
                <w:vertAlign w:val="superscript"/>
              </w:rPr>
              <w:t>(c)</w:t>
            </w:r>
          </w:p>
        </w:tc>
      </w:tr>
      <w:tr w:rsidR="00757236" w:rsidRPr="00757236" w14:paraId="22737943" w14:textId="77777777" w:rsidTr="00B70687">
        <w:trPr>
          <w:trHeight w:val="425"/>
          <w:jc w:val="center"/>
        </w:trPr>
        <w:tc>
          <w:tcPr>
            <w:tcW w:w="2516" w:type="dxa"/>
            <w:tcBorders>
              <w:top w:val="nil"/>
              <w:left w:val="nil"/>
              <w:bottom w:val="nil"/>
              <w:right w:val="nil"/>
            </w:tcBorders>
            <w:shd w:val="clear" w:color="auto" w:fill="auto"/>
            <w:vAlign w:val="bottom"/>
            <w:hideMark/>
          </w:tcPr>
          <w:p w14:paraId="2DD1C9A7" w14:textId="77777777" w:rsidR="00B70687"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Department of Health and </w:t>
            </w:r>
          </w:p>
          <w:p w14:paraId="5C4B811A" w14:textId="748F0578"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 xml:space="preserve">Aged Care </w:t>
            </w:r>
          </w:p>
        </w:tc>
        <w:tc>
          <w:tcPr>
            <w:tcW w:w="436" w:type="dxa"/>
            <w:tcBorders>
              <w:top w:val="nil"/>
              <w:left w:val="nil"/>
              <w:bottom w:val="nil"/>
              <w:right w:val="nil"/>
            </w:tcBorders>
            <w:shd w:val="clear" w:color="auto" w:fill="auto"/>
            <w:noWrap/>
            <w:vAlign w:val="bottom"/>
            <w:hideMark/>
          </w:tcPr>
          <w:p w14:paraId="57A4AABF"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6337353B"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auto" w:fill="auto"/>
            <w:noWrap/>
            <w:vAlign w:val="bottom"/>
            <w:hideMark/>
          </w:tcPr>
          <w:p w14:paraId="5801FC16"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5F30C829" w14:textId="77777777" w:rsidR="00757236" w:rsidRPr="00757236" w:rsidRDefault="00757236" w:rsidP="00757236">
            <w:pPr>
              <w:spacing w:after="0"/>
              <w:jc w:val="right"/>
              <w:rPr>
                <w:rFonts w:ascii="Times New Roman" w:hAnsi="Times New Roman"/>
                <w:color w:val="auto"/>
                <w:sz w:val="20"/>
                <w:szCs w:val="20"/>
              </w:rPr>
            </w:pPr>
          </w:p>
        </w:tc>
        <w:tc>
          <w:tcPr>
            <w:tcW w:w="885" w:type="dxa"/>
            <w:tcBorders>
              <w:top w:val="nil"/>
              <w:left w:val="nil"/>
              <w:bottom w:val="nil"/>
              <w:right w:val="nil"/>
            </w:tcBorders>
            <w:shd w:val="clear" w:color="auto" w:fill="auto"/>
            <w:noWrap/>
            <w:vAlign w:val="bottom"/>
            <w:hideMark/>
          </w:tcPr>
          <w:p w14:paraId="6D7BA382"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3B3CB188"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0D4864B0"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42FFC46D"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36" w:type="dxa"/>
            <w:tcBorders>
              <w:top w:val="nil"/>
              <w:left w:val="nil"/>
              <w:bottom w:val="nil"/>
              <w:right w:val="nil"/>
            </w:tcBorders>
            <w:shd w:val="clear" w:color="auto" w:fill="auto"/>
            <w:noWrap/>
            <w:tcMar>
              <w:left w:w="0" w:type="dxa"/>
            </w:tcMar>
            <w:vAlign w:val="bottom"/>
            <w:hideMark/>
          </w:tcPr>
          <w:p w14:paraId="691F4F3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2.3</w:t>
            </w:r>
          </w:p>
        </w:tc>
        <w:tc>
          <w:tcPr>
            <w:tcW w:w="868" w:type="dxa"/>
            <w:tcBorders>
              <w:top w:val="nil"/>
              <w:left w:val="nil"/>
              <w:bottom w:val="nil"/>
              <w:right w:val="nil"/>
            </w:tcBorders>
            <w:shd w:val="clear" w:color="auto" w:fill="auto"/>
            <w:noWrap/>
            <w:vAlign w:val="bottom"/>
            <w:hideMark/>
          </w:tcPr>
          <w:p w14:paraId="712E744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1E2FA15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197,653 </w:t>
            </w:r>
          </w:p>
        </w:tc>
        <w:tc>
          <w:tcPr>
            <w:tcW w:w="896" w:type="dxa"/>
            <w:tcBorders>
              <w:top w:val="nil"/>
              <w:left w:val="nil"/>
              <w:bottom w:val="nil"/>
              <w:right w:val="nil"/>
            </w:tcBorders>
            <w:shd w:val="clear" w:color="auto" w:fill="auto"/>
            <w:noWrap/>
            <w:tcMar>
              <w:left w:w="0" w:type="dxa"/>
            </w:tcMar>
            <w:vAlign w:val="bottom"/>
            <w:hideMark/>
          </w:tcPr>
          <w:p w14:paraId="244D161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(135,157)</w:t>
            </w:r>
          </w:p>
        </w:tc>
        <w:tc>
          <w:tcPr>
            <w:tcW w:w="885" w:type="dxa"/>
            <w:tcBorders>
              <w:top w:val="nil"/>
              <w:left w:val="nil"/>
              <w:bottom w:val="nil"/>
              <w:right w:val="nil"/>
            </w:tcBorders>
            <w:shd w:val="clear" w:color="auto" w:fill="auto"/>
            <w:noWrap/>
            <w:vAlign w:val="bottom"/>
            <w:hideMark/>
          </w:tcPr>
          <w:p w14:paraId="3C56476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(51,307)</w:t>
            </w:r>
          </w:p>
        </w:tc>
        <w:tc>
          <w:tcPr>
            <w:tcW w:w="896" w:type="dxa"/>
            <w:tcBorders>
              <w:top w:val="nil"/>
              <w:left w:val="nil"/>
              <w:bottom w:val="nil"/>
              <w:right w:val="nil"/>
            </w:tcBorders>
            <w:shd w:val="clear" w:color="auto" w:fill="auto"/>
            <w:noWrap/>
            <w:vAlign w:val="bottom"/>
            <w:hideMark/>
          </w:tcPr>
          <w:p w14:paraId="54FD1CD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(82,910)</w:t>
            </w:r>
          </w:p>
        </w:tc>
      </w:tr>
      <w:tr w:rsidR="00757236" w:rsidRPr="00757236" w14:paraId="4781BED7" w14:textId="77777777" w:rsidTr="00757236">
        <w:trPr>
          <w:trHeight w:val="225"/>
          <w:jc w:val="center"/>
        </w:trPr>
        <w:tc>
          <w:tcPr>
            <w:tcW w:w="2516" w:type="dxa"/>
            <w:tcBorders>
              <w:top w:val="nil"/>
              <w:left w:val="nil"/>
              <w:bottom w:val="nil"/>
              <w:right w:val="nil"/>
            </w:tcBorders>
            <w:shd w:val="clear" w:color="auto" w:fill="auto"/>
            <w:vAlign w:val="bottom"/>
            <w:hideMark/>
          </w:tcPr>
          <w:p w14:paraId="2D4B5BBA"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36" w:type="dxa"/>
            <w:tcBorders>
              <w:top w:val="nil"/>
              <w:left w:val="nil"/>
              <w:bottom w:val="nil"/>
              <w:right w:val="nil"/>
            </w:tcBorders>
            <w:shd w:val="clear" w:color="auto" w:fill="auto"/>
            <w:noWrap/>
            <w:vAlign w:val="bottom"/>
            <w:hideMark/>
          </w:tcPr>
          <w:p w14:paraId="3F0AB35B"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188F7A29"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534E310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1,356 </w:t>
            </w:r>
          </w:p>
        </w:tc>
        <w:tc>
          <w:tcPr>
            <w:tcW w:w="896" w:type="dxa"/>
            <w:tcBorders>
              <w:top w:val="nil"/>
              <w:left w:val="nil"/>
              <w:bottom w:val="nil"/>
              <w:right w:val="nil"/>
            </w:tcBorders>
            <w:shd w:val="clear" w:color="auto" w:fill="auto"/>
            <w:noWrap/>
            <w:vAlign w:val="bottom"/>
            <w:hideMark/>
          </w:tcPr>
          <w:p w14:paraId="79BC24A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902 </w:t>
            </w:r>
          </w:p>
        </w:tc>
        <w:tc>
          <w:tcPr>
            <w:tcW w:w="885" w:type="dxa"/>
            <w:tcBorders>
              <w:top w:val="nil"/>
              <w:left w:val="nil"/>
              <w:bottom w:val="nil"/>
              <w:right w:val="nil"/>
            </w:tcBorders>
            <w:shd w:val="clear" w:color="auto" w:fill="auto"/>
            <w:noWrap/>
            <w:vAlign w:val="bottom"/>
            <w:hideMark/>
          </w:tcPr>
          <w:p w14:paraId="41D7C4BC"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96" w:type="dxa"/>
            <w:tcBorders>
              <w:top w:val="nil"/>
              <w:left w:val="nil"/>
              <w:bottom w:val="nil"/>
              <w:right w:val="nil"/>
            </w:tcBorders>
            <w:shd w:val="clear" w:color="auto" w:fill="auto"/>
            <w:noWrap/>
            <w:vAlign w:val="bottom"/>
            <w:hideMark/>
          </w:tcPr>
          <w:p w14:paraId="0DA329A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r>
      <w:tr w:rsidR="00757236" w:rsidRPr="00757236" w14:paraId="5533C72D" w14:textId="77777777" w:rsidTr="00757236">
        <w:trPr>
          <w:trHeight w:val="225"/>
          <w:jc w:val="center"/>
        </w:trPr>
        <w:tc>
          <w:tcPr>
            <w:tcW w:w="2516" w:type="dxa"/>
            <w:tcBorders>
              <w:top w:val="nil"/>
              <w:left w:val="nil"/>
              <w:bottom w:val="nil"/>
              <w:right w:val="nil"/>
            </w:tcBorders>
            <w:shd w:val="clear" w:color="auto" w:fill="auto"/>
            <w:vAlign w:val="bottom"/>
            <w:hideMark/>
          </w:tcPr>
          <w:p w14:paraId="57830968" w14:textId="77777777" w:rsidR="00757236" w:rsidRPr="00757236" w:rsidRDefault="00757236" w:rsidP="00757236">
            <w:pPr>
              <w:spacing w:after="0"/>
              <w:jc w:val="right"/>
              <w:rPr>
                <w:rFonts w:ascii="Arial" w:hAnsi="Arial" w:cs="Arial"/>
                <w:color w:val="auto"/>
                <w:sz w:val="16"/>
                <w:szCs w:val="16"/>
              </w:rPr>
            </w:pPr>
          </w:p>
        </w:tc>
        <w:tc>
          <w:tcPr>
            <w:tcW w:w="436" w:type="dxa"/>
            <w:tcBorders>
              <w:top w:val="nil"/>
              <w:left w:val="nil"/>
              <w:bottom w:val="nil"/>
              <w:right w:val="nil"/>
            </w:tcBorders>
            <w:shd w:val="clear" w:color="auto" w:fill="auto"/>
            <w:noWrap/>
            <w:vAlign w:val="bottom"/>
            <w:hideMark/>
          </w:tcPr>
          <w:p w14:paraId="590CC9AD"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w:t>
            </w:r>
          </w:p>
        </w:tc>
        <w:tc>
          <w:tcPr>
            <w:tcW w:w="868" w:type="dxa"/>
            <w:tcBorders>
              <w:top w:val="nil"/>
              <w:left w:val="nil"/>
              <w:bottom w:val="nil"/>
              <w:right w:val="nil"/>
            </w:tcBorders>
            <w:shd w:val="clear" w:color="auto" w:fill="auto"/>
            <w:noWrap/>
            <w:vAlign w:val="bottom"/>
            <w:hideMark/>
          </w:tcPr>
          <w:p w14:paraId="5AA1C51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67 </w:t>
            </w:r>
          </w:p>
        </w:tc>
        <w:tc>
          <w:tcPr>
            <w:tcW w:w="883" w:type="dxa"/>
            <w:tcBorders>
              <w:top w:val="nil"/>
              <w:left w:val="nil"/>
              <w:bottom w:val="nil"/>
              <w:right w:val="nil"/>
            </w:tcBorders>
            <w:shd w:val="clear" w:color="000000" w:fill="D9D9D9"/>
            <w:noWrap/>
            <w:vAlign w:val="bottom"/>
            <w:hideMark/>
          </w:tcPr>
          <w:p w14:paraId="0B12FBF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2,953 </w:t>
            </w:r>
          </w:p>
        </w:tc>
        <w:tc>
          <w:tcPr>
            <w:tcW w:w="896" w:type="dxa"/>
            <w:tcBorders>
              <w:top w:val="nil"/>
              <w:left w:val="nil"/>
              <w:bottom w:val="nil"/>
              <w:right w:val="nil"/>
            </w:tcBorders>
            <w:shd w:val="clear" w:color="auto" w:fill="auto"/>
            <w:noWrap/>
            <w:vAlign w:val="bottom"/>
            <w:hideMark/>
          </w:tcPr>
          <w:p w14:paraId="725A03A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2,723 </w:t>
            </w:r>
          </w:p>
        </w:tc>
        <w:tc>
          <w:tcPr>
            <w:tcW w:w="885" w:type="dxa"/>
            <w:tcBorders>
              <w:top w:val="nil"/>
              <w:left w:val="nil"/>
              <w:bottom w:val="nil"/>
              <w:right w:val="nil"/>
            </w:tcBorders>
            <w:shd w:val="clear" w:color="auto" w:fill="auto"/>
            <w:noWrap/>
            <w:vAlign w:val="bottom"/>
            <w:hideMark/>
          </w:tcPr>
          <w:p w14:paraId="024C243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2,682 </w:t>
            </w:r>
          </w:p>
        </w:tc>
        <w:tc>
          <w:tcPr>
            <w:tcW w:w="896" w:type="dxa"/>
            <w:tcBorders>
              <w:top w:val="nil"/>
              <w:left w:val="nil"/>
              <w:bottom w:val="nil"/>
              <w:right w:val="nil"/>
            </w:tcBorders>
            <w:shd w:val="clear" w:color="auto" w:fill="auto"/>
            <w:noWrap/>
            <w:vAlign w:val="bottom"/>
            <w:hideMark/>
          </w:tcPr>
          <w:p w14:paraId="3E1560E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2,716 </w:t>
            </w:r>
          </w:p>
        </w:tc>
      </w:tr>
      <w:tr w:rsidR="00757236" w:rsidRPr="00757236" w14:paraId="6DC7D123" w14:textId="77777777" w:rsidTr="00B70687">
        <w:trPr>
          <w:trHeight w:val="340"/>
          <w:jc w:val="center"/>
        </w:trPr>
        <w:tc>
          <w:tcPr>
            <w:tcW w:w="2516" w:type="dxa"/>
            <w:tcBorders>
              <w:top w:val="nil"/>
              <w:left w:val="nil"/>
              <w:bottom w:val="nil"/>
              <w:right w:val="nil"/>
            </w:tcBorders>
            <w:shd w:val="clear" w:color="auto" w:fill="auto"/>
            <w:vAlign w:val="bottom"/>
            <w:hideMark/>
          </w:tcPr>
          <w:p w14:paraId="3E6CF5D8"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Australian Digital Health Agency</w:t>
            </w:r>
          </w:p>
        </w:tc>
        <w:tc>
          <w:tcPr>
            <w:tcW w:w="436" w:type="dxa"/>
            <w:tcBorders>
              <w:top w:val="nil"/>
              <w:left w:val="nil"/>
              <w:bottom w:val="nil"/>
              <w:right w:val="nil"/>
            </w:tcBorders>
            <w:shd w:val="clear" w:color="auto" w:fill="auto"/>
            <w:noWrap/>
            <w:vAlign w:val="bottom"/>
            <w:hideMark/>
          </w:tcPr>
          <w:p w14:paraId="752039E7"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705A5C55"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000000" w:fill="D9D9D9"/>
            <w:noWrap/>
            <w:vAlign w:val="bottom"/>
            <w:hideMark/>
          </w:tcPr>
          <w:p w14:paraId="55952E2D"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w:t>
            </w:r>
          </w:p>
        </w:tc>
        <w:tc>
          <w:tcPr>
            <w:tcW w:w="896" w:type="dxa"/>
            <w:tcBorders>
              <w:top w:val="nil"/>
              <w:left w:val="nil"/>
              <w:bottom w:val="nil"/>
              <w:right w:val="nil"/>
            </w:tcBorders>
            <w:shd w:val="clear" w:color="auto" w:fill="auto"/>
            <w:noWrap/>
            <w:vAlign w:val="bottom"/>
            <w:hideMark/>
          </w:tcPr>
          <w:p w14:paraId="57195395" w14:textId="77777777" w:rsidR="00757236" w:rsidRPr="00757236" w:rsidRDefault="00757236" w:rsidP="00757236">
            <w:pPr>
              <w:spacing w:after="0"/>
              <w:jc w:val="right"/>
              <w:rPr>
                <w:rFonts w:ascii="Arial" w:hAnsi="Arial" w:cs="Arial"/>
                <w:b/>
                <w:bCs/>
                <w:color w:val="auto"/>
                <w:sz w:val="16"/>
                <w:szCs w:val="16"/>
              </w:rPr>
            </w:pPr>
          </w:p>
        </w:tc>
        <w:tc>
          <w:tcPr>
            <w:tcW w:w="885" w:type="dxa"/>
            <w:tcBorders>
              <w:top w:val="nil"/>
              <w:left w:val="nil"/>
              <w:bottom w:val="nil"/>
              <w:right w:val="nil"/>
            </w:tcBorders>
            <w:shd w:val="clear" w:color="auto" w:fill="auto"/>
            <w:noWrap/>
            <w:vAlign w:val="bottom"/>
            <w:hideMark/>
          </w:tcPr>
          <w:p w14:paraId="01A84FCD"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310A28B1"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7843DF35"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25AF11F5"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36" w:type="dxa"/>
            <w:tcBorders>
              <w:top w:val="nil"/>
              <w:left w:val="nil"/>
              <w:bottom w:val="nil"/>
              <w:right w:val="nil"/>
            </w:tcBorders>
            <w:shd w:val="clear" w:color="auto" w:fill="auto"/>
            <w:noWrap/>
            <w:vAlign w:val="bottom"/>
            <w:hideMark/>
          </w:tcPr>
          <w:p w14:paraId="4850A4F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w:t>
            </w:r>
          </w:p>
        </w:tc>
        <w:tc>
          <w:tcPr>
            <w:tcW w:w="868" w:type="dxa"/>
            <w:tcBorders>
              <w:top w:val="nil"/>
              <w:left w:val="nil"/>
              <w:bottom w:val="nil"/>
              <w:right w:val="nil"/>
            </w:tcBorders>
            <w:shd w:val="clear" w:color="auto" w:fill="auto"/>
            <w:noWrap/>
            <w:vAlign w:val="bottom"/>
            <w:hideMark/>
          </w:tcPr>
          <w:p w14:paraId="58D5841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1238BFC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2,951 </w:t>
            </w:r>
          </w:p>
        </w:tc>
        <w:tc>
          <w:tcPr>
            <w:tcW w:w="896" w:type="dxa"/>
            <w:tcBorders>
              <w:top w:val="nil"/>
              <w:left w:val="nil"/>
              <w:bottom w:val="nil"/>
              <w:right w:val="nil"/>
            </w:tcBorders>
            <w:shd w:val="clear" w:color="auto" w:fill="auto"/>
            <w:noWrap/>
            <w:vAlign w:val="bottom"/>
            <w:hideMark/>
          </w:tcPr>
          <w:p w14:paraId="2621AD81"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2,713 </w:t>
            </w:r>
          </w:p>
        </w:tc>
        <w:tc>
          <w:tcPr>
            <w:tcW w:w="885" w:type="dxa"/>
            <w:tcBorders>
              <w:top w:val="nil"/>
              <w:left w:val="nil"/>
              <w:bottom w:val="nil"/>
              <w:right w:val="nil"/>
            </w:tcBorders>
            <w:shd w:val="clear" w:color="auto" w:fill="auto"/>
            <w:noWrap/>
            <w:vAlign w:val="bottom"/>
            <w:hideMark/>
          </w:tcPr>
          <w:p w14:paraId="7509E588"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382 </w:t>
            </w:r>
          </w:p>
        </w:tc>
        <w:tc>
          <w:tcPr>
            <w:tcW w:w="896" w:type="dxa"/>
            <w:tcBorders>
              <w:top w:val="nil"/>
              <w:left w:val="nil"/>
              <w:bottom w:val="nil"/>
              <w:right w:val="nil"/>
            </w:tcBorders>
            <w:shd w:val="clear" w:color="auto" w:fill="auto"/>
            <w:noWrap/>
            <w:vAlign w:val="bottom"/>
            <w:hideMark/>
          </w:tcPr>
          <w:p w14:paraId="17B7910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385 </w:t>
            </w:r>
          </w:p>
        </w:tc>
      </w:tr>
      <w:tr w:rsidR="00757236" w:rsidRPr="00757236" w14:paraId="029EBF83" w14:textId="77777777" w:rsidTr="00B70687">
        <w:trPr>
          <w:trHeight w:val="340"/>
          <w:jc w:val="center"/>
        </w:trPr>
        <w:tc>
          <w:tcPr>
            <w:tcW w:w="2516" w:type="dxa"/>
            <w:tcBorders>
              <w:top w:val="nil"/>
              <w:left w:val="nil"/>
              <w:bottom w:val="nil"/>
              <w:right w:val="nil"/>
            </w:tcBorders>
            <w:shd w:val="clear" w:color="auto" w:fill="auto"/>
            <w:vAlign w:val="bottom"/>
            <w:hideMark/>
          </w:tcPr>
          <w:p w14:paraId="5ED6E565"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Department of Veterans' Affairs</w:t>
            </w:r>
          </w:p>
        </w:tc>
        <w:tc>
          <w:tcPr>
            <w:tcW w:w="436" w:type="dxa"/>
            <w:tcBorders>
              <w:top w:val="nil"/>
              <w:left w:val="nil"/>
              <w:bottom w:val="nil"/>
              <w:right w:val="nil"/>
            </w:tcBorders>
            <w:shd w:val="clear" w:color="auto" w:fill="auto"/>
            <w:noWrap/>
            <w:vAlign w:val="bottom"/>
            <w:hideMark/>
          </w:tcPr>
          <w:p w14:paraId="752B3851"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161C7975"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000000" w:fill="D9D9D9"/>
            <w:noWrap/>
            <w:vAlign w:val="bottom"/>
            <w:hideMark/>
          </w:tcPr>
          <w:p w14:paraId="5D6C450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896" w:type="dxa"/>
            <w:tcBorders>
              <w:top w:val="nil"/>
              <w:left w:val="nil"/>
              <w:bottom w:val="nil"/>
              <w:right w:val="nil"/>
            </w:tcBorders>
            <w:shd w:val="clear" w:color="auto" w:fill="auto"/>
            <w:noWrap/>
            <w:vAlign w:val="bottom"/>
            <w:hideMark/>
          </w:tcPr>
          <w:p w14:paraId="1DA23C33" w14:textId="77777777" w:rsidR="00757236" w:rsidRPr="00757236" w:rsidRDefault="00757236" w:rsidP="00757236">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14:paraId="73EC2BA5"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46533ED8"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0BDEE367"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1F25AC4E"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Administered payments</w:t>
            </w:r>
          </w:p>
        </w:tc>
        <w:tc>
          <w:tcPr>
            <w:tcW w:w="436" w:type="dxa"/>
            <w:tcBorders>
              <w:top w:val="nil"/>
              <w:left w:val="nil"/>
              <w:bottom w:val="nil"/>
              <w:right w:val="nil"/>
            </w:tcBorders>
            <w:shd w:val="clear" w:color="auto" w:fill="auto"/>
            <w:noWrap/>
            <w:vAlign w:val="bottom"/>
            <w:hideMark/>
          </w:tcPr>
          <w:p w14:paraId="034FEA28" w14:textId="77777777" w:rsidR="00757236" w:rsidRPr="00757236" w:rsidRDefault="00757236" w:rsidP="00757236">
            <w:pPr>
              <w:spacing w:after="0"/>
              <w:ind w:firstLineChars="100" w:firstLine="16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2BD6C564"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 </w:t>
            </w:r>
          </w:p>
        </w:tc>
        <w:tc>
          <w:tcPr>
            <w:tcW w:w="883" w:type="dxa"/>
            <w:tcBorders>
              <w:top w:val="nil"/>
              <w:left w:val="nil"/>
              <w:bottom w:val="nil"/>
              <w:right w:val="nil"/>
            </w:tcBorders>
            <w:shd w:val="clear" w:color="000000" w:fill="D9D9D9"/>
            <w:noWrap/>
            <w:vAlign w:val="bottom"/>
            <w:hideMark/>
          </w:tcPr>
          <w:p w14:paraId="695F6465"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(4,143)</w:t>
            </w:r>
          </w:p>
        </w:tc>
        <w:tc>
          <w:tcPr>
            <w:tcW w:w="896" w:type="dxa"/>
            <w:tcBorders>
              <w:top w:val="nil"/>
              <w:left w:val="nil"/>
              <w:bottom w:val="nil"/>
              <w:right w:val="nil"/>
            </w:tcBorders>
            <w:shd w:val="clear" w:color="auto" w:fill="auto"/>
            <w:noWrap/>
            <w:vAlign w:val="bottom"/>
            <w:hideMark/>
          </w:tcPr>
          <w:p w14:paraId="0B9B6A1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(11,160)</w:t>
            </w:r>
          </w:p>
        </w:tc>
        <w:tc>
          <w:tcPr>
            <w:tcW w:w="885" w:type="dxa"/>
            <w:tcBorders>
              <w:top w:val="nil"/>
              <w:left w:val="nil"/>
              <w:bottom w:val="nil"/>
              <w:right w:val="nil"/>
            </w:tcBorders>
            <w:shd w:val="clear" w:color="auto" w:fill="auto"/>
            <w:noWrap/>
            <w:vAlign w:val="bottom"/>
            <w:hideMark/>
          </w:tcPr>
          <w:p w14:paraId="644176F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(14,918)</w:t>
            </w:r>
          </w:p>
        </w:tc>
        <w:tc>
          <w:tcPr>
            <w:tcW w:w="896" w:type="dxa"/>
            <w:tcBorders>
              <w:top w:val="nil"/>
              <w:left w:val="nil"/>
              <w:bottom w:val="nil"/>
              <w:right w:val="nil"/>
            </w:tcBorders>
            <w:shd w:val="clear" w:color="auto" w:fill="auto"/>
            <w:noWrap/>
            <w:vAlign w:val="bottom"/>
            <w:hideMark/>
          </w:tcPr>
          <w:p w14:paraId="3E7E3C5F"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(16,369)</w:t>
            </w:r>
          </w:p>
        </w:tc>
      </w:tr>
      <w:tr w:rsidR="00757236" w:rsidRPr="00757236" w14:paraId="56B257A7" w14:textId="77777777" w:rsidTr="00B70687">
        <w:trPr>
          <w:trHeight w:val="283"/>
          <w:jc w:val="center"/>
        </w:trPr>
        <w:tc>
          <w:tcPr>
            <w:tcW w:w="2516" w:type="dxa"/>
            <w:tcBorders>
              <w:top w:val="nil"/>
              <w:left w:val="nil"/>
              <w:bottom w:val="nil"/>
              <w:right w:val="nil"/>
            </w:tcBorders>
            <w:shd w:val="clear" w:color="auto" w:fill="auto"/>
            <w:vAlign w:val="bottom"/>
            <w:hideMark/>
          </w:tcPr>
          <w:p w14:paraId="00C6A690" w14:textId="77777777" w:rsidR="00757236" w:rsidRPr="00757236" w:rsidRDefault="00757236" w:rsidP="00757236">
            <w:pPr>
              <w:spacing w:after="0"/>
              <w:rPr>
                <w:rFonts w:ascii="Arial" w:hAnsi="Arial" w:cs="Arial"/>
                <w:color w:val="auto"/>
                <w:sz w:val="16"/>
                <w:szCs w:val="16"/>
              </w:rPr>
            </w:pPr>
            <w:r w:rsidRPr="00757236">
              <w:rPr>
                <w:rFonts w:ascii="Arial" w:hAnsi="Arial" w:cs="Arial"/>
                <w:color w:val="auto"/>
                <w:sz w:val="16"/>
                <w:szCs w:val="16"/>
              </w:rPr>
              <w:t>Services Australia</w:t>
            </w:r>
          </w:p>
        </w:tc>
        <w:tc>
          <w:tcPr>
            <w:tcW w:w="436" w:type="dxa"/>
            <w:tcBorders>
              <w:top w:val="nil"/>
              <w:left w:val="nil"/>
              <w:bottom w:val="nil"/>
              <w:right w:val="nil"/>
            </w:tcBorders>
            <w:shd w:val="clear" w:color="auto" w:fill="auto"/>
            <w:noWrap/>
            <w:vAlign w:val="bottom"/>
            <w:hideMark/>
          </w:tcPr>
          <w:p w14:paraId="5FF08201" w14:textId="77777777" w:rsidR="00757236" w:rsidRPr="00757236" w:rsidRDefault="00757236" w:rsidP="00757236">
            <w:pPr>
              <w:spacing w:after="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28B85A33"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000000" w:fill="D9D9D9"/>
            <w:noWrap/>
            <w:vAlign w:val="bottom"/>
            <w:hideMark/>
          </w:tcPr>
          <w:p w14:paraId="436922C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w:t>
            </w:r>
          </w:p>
        </w:tc>
        <w:tc>
          <w:tcPr>
            <w:tcW w:w="896" w:type="dxa"/>
            <w:tcBorders>
              <w:top w:val="nil"/>
              <w:left w:val="nil"/>
              <w:bottom w:val="nil"/>
              <w:right w:val="nil"/>
            </w:tcBorders>
            <w:shd w:val="clear" w:color="auto" w:fill="auto"/>
            <w:noWrap/>
            <w:vAlign w:val="bottom"/>
            <w:hideMark/>
          </w:tcPr>
          <w:p w14:paraId="33690F3B" w14:textId="77777777" w:rsidR="00757236" w:rsidRPr="00757236" w:rsidRDefault="00757236" w:rsidP="00757236">
            <w:pPr>
              <w:spacing w:after="0"/>
              <w:jc w:val="right"/>
              <w:rPr>
                <w:rFonts w:ascii="Arial" w:hAnsi="Arial" w:cs="Arial"/>
                <w:color w:val="auto"/>
                <w:sz w:val="16"/>
                <w:szCs w:val="16"/>
              </w:rPr>
            </w:pPr>
          </w:p>
        </w:tc>
        <w:tc>
          <w:tcPr>
            <w:tcW w:w="885" w:type="dxa"/>
            <w:tcBorders>
              <w:top w:val="nil"/>
              <w:left w:val="nil"/>
              <w:bottom w:val="nil"/>
              <w:right w:val="nil"/>
            </w:tcBorders>
            <w:shd w:val="clear" w:color="auto" w:fill="auto"/>
            <w:noWrap/>
            <w:vAlign w:val="bottom"/>
            <w:hideMark/>
          </w:tcPr>
          <w:p w14:paraId="607A0E78"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4589E8BC"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14066BE1" w14:textId="77777777" w:rsidTr="00757236">
        <w:trPr>
          <w:trHeight w:val="225"/>
          <w:jc w:val="center"/>
        </w:trPr>
        <w:tc>
          <w:tcPr>
            <w:tcW w:w="2516" w:type="dxa"/>
            <w:tcBorders>
              <w:top w:val="nil"/>
              <w:left w:val="nil"/>
              <w:bottom w:val="nil"/>
              <w:right w:val="nil"/>
            </w:tcBorders>
            <w:shd w:val="clear" w:color="auto" w:fill="auto"/>
            <w:vAlign w:val="bottom"/>
            <w:hideMark/>
          </w:tcPr>
          <w:p w14:paraId="12D975F7" w14:textId="77777777" w:rsidR="00757236" w:rsidRPr="00757236" w:rsidRDefault="00757236" w:rsidP="00B70687">
            <w:pPr>
              <w:spacing w:after="0"/>
              <w:ind w:leftChars="75" w:left="143"/>
              <w:rPr>
                <w:rFonts w:ascii="Arial" w:hAnsi="Arial" w:cs="Arial"/>
                <w:color w:val="auto"/>
                <w:sz w:val="16"/>
                <w:szCs w:val="16"/>
              </w:rPr>
            </w:pPr>
            <w:r w:rsidRPr="00757236">
              <w:rPr>
                <w:rFonts w:ascii="Arial" w:hAnsi="Arial" w:cs="Arial"/>
                <w:color w:val="auto"/>
                <w:sz w:val="16"/>
                <w:szCs w:val="16"/>
              </w:rPr>
              <w:t>Departmental payments</w:t>
            </w:r>
          </w:p>
        </w:tc>
        <w:tc>
          <w:tcPr>
            <w:tcW w:w="436" w:type="dxa"/>
            <w:tcBorders>
              <w:top w:val="nil"/>
              <w:left w:val="nil"/>
              <w:bottom w:val="nil"/>
              <w:right w:val="nil"/>
            </w:tcBorders>
            <w:shd w:val="clear" w:color="auto" w:fill="auto"/>
            <w:noWrap/>
            <w:vAlign w:val="bottom"/>
            <w:hideMark/>
          </w:tcPr>
          <w:p w14:paraId="3B8F4578" w14:textId="77777777" w:rsidR="00757236" w:rsidRPr="00757236" w:rsidRDefault="00757236" w:rsidP="00757236">
            <w:pPr>
              <w:spacing w:after="0"/>
              <w:ind w:firstLineChars="100" w:firstLine="160"/>
              <w:rPr>
                <w:rFonts w:ascii="Arial" w:hAnsi="Arial" w:cs="Arial"/>
                <w:color w:val="auto"/>
                <w:sz w:val="16"/>
                <w:szCs w:val="16"/>
              </w:rPr>
            </w:pPr>
          </w:p>
        </w:tc>
        <w:tc>
          <w:tcPr>
            <w:tcW w:w="868" w:type="dxa"/>
            <w:tcBorders>
              <w:top w:val="nil"/>
              <w:left w:val="nil"/>
              <w:bottom w:val="nil"/>
              <w:right w:val="nil"/>
            </w:tcBorders>
            <w:shd w:val="clear" w:color="auto" w:fill="auto"/>
            <w:noWrap/>
            <w:vAlign w:val="bottom"/>
            <w:hideMark/>
          </w:tcPr>
          <w:p w14:paraId="0268E40A"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169 </w:t>
            </w:r>
          </w:p>
        </w:tc>
        <w:tc>
          <w:tcPr>
            <w:tcW w:w="883" w:type="dxa"/>
            <w:tcBorders>
              <w:top w:val="nil"/>
              <w:left w:val="nil"/>
              <w:bottom w:val="nil"/>
              <w:right w:val="nil"/>
            </w:tcBorders>
            <w:shd w:val="clear" w:color="000000" w:fill="D9D9D9"/>
            <w:noWrap/>
            <w:vAlign w:val="bottom"/>
            <w:hideMark/>
          </w:tcPr>
          <w:p w14:paraId="0D010623"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 xml:space="preserve">908 </w:t>
            </w:r>
          </w:p>
        </w:tc>
        <w:tc>
          <w:tcPr>
            <w:tcW w:w="896" w:type="dxa"/>
            <w:tcBorders>
              <w:top w:val="nil"/>
              <w:left w:val="nil"/>
              <w:bottom w:val="nil"/>
              <w:right w:val="nil"/>
            </w:tcBorders>
            <w:shd w:val="clear" w:color="auto" w:fill="auto"/>
            <w:noWrap/>
            <w:vAlign w:val="bottom"/>
            <w:hideMark/>
          </w:tcPr>
          <w:p w14:paraId="7B553086"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(2,305)</w:t>
            </w:r>
          </w:p>
        </w:tc>
        <w:tc>
          <w:tcPr>
            <w:tcW w:w="885" w:type="dxa"/>
            <w:tcBorders>
              <w:top w:val="nil"/>
              <w:left w:val="nil"/>
              <w:bottom w:val="nil"/>
              <w:right w:val="nil"/>
            </w:tcBorders>
            <w:shd w:val="clear" w:color="auto" w:fill="auto"/>
            <w:noWrap/>
            <w:vAlign w:val="bottom"/>
            <w:hideMark/>
          </w:tcPr>
          <w:p w14:paraId="0E338447"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(5,154)</w:t>
            </w:r>
          </w:p>
        </w:tc>
        <w:tc>
          <w:tcPr>
            <w:tcW w:w="896" w:type="dxa"/>
            <w:tcBorders>
              <w:top w:val="nil"/>
              <w:left w:val="nil"/>
              <w:bottom w:val="nil"/>
              <w:right w:val="nil"/>
            </w:tcBorders>
            <w:shd w:val="clear" w:color="auto" w:fill="auto"/>
            <w:noWrap/>
            <w:vAlign w:val="bottom"/>
            <w:hideMark/>
          </w:tcPr>
          <w:p w14:paraId="696648DE" w14:textId="77777777" w:rsidR="00757236" w:rsidRPr="00757236" w:rsidRDefault="00757236" w:rsidP="00757236">
            <w:pPr>
              <w:spacing w:after="0"/>
              <w:jc w:val="right"/>
              <w:rPr>
                <w:rFonts w:ascii="Arial" w:hAnsi="Arial" w:cs="Arial"/>
                <w:color w:val="auto"/>
                <w:sz w:val="16"/>
                <w:szCs w:val="16"/>
              </w:rPr>
            </w:pPr>
            <w:r w:rsidRPr="00757236">
              <w:rPr>
                <w:rFonts w:ascii="Arial" w:hAnsi="Arial" w:cs="Arial"/>
                <w:color w:val="auto"/>
                <w:sz w:val="16"/>
                <w:szCs w:val="16"/>
              </w:rPr>
              <w:t>(5,538)</w:t>
            </w:r>
          </w:p>
        </w:tc>
      </w:tr>
      <w:tr w:rsidR="00757236" w:rsidRPr="00757236" w14:paraId="72FF7E27" w14:textId="77777777" w:rsidTr="00757236">
        <w:trPr>
          <w:trHeight w:val="225"/>
          <w:jc w:val="center"/>
        </w:trPr>
        <w:tc>
          <w:tcPr>
            <w:tcW w:w="2516" w:type="dxa"/>
            <w:tcBorders>
              <w:top w:val="nil"/>
              <w:left w:val="nil"/>
              <w:bottom w:val="nil"/>
              <w:right w:val="nil"/>
            </w:tcBorders>
            <w:shd w:val="clear" w:color="auto" w:fill="auto"/>
            <w:noWrap/>
            <w:vAlign w:val="bottom"/>
            <w:hideMark/>
          </w:tcPr>
          <w:p w14:paraId="55655A8C" w14:textId="77777777" w:rsidR="00757236" w:rsidRPr="00757236" w:rsidRDefault="00757236" w:rsidP="00757236">
            <w:pPr>
              <w:spacing w:after="0"/>
              <w:rPr>
                <w:rFonts w:ascii="Arial" w:hAnsi="Arial" w:cs="Arial"/>
                <w:b/>
                <w:bCs/>
                <w:color w:val="auto"/>
                <w:sz w:val="16"/>
                <w:szCs w:val="16"/>
              </w:rPr>
            </w:pPr>
            <w:r w:rsidRPr="00757236">
              <w:rPr>
                <w:rFonts w:ascii="Arial" w:hAnsi="Arial" w:cs="Arial"/>
                <w:b/>
                <w:bCs/>
                <w:color w:val="auto"/>
                <w:sz w:val="16"/>
                <w:szCs w:val="16"/>
              </w:rPr>
              <w:t>Total payments</w:t>
            </w:r>
          </w:p>
        </w:tc>
        <w:tc>
          <w:tcPr>
            <w:tcW w:w="436" w:type="dxa"/>
            <w:tcBorders>
              <w:top w:val="nil"/>
              <w:left w:val="nil"/>
              <w:bottom w:val="nil"/>
              <w:right w:val="nil"/>
            </w:tcBorders>
            <w:shd w:val="clear" w:color="auto" w:fill="auto"/>
            <w:noWrap/>
            <w:vAlign w:val="bottom"/>
            <w:hideMark/>
          </w:tcPr>
          <w:p w14:paraId="2C4F9576" w14:textId="77777777" w:rsidR="00757236" w:rsidRPr="00757236" w:rsidRDefault="00757236" w:rsidP="00757236">
            <w:pPr>
              <w:spacing w:after="0"/>
              <w:rPr>
                <w:rFonts w:ascii="Arial" w:hAnsi="Arial" w:cs="Arial"/>
                <w:b/>
                <w:bCs/>
                <w:color w:val="auto"/>
                <w:sz w:val="16"/>
                <w:szCs w:val="16"/>
              </w:rPr>
            </w:pPr>
          </w:p>
        </w:tc>
        <w:tc>
          <w:tcPr>
            <w:tcW w:w="868" w:type="dxa"/>
            <w:tcBorders>
              <w:top w:val="single" w:sz="4" w:space="0" w:color="000000"/>
              <w:left w:val="nil"/>
              <w:bottom w:val="single" w:sz="4" w:space="0" w:color="000000"/>
              <w:right w:val="nil"/>
            </w:tcBorders>
            <w:shd w:val="clear" w:color="auto" w:fill="auto"/>
            <w:noWrap/>
            <w:vAlign w:val="bottom"/>
            <w:hideMark/>
          </w:tcPr>
          <w:p w14:paraId="0425993A"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236 </w:t>
            </w:r>
          </w:p>
        </w:tc>
        <w:tc>
          <w:tcPr>
            <w:tcW w:w="883" w:type="dxa"/>
            <w:tcBorders>
              <w:top w:val="single" w:sz="4" w:space="0" w:color="000000"/>
              <w:left w:val="nil"/>
              <w:bottom w:val="single" w:sz="4" w:space="0" w:color="000000"/>
              <w:right w:val="nil"/>
            </w:tcBorders>
            <w:shd w:val="clear" w:color="000000" w:fill="D9D9D9"/>
            <w:noWrap/>
            <w:vAlign w:val="bottom"/>
            <w:hideMark/>
          </w:tcPr>
          <w:p w14:paraId="3173F2E1"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xml:space="preserve">201,678 </w:t>
            </w:r>
          </w:p>
        </w:tc>
        <w:tc>
          <w:tcPr>
            <w:tcW w:w="896" w:type="dxa"/>
            <w:tcBorders>
              <w:top w:val="single" w:sz="4" w:space="0" w:color="000000"/>
              <w:left w:val="nil"/>
              <w:bottom w:val="single" w:sz="4" w:space="0" w:color="000000"/>
              <w:right w:val="nil"/>
            </w:tcBorders>
            <w:shd w:val="clear" w:color="auto" w:fill="auto"/>
            <w:noWrap/>
            <w:tcMar>
              <w:left w:w="0" w:type="dxa"/>
            </w:tcMar>
            <w:vAlign w:val="bottom"/>
            <w:hideMark/>
          </w:tcPr>
          <w:p w14:paraId="48396D0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(142,284)</w:t>
            </w:r>
          </w:p>
        </w:tc>
        <w:tc>
          <w:tcPr>
            <w:tcW w:w="885" w:type="dxa"/>
            <w:tcBorders>
              <w:top w:val="single" w:sz="4" w:space="0" w:color="000000"/>
              <w:left w:val="nil"/>
              <w:bottom w:val="single" w:sz="4" w:space="0" w:color="000000"/>
              <w:right w:val="nil"/>
            </w:tcBorders>
            <w:shd w:val="clear" w:color="auto" w:fill="auto"/>
            <w:noWrap/>
            <w:vAlign w:val="bottom"/>
            <w:hideMark/>
          </w:tcPr>
          <w:p w14:paraId="5E190786"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(68,315)</w:t>
            </w:r>
          </w:p>
        </w:tc>
        <w:tc>
          <w:tcPr>
            <w:tcW w:w="896" w:type="dxa"/>
            <w:tcBorders>
              <w:top w:val="single" w:sz="4" w:space="0" w:color="000000"/>
              <w:left w:val="nil"/>
              <w:bottom w:val="single" w:sz="4" w:space="0" w:color="000000"/>
              <w:right w:val="nil"/>
            </w:tcBorders>
            <w:shd w:val="clear" w:color="auto" w:fill="auto"/>
            <w:noWrap/>
            <w:tcMar>
              <w:left w:w="0" w:type="dxa"/>
            </w:tcMar>
            <w:vAlign w:val="bottom"/>
            <w:hideMark/>
          </w:tcPr>
          <w:p w14:paraId="0142994B"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(101,716)</w:t>
            </w:r>
          </w:p>
        </w:tc>
      </w:tr>
      <w:tr w:rsidR="00757236" w:rsidRPr="00757236" w14:paraId="26CCA422" w14:textId="77777777" w:rsidTr="00934D5E">
        <w:trPr>
          <w:trHeight w:val="225"/>
          <w:jc w:val="center"/>
        </w:trPr>
        <w:tc>
          <w:tcPr>
            <w:tcW w:w="2516" w:type="dxa"/>
            <w:tcBorders>
              <w:top w:val="nil"/>
              <w:left w:val="nil"/>
              <w:right w:val="nil"/>
            </w:tcBorders>
            <w:shd w:val="clear" w:color="auto" w:fill="auto"/>
            <w:noWrap/>
            <w:vAlign w:val="bottom"/>
            <w:hideMark/>
          </w:tcPr>
          <w:p w14:paraId="4E9788F1" w14:textId="77777777" w:rsidR="00757236" w:rsidRPr="00757236" w:rsidRDefault="00757236" w:rsidP="00B70687">
            <w:pPr>
              <w:spacing w:after="0"/>
              <w:ind w:leftChars="75" w:left="143"/>
              <w:rPr>
                <w:rFonts w:ascii="Arial" w:hAnsi="Arial" w:cs="Arial"/>
                <w:i/>
                <w:iCs/>
                <w:color w:val="auto"/>
                <w:sz w:val="16"/>
                <w:szCs w:val="16"/>
              </w:rPr>
            </w:pPr>
            <w:r w:rsidRPr="00757236">
              <w:rPr>
                <w:rFonts w:ascii="Arial" w:hAnsi="Arial" w:cs="Arial"/>
                <w:i/>
                <w:iCs/>
                <w:color w:val="auto"/>
                <w:sz w:val="16"/>
                <w:szCs w:val="16"/>
              </w:rPr>
              <w:t>Related receipts</w:t>
            </w:r>
          </w:p>
        </w:tc>
        <w:tc>
          <w:tcPr>
            <w:tcW w:w="436" w:type="dxa"/>
            <w:tcBorders>
              <w:top w:val="nil"/>
              <w:left w:val="nil"/>
              <w:right w:val="nil"/>
            </w:tcBorders>
            <w:shd w:val="clear" w:color="auto" w:fill="auto"/>
            <w:noWrap/>
            <w:vAlign w:val="bottom"/>
            <w:hideMark/>
          </w:tcPr>
          <w:p w14:paraId="266D64C9" w14:textId="77777777" w:rsidR="00757236" w:rsidRPr="00757236" w:rsidRDefault="00757236" w:rsidP="00757236">
            <w:pPr>
              <w:spacing w:after="0"/>
              <w:ind w:firstLineChars="100" w:firstLine="160"/>
              <w:rPr>
                <w:rFonts w:ascii="Arial" w:hAnsi="Arial" w:cs="Arial"/>
                <w:i/>
                <w:iCs/>
                <w:color w:val="auto"/>
                <w:sz w:val="16"/>
                <w:szCs w:val="16"/>
              </w:rPr>
            </w:pPr>
          </w:p>
        </w:tc>
        <w:tc>
          <w:tcPr>
            <w:tcW w:w="868" w:type="dxa"/>
            <w:tcBorders>
              <w:top w:val="nil"/>
              <w:left w:val="nil"/>
              <w:bottom w:val="nil"/>
              <w:right w:val="nil"/>
            </w:tcBorders>
            <w:shd w:val="clear" w:color="auto" w:fill="auto"/>
            <w:noWrap/>
            <w:vAlign w:val="bottom"/>
            <w:hideMark/>
          </w:tcPr>
          <w:p w14:paraId="4DC047B0" w14:textId="77777777" w:rsidR="00757236" w:rsidRPr="00757236" w:rsidRDefault="00757236" w:rsidP="00757236">
            <w:pPr>
              <w:spacing w:after="0"/>
              <w:jc w:val="right"/>
              <w:rPr>
                <w:rFonts w:ascii="Times New Roman" w:hAnsi="Times New Roman"/>
                <w:color w:val="auto"/>
                <w:sz w:val="20"/>
                <w:szCs w:val="20"/>
              </w:rPr>
            </w:pPr>
          </w:p>
        </w:tc>
        <w:tc>
          <w:tcPr>
            <w:tcW w:w="883" w:type="dxa"/>
            <w:tcBorders>
              <w:top w:val="nil"/>
              <w:left w:val="nil"/>
              <w:bottom w:val="nil"/>
              <w:right w:val="nil"/>
            </w:tcBorders>
            <w:shd w:val="clear" w:color="000000" w:fill="D9D9D9"/>
            <w:noWrap/>
            <w:vAlign w:val="bottom"/>
            <w:hideMark/>
          </w:tcPr>
          <w:p w14:paraId="648B0E84" w14:textId="77777777" w:rsidR="00757236" w:rsidRPr="00757236" w:rsidRDefault="00757236" w:rsidP="00757236">
            <w:pPr>
              <w:spacing w:after="0"/>
              <w:jc w:val="right"/>
              <w:rPr>
                <w:rFonts w:ascii="Arial" w:hAnsi="Arial" w:cs="Arial"/>
                <w:b/>
                <w:bCs/>
                <w:color w:val="auto"/>
                <w:sz w:val="16"/>
                <w:szCs w:val="16"/>
              </w:rPr>
            </w:pPr>
            <w:r w:rsidRPr="00757236">
              <w:rPr>
                <w:rFonts w:ascii="Arial" w:hAnsi="Arial" w:cs="Arial"/>
                <w:b/>
                <w:bCs/>
                <w:color w:val="auto"/>
                <w:sz w:val="16"/>
                <w:szCs w:val="16"/>
              </w:rPr>
              <w:t> </w:t>
            </w:r>
          </w:p>
        </w:tc>
        <w:tc>
          <w:tcPr>
            <w:tcW w:w="896" w:type="dxa"/>
            <w:tcBorders>
              <w:top w:val="nil"/>
              <w:left w:val="nil"/>
              <w:bottom w:val="nil"/>
              <w:right w:val="nil"/>
            </w:tcBorders>
            <w:shd w:val="clear" w:color="auto" w:fill="auto"/>
            <w:noWrap/>
            <w:vAlign w:val="bottom"/>
            <w:hideMark/>
          </w:tcPr>
          <w:p w14:paraId="45B8C727" w14:textId="77777777" w:rsidR="00757236" w:rsidRPr="00757236" w:rsidRDefault="00757236" w:rsidP="00757236">
            <w:pPr>
              <w:spacing w:after="0"/>
              <w:jc w:val="right"/>
              <w:rPr>
                <w:rFonts w:ascii="Arial" w:hAnsi="Arial" w:cs="Arial"/>
                <w:b/>
                <w:bCs/>
                <w:color w:val="auto"/>
                <w:sz w:val="16"/>
                <w:szCs w:val="16"/>
              </w:rPr>
            </w:pPr>
          </w:p>
        </w:tc>
        <w:tc>
          <w:tcPr>
            <w:tcW w:w="885" w:type="dxa"/>
            <w:tcBorders>
              <w:top w:val="nil"/>
              <w:left w:val="nil"/>
              <w:bottom w:val="nil"/>
              <w:right w:val="nil"/>
            </w:tcBorders>
            <w:shd w:val="clear" w:color="auto" w:fill="auto"/>
            <w:noWrap/>
            <w:vAlign w:val="bottom"/>
            <w:hideMark/>
          </w:tcPr>
          <w:p w14:paraId="5CBCFDE8" w14:textId="77777777" w:rsidR="00757236" w:rsidRPr="00757236" w:rsidRDefault="00757236" w:rsidP="00757236">
            <w:pPr>
              <w:spacing w:after="0"/>
              <w:jc w:val="right"/>
              <w:rPr>
                <w:rFonts w:ascii="Times New Roman" w:hAnsi="Times New Roman"/>
                <w:color w:val="auto"/>
                <w:sz w:val="20"/>
                <w:szCs w:val="20"/>
              </w:rPr>
            </w:pPr>
          </w:p>
        </w:tc>
        <w:tc>
          <w:tcPr>
            <w:tcW w:w="896" w:type="dxa"/>
            <w:tcBorders>
              <w:top w:val="nil"/>
              <w:left w:val="nil"/>
              <w:bottom w:val="nil"/>
              <w:right w:val="nil"/>
            </w:tcBorders>
            <w:shd w:val="clear" w:color="auto" w:fill="auto"/>
            <w:noWrap/>
            <w:vAlign w:val="bottom"/>
            <w:hideMark/>
          </w:tcPr>
          <w:p w14:paraId="596585D8" w14:textId="77777777" w:rsidR="00757236" w:rsidRPr="00757236" w:rsidRDefault="00757236" w:rsidP="00757236">
            <w:pPr>
              <w:spacing w:after="0"/>
              <w:jc w:val="right"/>
              <w:rPr>
                <w:rFonts w:ascii="Times New Roman" w:hAnsi="Times New Roman"/>
                <w:color w:val="auto"/>
                <w:sz w:val="20"/>
                <w:szCs w:val="20"/>
              </w:rPr>
            </w:pPr>
          </w:p>
        </w:tc>
      </w:tr>
      <w:tr w:rsidR="00757236" w:rsidRPr="00757236" w14:paraId="408411C1" w14:textId="77777777" w:rsidTr="00934D5E">
        <w:trPr>
          <w:trHeight w:val="425"/>
          <w:jc w:val="center"/>
        </w:trPr>
        <w:tc>
          <w:tcPr>
            <w:tcW w:w="2516" w:type="dxa"/>
            <w:tcBorders>
              <w:top w:val="nil"/>
              <w:left w:val="nil"/>
              <w:bottom w:val="single" w:sz="4" w:space="0" w:color="auto"/>
              <w:right w:val="nil"/>
            </w:tcBorders>
            <w:shd w:val="clear" w:color="auto" w:fill="auto"/>
            <w:vAlign w:val="bottom"/>
            <w:hideMark/>
          </w:tcPr>
          <w:p w14:paraId="13C17F13" w14:textId="77777777" w:rsidR="00757236" w:rsidRPr="00757236" w:rsidRDefault="00757236" w:rsidP="00B70687">
            <w:pPr>
              <w:spacing w:after="0"/>
              <w:ind w:leftChars="75" w:left="143"/>
              <w:rPr>
                <w:rFonts w:ascii="Arial" w:hAnsi="Arial" w:cs="Arial"/>
                <w:i/>
                <w:iCs/>
                <w:color w:val="auto"/>
                <w:sz w:val="16"/>
                <w:szCs w:val="16"/>
              </w:rPr>
            </w:pPr>
            <w:r w:rsidRPr="00757236">
              <w:rPr>
                <w:rFonts w:ascii="Arial" w:hAnsi="Arial" w:cs="Arial"/>
                <w:i/>
                <w:iCs/>
                <w:color w:val="auto"/>
                <w:sz w:val="16"/>
                <w:szCs w:val="16"/>
              </w:rPr>
              <w:t xml:space="preserve">Department of Health and Aged Care </w:t>
            </w:r>
          </w:p>
        </w:tc>
        <w:tc>
          <w:tcPr>
            <w:tcW w:w="436" w:type="dxa"/>
            <w:tcBorders>
              <w:top w:val="nil"/>
              <w:left w:val="nil"/>
              <w:bottom w:val="single" w:sz="4" w:space="0" w:color="auto"/>
              <w:right w:val="nil"/>
            </w:tcBorders>
            <w:shd w:val="clear" w:color="auto" w:fill="auto"/>
            <w:noWrap/>
            <w:vAlign w:val="bottom"/>
            <w:hideMark/>
          </w:tcPr>
          <w:p w14:paraId="0134C3C3" w14:textId="77777777" w:rsidR="00757236" w:rsidRPr="00757236" w:rsidRDefault="00757236" w:rsidP="00757236">
            <w:pPr>
              <w:spacing w:after="0"/>
              <w:ind w:firstLineChars="100" w:firstLine="160"/>
              <w:rPr>
                <w:rFonts w:ascii="Arial" w:hAnsi="Arial" w:cs="Arial"/>
                <w:i/>
                <w:iCs/>
                <w:color w:val="auto"/>
                <w:sz w:val="16"/>
                <w:szCs w:val="16"/>
              </w:rPr>
            </w:pPr>
          </w:p>
        </w:tc>
        <w:tc>
          <w:tcPr>
            <w:tcW w:w="868" w:type="dxa"/>
            <w:tcBorders>
              <w:top w:val="nil"/>
              <w:left w:val="nil"/>
              <w:bottom w:val="single" w:sz="4" w:space="0" w:color="auto"/>
              <w:right w:val="nil"/>
            </w:tcBorders>
            <w:shd w:val="clear" w:color="auto" w:fill="auto"/>
            <w:noWrap/>
            <w:vAlign w:val="bottom"/>
            <w:hideMark/>
          </w:tcPr>
          <w:p w14:paraId="6046CABB"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883" w:type="dxa"/>
            <w:tcBorders>
              <w:top w:val="nil"/>
              <w:left w:val="nil"/>
              <w:bottom w:val="single" w:sz="4" w:space="0" w:color="auto"/>
              <w:right w:val="nil"/>
            </w:tcBorders>
            <w:shd w:val="clear" w:color="000000" w:fill="D9D9D9"/>
            <w:noWrap/>
            <w:vAlign w:val="bottom"/>
            <w:hideMark/>
          </w:tcPr>
          <w:p w14:paraId="16DC5F4C"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896" w:type="dxa"/>
            <w:tcBorders>
              <w:top w:val="nil"/>
              <w:left w:val="nil"/>
              <w:bottom w:val="single" w:sz="4" w:space="0" w:color="auto"/>
              <w:right w:val="nil"/>
            </w:tcBorders>
            <w:shd w:val="clear" w:color="auto" w:fill="auto"/>
            <w:noWrap/>
            <w:vAlign w:val="bottom"/>
            <w:hideMark/>
          </w:tcPr>
          <w:p w14:paraId="1F40B31D"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885" w:type="dxa"/>
            <w:tcBorders>
              <w:top w:val="nil"/>
              <w:left w:val="nil"/>
              <w:bottom w:val="single" w:sz="4" w:space="0" w:color="auto"/>
              <w:right w:val="nil"/>
            </w:tcBorders>
            <w:shd w:val="clear" w:color="auto" w:fill="auto"/>
            <w:noWrap/>
            <w:vAlign w:val="bottom"/>
            <w:hideMark/>
          </w:tcPr>
          <w:p w14:paraId="10242479"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c>
          <w:tcPr>
            <w:tcW w:w="896" w:type="dxa"/>
            <w:tcBorders>
              <w:top w:val="nil"/>
              <w:left w:val="nil"/>
              <w:bottom w:val="single" w:sz="4" w:space="0" w:color="auto"/>
              <w:right w:val="nil"/>
            </w:tcBorders>
            <w:shd w:val="clear" w:color="auto" w:fill="auto"/>
            <w:noWrap/>
            <w:vAlign w:val="bottom"/>
            <w:hideMark/>
          </w:tcPr>
          <w:p w14:paraId="5597EDA1" w14:textId="77777777" w:rsidR="00757236" w:rsidRPr="00757236" w:rsidRDefault="00757236" w:rsidP="00757236">
            <w:pPr>
              <w:spacing w:after="0"/>
              <w:jc w:val="right"/>
              <w:rPr>
                <w:rFonts w:ascii="Arial" w:hAnsi="Arial" w:cs="Arial"/>
                <w:i/>
                <w:iCs/>
                <w:color w:val="auto"/>
                <w:sz w:val="16"/>
                <w:szCs w:val="16"/>
              </w:rPr>
            </w:pPr>
            <w:r w:rsidRPr="00757236">
              <w:rPr>
                <w:rFonts w:ascii="Arial" w:hAnsi="Arial" w:cs="Arial"/>
                <w:i/>
                <w:iCs/>
                <w:color w:val="auto"/>
                <w:sz w:val="16"/>
                <w:szCs w:val="16"/>
              </w:rPr>
              <w:t>nfp</w:t>
            </w:r>
          </w:p>
        </w:tc>
      </w:tr>
    </w:tbl>
    <w:p w14:paraId="7595D7EE" w14:textId="77777777" w:rsidR="009C684C" w:rsidRDefault="009C684C">
      <w:pPr>
        <w:spacing w:after="0"/>
        <w:rPr>
          <w:rFonts w:ascii="Arial" w:hAnsi="Arial" w:cs="Arial"/>
          <w:b/>
          <w:sz w:val="20"/>
          <w:szCs w:val="18"/>
        </w:rPr>
      </w:pPr>
      <w:r>
        <w:rPr>
          <w:sz w:val="20"/>
        </w:rPr>
        <w:br w:type="page"/>
      </w:r>
    </w:p>
    <w:p w14:paraId="2990EA95" w14:textId="45B96CF5" w:rsidR="0013129D" w:rsidRPr="00F277A4" w:rsidRDefault="001807F5" w:rsidP="001807F5">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B70687" w:rsidRPr="00B70687" w14:paraId="09EFAD44" w14:textId="77777777" w:rsidTr="00B70687">
        <w:trPr>
          <w:trHeight w:val="340"/>
          <w:jc w:val="center"/>
        </w:trPr>
        <w:tc>
          <w:tcPr>
            <w:tcW w:w="2780" w:type="dxa"/>
            <w:gridSpan w:val="2"/>
            <w:tcBorders>
              <w:top w:val="single" w:sz="4" w:space="0" w:color="auto"/>
              <w:left w:val="nil"/>
              <w:bottom w:val="nil"/>
              <w:right w:val="nil"/>
            </w:tcBorders>
            <w:shd w:val="clear" w:color="auto" w:fill="auto"/>
            <w:vAlign w:val="bottom"/>
            <w:hideMark/>
          </w:tcPr>
          <w:p w14:paraId="573A4AB5"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 xml:space="preserve">Outcome/ </w:t>
            </w:r>
            <w:r w:rsidRPr="00B70687">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7250F0F2"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2022–23</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26386309"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2023–24</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C3C1221"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2024–25</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07906F3B"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2025–26</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B07EBD8"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2026–27</w:t>
            </w:r>
            <w:r w:rsidRPr="00B70687">
              <w:rPr>
                <w:rFonts w:ascii="Arial" w:hAnsi="Arial" w:cs="Arial"/>
                <w:b/>
                <w:bCs/>
                <w:color w:val="auto"/>
                <w:sz w:val="16"/>
                <w:szCs w:val="16"/>
              </w:rPr>
              <w:br/>
              <w:t>$'000</w:t>
            </w:r>
          </w:p>
        </w:tc>
      </w:tr>
      <w:tr w:rsidR="00B70687" w:rsidRPr="00B70687" w14:paraId="2B2FDEDE" w14:textId="77777777" w:rsidTr="00B70687">
        <w:trPr>
          <w:trHeight w:val="283"/>
          <w:jc w:val="center"/>
        </w:trPr>
        <w:tc>
          <w:tcPr>
            <w:tcW w:w="7380" w:type="dxa"/>
            <w:gridSpan w:val="7"/>
            <w:tcBorders>
              <w:top w:val="nil"/>
              <w:left w:val="nil"/>
              <w:bottom w:val="nil"/>
              <w:right w:val="nil"/>
            </w:tcBorders>
            <w:shd w:val="clear" w:color="auto" w:fill="auto"/>
            <w:vAlign w:val="bottom"/>
            <w:hideMark/>
          </w:tcPr>
          <w:p w14:paraId="4AD6BD7A" w14:textId="77777777" w:rsidR="00B70687" w:rsidRPr="00B70687" w:rsidRDefault="00B70687" w:rsidP="00B70687">
            <w:pPr>
              <w:spacing w:after="0"/>
              <w:rPr>
                <w:rFonts w:ascii="Arial" w:hAnsi="Arial" w:cs="Arial"/>
                <w:b/>
                <w:bCs/>
                <w:color w:val="auto"/>
                <w:sz w:val="16"/>
                <w:szCs w:val="16"/>
              </w:rPr>
            </w:pPr>
            <w:r w:rsidRPr="00B70687">
              <w:rPr>
                <w:rFonts w:ascii="Arial" w:hAnsi="Arial" w:cs="Arial"/>
                <w:b/>
                <w:bCs/>
                <w:color w:val="auto"/>
                <w:sz w:val="16"/>
                <w:szCs w:val="16"/>
              </w:rPr>
              <w:t>Reinvesting in Health and Aged Care Programs</w:t>
            </w:r>
          </w:p>
        </w:tc>
      </w:tr>
      <w:tr w:rsidR="00B70687" w:rsidRPr="00B70687" w14:paraId="0A35360B" w14:textId="77777777" w:rsidTr="00B70687">
        <w:trPr>
          <w:trHeight w:val="425"/>
          <w:jc w:val="center"/>
        </w:trPr>
        <w:tc>
          <w:tcPr>
            <w:tcW w:w="2320" w:type="dxa"/>
            <w:tcBorders>
              <w:top w:val="nil"/>
              <w:left w:val="nil"/>
              <w:bottom w:val="nil"/>
              <w:right w:val="nil"/>
            </w:tcBorders>
            <w:shd w:val="clear" w:color="auto" w:fill="auto"/>
            <w:vAlign w:val="bottom"/>
            <w:hideMark/>
          </w:tcPr>
          <w:p w14:paraId="6685B38D"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2461E50"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705A0BA"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DF3EC37"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1B9E25B"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2D97DF"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728258B"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50BE0640"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666F0BB" w14:textId="77777777" w:rsidR="00B70687" w:rsidRPr="00B70687" w:rsidRDefault="00B70687" w:rsidP="00B70687">
            <w:pPr>
              <w:spacing w:after="0"/>
              <w:ind w:firstLineChars="100" w:firstLine="160"/>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62DFA4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14:paraId="4CE6F5B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36D66B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(5,840)</w:t>
            </w:r>
          </w:p>
        </w:tc>
        <w:tc>
          <w:tcPr>
            <w:tcW w:w="920" w:type="dxa"/>
            <w:tcBorders>
              <w:top w:val="nil"/>
              <w:left w:val="nil"/>
              <w:bottom w:val="nil"/>
              <w:right w:val="nil"/>
            </w:tcBorders>
            <w:shd w:val="clear" w:color="auto" w:fill="auto"/>
            <w:noWrap/>
            <w:vAlign w:val="bottom"/>
            <w:hideMark/>
          </w:tcPr>
          <w:p w14:paraId="270A504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(4,280)</w:t>
            </w:r>
          </w:p>
        </w:tc>
        <w:tc>
          <w:tcPr>
            <w:tcW w:w="920" w:type="dxa"/>
            <w:tcBorders>
              <w:top w:val="nil"/>
              <w:left w:val="nil"/>
              <w:bottom w:val="nil"/>
              <w:right w:val="nil"/>
            </w:tcBorders>
            <w:shd w:val="clear" w:color="auto" w:fill="auto"/>
            <w:noWrap/>
            <w:vAlign w:val="bottom"/>
            <w:hideMark/>
          </w:tcPr>
          <w:p w14:paraId="51B6667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(3,400)</w:t>
            </w:r>
          </w:p>
        </w:tc>
        <w:tc>
          <w:tcPr>
            <w:tcW w:w="920" w:type="dxa"/>
            <w:tcBorders>
              <w:top w:val="nil"/>
              <w:left w:val="nil"/>
              <w:bottom w:val="nil"/>
              <w:right w:val="nil"/>
            </w:tcBorders>
            <w:shd w:val="clear" w:color="auto" w:fill="auto"/>
            <w:noWrap/>
            <w:vAlign w:val="bottom"/>
            <w:hideMark/>
          </w:tcPr>
          <w:p w14:paraId="5D84F52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(3,360)</w:t>
            </w:r>
          </w:p>
        </w:tc>
      </w:tr>
      <w:tr w:rsidR="00B70687" w:rsidRPr="00B70687" w14:paraId="7FDE296F"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2502B5B8"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4021FF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10915BE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37FEC5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(54,120)</w:t>
            </w:r>
          </w:p>
        </w:tc>
        <w:tc>
          <w:tcPr>
            <w:tcW w:w="920" w:type="dxa"/>
            <w:tcBorders>
              <w:top w:val="nil"/>
              <w:left w:val="nil"/>
              <w:bottom w:val="nil"/>
              <w:right w:val="nil"/>
            </w:tcBorders>
            <w:shd w:val="clear" w:color="auto" w:fill="auto"/>
            <w:noWrap/>
            <w:vAlign w:val="bottom"/>
            <w:hideMark/>
          </w:tcPr>
          <w:p w14:paraId="4D9B62C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(55,400)</w:t>
            </w:r>
          </w:p>
        </w:tc>
        <w:tc>
          <w:tcPr>
            <w:tcW w:w="920" w:type="dxa"/>
            <w:tcBorders>
              <w:top w:val="nil"/>
              <w:left w:val="nil"/>
              <w:bottom w:val="nil"/>
              <w:right w:val="nil"/>
            </w:tcBorders>
            <w:shd w:val="clear" w:color="auto" w:fill="auto"/>
            <w:noWrap/>
            <w:vAlign w:val="bottom"/>
            <w:hideMark/>
          </w:tcPr>
          <w:p w14:paraId="5D2978E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(50,240)</w:t>
            </w:r>
          </w:p>
        </w:tc>
        <w:tc>
          <w:tcPr>
            <w:tcW w:w="920" w:type="dxa"/>
            <w:tcBorders>
              <w:top w:val="nil"/>
              <w:left w:val="nil"/>
              <w:bottom w:val="nil"/>
              <w:right w:val="nil"/>
            </w:tcBorders>
            <w:shd w:val="clear" w:color="auto" w:fill="auto"/>
            <w:noWrap/>
            <w:vAlign w:val="bottom"/>
            <w:hideMark/>
          </w:tcPr>
          <w:p w14:paraId="1B11405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(49,840)</w:t>
            </w:r>
          </w:p>
        </w:tc>
      </w:tr>
      <w:tr w:rsidR="00B70687" w:rsidRPr="00B70687" w14:paraId="7DC6DF87"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08E893BE"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D78A2C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7809CCC9"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000000" w:fill="D9D9D9"/>
            <w:noWrap/>
            <w:vAlign w:val="bottom"/>
            <w:hideMark/>
          </w:tcPr>
          <w:p w14:paraId="2B023E1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(48,280)</w:t>
            </w:r>
          </w:p>
        </w:tc>
        <w:tc>
          <w:tcPr>
            <w:tcW w:w="920" w:type="dxa"/>
            <w:tcBorders>
              <w:top w:val="nil"/>
              <w:left w:val="nil"/>
              <w:bottom w:val="nil"/>
              <w:right w:val="nil"/>
            </w:tcBorders>
            <w:shd w:val="clear" w:color="auto" w:fill="auto"/>
            <w:noWrap/>
            <w:vAlign w:val="bottom"/>
            <w:hideMark/>
          </w:tcPr>
          <w:p w14:paraId="1014068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(51,280)</w:t>
            </w:r>
          </w:p>
        </w:tc>
        <w:tc>
          <w:tcPr>
            <w:tcW w:w="920" w:type="dxa"/>
            <w:tcBorders>
              <w:top w:val="nil"/>
              <w:left w:val="nil"/>
              <w:bottom w:val="nil"/>
              <w:right w:val="nil"/>
            </w:tcBorders>
            <w:shd w:val="clear" w:color="auto" w:fill="auto"/>
            <w:noWrap/>
            <w:vAlign w:val="bottom"/>
            <w:hideMark/>
          </w:tcPr>
          <w:p w14:paraId="6B4BB95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(49,840)</w:t>
            </w:r>
          </w:p>
        </w:tc>
        <w:tc>
          <w:tcPr>
            <w:tcW w:w="920" w:type="dxa"/>
            <w:tcBorders>
              <w:top w:val="nil"/>
              <w:left w:val="nil"/>
              <w:bottom w:val="nil"/>
              <w:right w:val="nil"/>
            </w:tcBorders>
            <w:shd w:val="clear" w:color="auto" w:fill="auto"/>
            <w:noWrap/>
            <w:vAlign w:val="bottom"/>
            <w:hideMark/>
          </w:tcPr>
          <w:p w14:paraId="53123D4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(48,960)</w:t>
            </w:r>
          </w:p>
        </w:tc>
      </w:tr>
      <w:tr w:rsidR="00B70687" w:rsidRPr="00B70687" w14:paraId="3D1DA48D"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517A4A75"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B8753A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14:paraId="71A01B4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6428FA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(41,920)</w:t>
            </w:r>
          </w:p>
        </w:tc>
        <w:tc>
          <w:tcPr>
            <w:tcW w:w="920" w:type="dxa"/>
            <w:tcBorders>
              <w:top w:val="nil"/>
              <w:left w:val="nil"/>
              <w:bottom w:val="nil"/>
              <w:right w:val="nil"/>
            </w:tcBorders>
            <w:shd w:val="clear" w:color="auto" w:fill="auto"/>
            <w:noWrap/>
            <w:vAlign w:val="bottom"/>
            <w:hideMark/>
          </w:tcPr>
          <w:p w14:paraId="628E3AC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(42,520)</w:t>
            </w:r>
          </w:p>
        </w:tc>
        <w:tc>
          <w:tcPr>
            <w:tcW w:w="920" w:type="dxa"/>
            <w:tcBorders>
              <w:top w:val="nil"/>
              <w:left w:val="nil"/>
              <w:bottom w:val="nil"/>
              <w:right w:val="nil"/>
            </w:tcBorders>
            <w:shd w:val="clear" w:color="auto" w:fill="auto"/>
            <w:noWrap/>
            <w:vAlign w:val="bottom"/>
            <w:hideMark/>
          </w:tcPr>
          <w:p w14:paraId="057101B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(42,600)</w:t>
            </w:r>
          </w:p>
        </w:tc>
        <w:tc>
          <w:tcPr>
            <w:tcW w:w="920" w:type="dxa"/>
            <w:tcBorders>
              <w:top w:val="nil"/>
              <w:left w:val="nil"/>
              <w:bottom w:val="nil"/>
              <w:right w:val="nil"/>
            </w:tcBorders>
            <w:shd w:val="clear" w:color="auto" w:fill="auto"/>
            <w:noWrap/>
            <w:vAlign w:val="bottom"/>
            <w:hideMark/>
          </w:tcPr>
          <w:p w14:paraId="5B5A954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(41,840)</w:t>
            </w:r>
          </w:p>
        </w:tc>
      </w:tr>
      <w:tr w:rsidR="00B70687" w:rsidRPr="00B70687" w14:paraId="24812256"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53E944F"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CCC616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07C2A4C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138751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(20,720)</w:t>
            </w:r>
          </w:p>
        </w:tc>
        <w:tc>
          <w:tcPr>
            <w:tcW w:w="920" w:type="dxa"/>
            <w:tcBorders>
              <w:top w:val="nil"/>
              <w:left w:val="nil"/>
              <w:bottom w:val="nil"/>
              <w:right w:val="nil"/>
            </w:tcBorders>
            <w:shd w:val="clear" w:color="auto" w:fill="auto"/>
            <w:noWrap/>
            <w:vAlign w:val="bottom"/>
            <w:hideMark/>
          </w:tcPr>
          <w:p w14:paraId="7DF16E9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(19,200)</w:t>
            </w:r>
          </w:p>
        </w:tc>
        <w:tc>
          <w:tcPr>
            <w:tcW w:w="920" w:type="dxa"/>
            <w:tcBorders>
              <w:top w:val="nil"/>
              <w:left w:val="nil"/>
              <w:bottom w:val="nil"/>
              <w:right w:val="nil"/>
            </w:tcBorders>
            <w:shd w:val="clear" w:color="auto" w:fill="auto"/>
            <w:noWrap/>
            <w:vAlign w:val="bottom"/>
            <w:hideMark/>
          </w:tcPr>
          <w:p w14:paraId="322C724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(18,120)</w:t>
            </w:r>
          </w:p>
        </w:tc>
        <w:tc>
          <w:tcPr>
            <w:tcW w:w="920" w:type="dxa"/>
            <w:tcBorders>
              <w:top w:val="nil"/>
              <w:left w:val="nil"/>
              <w:bottom w:val="nil"/>
              <w:right w:val="nil"/>
            </w:tcBorders>
            <w:shd w:val="clear" w:color="auto" w:fill="auto"/>
            <w:noWrap/>
            <w:vAlign w:val="bottom"/>
            <w:hideMark/>
          </w:tcPr>
          <w:p w14:paraId="6E288B9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(16,800)</w:t>
            </w:r>
          </w:p>
        </w:tc>
      </w:tr>
      <w:tr w:rsidR="00B70687" w:rsidRPr="00B70687" w14:paraId="14DC20D3"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090F137D"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26B588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0B2F529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1810D4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(20,560)</w:t>
            </w:r>
          </w:p>
        </w:tc>
        <w:tc>
          <w:tcPr>
            <w:tcW w:w="920" w:type="dxa"/>
            <w:tcBorders>
              <w:top w:val="nil"/>
              <w:left w:val="nil"/>
              <w:bottom w:val="nil"/>
              <w:right w:val="nil"/>
            </w:tcBorders>
            <w:shd w:val="clear" w:color="auto" w:fill="auto"/>
            <w:noWrap/>
            <w:vAlign w:val="bottom"/>
            <w:hideMark/>
          </w:tcPr>
          <w:p w14:paraId="3EE7382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(18,880)</w:t>
            </w:r>
          </w:p>
        </w:tc>
        <w:tc>
          <w:tcPr>
            <w:tcW w:w="920" w:type="dxa"/>
            <w:tcBorders>
              <w:top w:val="nil"/>
              <w:left w:val="nil"/>
              <w:bottom w:val="nil"/>
              <w:right w:val="nil"/>
            </w:tcBorders>
            <w:shd w:val="clear" w:color="auto" w:fill="auto"/>
            <w:noWrap/>
            <w:vAlign w:val="bottom"/>
            <w:hideMark/>
          </w:tcPr>
          <w:p w14:paraId="476133F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(18,760)</w:t>
            </w:r>
          </w:p>
        </w:tc>
        <w:tc>
          <w:tcPr>
            <w:tcW w:w="920" w:type="dxa"/>
            <w:tcBorders>
              <w:top w:val="nil"/>
              <w:left w:val="nil"/>
              <w:bottom w:val="nil"/>
              <w:right w:val="nil"/>
            </w:tcBorders>
            <w:shd w:val="clear" w:color="auto" w:fill="auto"/>
            <w:noWrap/>
            <w:vAlign w:val="bottom"/>
            <w:hideMark/>
          </w:tcPr>
          <w:p w14:paraId="771251E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(17,280)</w:t>
            </w:r>
          </w:p>
        </w:tc>
      </w:tr>
      <w:tr w:rsidR="00B70687" w:rsidRPr="00B70687" w14:paraId="04C36301"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5BE3EA56"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1A1BB1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1.9</w:t>
            </w:r>
          </w:p>
        </w:tc>
        <w:tc>
          <w:tcPr>
            <w:tcW w:w="920" w:type="dxa"/>
            <w:tcBorders>
              <w:top w:val="nil"/>
              <w:left w:val="nil"/>
              <w:bottom w:val="nil"/>
              <w:right w:val="nil"/>
            </w:tcBorders>
            <w:shd w:val="clear" w:color="auto" w:fill="auto"/>
            <w:noWrap/>
            <w:vAlign w:val="bottom"/>
            <w:hideMark/>
          </w:tcPr>
          <w:p w14:paraId="4494012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CFD292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(1,160)</w:t>
            </w:r>
          </w:p>
        </w:tc>
        <w:tc>
          <w:tcPr>
            <w:tcW w:w="920" w:type="dxa"/>
            <w:tcBorders>
              <w:top w:val="nil"/>
              <w:left w:val="nil"/>
              <w:bottom w:val="nil"/>
              <w:right w:val="nil"/>
            </w:tcBorders>
            <w:shd w:val="clear" w:color="auto" w:fill="auto"/>
            <w:noWrap/>
            <w:vAlign w:val="bottom"/>
            <w:hideMark/>
          </w:tcPr>
          <w:p w14:paraId="1720C44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(1,200)</w:t>
            </w:r>
          </w:p>
        </w:tc>
        <w:tc>
          <w:tcPr>
            <w:tcW w:w="920" w:type="dxa"/>
            <w:tcBorders>
              <w:top w:val="nil"/>
              <w:left w:val="nil"/>
              <w:bottom w:val="nil"/>
              <w:right w:val="nil"/>
            </w:tcBorders>
            <w:shd w:val="clear" w:color="auto" w:fill="auto"/>
            <w:noWrap/>
            <w:vAlign w:val="bottom"/>
            <w:hideMark/>
          </w:tcPr>
          <w:p w14:paraId="5F162B5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(1,200)</w:t>
            </w:r>
          </w:p>
        </w:tc>
        <w:tc>
          <w:tcPr>
            <w:tcW w:w="920" w:type="dxa"/>
            <w:tcBorders>
              <w:top w:val="nil"/>
              <w:left w:val="nil"/>
              <w:bottom w:val="nil"/>
              <w:right w:val="nil"/>
            </w:tcBorders>
            <w:shd w:val="clear" w:color="auto" w:fill="auto"/>
            <w:noWrap/>
            <w:vAlign w:val="bottom"/>
            <w:hideMark/>
          </w:tcPr>
          <w:p w14:paraId="708A4D4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(1,240)</w:t>
            </w:r>
          </w:p>
        </w:tc>
      </w:tr>
      <w:tr w:rsidR="00B70687" w:rsidRPr="00B70687" w14:paraId="115F8E47"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56B9D87B"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2B2CC9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105F718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8933C7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(640)</w:t>
            </w:r>
          </w:p>
        </w:tc>
        <w:tc>
          <w:tcPr>
            <w:tcW w:w="920" w:type="dxa"/>
            <w:tcBorders>
              <w:top w:val="nil"/>
              <w:left w:val="nil"/>
              <w:bottom w:val="nil"/>
              <w:right w:val="nil"/>
            </w:tcBorders>
            <w:shd w:val="clear" w:color="auto" w:fill="auto"/>
            <w:noWrap/>
            <w:vAlign w:val="bottom"/>
            <w:hideMark/>
          </w:tcPr>
          <w:p w14:paraId="03841ED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c>
          <w:tcPr>
            <w:tcW w:w="920" w:type="dxa"/>
            <w:tcBorders>
              <w:top w:val="nil"/>
              <w:left w:val="nil"/>
              <w:bottom w:val="nil"/>
              <w:right w:val="nil"/>
            </w:tcBorders>
            <w:shd w:val="clear" w:color="auto" w:fill="auto"/>
            <w:noWrap/>
            <w:vAlign w:val="bottom"/>
            <w:hideMark/>
          </w:tcPr>
          <w:p w14:paraId="7EA0D88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c>
          <w:tcPr>
            <w:tcW w:w="920" w:type="dxa"/>
            <w:tcBorders>
              <w:top w:val="nil"/>
              <w:left w:val="nil"/>
              <w:bottom w:val="nil"/>
              <w:right w:val="nil"/>
            </w:tcBorders>
            <w:shd w:val="clear" w:color="auto" w:fill="auto"/>
            <w:noWrap/>
            <w:vAlign w:val="bottom"/>
            <w:hideMark/>
          </w:tcPr>
          <w:p w14:paraId="7B9EACF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r>
      <w:tr w:rsidR="00B70687" w:rsidRPr="00B70687" w14:paraId="29D84539"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19E1F2F7"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C32B7E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10C638B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F7B955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(18,160)</w:t>
            </w:r>
          </w:p>
        </w:tc>
        <w:tc>
          <w:tcPr>
            <w:tcW w:w="920" w:type="dxa"/>
            <w:tcBorders>
              <w:top w:val="nil"/>
              <w:left w:val="nil"/>
              <w:bottom w:val="nil"/>
              <w:right w:val="nil"/>
            </w:tcBorders>
            <w:shd w:val="clear" w:color="auto" w:fill="auto"/>
            <w:noWrap/>
            <w:vAlign w:val="bottom"/>
            <w:hideMark/>
          </w:tcPr>
          <w:p w14:paraId="631DB71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(19,080)</w:t>
            </w:r>
          </w:p>
        </w:tc>
        <w:tc>
          <w:tcPr>
            <w:tcW w:w="920" w:type="dxa"/>
            <w:tcBorders>
              <w:top w:val="nil"/>
              <w:left w:val="nil"/>
              <w:bottom w:val="nil"/>
              <w:right w:val="nil"/>
            </w:tcBorders>
            <w:shd w:val="clear" w:color="auto" w:fill="auto"/>
            <w:noWrap/>
            <w:vAlign w:val="bottom"/>
            <w:hideMark/>
          </w:tcPr>
          <w:p w14:paraId="060526C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(19,480)</w:t>
            </w:r>
          </w:p>
        </w:tc>
        <w:tc>
          <w:tcPr>
            <w:tcW w:w="920" w:type="dxa"/>
            <w:tcBorders>
              <w:top w:val="nil"/>
              <w:left w:val="nil"/>
              <w:bottom w:val="nil"/>
              <w:right w:val="nil"/>
            </w:tcBorders>
            <w:shd w:val="clear" w:color="auto" w:fill="auto"/>
            <w:noWrap/>
            <w:vAlign w:val="bottom"/>
            <w:hideMark/>
          </w:tcPr>
          <w:p w14:paraId="0EAD4FB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(19,920)</w:t>
            </w:r>
          </w:p>
        </w:tc>
      </w:tr>
      <w:tr w:rsidR="00B70687" w:rsidRPr="00B70687" w14:paraId="6AA05BF4"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68E46D74"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E47DB8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2.4</w:t>
            </w:r>
          </w:p>
        </w:tc>
        <w:tc>
          <w:tcPr>
            <w:tcW w:w="920" w:type="dxa"/>
            <w:tcBorders>
              <w:top w:val="nil"/>
              <w:left w:val="nil"/>
              <w:bottom w:val="nil"/>
              <w:right w:val="nil"/>
            </w:tcBorders>
            <w:shd w:val="clear" w:color="auto" w:fill="auto"/>
            <w:noWrap/>
            <w:vAlign w:val="bottom"/>
            <w:hideMark/>
          </w:tcPr>
          <w:p w14:paraId="45BC879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CAB116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(360)</w:t>
            </w:r>
          </w:p>
        </w:tc>
        <w:tc>
          <w:tcPr>
            <w:tcW w:w="920" w:type="dxa"/>
            <w:tcBorders>
              <w:top w:val="nil"/>
              <w:left w:val="nil"/>
              <w:bottom w:val="nil"/>
              <w:right w:val="nil"/>
            </w:tcBorders>
            <w:shd w:val="clear" w:color="auto" w:fill="auto"/>
            <w:noWrap/>
            <w:vAlign w:val="bottom"/>
            <w:hideMark/>
          </w:tcPr>
          <w:p w14:paraId="79C8BE2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(200)</w:t>
            </w:r>
          </w:p>
        </w:tc>
        <w:tc>
          <w:tcPr>
            <w:tcW w:w="920" w:type="dxa"/>
            <w:tcBorders>
              <w:top w:val="nil"/>
              <w:left w:val="nil"/>
              <w:bottom w:val="nil"/>
              <w:right w:val="nil"/>
            </w:tcBorders>
            <w:shd w:val="clear" w:color="auto" w:fill="auto"/>
            <w:noWrap/>
            <w:vAlign w:val="bottom"/>
            <w:hideMark/>
          </w:tcPr>
          <w:p w14:paraId="25335DC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(200)</w:t>
            </w:r>
          </w:p>
        </w:tc>
        <w:tc>
          <w:tcPr>
            <w:tcW w:w="920" w:type="dxa"/>
            <w:tcBorders>
              <w:top w:val="nil"/>
              <w:left w:val="nil"/>
              <w:bottom w:val="nil"/>
              <w:right w:val="nil"/>
            </w:tcBorders>
            <w:shd w:val="clear" w:color="auto" w:fill="auto"/>
            <w:noWrap/>
            <w:vAlign w:val="bottom"/>
            <w:hideMark/>
          </w:tcPr>
          <w:p w14:paraId="3EA2122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(200)</w:t>
            </w:r>
          </w:p>
        </w:tc>
      </w:tr>
      <w:tr w:rsidR="00B70687" w:rsidRPr="00B70687" w14:paraId="1A5744A2"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24F49967"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6ADBE4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2.6</w:t>
            </w:r>
          </w:p>
        </w:tc>
        <w:tc>
          <w:tcPr>
            <w:tcW w:w="920" w:type="dxa"/>
            <w:tcBorders>
              <w:top w:val="nil"/>
              <w:left w:val="nil"/>
              <w:bottom w:val="nil"/>
              <w:right w:val="nil"/>
            </w:tcBorders>
            <w:shd w:val="clear" w:color="auto" w:fill="auto"/>
            <w:noWrap/>
            <w:vAlign w:val="bottom"/>
            <w:hideMark/>
          </w:tcPr>
          <w:p w14:paraId="6268F2D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F3A296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c>
          <w:tcPr>
            <w:tcW w:w="920" w:type="dxa"/>
            <w:tcBorders>
              <w:top w:val="nil"/>
              <w:left w:val="nil"/>
              <w:bottom w:val="nil"/>
              <w:right w:val="nil"/>
            </w:tcBorders>
            <w:shd w:val="clear" w:color="auto" w:fill="auto"/>
            <w:noWrap/>
            <w:vAlign w:val="bottom"/>
            <w:hideMark/>
          </w:tcPr>
          <w:p w14:paraId="25525C4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c>
          <w:tcPr>
            <w:tcW w:w="920" w:type="dxa"/>
            <w:tcBorders>
              <w:top w:val="nil"/>
              <w:left w:val="nil"/>
              <w:bottom w:val="nil"/>
              <w:right w:val="nil"/>
            </w:tcBorders>
            <w:shd w:val="clear" w:color="auto" w:fill="auto"/>
            <w:noWrap/>
            <w:vAlign w:val="bottom"/>
            <w:hideMark/>
          </w:tcPr>
          <w:p w14:paraId="63AC161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c>
          <w:tcPr>
            <w:tcW w:w="920" w:type="dxa"/>
            <w:tcBorders>
              <w:top w:val="nil"/>
              <w:left w:val="nil"/>
              <w:bottom w:val="nil"/>
              <w:right w:val="nil"/>
            </w:tcBorders>
            <w:shd w:val="clear" w:color="auto" w:fill="auto"/>
            <w:noWrap/>
            <w:vAlign w:val="bottom"/>
            <w:hideMark/>
          </w:tcPr>
          <w:p w14:paraId="5BD876E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(680)</w:t>
            </w:r>
          </w:p>
        </w:tc>
      </w:tr>
      <w:tr w:rsidR="00B70687" w:rsidRPr="00B70687" w14:paraId="0A0216EA"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20F0A8DC"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B8AC7A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2.7</w:t>
            </w:r>
          </w:p>
        </w:tc>
        <w:tc>
          <w:tcPr>
            <w:tcW w:w="920" w:type="dxa"/>
            <w:tcBorders>
              <w:top w:val="nil"/>
              <w:left w:val="nil"/>
              <w:bottom w:val="nil"/>
              <w:right w:val="nil"/>
            </w:tcBorders>
            <w:shd w:val="clear" w:color="auto" w:fill="auto"/>
            <w:noWrap/>
            <w:vAlign w:val="bottom"/>
            <w:hideMark/>
          </w:tcPr>
          <w:p w14:paraId="26193EC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18B647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(80)</w:t>
            </w:r>
          </w:p>
        </w:tc>
        <w:tc>
          <w:tcPr>
            <w:tcW w:w="920" w:type="dxa"/>
            <w:tcBorders>
              <w:top w:val="nil"/>
              <w:left w:val="nil"/>
              <w:bottom w:val="nil"/>
              <w:right w:val="nil"/>
            </w:tcBorders>
            <w:shd w:val="clear" w:color="auto" w:fill="auto"/>
            <w:noWrap/>
            <w:vAlign w:val="bottom"/>
            <w:hideMark/>
          </w:tcPr>
          <w:p w14:paraId="4B99035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(80)</w:t>
            </w:r>
          </w:p>
        </w:tc>
        <w:tc>
          <w:tcPr>
            <w:tcW w:w="920" w:type="dxa"/>
            <w:tcBorders>
              <w:top w:val="nil"/>
              <w:left w:val="nil"/>
              <w:bottom w:val="nil"/>
              <w:right w:val="nil"/>
            </w:tcBorders>
            <w:shd w:val="clear" w:color="auto" w:fill="auto"/>
            <w:noWrap/>
            <w:vAlign w:val="bottom"/>
            <w:hideMark/>
          </w:tcPr>
          <w:p w14:paraId="4821F49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(80)</w:t>
            </w:r>
          </w:p>
        </w:tc>
        <w:tc>
          <w:tcPr>
            <w:tcW w:w="920" w:type="dxa"/>
            <w:tcBorders>
              <w:top w:val="nil"/>
              <w:left w:val="nil"/>
              <w:bottom w:val="nil"/>
              <w:right w:val="nil"/>
            </w:tcBorders>
            <w:shd w:val="clear" w:color="auto" w:fill="auto"/>
            <w:noWrap/>
            <w:vAlign w:val="bottom"/>
            <w:hideMark/>
          </w:tcPr>
          <w:p w14:paraId="59B1832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(80)</w:t>
            </w:r>
          </w:p>
        </w:tc>
      </w:tr>
      <w:tr w:rsidR="00B70687" w:rsidRPr="00B70687" w14:paraId="73581B1D"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0D35C004"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21404F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3.1</w:t>
            </w:r>
          </w:p>
        </w:tc>
        <w:tc>
          <w:tcPr>
            <w:tcW w:w="920" w:type="dxa"/>
            <w:tcBorders>
              <w:top w:val="nil"/>
              <w:left w:val="nil"/>
              <w:bottom w:val="nil"/>
              <w:right w:val="nil"/>
            </w:tcBorders>
            <w:shd w:val="clear" w:color="auto" w:fill="auto"/>
            <w:noWrap/>
            <w:vAlign w:val="bottom"/>
            <w:hideMark/>
          </w:tcPr>
          <w:p w14:paraId="351025D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788915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(26,040)</w:t>
            </w:r>
          </w:p>
        </w:tc>
        <w:tc>
          <w:tcPr>
            <w:tcW w:w="920" w:type="dxa"/>
            <w:tcBorders>
              <w:top w:val="nil"/>
              <w:left w:val="nil"/>
              <w:bottom w:val="nil"/>
              <w:right w:val="nil"/>
            </w:tcBorders>
            <w:shd w:val="clear" w:color="auto" w:fill="auto"/>
            <w:noWrap/>
            <w:vAlign w:val="bottom"/>
            <w:hideMark/>
          </w:tcPr>
          <w:p w14:paraId="5D3C36C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(25,920)</w:t>
            </w:r>
          </w:p>
        </w:tc>
        <w:tc>
          <w:tcPr>
            <w:tcW w:w="920" w:type="dxa"/>
            <w:tcBorders>
              <w:top w:val="nil"/>
              <w:left w:val="nil"/>
              <w:bottom w:val="nil"/>
              <w:right w:val="nil"/>
            </w:tcBorders>
            <w:shd w:val="clear" w:color="auto" w:fill="auto"/>
            <w:noWrap/>
            <w:vAlign w:val="bottom"/>
            <w:hideMark/>
          </w:tcPr>
          <w:p w14:paraId="6A0D71E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(26,120)</w:t>
            </w:r>
          </w:p>
        </w:tc>
        <w:tc>
          <w:tcPr>
            <w:tcW w:w="920" w:type="dxa"/>
            <w:tcBorders>
              <w:top w:val="nil"/>
              <w:left w:val="nil"/>
              <w:bottom w:val="nil"/>
              <w:right w:val="nil"/>
            </w:tcBorders>
            <w:shd w:val="clear" w:color="auto" w:fill="auto"/>
            <w:noWrap/>
            <w:vAlign w:val="bottom"/>
            <w:hideMark/>
          </w:tcPr>
          <w:p w14:paraId="20D7014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(26,160)</w:t>
            </w:r>
          </w:p>
        </w:tc>
      </w:tr>
      <w:tr w:rsidR="00B70687" w:rsidRPr="00B70687" w14:paraId="485A1184"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16151515"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1D68FA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3.2</w:t>
            </w:r>
          </w:p>
        </w:tc>
        <w:tc>
          <w:tcPr>
            <w:tcW w:w="920" w:type="dxa"/>
            <w:tcBorders>
              <w:top w:val="nil"/>
              <w:left w:val="nil"/>
              <w:bottom w:val="nil"/>
              <w:right w:val="nil"/>
            </w:tcBorders>
            <w:shd w:val="clear" w:color="auto" w:fill="auto"/>
            <w:noWrap/>
            <w:vAlign w:val="bottom"/>
            <w:hideMark/>
          </w:tcPr>
          <w:p w14:paraId="5F530A3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FBC7B9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(162,120)</w:t>
            </w:r>
          </w:p>
        </w:tc>
        <w:tc>
          <w:tcPr>
            <w:tcW w:w="920" w:type="dxa"/>
            <w:tcBorders>
              <w:top w:val="nil"/>
              <w:left w:val="nil"/>
              <w:bottom w:val="nil"/>
              <w:right w:val="nil"/>
            </w:tcBorders>
            <w:shd w:val="clear" w:color="auto" w:fill="auto"/>
            <w:noWrap/>
            <w:vAlign w:val="bottom"/>
            <w:hideMark/>
          </w:tcPr>
          <w:p w14:paraId="4CDDF08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(167,040)</w:t>
            </w:r>
          </w:p>
        </w:tc>
        <w:tc>
          <w:tcPr>
            <w:tcW w:w="920" w:type="dxa"/>
            <w:tcBorders>
              <w:top w:val="nil"/>
              <w:left w:val="nil"/>
              <w:bottom w:val="nil"/>
              <w:right w:val="nil"/>
            </w:tcBorders>
            <w:shd w:val="clear" w:color="auto" w:fill="auto"/>
            <w:noWrap/>
            <w:vAlign w:val="bottom"/>
            <w:hideMark/>
          </w:tcPr>
          <w:p w14:paraId="7961260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(176,120)</w:t>
            </w:r>
          </w:p>
        </w:tc>
        <w:tc>
          <w:tcPr>
            <w:tcW w:w="920" w:type="dxa"/>
            <w:tcBorders>
              <w:top w:val="nil"/>
              <w:left w:val="nil"/>
              <w:bottom w:val="nil"/>
              <w:right w:val="nil"/>
            </w:tcBorders>
            <w:shd w:val="clear" w:color="auto" w:fill="auto"/>
            <w:noWrap/>
            <w:vAlign w:val="bottom"/>
            <w:hideMark/>
          </w:tcPr>
          <w:p w14:paraId="1EFC190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(185,160)</w:t>
            </w:r>
          </w:p>
        </w:tc>
      </w:tr>
      <w:tr w:rsidR="00B70687" w:rsidRPr="00B70687" w14:paraId="08319E9A"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425ED037"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A66B0F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609FA52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790D16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(13,520)</w:t>
            </w:r>
          </w:p>
        </w:tc>
        <w:tc>
          <w:tcPr>
            <w:tcW w:w="920" w:type="dxa"/>
            <w:tcBorders>
              <w:top w:val="nil"/>
              <w:left w:val="nil"/>
              <w:bottom w:val="nil"/>
              <w:right w:val="nil"/>
            </w:tcBorders>
            <w:shd w:val="clear" w:color="auto" w:fill="auto"/>
            <w:noWrap/>
            <w:vAlign w:val="bottom"/>
            <w:hideMark/>
          </w:tcPr>
          <w:p w14:paraId="39BECB7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(9,120)</w:t>
            </w:r>
          </w:p>
        </w:tc>
        <w:tc>
          <w:tcPr>
            <w:tcW w:w="920" w:type="dxa"/>
            <w:tcBorders>
              <w:top w:val="nil"/>
              <w:left w:val="nil"/>
              <w:bottom w:val="nil"/>
              <w:right w:val="nil"/>
            </w:tcBorders>
            <w:shd w:val="clear" w:color="auto" w:fill="auto"/>
            <w:noWrap/>
            <w:vAlign w:val="bottom"/>
            <w:hideMark/>
          </w:tcPr>
          <w:p w14:paraId="678F722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(9,000)</w:t>
            </w:r>
          </w:p>
        </w:tc>
        <w:tc>
          <w:tcPr>
            <w:tcW w:w="920" w:type="dxa"/>
            <w:tcBorders>
              <w:top w:val="nil"/>
              <w:left w:val="nil"/>
              <w:bottom w:val="nil"/>
              <w:right w:val="nil"/>
            </w:tcBorders>
            <w:shd w:val="clear" w:color="auto" w:fill="auto"/>
            <w:noWrap/>
            <w:vAlign w:val="bottom"/>
            <w:hideMark/>
          </w:tcPr>
          <w:p w14:paraId="051B6D0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(8,880)</w:t>
            </w:r>
          </w:p>
        </w:tc>
      </w:tr>
      <w:tr w:rsidR="00B70687" w:rsidRPr="00B70687" w14:paraId="201AF0F1"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729E2840" w14:textId="77777777" w:rsidR="00B70687" w:rsidRPr="00B70687" w:rsidRDefault="00B70687" w:rsidP="00B7068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87B02D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4.1</w:t>
            </w:r>
          </w:p>
        </w:tc>
        <w:tc>
          <w:tcPr>
            <w:tcW w:w="920" w:type="dxa"/>
            <w:tcBorders>
              <w:top w:val="nil"/>
              <w:left w:val="nil"/>
              <w:bottom w:val="nil"/>
              <w:right w:val="nil"/>
            </w:tcBorders>
            <w:shd w:val="clear" w:color="auto" w:fill="auto"/>
            <w:noWrap/>
            <w:vAlign w:val="bottom"/>
            <w:hideMark/>
          </w:tcPr>
          <w:p w14:paraId="6228684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335C09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(1,520)</w:t>
            </w:r>
          </w:p>
        </w:tc>
        <w:tc>
          <w:tcPr>
            <w:tcW w:w="920" w:type="dxa"/>
            <w:tcBorders>
              <w:top w:val="nil"/>
              <w:left w:val="nil"/>
              <w:bottom w:val="nil"/>
              <w:right w:val="nil"/>
            </w:tcBorders>
            <w:shd w:val="clear" w:color="auto" w:fill="auto"/>
            <w:noWrap/>
            <w:vAlign w:val="bottom"/>
            <w:hideMark/>
          </w:tcPr>
          <w:p w14:paraId="002A354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(1,520)</w:t>
            </w:r>
          </w:p>
        </w:tc>
        <w:tc>
          <w:tcPr>
            <w:tcW w:w="920" w:type="dxa"/>
            <w:tcBorders>
              <w:top w:val="nil"/>
              <w:left w:val="nil"/>
              <w:bottom w:val="nil"/>
              <w:right w:val="nil"/>
            </w:tcBorders>
            <w:shd w:val="clear" w:color="auto" w:fill="auto"/>
            <w:noWrap/>
            <w:vAlign w:val="bottom"/>
            <w:hideMark/>
          </w:tcPr>
          <w:p w14:paraId="6E4B99A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(1,640)</w:t>
            </w:r>
          </w:p>
        </w:tc>
        <w:tc>
          <w:tcPr>
            <w:tcW w:w="920" w:type="dxa"/>
            <w:tcBorders>
              <w:top w:val="nil"/>
              <w:left w:val="nil"/>
              <w:bottom w:val="nil"/>
              <w:right w:val="nil"/>
            </w:tcBorders>
            <w:shd w:val="clear" w:color="auto" w:fill="auto"/>
            <w:noWrap/>
            <w:vAlign w:val="bottom"/>
            <w:hideMark/>
          </w:tcPr>
          <w:p w14:paraId="6552448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(1,800)</w:t>
            </w:r>
          </w:p>
        </w:tc>
      </w:tr>
      <w:tr w:rsidR="00B70687" w:rsidRPr="00B70687" w14:paraId="7FC1C536" w14:textId="77777777" w:rsidTr="00934D5E">
        <w:trPr>
          <w:trHeight w:val="225"/>
          <w:jc w:val="center"/>
        </w:trPr>
        <w:tc>
          <w:tcPr>
            <w:tcW w:w="2320" w:type="dxa"/>
            <w:tcBorders>
              <w:top w:val="nil"/>
              <w:left w:val="nil"/>
              <w:right w:val="nil"/>
            </w:tcBorders>
            <w:shd w:val="clear" w:color="auto" w:fill="auto"/>
            <w:vAlign w:val="bottom"/>
            <w:hideMark/>
          </w:tcPr>
          <w:p w14:paraId="449A0C7E" w14:textId="77777777" w:rsidR="00B70687" w:rsidRPr="00B70687" w:rsidRDefault="00B70687" w:rsidP="00B70687">
            <w:pPr>
              <w:spacing w:after="0"/>
              <w:ind w:firstLineChars="100" w:firstLine="160"/>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64DE076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34CFCFA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35DA7C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1,121 </w:t>
            </w:r>
          </w:p>
        </w:tc>
        <w:tc>
          <w:tcPr>
            <w:tcW w:w="920" w:type="dxa"/>
            <w:tcBorders>
              <w:top w:val="nil"/>
              <w:left w:val="nil"/>
              <w:bottom w:val="nil"/>
              <w:right w:val="nil"/>
            </w:tcBorders>
            <w:shd w:val="clear" w:color="auto" w:fill="auto"/>
            <w:noWrap/>
            <w:vAlign w:val="bottom"/>
            <w:hideMark/>
          </w:tcPr>
          <w:p w14:paraId="5AF9ADD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1,137 </w:t>
            </w:r>
          </w:p>
        </w:tc>
        <w:tc>
          <w:tcPr>
            <w:tcW w:w="920" w:type="dxa"/>
            <w:tcBorders>
              <w:top w:val="nil"/>
              <w:left w:val="nil"/>
              <w:bottom w:val="nil"/>
              <w:right w:val="nil"/>
            </w:tcBorders>
            <w:shd w:val="clear" w:color="auto" w:fill="auto"/>
            <w:noWrap/>
            <w:vAlign w:val="bottom"/>
            <w:hideMark/>
          </w:tcPr>
          <w:p w14:paraId="3790092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1,146 </w:t>
            </w:r>
          </w:p>
        </w:tc>
        <w:tc>
          <w:tcPr>
            <w:tcW w:w="920" w:type="dxa"/>
            <w:tcBorders>
              <w:top w:val="nil"/>
              <w:left w:val="nil"/>
              <w:bottom w:val="nil"/>
              <w:right w:val="nil"/>
            </w:tcBorders>
            <w:shd w:val="clear" w:color="auto" w:fill="auto"/>
            <w:noWrap/>
            <w:vAlign w:val="bottom"/>
            <w:hideMark/>
          </w:tcPr>
          <w:p w14:paraId="2BBCA99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898 </w:t>
            </w:r>
          </w:p>
        </w:tc>
      </w:tr>
      <w:tr w:rsidR="00B70687" w:rsidRPr="00B70687" w14:paraId="4C6B304B"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47B7A8E5" w14:textId="77777777" w:rsidR="00B70687" w:rsidRPr="00B70687" w:rsidRDefault="00B70687" w:rsidP="00B70687">
            <w:pPr>
              <w:spacing w:after="0"/>
              <w:rPr>
                <w:rFonts w:ascii="Arial" w:hAnsi="Arial" w:cs="Arial"/>
                <w:b/>
                <w:bCs/>
                <w:color w:val="auto"/>
                <w:sz w:val="16"/>
                <w:szCs w:val="16"/>
              </w:rPr>
            </w:pPr>
            <w:r w:rsidRPr="00B70687">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6BD731D4" w14:textId="77777777" w:rsidR="00B70687" w:rsidRPr="00B70687" w:rsidRDefault="00B70687" w:rsidP="00B7068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99F8DA6"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909E80E"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(414,599)</w:t>
            </w:r>
          </w:p>
        </w:tc>
        <w:tc>
          <w:tcPr>
            <w:tcW w:w="920" w:type="dxa"/>
            <w:tcBorders>
              <w:top w:val="single" w:sz="4" w:space="0" w:color="000000"/>
              <w:left w:val="nil"/>
              <w:bottom w:val="single" w:sz="4" w:space="0" w:color="000000"/>
              <w:right w:val="nil"/>
            </w:tcBorders>
            <w:shd w:val="clear" w:color="auto" w:fill="auto"/>
            <w:noWrap/>
            <w:vAlign w:val="bottom"/>
            <w:hideMark/>
          </w:tcPr>
          <w:p w14:paraId="4C183741"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(415,943)</w:t>
            </w:r>
          </w:p>
        </w:tc>
        <w:tc>
          <w:tcPr>
            <w:tcW w:w="920" w:type="dxa"/>
            <w:tcBorders>
              <w:top w:val="single" w:sz="4" w:space="0" w:color="000000"/>
              <w:left w:val="nil"/>
              <w:bottom w:val="single" w:sz="4" w:space="0" w:color="000000"/>
              <w:right w:val="nil"/>
            </w:tcBorders>
            <w:shd w:val="clear" w:color="auto" w:fill="auto"/>
            <w:noWrap/>
            <w:vAlign w:val="bottom"/>
            <w:hideMark/>
          </w:tcPr>
          <w:p w14:paraId="580C8E1B"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(417,014)</w:t>
            </w:r>
          </w:p>
        </w:tc>
        <w:tc>
          <w:tcPr>
            <w:tcW w:w="920" w:type="dxa"/>
            <w:tcBorders>
              <w:top w:val="single" w:sz="4" w:space="0" w:color="000000"/>
              <w:left w:val="nil"/>
              <w:bottom w:val="single" w:sz="4" w:space="0" w:color="000000"/>
              <w:right w:val="nil"/>
            </w:tcBorders>
            <w:shd w:val="clear" w:color="auto" w:fill="auto"/>
            <w:noWrap/>
            <w:vAlign w:val="bottom"/>
            <w:hideMark/>
          </w:tcPr>
          <w:p w14:paraId="74B4854F"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(421,982)</w:t>
            </w:r>
          </w:p>
        </w:tc>
      </w:tr>
    </w:tbl>
    <w:p w14:paraId="3A441AE3" w14:textId="77777777" w:rsidR="009C684C" w:rsidRDefault="009C684C">
      <w:pPr>
        <w:spacing w:after="0"/>
        <w:rPr>
          <w:rFonts w:ascii="Arial" w:hAnsi="Arial" w:cs="Arial"/>
          <w:b/>
          <w:sz w:val="20"/>
          <w:szCs w:val="18"/>
        </w:rPr>
      </w:pPr>
      <w:r>
        <w:rPr>
          <w:sz w:val="20"/>
        </w:rPr>
        <w:br w:type="page"/>
      </w:r>
    </w:p>
    <w:p w14:paraId="0AD4442B" w14:textId="2DCA058F" w:rsidR="0013129D" w:rsidRPr="00F277A4" w:rsidRDefault="001807F5" w:rsidP="001807F5">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B70687" w:rsidRPr="00B70687" w14:paraId="024F1659" w14:textId="77777777" w:rsidTr="00B70687">
        <w:trPr>
          <w:trHeight w:val="283"/>
          <w:jc w:val="center"/>
        </w:trPr>
        <w:tc>
          <w:tcPr>
            <w:tcW w:w="2780" w:type="dxa"/>
            <w:gridSpan w:val="2"/>
            <w:tcBorders>
              <w:top w:val="single" w:sz="4" w:space="0" w:color="000000"/>
              <w:left w:val="nil"/>
              <w:bottom w:val="nil"/>
              <w:right w:val="nil"/>
            </w:tcBorders>
            <w:shd w:val="clear" w:color="auto" w:fill="auto"/>
            <w:vAlign w:val="bottom"/>
            <w:hideMark/>
          </w:tcPr>
          <w:p w14:paraId="7555C36E"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 xml:space="preserve">Outcome/ </w:t>
            </w:r>
            <w:r w:rsidRPr="00B70687">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763739AF"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2022–23</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3FACEFFA"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2023–24</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87F17F8"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2024–25</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EC7703D"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2025–26</w:t>
            </w:r>
            <w:r w:rsidRPr="00B7068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7429CA9E" w14:textId="77777777" w:rsidR="00B70687" w:rsidRPr="00B70687" w:rsidRDefault="00B70687" w:rsidP="00B70687">
            <w:pPr>
              <w:spacing w:before="40" w:after="0"/>
              <w:jc w:val="right"/>
              <w:rPr>
                <w:rFonts w:ascii="Arial" w:hAnsi="Arial" w:cs="Arial"/>
                <w:b/>
                <w:bCs/>
                <w:color w:val="auto"/>
                <w:sz w:val="16"/>
                <w:szCs w:val="16"/>
              </w:rPr>
            </w:pPr>
            <w:r w:rsidRPr="00B70687">
              <w:rPr>
                <w:rFonts w:ascii="Arial" w:hAnsi="Arial" w:cs="Arial"/>
                <w:b/>
                <w:bCs/>
                <w:color w:val="auto"/>
                <w:sz w:val="16"/>
                <w:szCs w:val="16"/>
              </w:rPr>
              <w:t>2026–27</w:t>
            </w:r>
            <w:r w:rsidRPr="00B70687">
              <w:rPr>
                <w:rFonts w:ascii="Arial" w:hAnsi="Arial" w:cs="Arial"/>
                <w:b/>
                <w:bCs/>
                <w:color w:val="auto"/>
                <w:sz w:val="16"/>
                <w:szCs w:val="16"/>
              </w:rPr>
              <w:br/>
              <w:t>$'000</w:t>
            </w:r>
          </w:p>
        </w:tc>
      </w:tr>
      <w:tr w:rsidR="00B70687" w:rsidRPr="00B70687" w14:paraId="6F1698D1" w14:textId="77777777" w:rsidTr="00B70687">
        <w:trPr>
          <w:trHeight w:val="283"/>
          <w:jc w:val="center"/>
        </w:trPr>
        <w:tc>
          <w:tcPr>
            <w:tcW w:w="7380" w:type="dxa"/>
            <w:gridSpan w:val="7"/>
            <w:tcBorders>
              <w:top w:val="nil"/>
              <w:left w:val="nil"/>
              <w:bottom w:val="nil"/>
              <w:right w:val="nil"/>
            </w:tcBorders>
            <w:shd w:val="clear" w:color="auto" w:fill="auto"/>
            <w:vAlign w:val="bottom"/>
            <w:hideMark/>
          </w:tcPr>
          <w:p w14:paraId="2F190D0E" w14:textId="77777777" w:rsidR="00B70687" w:rsidRPr="00B70687" w:rsidRDefault="00B70687" w:rsidP="00B70687">
            <w:pPr>
              <w:spacing w:after="0"/>
              <w:rPr>
                <w:rFonts w:ascii="Arial" w:hAnsi="Arial" w:cs="Arial"/>
                <w:b/>
                <w:bCs/>
                <w:color w:val="auto"/>
                <w:sz w:val="16"/>
                <w:szCs w:val="16"/>
              </w:rPr>
            </w:pPr>
            <w:r w:rsidRPr="00B70687">
              <w:rPr>
                <w:rFonts w:ascii="Arial" w:hAnsi="Arial" w:cs="Arial"/>
                <w:b/>
                <w:bCs/>
                <w:color w:val="auto"/>
                <w:sz w:val="16"/>
                <w:szCs w:val="16"/>
              </w:rPr>
              <w:t xml:space="preserve">Strengthening Medicare </w:t>
            </w:r>
            <w:r w:rsidRPr="00B70687">
              <w:rPr>
                <w:rFonts w:ascii="Arial" w:hAnsi="Arial" w:cs="Arial"/>
                <w:b/>
                <w:bCs/>
                <w:color w:val="auto"/>
                <w:sz w:val="16"/>
                <w:szCs w:val="16"/>
                <w:vertAlign w:val="superscript"/>
              </w:rPr>
              <w:t>(b)</w:t>
            </w:r>
          </w:p>
        </w:tc>
      </w:tr>
      <w:tr w:rsidR="00B70687" w:rsidRPr="00B70687" w14:paraId="1D7B25F0" w14:textId="77777777" w:rsidTr="00B70687">
        <w:trPr>
          <w:trHeight w:val="425"/>
          <w:jc w:val="center"/>
        </w:trPr>
        <w:tc>
          <w:tcPr>
            <w:tcW w:w="2320" w:type="dxa"/>
            <w:tcBorders>
              <w:top w:val="nil"/>
              <w:left w:val="nil"/>
              <w:bottom w:val="nil"/>
              <w:right w:val="nil"/>
            </w:tcBorders>
            <w:shd w:val="clear" w:color="auto" w:fill="auto"/>
            <w:vAlign w:val="bottom"/>
            <w:hideMark/>
          </w:tcPr>
          <w:p w14:paraId="50F18CC0"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DB18148"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DB997B2"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3FD811F"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F4F6D09"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516C5E3"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5B28A94"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75B5BACF"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186B1752"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F6A61E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1.1</w:t>
            </w:r>
          </w:p>
        </w:tc>
        <w:tc>
          <w:tcPr>
            <w:tcW w:w="920" w:type="dxa"/>
            <w:tcBorders>
              <w:top w:val="nil"/>
              <w:left w:val="nil"/>
              <w:bottom w:val="nil"/>
              <w:right w:val="nil"/>
            </w:tcBorders>
            <w:shd w:val="clear" w:color="auto" w:fill="auto"/>
            <w:noWrap/>
            <w:vAlign w:val="bottom"/>
            <w:hideMark/>
          </w:tcPr>
          <w:p w14:paraId="0F3BC9B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3B56A2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4,620 </w:t>
            </w:r>
          </w:p>
        </w:tc>
        <w:tc>
          <w:tcPr>
            <w:tcW w:w="920" w:type="dxa"/>
            <w:tcBorders>
              <w:top w:val="nil"/>
              <w:left w:val="nil"/>
              <w:bottom w:val="nil"/>
              <w:right w:val="nil"/>
            </w:tcBorders>
            <w:shd w:val="clear" w:color="auto" w:fill="auto"/>
            <w:noWrap/>
            <w:vAlign w:val="bottom"/>
            <w:hideMark/>
          </w:tcPr>
          <w:p w14:paraId="61B67F1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3,086 </w:t>
            </w:r>
          </w:p>
        </w:tc>
        <w:tc>
          <w:tcPr>
            <w:tcW w:w="920" w:type="dxa"/>
            <w:tcBorders>
              <w:top w:val="nil"/>
              <w:left w:val="nil"/>
              <w:bottom w:val="nil"/>
              <w:right w:val="nil"/>
            </w:tcBorders>
            <w:shd w:val="clear" w:color="auto" w:fill="auto"/>
            <w:noWrap/>
            <w:vAlign w:val="bottom"/>
            <w:hideMark/>
          </w:tcPr>
          <w:p w14:paraId="313640D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1,998 </w:t>
            </w:r>
          </w:p>
        </w:tc>
        <w:tc>
          <w:tcPr>
            <w:tcW w:w="920" w:type="dxa"/>
            <w:tcBorders>
              <w:top w:val="nil"/>
              <w:left w:val="nil"/>
              <w:bottom w:val="nil"/>
              <w:right w:val="nil"/>
            </w:tcBorders>
            <w:shd w:val="clear" w:color="auto" w:fill="auto"/>
            <w:noWrap/>
            <w:vAlign w:val="bottom"/>
            <w:hideMark/>
          </w:tcPr>
          <w:p w14:paraId="096152E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1,800 </w:t>
            </w:r>
          </w:p>
        </w:tc>
      </w:tr>
      <w:tr w:rsidR="00B70687" w:rsidRPr="00B70687" w14:paraId="2D1FE5B3"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57CC8A10"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CD9732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1.4</w:t>
            </w:r>
          </w:p>
        </w:tc>
        <w:tc>
          <w:tcPr>
            <w:tcW w:w="920" w:type="dxa"/>
            <w:tcBorders>
              <w:top w:val="nil"/>
              <w:left w:val="nil"/>
              <w:bottom w:val="nil"/>
              <w:right w:val="nil"/>
            </w:tcBorders>
            <w:shd w:val="clear" w:color="auto" w:fill="auto"/>
            <w:noWrap/>
            <w:vAlign w:val="bottom"/>
            <w:hideMark/>
          </w:tcPr>
          <w:p w14:paraId="1D24B71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4904E6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161,439 </w:t>
            </w:r>
          </w:p>
        </w:tc>
        <w:tc>
          <w:tcPr>
            <w:tcW w:w="920" w:type="dxa"/>
            <w:tcBorders>
              <w:top w:val="nil"/>
              <w:left w:val="nil"/>
              <w:bottom w:val="nil"/>
              <w:right w:val="nil"/>
            </w:tcBorders>
            <w:shd w:val="clear" w:color="auto" w:fill="auto"/>
            <w:noWrap/>
            <w:vAlign w:val="bottom"/>
            <w:hideMark/>
          </w:tcPr>
          <w:p w14:paraId="4F1CEB4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150,899 </w:t>
            </w:r>
          </w:p>
        </w:tc>
        <w:tc>
          <w:tcPr>
            <w:tcW w:w="920" w:type="dxa"/>
            <w:tcBorders>
              <w:top w:val="nil"/>
              <w:left w:val="nil"/>
              <w:bottom w:val="nil"/>
              <w:right w:val="nil"/>
            </w:tcBorders>
            <w:shd w:val="clear" w:color="auto" w:fill="auto"/>
            <w:noWrap/>
            <w:vAlign w:val="bottom"/>
            <w:hideMark/>
          </w:tcPr>
          <w:p w14:paraId="237C156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128,609 </w:t>
            </w:r>
          </w:p>
        </w:tc>
        <w:tc>
          <w:tcPr>
            <w:tcW w:w="920" w:type="dxa"/>
            <w:tcBorders>
              <w:top w:val="nil"/>
              <w:left w:val="nil"/>
              <w:bottom w:val="nil"/>
              <w:right w:val="nil"/>
            </w:tcBorders>
            <w:shd w:val="clear" w:color="auto" w:fill="auto"/>
            <w:noWrap/>
            <w:vAlign w:val="bottom"/>
            <w:hideMark/>
          </w:tcPr>
          <w:p w14:paraId="6A4D28B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138,073 </w:t>
            </w:r>
          </w:p>
        </w:tc>
      </w:tr>
      <w:tr w:rsidR="00B70687" w:rsidRPr="00B70687" w14:paraId="706D8128"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BBBC91D"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E1F232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7B94127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A9538C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118,209 </w:t>
            </w:r>
          </w:p>
        </w:tc>
        <w:tc>
          <w:tcPr>
            <w:tcW w:w="920" w:type="dxa"/>
            <w:tcBorders>
              <w:top w:val="nil"/>
              <w:left w:val="nil"/>
              <w:bottom w:val="nil"/>
              <w:right w:val="nil"/>
            </w:tcBorders>
            <w:shd w:val="clear" w:color="auto" w:fill="auto"/>
            <w:noWrap/>
            <w:vAlign w:val="bottom"/>
            <w:hideMark/>
          </w:tcPr>
          <w:p w14:paraId="49AFB9C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106,987 </w:t>
            </w:r>
          </w:p>
        </w:tc>
        <w:tc>
          <w:tcPr>
            <w:tcW w:w="920" w:type="dxa"/>
            <w:tcBorders>
              <w:top w:val="nil"/>
              <w:left w:val="nil"/>
              <w:bottom w:val="nil"/>
              <w:right w:val="nil"/>
            </w:tcBorders>
            <w:shd w:val="clear" w:color="auto" w:fill="auto"/>
            <w:noWrap/>
            <w:vAlign w:val="bottom"/>
            <w:hideMark/>
          </w:tcPr>
          <w:p w14:paraId="7577DE6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42,478 </w:t>
            </w:r>
          </w:p>
        </w:tc>
        <w:tc>
          <w:tcPr>
            <w:tcW w:w="920" w:type="dxa"/>
            <w:tcBorders>
              <w:top w:val="nil"/>
              <w:left w:val="nil"/>
              <w:bottom w:val="nil"/>
              <w:right w:val="nil"/>
            </w:tcBorders>
            <w:shd w:val="clear" w:color="auto" w:fill="auto"/>
            <w:noWrap/>
            <w:vAlign w:val="bottom"/>
            <w:hideMark/>
          </w:tcPr>
          <w:p w14:paraId="129B71E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45,831 </w:t>
            </w:r>
          </w:p>
        </w:tc>
      </w:tr>
      <w:tr w:rsidR="00B70687" w:rsidRPr="00B70687" w14:paraId="186BACA7"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400DE5B"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205F289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1.7</w:t>
            </w:r>
          </w:p>
        </w:tc>
        <w:tc>
          <w:tcPr>
            <w:tcW w:w="920" w:type="dxa"/>
            <w:tcBorders>
              <w:top w:val="nil"/>
              <w:left w:val="nil"/>
              <w:bottom w:val="nil"/>
              <w:right w:val="nil"/>
            </w:tcBorders>
            <w:shd w:val="clear" w:color="auto" w:fill="auto"/>
            <w:noWrap/>
            <w:vAlign w:val="bottom"/>
            <w:hideMark/>
          </w:tcPr>
          <w:p w14:paraId="7DA5196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1CC312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59,161 </w:t>
            </w:r>
          </w:p>
        </w:tc>
        <w:tc>
          <w:tcPr>
            <w:tcW w:w="920" w:type="dxa"/>
            <w:tcBorders>
              <w:top w:val="nil"/>
              <w:left w:val="nil"/>
              <w:bottom w:val="nil"/>
              <w:right w:val="nil"/>
            </w:tcBorders>
            <w:shd w:val="clear" w:color="auto" w:fill="auto"/>
            <w:noWrap/>
            <w:vAlign w:val="bottom"/>
            <w:hideMark/>
          </w:tcPr>
          <w:p w14:paraId="5186699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11,803 </w:t>
            </w:r>
          </w:p>
        </w:tc>
        <w:tc>
          <w:tcPr>
            <w:tcW w:w="920" w:type="dxa"/>
            <w:tcBorders>
              <w:top w:val="nil"/>
              <w:left w:val="nil"/>
              <w:bottom w:val="nil"/>
              <w:right w:val="nil"/>
            </w:tcBorders>
            <w:shd w:val="clear" w:color="auto" w:fill="auto"/>
            <w:noWrap/>
            <w:vAlign w:val="bottom"/>
            <w:hideMark/>
          </w:tcPr>
          <w:p w14:paraId="2C8D266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23,176 </w:t>
            </w:r>
          </w:p>
        </w:tc>
        <w:tc>
          <w:tcPr>
            <w:tcW w:w="920" w:type="dxa"/>
            <w:tcBorders>
              <w:top w:val="nil"/>
              <w:left w:val="nil"/>
              <w:bottom w:val="nil"/>
              <w:right w:val="nil"/>
            </w:tcBorders>
            <w:shd w:val="clear" w:color="auto" w:fill="auto"/>
            <w:noWrap/>
            <w:vAlign w:val="bottom"/>
            <w:hideMark/>
          </w:tcPr>
          <w:p w14:paraId="3E0672B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32,921 </w:t>
            </w:r>
          </w:p>
        </w:tc>
      </w:tr>
      <w:tr w:rsidR="00B70687" w:rsidRPr="00B70687" w14:paraId="414EF49B"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75CB31CB"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F42429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7C02634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2A7069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623,304 </w:t>
            </w:r>
          </w:p>
        </w:tc>
        <w:tc>
          <w:tcPr>
            <w:tcW w:w="920" w:type="dxa"/>
            <w:tcBorders>
              <w:top w:val="nil"/>
              <w:left w:val="nil"/>
              <w:bottom w:val="nil"/>
              <w:right w:val="nil"/>
            </w:tcBorders>
            <w:shd w:val="clear" w:color="auto" w:fill="auto"/>
            <w:noWrap/>
            <w:vAlign w:val="bottom"/>
            <w:hideMark/>
          </w:tcPr>
          <w:p w14:paraId="5CB39AA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976,330 </w:t>
            </w:r>
          </w:p>
        </w:tc>
        <w:tc>
          <w:tcPr>
            <w:tcW w:w="920" w:type="dxa"/>
            <w:tcBorders>
              <w:top w:val="nil"/>
              <w:left w:val="nil"/>
              <w:bottom w:val="nil"/>
              <w:right w:val="nil"/>
            </w:tcBorders>
            <w:shd w:val="clear" w:color="auto" w:fill="auto"/>
            <w:noWrap/>
            <w:vAlign w:val="bottom"/>
            <w:hideMark/>
          </w:tcPr>
          <w:p w14:paraId="7140D86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955,352 </w:t>
            </w:r>
          </w:p>
        </w:tc>
        <w:tc>
          <w:tcPr>
            <w:tcW w:w="920" w:type="dxa"/>
            <w:tcBorders>
              <w:top w:val="nil"/>
              <w:left w:val="nil"/>
              <w:bottom w:val="nil"/>
              <w:right w:val="nil"/>
            </w:tcBorders>
            <w:shd w:val="clear" w:color="auto" w:fill="auto"/>
            <w:noWrap/>
            <w:vAlign w:val="bottom"/>
            <w:hideMark/>
          </w:tcPr>
          <w:p w14:paraId="5FBBC3A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954,330 </w:t>
            </w:r>
          </w:p>
        </w:tc>
      </w:tr>
      <w:tr w:rsidR="00B70687" w:rsidRPr="00B70687" w14:paraId="5CAC9576"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0D0AA498"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C591D3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3.3</w:t>
            </w:r>
          </w:p>
        </w:tc>
        <w:tc>
          <w:tcPr>
            <w:tcW w:w="920" w:type="dxa"/>
            <w:tcBorders>
              <w:top w:val="nil"/>
              <w:left w:val="nil"/>
              <w:bottom w:val="nil"/>
              <w:right w:val="nil"/>
            </w:tcBorders>
            <w:shd w:val="clear" w:color="auto" w:fill="auto"/>
            <w:noWrap/>
            <w:vAlign w:val="bottom"/>
            <w:hideMark/>
          </w:tcPr>
          <w:p w14:paraId="31C33B3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9C4BF6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2,320 </w:t>
            </w:r>
          </w:p>
        </w:tc>
        <w:tc>
          <w:tcPr>
            <w:tcW w:w="920" w:type="dxa"/>
            <w:tcBorders>
              <w:top w:val="nil"/>
              <w:left w:val="nil"/>
              <w:bottom w:val="nil"/>
              <w:right w:val="nil"/>
            </w:tcBorders>
            <w:shd w:val="clear" w:color="auto" w:fill="auto"/>
            <w:noWrap/>
            <w:vAlign w:val="bottom"/>
            <w:hideMark/>
          </w:tcPr>
          <w:p w14:paraId="7BF05C6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3,595 </w:t>
            </w:r>
          </w:p>
        </w:tc>
        <w:tc>
          <w:tcPr>
            <w:tcW w:w="920" w:type="dxa"/>
            <w:tcBorders>
              <w:top w:val="nil"/>
              <w:left w:val="nil"/>
              <w:bottom w:val="nil"/>
              <w:right w:val="nil"/>
            </w:tcBorders>
            <w:shd w:val="clear" w:color="auto" w:fill="auto"/>
            <w:noWrap/>
            <w:vAlign w:val="bottom"/>
            <w:hideMark/>
          </w:tcPr>
          <w:p w14:paraId="4F16219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3,655 </w:t>
            </w:r>
          </w:p>
        </w:tc>
        <w:tc>
          <w:tcPr>
            <w:tcW w:w="920" w:type="dxa"/>
            <w:tcBorders>
              <w:top w:val="nil"/>
              <w:left w:val="nil"/>
              <w:bottom w:val="nil"/>
              <w:right w:val="nil"/>
            </w:tcBorders>
            <w:shd w:val="clear" w:color="auto" w:fill="auto"/>
            <w:noWrap/>
            <w:vAlign w:val="bottom"/>
            <w:hideMark/>
          </w:tcPr>
          <w:p w14:paraId="1F13FBB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3,142 </w:t>
            </w:r>
          </w:p>
        </w:tc>
      </w:tr>
      <w:tr w:rsidR="00B70687" w:rsidRPr="00B70687" w14:paraId="44ACD443"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63EEC4FA"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A07A75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72ABFD3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163 </w:t>
            </w:r>
          </w:p>
        </w:tc>
        <w:tc>
          <w:tcPr>
            <w:tcW w:w="920" w:type="dxa"/>
            <w:tcBorders>
              <w:top w:val="nil"/>
              <w:left w:val="nil"/>
              <w:bottom w:val="nil"/>
              <w:right w:val="nil"/>
            </w:tcBorders>
            <w:shd w:val="clear" w:color="000000" w:fill="D9D9D9"/>
            <w:noWrap/>
            <w:vAlign w:val="bottom"/>
            <w:hideMark/>
          </w:tcPr>
          <w:p w14:paraId="4B1CFDF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15,433 </w:t>
            </w:r>
          </w:p>
        </w:tc>
        <w:tc>
          <w:tcPr>
            <w:tcW w:w="920" w:type="dxa"/>
            <w:tcBorders>
              <w:top w:val="nil"/>
              <w:left w:val="nil"/>
              <w:bottom w:val="nil"/>
              <w:right w:val="nil"/>
            </w:tcBorders>
            <w:shd w:val="clear" w:color="auto" w:fill="auto"/>
            <w:noWrap/>
            <w:vAlign w:val="bottom"/>
            <w:hideMark/>
          </w:tcPr>
          <w:p w14:paraId="3246E8C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10,991 </w:t>
            </w:r>
          </w:p>
        </w:tc>
        <w:tc>
          <w:tcPr>
            <w:tcW w:w="920" w:type="dxa"/>
            <w:tcBorders>
              <w:top w:val="nil"/>
              <w:left w:val="nil"/>
              <w:bottom w:val="nil"/>
              <w:right w:val="nil"/>
            </w:tcBorders>
            <w:shd w:val="clear" w:color="auto" w:fill="auto"/>
            <w:noWrap/>
            <w:vAlign w:val="bottom"/>
            <w:hideMark/>
          </w:tcPr>
          <w:p w14:paraId="655D1F8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5,551 </w:t>
            </w:r>
          </w:p>
        </w:tc>
        <w:tc>
          <w:tcPr>
            <w:tcW w:w="920" w:type="dxa"/>
            <w:tcBorders>
              <w:top w:val="nil"/>
              <w:left w:val="nil"/>
              <w:bottom w:val="nil"/>
              <w:right w:val="nil"/>
            </w:tcBorders>
            <w:shd w:val="clear" w:color="auto" w:fill="auto"/>
            <w:noWrap/>
            <w:vAlign w:val="bottom"/>
            <w:hideMark/>
          </w:tcPr>
          <w:p w14:paraId="408EE32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5,602 </w:t>
            </w:r>
          </w:p>
        </w:tc>
      </w:tr>
      <w:tr w:rsidR="00B70687" w:rsidRPr="00B70687" w14:paraId="16D20157"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557F5AB"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A78671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4818434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5DB18F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689 </w:t>
            </w:r>
          </w:p>
        </w:tc>
        <w:tc>
          <w:tcPr>
            <w:tcW w:w="920" w:type="dxa"/>
            <w:tcBorders>
              <w:top w:val="nil"/>
              <w:left w:val="nil"/>
              <w:bottom w:val="nil"/>
              <w:right w:val="nil"/>
            </w:tcBorders>
            <w:shd w:val="clear" w:color="auto" w:fill="auto"/>
            <w:noWrap/>
            <w:vAlign w:val="bottom"/>
            <w:hideMark/>
          </w:tcPr>
          <w:p w14:paraId="215ACCA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699 </w:t>
            </w:r>
          </w:p>
        </w:tc>
        <w:tc>
          <w:tcPr>
            <w:tcW w:w="920" w:type="dxa"/>
            <w:tcBorders>
              <w:top w:val="nil"/>
              <w:left w:val="nil"/>
              <w:bottom w:val="nil"/>
              <w:right w:val="nil"/>
            </w:tcBorders>
            <w:shd w:val="clear" w:color="auto" w:fill="auto"/>
            <w:noWrap/>
            <w:vAlign w:val="bottom"/>
            <w:hideMark/>
          </w:tcPr>
          <w:p w14:paraId="336ABAC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415 </w:t>
            </w:r>
          </w:p>
        </w:tc>
        <w:tc>
          <w:tcPr>
            <w:tcW w:w="920" w:type="dxa"/>
            <w:tcBorders>
              <w:top w:val="nil"/>
              <w:left w:val="nil"/>
              <w:bottom w:val="nil"/>
              <w:right w:val="nil"/>
            </w:tcBorders>
            <w:shd w:val="clear" w:color="auto" w:fill="auto"/>
            <w:noWrap/>
            <w:vAlign w:val="bottom"/>
            <w:hideMark/>
          </w:tcPr>
          <w:p w14:paraId="208B308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r>
      <w:tr w:rsidR="00B70687" w:rsidRPr="00B70687" w14:paraId="3D2C2C53"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118A2CF7" w14:textId="77777777" w:rsidR="00B70687" w:rsidRPr="00B70687" w:rsidRDefault="00B70687" w:rsidP="00F30B2C">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CEBC8B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7C7FC4C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CAE192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2,207 </w:t>
            </w:r>
          </w:p>
        </w:tc>
        <w:tc>
          <w:tcPr>
            <w:tcW w:w="920" w:type="dxa"/>
            <w:tcBorders>
              <w:top w:val="nil"/>
              <w:left w:val="nil"/>
              <w:bottom w:val="nil"/>
              <w:right w:val="nil"/>
            </w:tcBorders>
            <w:shd w:val="clear" w:color="auto" w:fill="auto"/>
            <w:noWrap/>
            <w:vAlign w:val="bottom"/>
            <w:hideMark/>
          </w:tcPr>
          <w:p w14:paraId="4E08EDC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989 </w:t>
            </w:r>
          </w:p>
        </w:tc>
        <w:tc>
          <w:tcPr>
            <w:tcW w:w="920" w:type="dxa"/>
            <w:tcBorders>
              <w:top w:val="nil"/>
              <w:left w:val="nil"/>
              <w:bottom w:val="nil"/>
              <w:right w:val="nil"/>
            </w:tcBorders>
            <w:shd w:val="clear" w:color="auto" w:fill="auto"/>
            <w:noWrap/>
            <w:vAlign w:val="bottom"/>
            <w:hideMark/>
          </w:tcPr>
          <w:p w14:paraId="4796ACA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997 </w:t>
            </w:r>
          </w:p>
        </w:tc>
        <w:tc>
          <w:tcPr>
            <w:tcW w:w="920" w:type="dxa"/>
            <w:tcBorders>
              <w:top w:val="nil"/>
              <w:left w:val="nil"/>
              <w:bottom w:val="nil"/>
              <w:right w:val="nil"/>
            </w:tcBorders>
            <w:shd w:val="clear" w:color="auto" w:fill="auto"/>
            <w:noWrap/>
            <w:vAlign w:val="bottom"/>
            <w:hideMark/>
          </w:tcPr>
          <w:p w14:paraId="7A69854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1,006 </w:t>
            </w:r>
          </w:p>
        </w:tc>
      </w:tr>
      <w:tr w:rsidR="00B70687" w:rsidRPr="00B70687" w14:paraId="229B5E62" w14:textId="77777777" w:rsidTr="00B70687">
        <w:trPr>
          <w:trHeight w:val="225"/>
          <w:jc w:val="center"/>
        </w:trPr>
        <w:tc>
          <w:tcPr>
            <w:tcW w:w="2320" w:type="dxa"/>
            <w:tcBorders>
              <w:top w:val="nil"/>
              <w:left w:val="nil"/>
              <w:bottom w:val="nil"/>
              <w:right w:val="nil"/>
            </w:tcBorders>
            <w:shd w:val="clear" w:color="auto" w:fill="auto"/>
            <w:vAlign w:val="bottom"/>
            <w:hideMark/>
          </w:tcPr>
          <w:p w14:paraId="62AD331C"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298E938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5DBECAD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B79167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1,516 </w:t>
            </w:r>
          </w:p>
        </w:tc>
        <w:tc>
          <w:tcPr>
            <w:tcW w:w="920" w:type="dxa"/>
            <w:tcBorders>
              <w:top w:val="nil"/>
              <w:left w:val="nil"/>
              <w:bottom w:val="nil"/>
              <w:right w:val="nil"/>
            </w:tcBorders>
            <w:shd w:val="clear" w:color="auto" w:fill="auto"/>
            <w:noWrap/>
            <w:vAlign w:val="bottom"/>
            <w:hideMark/>
          </w:tcPr>
          <w:p w14:paraId="6F5FA41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3266CC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28F71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r>
      <w:tr w:rsidR="00B70687" w:rsidRPr="00B70687" w14:paraId="007F8CAA" w14:textId="77777777" w:rsidTr="00B70687">
        <w:trPr>
          <w:trHeight w:val="454"/>
          <w:jc w:val="center"/>
        </w:trPr>
        <w:tc>
          <w:tcPr>
            <w:tcW w:w="2320" w:type="dxa"/>
            <w:tcBorders>
              <w:top w:val="nil"/>
              <w:left w:val="nil"/>
              <w:bottom w:val="nil"/>
              <w:right w:val="nil"/>
            </w:tcBorders>
            <w:shd w:val="clear" w:color="auto" w:fill="auto"/>
            <w:vAlign w:val="bottom"/>
            <w:hideMark/>
          </w:tcPr>
          <w:p w14:paraId="3D809E35"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Australian Digital Health Agency</w:t>
            </w:r>
          </w:p>
        </w:tc>
        <w:tc>
          <w:tcPr>
            <w:tcW w:w="460" w:type="dxa"/>
            <w:tcBorders>
              <w:top w:val="nil"/>
              <w:left w:val="nil"/>
              <w:bottom w:val="nil"/>
              <w:right w:val="nil"/>
            </w:tcBorders>
            <w:shd w:val="clear" w:color="auto" w:fill="auto"/>
            <w:noWrap/>
            <w:vAlign w:val="bottom"/>
            <w:hideMark/>
          </w:tcPr>
          <w:p w14:paraId="0A423179"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87096BF"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253E22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7188215"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2434024"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9006DC2"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1790E93E"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3843F96D"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22C48FC2"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9CBDD8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CFDFB3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286,676 </w:t>
            </w:r>
          </w:p>
        </w:tc>
        <w:tc>
          <w:tcPr>
            <w:tcW w:w="920" w:type="dxa"/>
            <w:tcBorders>
              <w:top w:val="nil"/>
              <w:left w:val="nil"/>
              <w:bottom w:val="nil"/>
              <w:right w:val="nil"/>
            </w:tcBorders>
            <w:shd w:val="clear" w:color="auto" w:fill="auto"/>
            <w:noWrap/>
            <w:vAlign w:val="bottom"/>
            <w:hideMark/>
          </w:tcPr>
          <w:p w14:paraId="469AC31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301,189 </w:t>
            </w:r>
          </w:p>
        </w:tc>
        <w:tc>
          <w:tcPr>
            <w:tcW w:w="920" w:type="dxa"/>
            <w:tcBorders>
              <w:top w:val="nil"/>
              <w:left w:val="nil"/>
              <w:bottom w:val="nil"/>
              <w:right w:val="nil"/>
            </w:tcBorders>
            <w:shd w:val="clear" w:color="auto" w:fill="auto"/>
            <w:noWrap/>
            <w:vAlign w:val="bottom"/>
            <w:hideMark/>
          </w:tcPr>
          <w:p w14:paraId="3A3B5B5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118,744 </w:t>
            </w:r>
          </w:p>
        </w:tc>
        <w:tc>
          <w:tcPr>
            <w:tcW w:w="920" w:type="dxa"/>
            <w:tcBorders>
              <w:top w:val="nil"/>
              <w:left w:val="nil"/>
              <w:bottom w:val="nil"/>
              <w:right w:val="nil"/>
            </w:tcBorders>
            <w:shd w:val="clear" w:color="auto" w:fill="auto"/>
            <w:noWrap/>
            <w:vAlign w:val="bottom"/>
            <w:hideMark/>
          </w:tcPr>
          <w:p w14:paraId="122B05F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119,635 </w:t>
            </w:r>
          </w:p>
        </w:tc>
      </w:tr>
      <w:tr w:rsidR="00B70687" w:rsidRPr="00B70687" w14:paraId="363899F2" w14:textId="77777777" w:rsidTr="00B70687">
        <w:trPr>
          <w:trHeight w:val="425"/>
          <w:jc w:val="center"/>
        </w:trPr>
        <w:tc>
          <w:tcPr>
            <w:tcW w:w="2320" w:type="dxa"/>
            <w:tcBorders>
              <w:top w:val="nil"/>
              <w:left w:val="nil"/>
              <w:bottom w:val="nil"/>
              <w:right w:val="nil"/>
            </w:tcBorders>
            <w:shd w:val="clear" w:color="auto" w:fill="auto"/>
            <w:vAlign w:val="bottom"/>
            <w:hideMark/>
          </w:tcPr>
          <w:p w14:paraId="2D50A373"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099B47E6"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522033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4E24BD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33,321 </w:t>
            </w:r>
          </w:p>
        </w:tc>
        <w:tc>
          <w:tcPr>
            <w:tcW w:w="920" w:type="dxa"/>
            <w:tcBorders>
              <w:top w:val="nil"/>
              <w:left w:val="nil"/>
              <w:bottom w:val="nil"/>
              <w:right w:val="nil"/>
            </w:tcBorders>
            <w:shd w:val="clear" w:color="auto" w:fill="auto"/>
            <w:noWrap/>
            <w:vAlign w:val="bottom"/>
            <w:hideMark/>
          </w:tcPr>
          <w:p w14:paraId="18836DE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39,888 </w:t>
            </w:r>
          </w:p>
        </w:tc>
        <w:tc>
          <w:tcPr>
            <w:tcW w:w="920" w:type="dxa"/>
            <w:tcBorders>
              <w:top w:val="nil"/>
              <w:left w:val="nil"/>
              <w:bottom w:val="nil"/>
              <w:right w:val="nil"/>
            </w:tcBorders>
            <w:shd w:val="clear" w:color="auto" w:fill="auto"/>
            <w:noWrap/>
            <w:vAlign w:val="bottom"/>
            <w:hideMark/>
          </w:tcPr>
          <w:p w14:paraId="051C6D7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6,170 </w:t>
            </w:r>
          </w:p>
        </w:tc>
        <w:tc>
          <w:tcPr>
            <w:tcW w:w="920" w:type="dxa"/>
            <w:tcBorders>
              <w:top w:val="nil"/>
              <w:left w:val="nil"/>
              <w:bottom w:val="nil"/>
              <w:right w:val="nil"/>
            </w:tcBorders>
            <w:shd w:val="clear" w:color="auto" w:fill="auto"/>
            <w:noWrap/>
            <w:vAlign w:val="bottom"/>
            <w:hideMark/>
          </w:tcPr>
          <w:p w14:paraId="2E9F742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5,515 </w:t>
            </w:r>
          </w:p>
        </w:tc>
      </w:tr>
      <w:tr w:rsidR="00B70687" w:rsidRPr="00B70687" w14:paraId="2714A131" w14:textId="77777777" w:rsidTr="00B70687">
        <w:trPr>
          <w:trHeight w:val="283"/>
          <w:jc w:val="center"/>
        </w:trPr>
        <w:tc>
          <w:tcPr>
            <w:tcW w:w="2320" w:type="dxa"/>
            <w:tcBorders>
              <w:top w:val="nil"/>
              <w:left w:val="nil"/>
              <w:bottom w:val="nil"/>
              <w:right w:val="nil"/>
            </w:tcBorders>
            <w:shd w:val="clear" w:color="auto" w:fill="auto"/>
            <w:vAlign w:val="bottom"/>
            <w:hideMark/>
          </w:tcPr>
          <w:p w14:paraId="3476AA36"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476CB687"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0A33BE0"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13CCA4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1427FD34"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D296259"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7AEC6FD"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0583546E"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5D78A100"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7C572C9"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CD1778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519 </w:t>
            </w:r>
          </w:p>
        </w:tc>
        <w:tc>
          <w:tcPr>
            <w:tcW w:w="920" w:type="dxa"/>
            <w:tcBorders>
              <w:top w:val="nil"/>
              <w:left w:val="nil"/>
              <w:bottom w:val="nil"/>
              <w:right w:val="nil"/>
            </w:tcBorders>
            <w:shd w:val="clear" w:color="000000" w:fill="D9D9D9"/>
            <w:noWrap/>
            <w:vAlign w:val="bottom"/>
            <w:hideMark/>
          </w:tcPr>
          <w:p w14:paraId="3AE3BFF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64,819 </w:t>
            </w:r>
          </w:p>
        </w:tc>
        <w:tc>
          <w:tcPr>
            <w:tcW w:w="920" w:type="dxa"/>
            <w:tcBorders>
              <w:top w:val="nil"/>
              <w:left w:val="nil"/>
              <w:bottom w:val="nil"/>
              <w:right w:val="nil"/>
            </w:tcBorders>
            <w:shd w:val="clear" w:color="auto" w:fill="auto"/>
            <w:noWrap/>
            <w:vAlign w:val="bottom"/>
            <w:hideMark/>
          </w:tcPr>
          <w:p w14:paraId="4E48A16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35,170 </w:t>
            </w:r>
          </w:p>
        </w:tc>
        <w:tc>
          <w:tcPr>
            <w:tcW w:w="920" w:type="dxa"/>
            <w:tcBorders>
              <w:top w:val="nil"/>
              <w:left w:val="nil"/>
              <w:bottom w:val="nil"/>
              <w:right w:val="nil"/>
            </w:tcBorders>
            <w:shd w:val="clear" w:color="auto" w:fill="auto"/>
            <w:noWrap/>
            <w:vAlign w:val="bottom"/>
            <w:hideMark/>
          </w:tcPr>
          <w:p w14:paraId="5363CB9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21,584 </w:t>
            </w:r>
          </w:p>
        </w:tc>
        <w:tc>
          <w:tcPr>
            <w:tcW w:w="920" w:type="dxa"/>
            <w:tcBorders>
              <w:top w:val="nil"/>
              <w:left w:val="nil"/>
              <w:bottom w:val="nil"/>
              <w:right w:val="nil"/>
            </w:tcBorders>
            <w:shd w:val="clear" w:color="auto" w:fill="auto"/>
            <w:noWrap/>
            <w:vAlign w:val="bottom"/>
            <w:hideMark/>
          </w:tcPr>
          <w:p w14:paraId="3687743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21,481 </w:t>
            </w:r>
          </w:p>
        </w:tc>
      </w:tr>
      <w:tr w:rsidR="00B70687" w:rsidRPr="00B70687" w14:paraId="686B4470" w14:textId="77777777" w:rsidTr="00B70687">
        <w:trPr>
          <w:trHeight w:val="425"/>
          <w:jc w:val="center"/>
        </w:trPr>
        <w:tc>
          <w:tcPr>
            <w:tcW w:w="2320" w:type="dxa"/>
            <w:tcBorders>
              <w:top w:val="nil"/>
              <w:left w:val="nil"/>
              <w:bottom w:val="nil"/>
              <w:right w:val="nil"/>
            </w:tcBorders>
            <w:shd w:val="clear" w:color="auto" w:fill="auto"/>
            <w:vAlign w:val="bottom"/>
            <w:hideMark/>
          </w:tcPr>
          <w:p w14:paraId="1A4AB4A3"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3F009F4A"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5EBBE1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FE7400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13,661 </w:t>
            </w:r>
          </w:p>
        </w:tc>
        <w:tc>
          <w:tcPr>
            <w:tcW w:w="920" w:type="dxa"/>
            <w:tcBorders>
              <w:top w:val="nil"/>
              <w:left w:val="nil"/>
              <w:bottom w:val="nil"/>
              <w:right w:val="nil"/>
            </w:tcBorders>
            <w:shd w:val="clear" w:color="auto" w:fill="auto"/>
            <w:noWrap/>
            <w:vAlign w:val="bottom"/>
            <w:hideMark/>
          </w:tcPr>
          <w:p w14:paraId="3590530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5,035 </w:t>
            </w:r>
          </w:p>
        </w:tc>
        <w:tc>
          <w:tcPr>
            <w:tcW w:w="920" w:type="dxa"/>
            <w:tcBorders>
              <w:top w:val="nil"/>
              <w:left w:val="nil"/>
              <w:bottom w:val="nil"/>
              <w:right w:val="nil"/>
            </w:tcBorders>
            <w:shd w:val="clear" w:color="auto" w:fill="auto"/>
            <w:noWrap/>
            <w:vAlign w:val="bottom"/>
            <w:hideMark/>
          </w:tcPr>
          <w:p w14:paraId="7CCE823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650 </w:t>
            </w:r>
          </w:p>
        </w:tc>
        <w:tc>
          <w:tcPr>
            <w:tcW w:w="920" w:type="dxa"/>
            <w:tcBorders>
              <w:top w:val="nil"/>
              <w:left w:val="nil"/>
              <w:bottom w:val="nil"/>
              <w:right w:val="nil"/>
            </w:tcBorders>
            <w:shd w:val="clear" w:color="auto" w:fill="auto"/>
            <w:noWrap/>
            <w:vAlign w:val="bottom"/>
            <w:hideMark/>
          </w:tcPr>
          <w:p w14:paraId="196590A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650 </w:t>
            </w:r>
          </w:p>
        </w:tc>
      </w:tr>
      <w:tr w:rsidR="00B70687" w:rsidRPr="00B70687" w14:paraId="3E80FF50" w14:textId="77777777" w:rsidTr="00B70687">
        <w:trPr>
          <w:trHeight w:val="454"/>
          <w:jc w:val="center"/>
        </w:trPr>
        <w:tc>
          <w:tcPr>
            <w:tcW w:w="2320" w:type="dxa"/>
            <w:tcBorders>
              <w:top w:val="nil"/>
              <w:left w:val="nil"/>
              <w:bottom w:val="nil"/>
              <w:right w:val="nil"/>
            </w:tcBorders>
            <w:shd w:val="clear" w:color="auto" w:fill="auto"/>
            <w:vAlign w:val="bottom"/>
            <w:hideMark/>
          </w:tcPr>
          <w:p w14:paraId="762D5A7F"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Office of the Australian Information Commissioner</w:t>
            </w:r>
          </w:p>
        </w:tc>
        <w:tc>
          <w:tcPr>
            <w:tcW w:w="460" w:type="dxa"/>
            <w:tcBorders>
              <w:top w:val="nil"/>
              <w:left w:val="nil"/>
              <w:bottom w:val="nil"/>
              <w:right w:val="nil"/>
            </w:tcBorders>
            <w:shd w:val="clear" w:color="auto" w:fill="auto"/>
            <w:noWrap/>
            <w:vAlign w:val="bottom"/>
            <w:hideMark/>
          </w:tcPr>
          <w:p w14:paraId="44F5A3DC"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E9C1427"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64BDDED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631B445C"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81A5E3B"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69DCAFD"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37940E2F"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75CF6AC3"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313FBEB7"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584405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DA4CC2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2,365 </w:t>
            </w:r>
          </w:p>
        </w:tc>
        <w:tc>
          <w:tcPr>
            <w:tcW w:w="920" w:type="dxa"/>
            <w:tcBorders>
              <w:top w:val="nil"/>
              <w:left w:val="nil"/>
              <w:bottom w:val="nil"/>
              <w:right w:val="nil"/>
            </w:tcBorders>
            <w:shd w:val="clear" w:color="auto" w:fill="auto"/>
            <w:noWrap/>
            <w:vAlign w:val="bottom"/>
            <w:hideMark/>
          </w:tcPr>
          <w:p w14:paraId="6638D4E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2,402 </w:t>
            </w:r>
          </w:p>
        </w:tc>
        <w:tc>
          <w:tcPr>
            <w:tcW w:w="920" w:type="dxa"/>
            <w:tcBorders>
              <w:top w:val="nil"/>
              <w:left w:val="nil"/>
              <w:bottom w:val="nil"/>
              <w:right w:val="nil"/>
            </w:tcBorders>
            <w:shd w:val="clear" w:color="auto" w:fill="auto"/>
            <w:noWrap/>
            <w:vAlign w:val="bottom"/>
            <w:hideMark/>
          </w:tcPr>
          <w:p w14:paraId="2D4C689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754B441"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r>
      <w:tr w:rsidR="00B70687" w:rsidRPr="00B70687" w14:paraId="039E820B" w14:textId="77777777" w:rsidTr="00B70687">
        <w:trPr>
          <w:trHeight w:val="454"/>
          <w:jc w:val="center"/>
        </w:trPr>
        <w:tc>
          <w:tcPr>
            <w:tcW w:w="2320" w:type="dxa"/>
            <w:tcBorders>
              <w:top w:val="nil"/>
              <w:left w:val="nil"/>
              <w:bottom w:val="nil"/>
              <w:right w:val="nil"/>
            </w:tcBorders>
            <w:shd w:val="clear" w:color="auto" w:fill="auto"/>
            <w:vAlign w:val="bottom"/>
            <w:hideMark/>
          </w:tcPr>
          <w:p w14:paraId="45F1027B"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National Disability Insurance Agency</w:t>
            </w:r>
          </w:p>
        </w:tc>
        <w:tc>
          <w:tcPr>
            <w:tcW w:w="460" w:type="dxa"/>
            <w:tcBorders>
              <w:top w:val="nil"/>
              <w:left w:val="nil"/>
              <w:bottom w:val="nil"/>
              <w:right w:val="nil"/>
            </w:tcBorders>
            <w:shd w:val="clear" w:color="auto" w:fill="auto"/>
            <w:noWrap/>
            <w:vAlign w:val="bottom"/>
            <w:hideMark/>
          </w:tcPr>
          <w:p w14:paraId="49F9079E"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1A6178E"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0BE296A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0EBA4615"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B1F5D10"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D41E297"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165B951E"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72EF8289"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96FB7DB"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DED309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F6DD72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1,065 </w:t>
            </w:r>
          </w:p>
        </w:tc>
        <w:tc>
          <w:tcPr>
            <w:tcW w:w="920" w:type="dxa"/>
            <w:tcBorders>
              <w:top w:val="nil"/>
              <w:left w:val="nil"/>
              <w:bottom w:val="nil"/>
              <w:right w:val="nil"/>
            </w:tcBorders>
            <w:shd w:val="clear" w:color="auto" w:fill="auto"/>
            <w:noWrap/>
            <w:vAlign w:val="bottom"/>
            <w:hideMark/>
          </w:tcPr>
          <w:p w14:paraId="03E3423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1,082 </w:t>
            </w:r>
          </w:p>
        </w:tc>
        <w:tc>
          <w:tcPr>
            <w:tcW w:w="920" w:type="dxa"/>
            <w:tcBorders>
              <w:top w:val="nil"/>
              <w:left w:val="nil"/>
              <w:bottom w:val="nil"/>
              <w:right w:val="nil"/>
            </w:tcBorders>
            <w:shd w:val="clear" w:color="auto" w:fill="auto"/>
            <w:noWrap/>
            <w:vAlign w:val="bottom"/>
            <w:hideMark/>
          </w:tcPr>
          <w:p w14:paraId="407106E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1,090 </w:t>
            </w:r>
          </w:p>
        </w:tc>
        <w:tc>
          <w:tcPr>
            <w:tcW w:w="920" w:type="dxa"/>
            <w:tcBorders>
              <w:top w:val="nil"/>
              <w:left w:val="nil"/>
              <w:bottom w:val="nil"/>
              <w:right w:val="nil"/>
            </w:tcBorders>
            <w:shd w:val="clear" w:color="auto" w:fill="auto"/>
            <w:noWrap/>
            <w:vAlign w:val="bottom"/>
            <w:hideMark/>
          </w:tcPr>
          <w:p w14:paraId="4B22EFF0"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1,100 </w:t>
            </w:r>
          </w:p>
        </w:tc>
      </w:tr>
      <w:tr w:rsidR="00B70687" w:rsidRPr="00B70687" w14:paraId="3F4B3322" w14:textId="77777777" w:rsidTr="00B70687">
        <w:trPr>
          <w:trHeight w:val="454"/>
          <w:jc w:val="center"/>
        </w:trPr>
        <w:tc>
          <w:tcPr>
            <w:tcW w:w="2320" w:type="dxa"/>
            <w:tcBorders>
              <w:top w:val="nil"/>
              <w:left w:val="nil"/>
              <w:bottom w:val="nil"/>
              <w:right w:val="nil"/>
            </w:tcBorders>
            <w:shd w:val="clear" w:color="auto" w:fill="auto"/>
            <w:vAlign w:val="bottom"/>
            <w:hideMark/>
          </w:tcPr>
          <w:p w14:paraId="52746BF3"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Department of Social Services</w:t>
            </w:r>
          </w:p>
        </w:tc>
        <w:tc>
          <w:tcPr>
            <w:tcW w:w="460" w:type="dxa"/>
            <w:tcBorders>
              <w:top w:val="nil"/>
              <w:left w:val="nil"/>
              <w:bottom w:val="nil"/>
              <w:right w:val="nil"/>
            </w:tcBorders>
            <w:shd w:val="clear" w:color="auto" w:fill="auto"/>
            <w:noWrap/>
            <w:vAlign w:val="bottom"/>
            <w:hideMark/>
          </w:tcPr>
          <w:p w14:paraId="575E3120"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38F8F63"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457C9EFC"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58EBF11A"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E8D5E31"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0635F48"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0664A68C"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42F5815C"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F707060"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793F76D"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28807AA"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333 </w:t>
            </w:r>
          </w:p>
        </w:tc>
        <w:tc>
          <w:tcPr>
            <w:tcW w:w="920" w:type="dxa"/>
            <w:tcBorders>
              <w:top w:val="nil"/>
              <w:left w:val="nil"/>
              <w:bottom w:val="nil"/>
              <w:right w:val="nil"/>
            </w:tcBorders>
            <w:shd w:val="clear" w:color="auto" w:fill="auto"/>
            <w:noWrap/>
            <w:vAlign w:val="bottom"/>
            <w:hideMark/>
          </w:tcPr>
          <w:p w14:paraId="379AA9F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338 </w:t>
            </w:r>
          </w:p>
        </w:tc>
        <w:tc>
          <w:tcPr>
            <w:tcW w:w="920" w:type="dxa"/>
            <w:tcBorders>
              <w:top w:val="nil"/>
              <w:left w:val="nil"/>
              <w:bottom w:val="nil"/>
              <w:right w:val="nil"/>
            </w:tcBorders>
            <w:shd w:val="clear" w:color="auto" w:fill="auto"/>
            <w:noWrap/>
            <w:vAlign w:val="bottom"/>
            <w:hideMark/>
          </w:tcPr>
          <w:p w14:paraId="4378800B"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341 </w:t>
            </w:r>
          </w:p>
        </w:tc>
        <w:tc>
          <w:tcPr>
            <w:tcW w:w="920" w:type="dxa"/>
            <w:tcBorders>
              <w:top w:val="nil"/>
              <w:left w:val="nil"/>
              <w:bottom w:val="nil"/>
              <w:right w:val="nil"/>
            </w:tcBorders>
            <w:shd w:val="clear" w:color="auto" w:fill="auto"/>
            <w:noWrap/>
            <w:vAlign w:val="bottom"/>
            <w:hideMark/>
          </w:tcPr>
          <w:p w14:paraId="00D4FFC4"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344 </w:t>
            </w:r>
          </w:p>
        </w:tc>
      </w:tr>
      <w:tr w:rsidR="00B70687" w:rsidRPr="00B70687" w14:paraId="3E08B481" w14:textId="77777777" w:rsidTr="00B70687">
        <w:trPr>
          <w:trHeight w:val="624"/>
          <w:jc w:val="center"/>
        </w:trPr>
        <w:tc>
          <w:tcPr>
            <w:tcW w:w="2320" w:type="dxa"/>
            <w:tcBorders>
              <w:top w:val="nil"/>
              <w:left w:val="nil"/>
              <w:bottom w:val="nil"/>
              <w:right w:val="nil"/>
            </w:tcBorders>
            <w:shd w:val="clear" w:color="auto" w:fill="auto"/>
            <w:vAlign w:val="bottom"/>
            <w:hideMark/>
          </w:tcPr>
          <w:p w14:paraId="5E560002"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Commonwealth Scientific and Industrial Research Organisation</w:t>
            </w:r>
          </w:p>
        </w:tc>
        <w:tc>
          <w:tcPr>
            <w:tcW w:w="460" w:type="dxa"/>
            <w:tcBorders>
              <w:top w:val="nil"/>
              <w:left w:val="nil"/>
              <w:bottom w:val="nil"/>
              <w:right w:val="nil"/>
            </w:tcBorders>
            <w:shd w:val="clear" w:color="auto" w:fill="auto"/>
            <w:noWrap/>
            <w:vAlign w:val="bottom"/>
            <w:hideMark/>
          </w:tcPr>
          <w:p w14:paraId="244B2613"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2007D38"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7D0B0C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C1A7745"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E5E55A6"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408BB5C"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31C507FC"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6F018AE8"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93AE284"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3109BB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F32E3C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4,590 </w:t>
            </w:r>
          </w:p>
        </w:tc>
        <w:tc>
          <w:tcPr>
            <w:tcW w:w="920" w:type="dxa"/>
            <w:tcBorders>
              <w:top w:val="nil"/>
              <w:left w:val="nil"/>
              <w:bottom w:val="nil"/>
              <w:right w:val="nil"/>
            </w:tcBorders>
            <w:shd w:val="clear" w:color="auto" w:fill="auto"/>
            <w:noWrap/>
            <w:vAlign w:val="bottom"/>
            <w:hideMark/>
          </w:tcPr>
          <w:p w14:paraId="1E58D50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4,691 </w:t>
            </w:r>
          </w:p>
        </w:tc>
        <w:tc>
          <w:tcPr>
            <w:tcW w:w="920" w:type="dxa"/>
            <w:tcBorders>
              <w:top w:val="nil"/>
              <w:left w:val="nil"/>
              <w:bottom w:val="nil"/>
              <w:right w:val="nil"/>
            </w:tcBorders>
            <w:shd w:val="clear" w:color="auto" w:fill="auto"/>
            <w:noWrap/>
            <w:vAlign w:val="bottom"/>
            <w:hideMark/>
          </w:tcPr>
          <w:p w14:paraId="50F267C8"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E843A7F"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r>
      <w:tr w:rsidR="00B70687" w:rsidRPr="00B70687" w14:paraId="107CB069" w14:textId="77777777" w:rsidTr="00B70687">
        <w:trPr>
          <w:trHeight w:val="454"/>
          <w:jc w:val="center"/>
        </w:trPr>
        <w:tc>
          <w:tcPr>
            <w:tcW w:w="2320" w:type="dxa"/>
            <w:tcBorders>
              <w:top w:val="nil"/>
              <w:left w:val="nil"/>
              <w:bottom w:val="nil"/>
              <w:right w:val="nil"/>
            </w:tcBorders>
            <w:shd w:val="clear" w:color="auto" w:fill="auto"/>
            <w:vAlign w:val="bottom"/>
            <w:hideMark/>
          </w:tcPr>
          <w:p w14:paraId="6ED00D1C" w14:textId="77777777" w:rsidR="00B70687" w:rsidRPr="00B70687" w:rsidRDefault="00B70687" w:rsidP="00B70687">
            <w:pPr>
              <w:spacing w:after="0"/>
              <w:rPr>
                <w:rFonts w:ascii="Arial" w:hAnsi="Arial" w:cs="Arial"/>
                <w:color w:val="auto"/>
                <w:sz w:val="16"/>
                <w:szCs w:val="16"/>
              </w:rPr>
            </w:pPr>
            <w:r w:rsidRPr="00B70687">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3E93DEB6" w14:textId="77777777" w:rsidR="00B70687" w:rsidRPr="00B70687" w:rsidRDefault="00B70687" w:rsidP="00B7068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9D3C98D"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CE8137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4E3FB5FD" w14:textId="77777777" w:rsidR="00B70687" w:rsidRPr="00B70687" w:rsidRDefault="00B70687" w:rsidP="00B7068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D358B1D"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A26E06F"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330550C7"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1A885475"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B1CDBB3"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D256202"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E2DA37E"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6,594 </w:t>
            </w:r>
          </w:p>
        </w:tc>
        <w:tc>
          <w:tcPr>
            <w:tcW w:w="920" w:type="dxa"/>
            <w:tcBorders>
              <w:top w:val="nil"/>
              <w:left w:val="nil"/>
              <w:bottom w:val="nil"/>
              <w:right w:val="nil"/>
            </w:tcBorders>
            <w:shd w:val="clear" w:color="auto" w:fill="auto"/>
            <w:noWrap/>
            <w:vAlign w:val="bottom"/>
            <w:hideMark/>
          </w:tcPr>
          <w:p w14:paraId="77E5FE8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9,708 </w:t>
            </w:r>
          </w:p>
        </w:tc>
        <w:tc>
          <w:tcPr>
            <w:tcW w:w="920" w:type="dxa"/>
            <w:tcBorders>
              <w:top w:val="nil"/>
              <w:left w:val="nil"/>
              <w:bottom w:val="nil"/>
              <w:right w:val="nil"/>
            </w:tcBorders>
            <w:shd w:val="clear" w:color="auto" w:fill="auto"/>
            <w:noWrap/>
            <w:vAlign w:val="bottom"/>
            <w:hideMark/>
          </w:tcPr>
          <w:p w14:paraId="4D624E2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9,202 </w:t>
            </w:r>
          </w:p>
        </w:tc>
        <w:tc>
          <w:tcPr>
            <w:tcW w:w="920" w:type="dxa"/>
            <w:tcBorders>
              <w:top w:val="nil"/>
              <w:left w:val="nil"/>
              <w:bottom w:val="nil"/>
              <w:right w:val="nil"/>
            </w:tcBorders>
            <w:shd w:val="clear" w:color="auto" w:fill="auto"/>
            <w:noWrap/>
            <w:vAlign w:val="bottom"/>
            <w:hideMark/>
          </w:tcPr>
          <w:p w14:paraId="4F5CB7D5"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8,949 </w:t>
            </w:r>
          </w:p>
        </w:tc>
      </w:tr>
      <w:tr w:rsidR="00B70687" w:rsidRPr="00B70687" w14:paraId="2FC70D51"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6DF8B96F" w14:textId="77777777" w:rsidR="00B70687" w:rsidRPr="00B70687" w:rsidRDefault="00B70687" w:rsidP="00F30B2C">
            <w:pPr>
              <w:spacing w:after="0"/>
              <w:ind w:leftChars="75" w:left="143"/>
              <w:rPr>
                <w:rFonts w:ascii="Arial" w:hAnsi="Arial" w:cs="Arial"/>
                <w:color w:val="auto"/>
                <w:sz w:val="16"/>
                <w:szCs w:val="16"/>
              </w:rPr>
            </w:pPr>
            <w:r w:rsidRPr="00B7068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79EEBAAD" w14:textId="77777777" w:rsidR="00B70687" w:rsidRPr="00B70687" w:rsidRDefault="00B70687" w:rsidP="00B7068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67C79A7"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053F0C9"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457 </w:t>
            </w:r>
          </w:p>
        </w:tc>
        <w:tc>
          <w:tcPr>
            <w:tcW w:w="920" w:type="dxa"/>
            <w:tcBorders>
              <w:top w:val="nil"/>
              <w:left w:val="nil"/>
              <w:bottom w:val="nil"/>
              <w:right w:val="nil"/>
            </w:tcBorders>
            <w:shd w:val="clear" w:color="auto" w:fill="auto"/>
            <w:noWrap/>
            <w:vAlign w:val="bottom"/>
            <w:hideMark/>
          </w:tcPr>
          <w:p w14:paraId="2F48FED3"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477 </w:t>
            </w:r>
          </w:p>
        </w:tc>
        <w:tc>
          <w:tcPr>
            <w:tcW w:w="920" w:type="dxa"/>
            <w:tcBorders>
              <w:top w:val="nil"/>
              <w:left w:val="nil"/>
              <w:bottom w:val="nil"/>
              <w:right w:val="nil"/>
            </w:tcBorders>
            <w:shd w:val="clear" w:color="auto" w:fill="auto"/>
            <w:noWrap/>
            <w:vAlign w:val="bottom"/>
            <w:hideMark/>
          </w:tcPr>
          <w:p w14:paraId="1E64BA2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481 </w:t>
            </w:r>
          </w:p>
        </w:tc>
        <w:tc>
          <w:tcPr>
            <w:tcW w:w="920" w:type="dxa"/>
            <w:tcBorders>
              <w:top w:val="nil"/>
              <w:left w:val="nil"/>
              <w:bottom w:val="nil"/>
              <w:right w:val="nil"/>
            </w:tcBorders>
            <w:shd w:val="clear" w:color="auto" w:fill="auto"/>
            <w:noWrap/>
            <w:vAlign w:val="bottom"/>
            <w:hideMark/>
          </w:tcPr>
          <w:p w14:paraId="19460F56" w14:textId="77777777" w:rsidR="00B70687" w:rsidRPr="00B70687" w:rsidRDefault="00B70687" w:rsidP="00B70687">
            <w:pPr>
              <w:spacing w:after="0"/>
              <w:jc w:val="right"/>
              <w:rPr>
                <w:rFonts w:ascii="Arial" w:hAnsi="Arial" w:cs="Arial"/>
                <w:color w:val="auto"/>
                <w:sz w:val="16"/>
                <w:szCs w:val="16"/>
              </w:rPr>
            </w:pPr>
            <w:r w:rsidRPr="00B70687">
              <w:rPr>
                <w:rFonts w:ascii="Arial" w:hAnsi="Arial" w:cs="Arial"/>
                <w:color w:val="auto"/>
                <w:sz w:val="16"/>
                <w:szCs w:val="16"/>
              </w:rPr>
              <w:t xml:space="preserve">485 </w:t>
            </w:r>
          </w:p>
        </w:tc>
      </w:tr>
      <w:tr w:rsidR="00B70687" w:rsidRPr="00B70687" w14:paraId="17B07DB9" w14:textId="77777777" w:rsidTr="00B70687">
        <w:trPr>
          <w:trHeight w:val="225"/>
          <w:jc w:val="center"/>
        </w:trPr>
        <w:tc>
          <w:tcPr>
            <w:tcW w:w="2320" w:type="dxa"/>
            <w:tcBorders>
              <w:top w:val="nil"/>
              <w:left w:val="nil"/>
              <w:bottom w:val="nil"/>
              <w:right w:val="nil"/>
            </w:tcBorders>
            <w:shd w:val="clear" w:color="auto" w:fill="auto"/>
            <w:noWrap/>
            <w:vAlign w:val="bottom"/>
            <w:hideMark/>
          </w:tcPr>
          <w:p w14:paraId="0256A350" w14:textId="77777777" w:rsidR="00B70687" w:rsidRPr="00B70687" w:rsidRDefault="00B70687" w:rsidP="00B70687">
            <w:pPr>
              <w:spacing w:after="0"/>
              <w:rPr>
                <w:rFonts w:ascii="Arial" w:hAnsi="Arial" w:cs="Arial"/>
                <w:b/>
                <w:bCs/>
                <w:color w:val="auto"/>
                <w:sz w:val="16"/>
                <w:szCs w:val="16"/>
              </w:rPr>
            </w:pPr>
            <w:r w:rsidRPr="00B70687">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50C3E118" w14:textId="77777777" w:rsidR="00B70687" w:rsidRPr="00B70687" w:rsidRDefault="00B70687" w:rsidP="00B7068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59F35EF"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682 </w:t>
            </w:r>
          </w:p>
        </w:tc>
        <w:tc>
          <w:tcPr>
            <w:tcW w:w="920" w:type="dxa"/>
            <w:tcBorders>
              <w:top w:val="single" w:sz="4" w:space="0" w:color="000000"/>
              <w:left w:val="nil"/>
              <w:bottom w:val="single" w:sz="4" w:space="0" w:color="000000"/>
              <w:right w:val="nil"/>
            </w:tcBorders>
            <w:shd w:val="clear" w:color="000000" w:fill="D9D9D9"/>
            <w:noWrap/>
            <w:tcMar>
              <w:left w:w="0" w:type="dxa"/>
            </w:tcMar>
            <w:vAlign w:val="bottom"/>
            <w:hideMark/>
          </w:tcPr>
          <w:p w14:paraId="47E4BEA2"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1,402,779 </w:t>
            </w:r>
          </w:p>
        </w:tc>
        <w:tc>
          <w:tcPr>
            <w:tcW w:w="920" w:type="dxa"/>
            <w:tcBorders>
              <w:top w:val="single" w:sz="4" w:space="0" w:color="000000"/>
              <w:left w:val="nil"/>
              <w:bottom w:val="single" w:sz="4" w:space="0" w:color="000000"/>
              <w:right w:val="nil"/>
            </w:tcBorders>
            <w:shd w:val="clear" w:color="auto" w:fill="auto"/>
            <w:noWrap/>
            <w:tcMar>
              <w:left w:w="0" w:type="dxa"/>
            </w:tcMar>
            <w:vAlign w:val="bottom"/>
            <w:hideMark/>
          </w:tcPr>
          <w:p w14:paraId="2D721828"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1,665,359 </w:t>
            </w:r>
          </w:p>
        </w:tc>
        <w:tc>
          <w:tcPr>
            <w:tcW w:w="920" w:type="dxa"/>
            <w:tcBorders>
              <w:top w:val="single" w:sz="4" w:space="0" w:color="000000"/>
              <w:left w:val="nil"/>
              <w:bottom w:val="single" w:sz="4" w:space="0" w:color="000000"/>
              <w:right w:val="nil"/>
            </w:tcBorders>
            <w:shd w:val="clear" w:color="auto" w:fill="auto"/>
            <w:noWrap/>
            <w:tcMar>
              <w:left w:w="0" w:type="dxa"/>
            </w:tcMar>
            <w:vAlign w:val="bottom"/>
            <w:hideMark/>
          </w:tcPr>
          <w:p w14:paraId="0D157F11"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1,320,493 </w:t>
            </w:r>
          </w:p>
        </w:tc>
        <w:tc>
          <w:tcPr>
            <w:tcW w:w="920" w:type="dxa"/>
            <w:tcBorders>
              <w:top w:val="single" w:sz="4" w:space="0" w:color="000000"/>
              <w:left w:val="nil"/>
              <w:bottom w:val="single" w:sz="4" w:space="0" w:color="000000"/>
              <w:right w:val="nil"/>
            </w:tcBorders>
            <w:shd w:val="clear" w:color="auto" w:fill="auto"/>
            <w:noWrap/>
            <w:tcMar>
              <w:left w:w="0" w:type="dxa"/>
            </w:tcMar>
            <w:vAlign w:val="bottom"/>
            <w:hideMark/>
          </w:tcPr>
          <w:p w14:paraId="0CB85C10"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xml:space="preserve">1,340,864 </w:t>
            </w:r>
          </w:p>
        </w:tc>
      </w:tr>
      <w:tr w:rsidR="00B70687" w:rsidRPr="00B70687" w14:paraId="74985E61" w14:textId="77777777" w:rsidTr="00934D5E">
        <w:trPr>
          <w:trHeight w:val="225"/>
          <w:jc w:val="center"/>
        </w:trPr>
        <w:tc>
          <w:tcPr>
            <w:tcW w:w="2320" w:type="dxa"/>
            <w:tcBorders>
              <w:top w:val="nil"/>
              <w:left w:val="nil"/>
              <w:right w:val="nil"/>
            </w:tcBorders>
            <w:shd w:val="clear" w:color="auto" w:fill="auto"/>
            <w:noWrap/>
            <w:vAlign w:val="bottom"/>
            <w:hideMark/>
          </w:tcPr>
          <w:p w14:paraId="68D3E69D" w14:textId="77777777" w:rsidR="00B70687" w:rsidRPr="00B70687" w:rsidRDefault="00B70687" w:rsidP="00F30B2C">
            <w:pPr>
              <w:spacing w:after="0"/>
              <w:ind w:leftChars="75" w:left="143"/>
              <w:rPr>
                <w:rFonts w:ascii="Arial" w:hAnsi="Arial" w:cs="Arial"/>
                <w:i/>
                <w:iCs/>
                <w:color w:val="auto"/>
                <w:sz w:val="16"/>
                <w:szCs w:val="16"/>
              </w:rPr>
            </w:pPr>
            <w:r w:rsidRPr="00B70687">
              <w:rPr>
                <w:rFonts w:ascii="Arial" w:hAnsi="Arial" w:cs="Arial"/>
                <w:i/>
                <w:iCs/>
                <w:color w:val="auto"/>
                <w:sz w:val="16"/>
                <w:szCs w:val="16"/>
              </w:rPr>
              <w:t>Related receipts</w:t>
            </w:r>
          </w:p>
        </w:tc>
        <w:tc>
          <w:tcPr>
            <w:tcW w:w="460" w:type="dxa"/>
            <w:tcBorders>
              <w:top w:val="nil"/>
              <w:left w:val="nil"/>
              <w:right w:val="nil"/>
            </w:tcBorders>
            <w:shd w:val="clear" w:color="auto" w:fill="auto"/>
            <w:noWrap/>
            <w:vAlign w:val="bottom"/>
            <w:hideMark/>
          </w:tcPr>
          <w:p w14:paraId="24430F05" w14:textId="77777777" w:rsidR="00B70687" w:rsidRPr="00B70687" w:rsidRDefault="00B70687" w:rsidP="00B70687">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14:paraId="3BA40191"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DDCEDD9" w14:textId="77777777" w:rsidR="00B70687" w:rsidRPr="00B70687" w:rsidRDefault="00B70687" w:rsidP="00B70687">
            <w:pPr>
              <w:spacing w:after="0"/>
              <w:jc w:val="right"/>
              <w:rPr>
                <w:rFonts w:ascii="Arial" w:hAnsi="Arial" w:cs="Arial"/>
                <w:b/>
                <w:bCs/>
                <w:color w:val="auto"/>
                <w:sz w:val="16"/>
                <w:szCs w:val="16"/>
              </w:rPr>
            </w:pPr>
            <w:r w:rsidRPr="00B70687">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3F9D4CF6" w14:textId="77777777" w:rsidR="00B70687" w:rsidRPr="00B70687" w:rsidRDefault="00B70687" w:rsidP="00B70687">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109E5CE0" w14:textId="77777777" w:rsidR="00B70687" w:rsidRPr="00B70687" w:rsidRDefault="00B70687" w:rsidP="00B7068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65DB93F" w14:textId="77777777" w:rsidR="00B70687" w:rsidRPr="00B70687" w:rsidRDefault="00B70687" w:rsidP="00B70687">
            <w:pPr>
              <w:spacing w:after="0"/>
              <w:jc w:val="right"/>
              <w:rPr>
                <w:rFonts w:ascii="Times New Roman" w:hAnsi="Times New Roman"/>
                <w:color w:val="auto"/>
                <w:sz w:val="20"/>
                <w:szCs w:val="20"/>
              </w:rPr>
            </w:pPr>
          </w:p>
        </w:tc>
      </w:tr>
      <w:tr w:rsidR="00B70687" w:rsidRPr="00B70687" w14:paraId="6F03B9CA" w14:textId="77777777" w:rsidTr="00934D5E">
        <w:trPr>
          <w:trHeight w:val="225"/>
          <w:jc w:val="center"/>
        </w:trPr>
        <w:tc>
          <w:tcPr>
            <w:tcW w:w="2780" w:type="dxa"/>
            <w:gridSpan w:val="2"/>
            <w:tcBorders>
              <w:top w:val="nil"/>
              <w:left w:val="nil"/>
              <w:bottom w:val="single" w:sz="4" w:space="0" w:color="auto"/>
              <w:right w:val="nil"/>
            </w:tcBorders>
            <w:shd w:val="clear" w:color="auto" w:fill="auto"/>
            <w:noWrap/>
            <w:vAlign w:val="bottom"/>
            <w:hideMark/>
          </w:tcPr>
          <w:p w14:paraId="1469ADCC" w14:textId="77777777" w:rsidR="00B70687" w:rsidRPr="00B70687" w:rsidRDefault="00B70687" w:rsidP="00F30B2C">
            <w:pPr>
              <w:spacing w:after="0"/>
              <w:ind w:leftChars="75" w:left="143"/>
              <w:rPr>
                <w:rFonts w:ascii="Arial" w:hAnsi="Arial" w:cs="Arial"/>
                <w:i/>
                <w:iCs/>
                <w:color w:val="auto"/>
                <w:sz w:val="16"/>
                <w:szCs w:val="16"/>
              </w:rPr>
            </w:pPr>
            <w:r w:rsidRPr="00B70687">
              <w:rPr>
                <w:rFonts w:ascii="Arial" w:hAnsi="Arial" w:cs="Arial"/>
                <w:i/>
                <w:iCs/>
                <w:color w:val="auto"/>
                <w:sz w:val="16"/>
                <w:szCs w:val="16"/>
              </w:rPr>
              <w:t>Australian Digital Health Agency</w:t>
            </w:r>
          </w:p>
        </w:tc>
        <w:tc>
          <w:tcPr>
            <w:tcW w:w="920" w:type="dxa"/>
            <w:tcBorders>
              <w:top w:val="nil"/>
              <w:left w:val="nil"/>
              <w:bottom w:val="single" w:sz="4" w:space="0" w:color="auto"/>
              <w:right w:val="nil"/>
            </w:tcBorders>
            <w:shd w:val="clear" w:color="auto" w:fill="auto"/>
            <w:noWrap/>
            <w:vAlign w:val="bottom"/>
            <w:hideMark/>
          </w:tcPr>
          <w:p w14:paraId="353D16A5" w14:textId="77777777" w:rsidR="00B70687" w:rsidRPr="00B70687" w:rsidRDefault="00B70687" w:rsidP="00B70687">
            <w:pPr>
              <w:spacing w:after="0"/>
              <w:jc w:val="right"/>
              <w:rPr>
                <w:rFonts w:ascii="Arial" w:hAnsi="Arial" w:cs="Arial"/>
                <w:i/>
                <w:iCs/>
                <w:color w:val="auto"/>
                <w:sz w:val="16"/>
                <w:szCs w:val="16"/>
              </w:rPr>
            </w:pPr>
            <w:r w:rsidRPr="00B70687">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000000" w:fill="D9D9D9"/>
            <w:noWrap/>
            <w:vAlign w:val="bottom"/>
            <w:hideMark/>
          </w:tcPr>
          <w:p w14:paraId="039A7FE0" w14:textId="77777777" w:rsidR="00B70687" w:rsidRPr="00B70687" w:rsidRDefault="00B70687" w:rsidP="00B70687">
            <w:pPr>
              <w:spacing w:after="0"/>
              <w:jc w:val="right"/>
              <w:rPr>
                <w:rFonts w:ascii="Arial" w:hAnsi="Arial" w:cs="Arial"/>
                <w:i/>
                <w:iCs/>
                <w:color w:val="auto"/>
                <w:sz w:val="16"/>
                <w:szCs w:val="16"/>
              </w:rPr>
            </w:pPr>
            <w:r w:rsidRPr="00B70687">
              <w:rPr>
                <w:rFonts w:ascii="Arial" w:hAnsi="Arial" w:cs="Arial"/>
                <w:i/>
                <w:iCs/>
                <w:color w:val="auto"/>
                <w:sz w:val="16"/>
                <w:szCs w:val="16"/>
              </w:rPr>
              <w:t xml:space="preserve">32,250 </w:t>
            </w:r>
          </w:p>
        </w:tc>
        <w:tc>
          <w:tcPr>
            <w:tcW w:w="920" w:type="dxa"/>
            <w:tcBorders>
              <w:top w:val="nil"/>
              <w:left w:val="nil"/>
              <w:bottom w:val="single" w:sz="4" w:space="0" w:color="auto"/>
              <w:right w:val="nil"/>
            </w:tcBorders>
            <w:shd w:val="clear" w:color="auto" w:fill="auto"/>
            <w:noWrap/>
            <w:vAlign w:val="bottom"/>
            <w:hideMark/>
          </w:tcPr>
          <w:p w14:paraId="5928763C" w14:textId="77777777" w:rsidR="00B70687" w:rsidRPr="00B70687" w:rsidRDefault="00B70687" w:rsidP="00B70687">
            <w:pPr>
              <w:spacing w:after="0"/>
              <w:jc w:val="right"/>
              <w:rPr>
                <w:rFonts w:ascii="Arial" w:hAnsi="Arial" w:cs="Arial"/>
                <w:i/>
                <w:iCs/>
                <w:color w:val="auto"/>
                <w:sz w:val="16"/>
                <w:szCs w:val="16"/>
              </w:rPr>
            </w:pPr>
            <w:r w:rsidRPr="00B70687">
              <w:rPr>
                <w:rFonts w:ascii="Arial" w:hAnsi="Arial" w:cs="Arial"/>
                <w:i/>
                <w:iCs/>
                <w:color w:val="auto"/>
                <w:sz w:val="16"/>
                <w:szCs w:val="16"/>
              </w:rPr>
              <w:t xml:space="preserve">32,250 </w:t>
            </w:r>
          </w:p>
        </w:tc>
        <w:tc>
          <w:tcPr>
            <w:tcW w:w="920" w:type="dxa"/>
            <w:tcBorders>
              <w:top w:val="nil"/>
              <w:left w:val="nil"/>
              <w:bottom w:val="single" w:sz="4" w:space="0" w:color="auto"/>
              <w:right w:val="nil"/>
            </w:tcBorders>
            <w:shd w:val="clear" w:color="auto" w:fill="auto"/>
            <w:noWrap/>
            <w:vAlign w:val="bottom"/>
            <w:hideMark/>
          </w:tcPr>
          <w:p w14:paraId="004CCF0A" w14:textId="77777777" w:rsidR="00B70687" w:rsidRPr="00B70687" w:rsidRDefault="00B70687" w:rsidP="00B70687">
            <w:pPr>
              <w:spacing w:after="0"/>
              <w:jc w:val="right"/>
              <w:rPr>
                <w:rFonts w:ascii="Arial" w:hAnsi="Arial" w:cs="Arial"/>
                <w:i/>
                <w:iCs/>
                <w:color w:val="auto"/>
                <w:sz w:val="16"/>
                <w:szCs w:val="16"/>
              </w:rPr>
            </w:pPr>
            <w:r w:rsidRPr="00B70687">
              <w:rPr>
                <w:rFonts w:ascii="Arial" w:hAnsi="Arial" w:cs="Arial"/>
                <w:i/>
                <w:iCs/>
                <w:color w:val="auto"/>
                <w:sz w:val="16"/>
                <w:szCs w:val="16"/>
              </w:rPr>
              <w:t xml:space="preserve">32,250 </w:t>
            </w:r>
          </w:p>
        </w:tc>
        <w:tc>
          <w:tcPr>
            <w:tcW w:w="920" w:type="dxa"/>
            <w:tcBorders>
              <w:top w:val="nil"/>
              <w:left w:val="nil"/>
              <w:bottom w:val="single" w:sz="4" w:space="0" w:color="auto"/>
              <w:right w:val="nil"/>
            </w:tcBorders>
            <w:shd w:val="clear" w:color="auto" w:fill="auto"/>
            <w:noWrap/>
            <w:vAlign w:val="bottom"/>
            <w:hideMark/>
          </w:tcPr>
          <w:p w14:paraId="1DAF740C" w14:textId="77777777" w:rsidR="00B70687" w:rsidRPr="00B70687" w:rsidRDefault="00B70687" w:rsidP="00B70687">
            <w:pPr>
              <w:spacing w:after="0"/>
              <w:jc w:val="right"/>
              <w:rPr>
                <w:rFonts w:ascii="Arial" w:hAnsi="Arial" w:cs="Arial"/>
                <w:i/>
                <w:iCs/>
                <w:color w:val="auto"/>
                <w:sz w:val="16"/>
                <w:szCs w:val="16"/>
              </w:rPr>
            </w:pPr>
            <w:r w:rsidRPr="00B70687">
              <w:rPr>
                <w:rFonts w:ascii="Arial" w:hAnsi="Arial" w:cs="Arial"/>
                <w:i/>
                <w:iCs/>
                <w:color w:val="auto"/>
                <w:sz w:val="16"/>
                <w:szCs w:val="16"/>
              </w:rPr>
              <w:t xml:space="preserve">32,250 </w:t>
            </w:r>
          </w:p>
        </w:tc>
      </w:tr>
    </w:tbl>
    <w:p w14:paraId="3BCA5C6F" w14:textId="77777777" w:rsidR="009C684C" w:rsidRDefault="009C684C">
      <w:pPr>
        <w:spacing w:after="0"/>
        <w:rPr>
          <w:rFonts w:ascii="Arial" w:hAnsi="Arial" w:cs="Arial"/>
          <w:b/>
          <w:sz w:val="20"/>
          <w:szCs w:val="18"/>
        </w:rPr>
      </w:pPr>
      <w:r>
        <w:rPr>
          <w:sz w:val="20"/>
        </w:rPr>
        <w:br w:type="page"/>
      </w:r>
    </w:p>
    <w:p w14:paraId="50F55EAE" w14:textId="6B53FEF2" w:rsidR="007D48FE" w:rsidRPr="00557A54" w:rsidRDefault="001807F5" w:rsidP="00557A54">
      <w:pPr>
        <w:pStyle w:val="Tablenumberandreference"/>
        <w:rPr>
          <w:sz w:val="20"/>
        </w:rPr>
      </w:pPr>
      <w:r w:rsidRPr="00F277A4">
        <w:rPr>
          <w:sz w:val="20"/>
        </w:rPr>
        <w:lastRenderedPageBreak/>
        <w:t xml:space="preserve">Table 1.2: Department of Health and Aged Care </w:t>
      </w:r>
      <w:r w:rsidR="00BA2102">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097147" w:rsidRPr="00097147" w14:paraId="568E1336" w14:textId="77777777" w:rsidTr="00097147">
        <w:trPr>
          <w:trHeight w:val="340"/>
          <w:jc w:val="center"/>
        </w:trPr>
        <w:tc>
          <w:tcPr>
            <w:tcW w:w="2780" w:type="dxa"/>
            <w:gridSpan w:val="2"/>
            <w:tcBorders>
              <w:top w:val="single" w:sz="4" w:space="0" w:color="auto"/>
              <w:left w:val="nil"/>
              <w:bottom w:val="nil"/>
              <w:right w:val="nil"/>
            </w:tcBorders>
            <w:shd w:val="clear" w:color="auto" w:fill="auto"/>
            <w:vAlign w:val="bottom"/>
            <w:hideMark/>
          </w:tcPr>
          <w:p w14:paraId="17839905"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 xml:space="preserve">Outcome/ </w:t>
            </w:r>
            <w:r w:rsidRPr="00097147">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2E921149"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2022–23</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34ADE766"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2023–24</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0E9311A5"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2024–25</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B189566"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2025–26</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9283535"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2026–27</w:t>
            </w:r>
            <w:r w:rsidRPr="00097147">
              <w:rPr>
                <w:rFonts w:ascii="Arial" w:hAnsi="Arial" w:cs="Arial"/>
                <w:b/>
                <w:bCs/>
                <w:color w:val="auto"/>
                <w:sz w:val="16"/>
                <w:szCs w:val="16"/>
              </w:rPr>
              <w:br/>
              <w:t>$'000</w:t>
            </w:r>
          </w:p>
        </w:tc>
      </w:tr>
      <w:tr w:rsidR="00097147" w:rsidRPr="00097147" w14:paraId="14530F55" w14:textId="77777777" w:rsidTr="00097147">
        <w:trPr>
          <w:trHeight w:val="283"/>
          <w:jc w:val="center"/>
        </w:trPr>
        <w:tc>
          <w:tcPr>
            <w:tcW w:w="7380" w:type="dxa"/>
            <w:gridSpan w:val="7"/>
            <w:tcBorders>
              <w:top w:val="nil"/>
              <w:left w:val="nil"/>
              <w:bottom w:val="nil"/>
              <w:right w:val="nil"/>
            </w:tcBorders>
            <w:shd w:val="clear" w:color="auto" w:fill="auto"/>
            <w:vAlign w:val="bottom"/>
            <w:hideMark/>
          </w:tcPr>
          <w:p w14:paraId="2383DA1B"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Strengthening Medicare — improving Medicare integrity</w:t>
            </w:r>
          </w:p>
        </w:tc>
      </w:tr>
      <w:tr w:rsidR="00097147" w:rsidRPr="00097147" w14:paraId="14AF1044" w14:textId="77777777" w:rsidTr="00097147">
        <w:trPr>
          <w:trHeight w:val="425"/>
          <w:jc w:val="center"/>
        </w:trPr>
        <w:tc>
          <w:tcPr>
            <w:tcW w:w="2320" w:type="dxa"/>
            <w:tcBorders>
              <w:top w:val="nil"/>
              <w:left w:val="nil"/>
              <w:bottom w:val="nil"/>
              <w:right w:val="nil"/>
            </w:tcBorders>
            <w:shd w:val="clear" w:color="auto" w:fill="auto"/>
            <w:vAlign w:val="bottom"/>
            <w:hideMark/>
          </w:tcPr>
          <w:p w14:paraId="517FFB55"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5D9C259"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E019B55"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EB10544"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823BF13"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E65E64F"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6415D90"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47FE7AE1"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1B0FC7F6"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4776F83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2.6</w:t>
            </w:r>
          </w:p>
        </w:tc>
        <w:tc>
          <w:tcPr>
            <w:tcW w:w="920" w:type="dxa"/>
            <w:tcBorders>
              <w:top w:val="nil"/>
              <w:left w:val="nil"/>
              <w:bottom w:val="nil"/>
              <w:right w:val="nil"/>
            </w:tcBorders>
            <w:shd w:val="clear" w:color="auto" w:fill="auto"/>
            <w:noWrap/>
            <w:vAlign w:val="bottom"/>
            <w:hideMark/>
          </w:tcPr>
          <w:p w14:paraId="3A1E2E2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2DC660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1,213 </w:t>
            </w:r>
          </w:p>
        </w:tc>
        <w:tc>
          <w:tcPr>
            <w:tcW w:w="920" w:type="dxa"/>
            <w:tcBorders>
              <w:top w:val="nil"/>
              <w:left w:val="nil"/>
              <w:bottom w:val="nil"/>
              <w:right w:val="nil"/>
            </w:tcBorders>
            <w:shd w:val="clear" w:color="auto" w:fill="auto"/>
            <w:noWrap/>
            <w:vAlign w:val="bottom"/>
            <w:hideMark/>
          </w:tcPr>
          <w:p w14:paraId="4C4303A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1F08AE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40D298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34FF8221" w14:textId="77777777" w:rsidTr="00097147">
        <w:trPr>
          <w:trHeight w:val="225"/>
          <w:jc w:val="center"/>
        </w:trPr>
        <w:tc>
          <w:tcPr>
            <w:tcW w:w="2320" w:type="dxa"/>
            <w:tcBorders>
              <w:top w:val="nil"/>
              <w:left w:val="nil"/>
              <w:bottom w:val="nil"/>
              <w:right w:val="nil"/>
            </w:tcBorders>
            <w:shd w:val="clear" w:color="auto" w:fill="auto"/>
            <w:vAlign w:val="bottom"/>
            <w:hideMark/>
          </w:tcPr>
          <w:p w14:paraId="08BCDFFC"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0E97CA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285FA55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85643C1"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10,577 </w:t>
            </w:r>
          </w:p>
        </w:tc>
        <w:tc>
          <w:tcPr>
            <w:tcW w:w="920" w:type="dxa"/>
            <w:tcBorders>
              <w:top w:val="nil"/>
              <w:left w:val="nil"/>
              <w:bottom w:val="nil"/>
              <w:right w:val="nil"/>
            </w:tcBorders>
            <w:shd w:val="clear" w:color="auto" w:fill="auto"/>
            <w:noWrap/>
            <w:vAlign w:val="bottom"/>
            <w:hideMark/>
          </w:tcPr>
          <w:p w14:paraId="207244D1"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2,316 </w:t>
            </w:r>
          </w:p>
        </w:tc>
        <w:tc>
          <w:tcPr>
            <w:tcW w:w="920" w:type="dxa"/>
            <w:tcBorders>
              <w:top w:val="nil"/>
              <w:left w:val="nil"/>
              <w:bottom w:val="nil"/>
              <w:right w:val="nil"/>
            </w:tcBorders>
            <w:shd w:val="clear" w:color="auto" w:fill="auto"/>
            <w:noWrap/>
            <w:vAlign w:val="bottom"/>
            <w:hideMark/>
          </w:tcPr>
          <w:p w14:paraId="5AC6C99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2,334 </w:t>
            </w:r>
          </w:p>
        </w:tc>
        <w:tc>
          <w:tcPr>
            <w:tcW w:w="920" w:type="dxa"/>
            <w:tcBorders>
              <w:top w:val="nil"/>
              <w:left w:val="nil"/>
              <w:bottom w:val="nil"/>
              <w:right w:val="nil"/>
            </w:tcBorders>
            <w:shd w:val="clear" w:color="auto" w:fill="auto"/>
            <w:noWrap/>
            <w:vAlign w:val="bottom"/>
            <w:hideMark/>
          </w:tcPr>
          <w:p w14:paraId="17305A2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2,355 </w:t>
            </w:r>
          </w:p>
        </w:tc>
      </w:tr>
      <w:tr w:rsidR="00097147" w:rsidRPr="00097147" w14:paraId="039D346A" w14:textId="77777777" w:rsidTr="00097147">
        <w:trPr>
          <w:trHeight w:val="283"/>
          <w:jc w:val="center"/>
        </w:trPr>
        <w:tc>
          <w:tcPr>
            <w:tcW w:w="2320" w:type="dxa"/>
            <w:tcBorders>
              <w:top w:val="nil"/>
              <w:left w:val="nil"/>
              <w:bottom w:val="nil"/>
              <w:right w:val="nil"/>
            </w:tcBorders>
            <w:shd w:val="clear" w:color="auto" w:fill="auto"/>
            <w:vAlign w:val="bottom"/>
            <w:hideMark/>
          </w:tcPr>
          <w:p w14:paraId="492FFE69"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513FD47D"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8C7B127"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FE3F4A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272E133F" w14:textId="77777777" w:rsidR="00097147" w:rsidRPr="00097147" w:rsidRDefault="00097147" w:rsidP="0009714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DA52A89"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45D8AA9"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2CC6DD8A" w14:textId="77777777" w:rsidTr="00097147">
        <w:trPr>
          <w:trHeight w:val="225"/>
          <w:jc w:val="center"/>
        </w:trPr>
        <w:tc>
          <w:tcPr>
            <w:tcW w:w="2320" w:type="dxa"/>
            <w:tcBorders>
              <w:top w:val="nil"/>
              <w:left w:val="nil"/>
              <w:bottom w:val="nil"/>
              <w:right w:val="nil"/>
            </w:tcBorders>
            <w:shd w:val="clear" w:color="auto" w:fill="auto"/>
            <w:vAlign w:val="bottom"/>
            <w:hideMark/>
          </w:tcPr>
          <w:p w14:paraId="40F070C5"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6322FA20"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FE27F2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F35F49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6,610 </w:t>
            </w:r>
          </w:p>
        </w:tc>
        <w:tc>
          <w:tcPr>
            <w:tcW w:w="920" w:type="dxa"/>
            <w:tcBorders>
              <w:top w:val="nil"/>
              <w:left w:val="nil"/>
              <w:bottom w:val="nil"/>
              <w:right w:val="nil"/>
            </w:tcBorders>
            <w:shd w:val="clear" w:color="auto" w:fill="auto"/>
            <w:noWrap/>
            <w:vAlign w:val="bottom"/>
            <w:hideMark/>
          </w:tcPr>
          <w:p w14:paraId="13F4CF0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2,460 </w:t>
            </w:r>
          </w:p>
        </w:tc>
        <w:tc>
          <w:tcPr>
            <w:tcW w:w="920" w:type="dxa"/>
            <w:tcBorders>
              <w:top w:val="nil"/>
              <w:left w:val="nil"/>
              <w:bottom w:val="nil"/>
              <w:right w:val="nil"/>
            </w:tcBorders>
            <w:shd w:val="clear" w:color="auto" w:fill="auto"/>
            <w:noWrap/>
            <w:vAlign w:val="bottom"/>
            <w:hideMark/>
          </w:tcPr>
          <w:p w14:paraId="31B7CDC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1,254 </w:t>
            </w:r>
          </w:p>
        </w:tc>
        <w:tc>
          <w:tcPr>
            <w:tcW w:w="920" w:type="dxa"/>
            <w:tcBorders>
              <w:top w:val="nil"/>
              <w:left w:val="nil"/>
              <w:bottom w:val="nil"/>
              <w:right w:val="nil"/>
            </w:tcBorders>
            <w:shd w:val="clear" w:color="auto" w:fill="auto"/>
            <w:noWrap/>
            <w:vAlign w:val="bottom"/>
            <w:hideMark/>
          </w:tcPr>
          <w:p w14:paraId="735F5ED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681 </w:t>
            </w:r>
          </w:p>
        </w:tc>
      </w:tr>
      <w:tr w:rsidR="00097147" w:rsidRPr="00097147" w14:paraId="3AAA3E26"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642DB2D9"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4833261E"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D4A2D5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51B9E6F3"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18,400 </w:t>
            </w:r>
          </w:p>
        </w:tc>
        <w:tc>
          <w:tcPr>
            <w:tcW w:w="920" w:type="dxa"/>
            <w:tcBorders>
              <w:top w:val="single" w:sz="4" w:space="0" w:color="000000"/>
              <w:left w:val="nil"/>
              <w:bottom w:val="single" w:sz="4" w:space="0" w:color="000000"/>
              <w:right w:val="nil"/>
            </w:tcBorders>
            <w:shd w:val="clear" w:color="auto" w:fill="auto"/>
            <w:noWrap/>
            <w:vAlign w:val="bottom"/>
            <w:hideMark/>
          </w:tcPr>
          <w:p w14:paraId="63DDE6CB"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4,776 </w:t>
            </w:r>
          </w:p>
        </w:tc>
        <w:tc>
          <w:tcPr>
            <w:tcW w:w="920" w:type="dxa"/>
            <w:tcBorders>
              <w:top w:val="single" w:sz="4" w:space="0" w:color="000000"/>
              <w:left w:val="nil"/>
              <w:bottom w:val="single" w:sz="4" w:space="0" w:color="000000"/>
              <w:right w:val="nil"/>
            </w:tcBorders>
            <w:shd w:val="clear" w:color="auto" w:fill="auto"/>
            <w:noWrap/>
            <w:vAlign w:val="bottom"/>
            <w:hideMark/>
          </w:tcPr>
          <w:p w14:paraId="52EBF6E0"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3,588 </w:t>
            </w:r>
          </w:p>
        </w:tc>
        <w:tc>
          <w:tcPr>
            <w:tcW w:w="920" w:type="dxa"/>
            <w:tcBorders>
              <w:top w:val="single" w:sz="4" w:space="0" w:color="000000"/>
              <w:left w:val="nil"/>
              <w:bottom w:val="single" w:sz="4" w:space="0" w:color="000000"/>
              <w:right w:val="nil"/>
            </w:tcBorders>
            <w:shd w:val="clear" w:color="auto" w:fill="auto"/>
            <w:noWrap/>
            <w:vAlign w:val="bottom"/>
            <w:hideMark/>
          </w:tcPr>
          <w:p w14:paraId="416AD640"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3,036 </w:t>
            </w:r>
          </w:p>
        </w:tc>
      </w:tr>
      <w:tr w:rsidR="00097147" w:rsidRPr="00097147" w14:paraId="34A9A4F5" w14:textId="77777777" w:rsidTr="00097147">
        <w:trPr>
          <w:trHeight w:val="283"/>
          <w:jc w:val="center"/>
        </w:trPr>
        <w:tc>
          <w:tcPr>
            <w:tcW w:w="7380" w:type="dxa"/>
            <w:gridSpan w:val="7"/>
            <w:tcBorders>
              <w:top w:val="nil"/>
              <w:left w:val="nil"/>
              <w:bottom w:val="nil"/>
              <w:right w:val="nil"/>
            </w:tcBorders>
            <w:shd w:val="clear" w:color="auto" w:fill="auto"/>
            <w:vAlign w:val="bottom"/>
            <w:hideMark/>
          </w:tcPr>
          <w:p w14:paraId="301F1D09"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 xml:space="preserve">Support for Children and New and Expecting Parents </w:t>
            </w:r>
            <w:r w:rsidRPr="00097147">
              <w:rPr>
                <w:rFonts w:ascii="Arial" w:hAnsi="Arial" w:cs="Arial"/>
                <w:b/>
                <w:bCs/>
                <w:color w:val="auto"/>
                <w:sz w:val="16"/>
                <w:szCs w:val="16"/>
                <w:vertAlign w:val="superscript"/>
              </w:rPr>
              <w:t>(b)</w:t>
            </w:r>
          </w:p>
        </w:tc>
      </w:tr>
      <w:tr w:rsidR="00097147" w:rsidRPr="00097147" w14:paraId="251C5282" w14:textId="77777777" w:rsidTr="00097147">
        <w:trPr>
          <w:trHeight w:val="425"/>
          <w:jc w:val="center"/>
        </w:trPr>
        <w:tc>
          <w:tcPr>
            <w:tcW w:w="2320" w:type="dxa"/>
            <w:tcBorders>
              <w:top w:val="nil"/>
              <w:left w:val="nil"/>
              <w:bottom w:val="nil"/>
              <w:right w:val="nil"/>
            </w:tcBorders>
            <w:shd w:val="clear" w:color="auto" w:fill="auto"/>
            <w:vAlign w:val="bottom"/>
            <w:hideMark/>
          </w:tcPr>
          <w:p w14:paraId="6B2A17CE"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8E01AA5"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86AF97E"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AF2308A"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83CE8D6"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3BD3741"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CFD8676"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6E401C77"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4A95FF98"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77B572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51CBC42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13089D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6,130 </w:t>
            </w:r>
          </w:p>
        </w:tc>
        <w:tc>
          <w:tcPr>
            <w:tcW w:w="920" w:type="dxa"/>
            <w:tcBorders>
              <w:top w:val="nil"/>
              <w:left w:val="nil"/>
              <w:bottom w:val="nil"/>
              <w:right w:val="nil"/>
            </w:tcBorders>
            <w:shd w:val="clear" w:color="auto" w:fill="auto"/>
            <w:noWrap/>
            <w:vAlign w:val="bottom"/>
            <w:hideMark/>
          </w:tcPr>
          <w:p w14:paraId="0E250B7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9,579 </w:t>
            </w:r>
          </w:p>
        </w:tc>
        <w:tc>
          <w:tcPr>
            <w:tcW w:w="920" w:type="dxa"/>
            <w:tcBorders>
              <w:top w:val="nil"/>
              <w:left w:val="nil"/>
              <w:bottom w:val="nil"/>
              <w:right w:val="nil"/>
            </w:tcBorders>
            <w:shd w:val="clear" w:color="auto" w:fill="auto"/>
            <w:noWrap/>
            <w:vAlign w:val="bottom"/>
            <w:hideMark/>
          </w:tcPr>
          <w:p w14:paraId="3E35D8E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2CFF03D"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244DA5E2" w14:textId="77777777" w:rsidTr="00097147">
        <w:trPr>
          <w:trHeight w:val="225"/>
          <w:jc w:val="center"/>
        </w:trPr>
        <w:tc>
          <w:tcPr>
            <w:tcW w:w="2320" w:type="dxa"/>
            <w:tcBorders>
              <w:top w:val="nil"/>
              <w:left w:val="nil"/>
              <w:bottom w:val="nil"/>
              <w:right w:val="nil"/>
            </w:tcBorders>
            <w:shd w:val="clear" w:color="auto" w:fill="auto"/>
            <w:vAlign w:val="bottom"/>
            <w:hideMark/>
          </w:tcPr>
          <w:p w14:paraId="2C90E5F0" w14:textId="77777777" w:rsidR="00097147" w:rsidRPr="00097147" w:rsidRDefault="00097147" w:rsidP="00097147">
            <w:pPr>
              <w:spacing w:after="0"/>
              <w:ind w:leftChars="75" w:left="143"/>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DD1E07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1.9</w:t>
            </w:r>
          </w:p>
        </w:tc>
        <w:tc>
          <w:tcPr>
            <w:tcW w:w="920" w:type="dxa"/>
            <w:tcBorders>
              <w:top w:val="nil"/>
              <w:left w:val="nil"/>
              <w:bottom w:val="nil"/>
              <w:right w:val="nil"/>
            </w:tcBorders>
            <w:shd w:val="clear" w:color="auto" w:fill="auto"/>
            <w:noWrap/>
            <w:vAlign w:val="bottom"/>
            <w:hideMark/>
          </w:tcPr>
          <w:p w14:paraId="079CD22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637005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1,350 </w:t>
            </w:r>
          </w:p>
        </w:tc>
        <w:tc>
          <w:tcPr>
            <w:tcW w:w="920" w:type="dxa"/>
            <w:tcBorders>
              <w:top w:val="nil"/>
              <w:left w:val="nil"/>
              <w:bottom w:val="nil"/>
              <w:right w:val="nil"/>
            </w:tcBorders>
            <w:shd w:val="clear" w:color="auto" w:fill="auto"/>
            <w:noWrap/>
            <w:vAlign w:val="bottom"/>
            <w:hideMark/>
          </w:tcPr>
          <w:p w14:paraId="271562E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1,150 </w:t>
            </w:r>
          </w:p>
        </w:tc>
        <w:tc>
          <w:tcPr>
            <w:tcW w:w="920" w:type="dxa"/>
            <w:tcBorders>
              <w:top w:val="nil"/>
              <w:left w:val="nil"/>
              <w:bottom w:val="nil"/>
              <w:right w:val="nil"/>
            </w:tcBorders>
            <w:shd w:val="clear" w:color="auto" w:fill="auto"/>
            <w:noWrap/>
            <w:vAlign w:val="bottom"/>
            <w:hideMark/>
          </w:tcPr>
          <w:p w14:paraId="7A7FE21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711E367"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326144F8"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1E1A32C"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83DA12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4F5D458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840B0B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91 </w:t>
            </w:r>
          </w:p>
        </w:tc>
        <w:tc>
          <w:tcPr>
            <w:tcW w:w="920" w:type="dxa"/>
            <w:tcBorders>
              <w:top w:val="nil"/>
              <w:left w:val="nil"/>
              <w:bottom w:val="nil"/>
              <w:right w:val="nil"/>
            </w:tcBorders>
            <w:shd w:val="clear" w:color="auto" w:fill="auto"/>
            <w:noWrap/>
            <w:vAlign w:val="bottom"/>
            <w:hideMark/>
          </w:tcPr>
          <w:p w14:paraId="74C76B0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59 </w:t>
            </w:r>
          </w:p>
        </w:tc>
        <w:tc>
          <w:tcPr>
            <w:tcW w:w="920" w:type="dxa"/>
            <w:tcBorders>
              <w:top w:val="nil"/>
              <w:left w:val="nil"/>
              <w:bottom w:val="nil"/>
              <w:right w:val="nil"/>
            </w:tcBorders>
            <w:shd w:val="clear" w:color="auto" w:fill="auto"/>
            <w:noWrap/>
            <w:vAlign w:val="bottom"/>
            <w:hideMark/>
          </w:tcPr>
          <w:p w14:paraId="21623853"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0178BF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2FC19180"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89FA773"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7FE7B9F2"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77D56A9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51669EBC"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7,571 </w:t>
            </w:r>
          </w:p>
        </w:tc>
        <w:tc>
          <w:tcPr>
            <w:tcW w:w="920" w:type="dxa"/>
            <w:tcBorders>
              <w:top w:val="single" w:sz="4" w:space="0" w:color="000000"/>
              <w:left w:val="nil"/>
              <w:bottom w:val="single" w:sz="4" w:space="0" w:color="000000"/>
              <w:right w:val="nil"/>
            </w:tcBorders>
            <w:shd w:val="clear" w:color="auto" w:fill="auto"/>
            <w:noWrap/>
            <w:vAlign w:val="bottom"/>
            <w:hideMark/>
          </w:tcPr>
          <w:p w14:paraId="68E46C95"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10,788 </w:t>
            </w:r>
          </w:p>
        </w:tc>
        <w:tc>
          <w:tcPr>
            <w:tcW w:w="920" w:type="dxa"/>
            <w:tcBorders>
              <w:top w:val="single" w:sz="4" w:space="0" w:color="000000"/>
              <w:left w:val="nil"/>
              <w:bottom w:val="single" w:sz="4" w:space="0" w:color="000000"/>
              <w:right w:val="nil"/>
            </w:tcBorders>
            <w:shd w:val="clear" w:color="auto" w:fill="auto"/>
            <w:noWrap/>
            <w:vAlign w:val="bottom"/>
            <w:hideMark/>
          </w:tcPr>
          <w:p w14:paraId="1E268B9D"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47C6C6B3"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r>
      <w:tr w:rsidR="00097147" w:rsidRPr="00097147" w14:paraId="4D6D56D8" w14:textId="77777777" w:rsidTr="00097147">
        <w:trPr>
          <w:trHeight w:val="283"/>
          <w:jc w:val="center"/>
        </w:trPr>
        <w:tc>
          <w:tcPr>
            <w:tcW w:w="7380" w:type="dxa"/>
            <w:gridSpan w:val="7"/>
            <w:tcBorders>
              <w:top w:val="nil"/>
              <w:left w:val="nil"/>
              <w:bottom w:val="nil"/>
              <w:right w:val="nil"/>
            </w:tcBorders>
            <w:shd w:val="clear" w:color="auto" w:fill="auto"/>
            <w:vAlign w:val="bottom"/>
            <w:hideMark/>
          </w:tcPr>
          <w:p w14:paraId="2FF7B87D"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Supporting Affordable Health Care — Cost Recovery Arrangements</w:t>
            </w:r>
          </w:p>
        </w:tc>
      </w:tr>
      <w:tr w:rsidR="00097147" w:rsidRPr="00097147" w14:paraId="4B9699F0" w14:textId="77777777" w:rsidTr="00097147">
        <w:trPr>
          <w:trHeight w:val="425"/>
          <w:jc w:val="center"/>
        </w:trPr>
        <w:tc>
          <w:tcPr>
            <w:tcW w:w="2320" w:type="dxa"/>
            <w:tcBorders>
              <w:top w:val="nil"/>
              <w:left w:val="nil"/>
              <w:bottom w:val="nil"/>
              <w:right w:val="nil"/>
            </w:tcBorders>
            <w:shd w:val="clear" w:color="auto" w:fill="auto"/>
            <w:vAlign w:val="bottom"/>
            <w:hideMark/>
          </w:tcPr>
          <w:p w14:paraId="76A98896"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60E9E6D0"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848B160"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7C9745B"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681C803"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E2E5B8"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A939A63"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44D01635"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6B9C5B16"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85F3F1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2.4</w:t>
            </w:r>
          </w:p>
        </w:tc>
        <w:tc>
          <w:tcPr>
            <w:tcW w:w="920" w:type="dxa"/>
            <w:tcBorders>
              <w:top w:val="nil"/>
              <w:left w:val="nil"/>
              <w:bottom w:val="nil"/>
              <w:right w:val="nil"/>
            </w:tcBorders>
            <w:shd w:val="clear" w:color="auto" w:fill="auto"/>
            <w:noWrap/>
            <w:vAlign w:val="bottom"/>
            <w:hideMark/>
          </w:tcPr>
          <w:p w14:paraId="29046F5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A2FF42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1,898 </w:t>
            </w:r>
          </w:p>
        </w:tc>
        <w:tc>
          <w:tcPr>
            <w:tcW w:w="920" w:type="dxa"/>
            <w:tcBorders>
              <w:top w:val="nil"/>
              <w:left w:val="nil"/>
              <w:bottom w:val="nil"/>
              <w:right w:val="nil"/>
            </w:tcBorders>
            <w:shd w:val="clear" w:color="auto" w:fill="auto"/>
            <w:noWrap/>
            <w:vAlign w:val="bottom"/>
            <w:hideMark/>
          </w:tcPr>
          <w:p w14:paraId="0CB5978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1,947 </w:t>
            </w:r>
          </w:p>
        </w:tc>
        <w:tc>
          <w:tcPr>
            <w:tcW w:w="920" w:type="dxa"/>
            <w:tcBorders>
              <w:top w:val="nil"/>
              <w:left w:val="nil"/>
              <w:bottom w:val="nil"/>
              <w:right w:val="nil"/>
            </w:tcBorders>
            <w:shd w:val="clear" w:color="auto" w:fill="auto"/>
            <w:noWrap/>
            <w:vAlign w:val="bottom"/>
            <w:hideMark/>
          </w:tcPr>
          <w:p w14:paraId="2D83652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2,233 </w:t>
            </w:r>
          </w:p>
        </w:tc>
        <w:tc>
          <w:tcPr>
            <w:tcW w:w="920" w:type="dxa"/>
            <w:tcBorders>
              <w:top w:val="nil"/>
              <w:left w:val="nil"/>
              <w:bottom w:val="nil"/>
              <w:right w:val="nil"/>
            </w:tcBorders>
            <w:shd w:val="clear" w:color="auto" w:fill="auto"/>
            <w:noWrap/>
            <w:vAlign w:val="bottom"/>
            <w:hideMark/>
          </w:tcPr>
          <w:p w14:paraId="24CC1861"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2,020 </w:t>
            </w:r>
          </w:p>
        </w:tc>
      </w:tr>
      <w:tr w:rsidR="00097147" w:rsidRPr="00097147" w14:paraId="72225324" w14:textId="77777777" w:rsidTr="00097147">
        <w:trPr>
          <w:trHeight w:val="225"/>
          <w:jc w:val="center"/>
        </w:trPr>
        <w:tc>
          <w:tcPr>
            <w:tcW w:w="2320" w:type="dxa"/>
            <w:tcBorders>
              <w:top w:val="nil"/>
              <w:left w:val="nil"/>
              <w:bottom w:val="nil"/>
              <w:right w:val="nil"/>
            </w:tcBorders>
            <w:shd w:val="clear" w:color="auto" w:fill="auto"/>
            <w:vAlign w:val="bottom"/>
            <w:hideMark/>
          </w:tcPr>
          <w:p w14:paraId="7DF0C857" w14:textId="77777777" w:rsidR="00097147" w:rsidRPr="00097147" w:rsidRDefault="00097147" w:rsidP="0009714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942B0B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2.7</w:t>
            </w:r>
          </w:p>
        </w:tc>
        <w:tc>
          <w:tcPr>
            <w:tcW w:w="920" w:type="dxa"/>
            <w:tcBorders>
              <w:top w:val="nil"/>
              <w:left w:val="nil"/>
              <w:bottom w:val="nil"/>
              <w:right w:val="nil"/>
            </w:tcBorders>
            <w:shd w:val="clear" w:color="auto" w:fill="auto"/>
            <w:noWrap/>
            <w:vAlign w:val="bottom"/>
            <w:hideMark/>
          </w:tcPr>
          <w:p w14:paraId="2E8105D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6C8C70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250 </w:t>
            </w:r>
          </w:p>
        </w:tc>
        <w:tc>
          <w:tcPr>
            <w:tcW w:w="920" w:type="dxa"/>
            <w:tcBorders>
              <w:top w:val="nil"/>
              <w:left w:val="nil"/>
              <w:bottom w:val="nil"/>
              <w:right w:val="nil"/>
            </w:tcBorders>
            <w:shd w:val="clear" w:color="auto" w:fill="auto"/>
            <w:noWrap/>
            <w:vAlign w:val="bottom"/>
            <w:hideMark/>
          </w:tcPr>
          <w:p w14:paraId="7F88B99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B45232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662AA0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6170D776"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29DC828B"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B88C8B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1988F37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5F1E88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5,619 </w:t>
            </w:r>
          </w:p>
        </w:tc>
        <w:tc>
          <w:tcPr>
            <w:tcW w:w="920" w:type="dxa"/>
            <w:tcBorders>
              <w:top w:val="nil"/>
              <w:left w:val="nil"/>
              <w:bottom w:val="nil"/>
              <w:right w:val="nil"/>
            </w:tcBorders>
            <w:shd w:val="clear" w:color="auto" w:fill="auto"/>
            <w:noWrap/>
            <w:vAlign w:val="bottom"/>
            <w:hideMark/>
          </w:tcPr>
          <w:p w14:paraId="1C72BFB7"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4,801 </w:t>
            </w:r>
          </w:p>
        </w:tc>
        <w:tc>
          <w:tcPr>
            <w:tcW w:w="920" w:type="dxa"/>
            <w:tcBorders>
              <w:top w:val="nil"/>
              <w:left w:val="nil"/>
              <w:bottom w:val="nil"/>
              <w:right w:val="nil"/>
            </w:tcBorders>
            <w:shd w:val="clear" w:color="auto" w:fill="auto"/>
            <w:noWrap/>
            <w:vAlign w:val="bottom"/>
            <w:hideMark/>
          </w:tcPr>
          <w:p w14:paraId="7931913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4,197 </w:t>
            </w:r>
          </w:p>
        </w:tc>
        <w:tc>
          <w:tcPr>
            <w:tcW w:w="920" w:type="dxa"/>
            <w:tcBorders>
              <w:top w:val="nil"/>
              <w:left w:val="nil"/>
              <w:bottom w:val="nil"/>
              <w:right w:val="nil"/>
            </w:tcBorders>
            <w:shd w:val="clear" w:color="auto" w:fill="auto"/>
            <w:noWrap/>
            <w:vAlign w:val="bottom"/>
            <w:hideMark/>
          </w:tcPr>
          <w:p w14:paraId="7D9BEA1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4,247 </w:t>
            </w:r>
          </w:p>
        </w:tc>
      </w:tr>
      <w:tr w:rsidR="00097147" w:rsidRPr="00097147" w14:paraId="58E44C7D" w14:textId="77777777" w:rsidTr="00097147">
        <w:trPr>
          <w:trHeight w:val="425"/>
          <w:jc w:val="center"/>
        </w:trPr>
        <w:tc>
          <w:tcPr>
            <w:tcW w:w="2320" w:type="dxa"/>
            <w:tcBorders>
              <w:top w:val="nil"/>
              <w:left w:val="nil"/>
              <w:bottom w:val="nil"/>
              <w:right w:val="nil"/>
            </w:tcBorders>
            <w:shd w:val="clear" w:color="auto" w:fill="auto"/>
            <w:vAlign w:val="bottom"/>
            <w:hideMark/>
          </w:tcPr>
          <w:p w14:paraId="4106B8FC"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39F383B3"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w:t>
            </w:r>
          </w:p>
        </w:tc>
        <w:tc>
          <w:tcPr>
            <w:tcW w:w="920" w:type="dxa"/>
            <w:tcBorders>
              <w:top w:val="nil"/>
              <w:left w:val="nil"/>
              <w:bottom w:val="nil"/>
              <w:right w:val="nil"/>
            </w:tcBorders>
            <w:shd w:val="clear" w:color="auto" w:fill="auto"/>
            <w:noWrap/>
            <w:vAlign w:val="bottom"/>
            <w:hideMark/>
          </w:tcPr>
          <w:p w14:paraId="4E102FE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E0BCFB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2,300 </w:t>
            </w:r>
          </w:p>
        </w:tc>
        <w:tc>
          <w:tcPr>
            <w:tcW w:w="920" w:type="dxa"/>
            <w:tcBorders>
              <w:top w:val="nil"/>
              <w:left w:val="nil"/>
              <w:bottom w:val="nil"/>
              <w:right w:val="nil"/>
            </w:tcBorders>
            <w:shd w:val="clear" w:color="auto" w:fill="auto"/>
            <w:noWrap/>
            <w:vAlign w:val="bottom"/>
            <w:hideMark/>
          </w:tcPr>
          <w:p w14:paraId="062CB54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C32A8F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E8A40C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2EAE0FE9"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49573FB6"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3333FCF7"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C7C4D05"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7A3A8FB"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10,067 </w:t>
            </w:r>
          </w:p>
        </w:tc>
        <w:tc>
          <w:tcPr>
            <w:tcW w:w="920" w:type="dxa"/>
            <w:tcBorders>
              <w:top w:val="single" w:sz="4" w:space="0" w:color="000000"/>
              <w:left w:val="nil"/>
              <w:bottom w:val="single" w:sz="4" w:space="0" w:color="000000"/>
              <w:right w:val="nil"/>
            </w:tcBorders>
            <w:shd w:val="clear" w:color="auto" w:fill="auto"/>
            <w:noWrap/>
            <w:vAlign w:val="bottom"/>
            <w:hideMark/>
          </w:tcPr>
          <w:p w14:paraId="5C96A23D"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6,748 </w:t>
            </w:r>
          </w:p>
        </w:tc>
        <w:tc>
          <w:tcPr>
            <w:tcW w:w="920" w:type="dxa"/>
            <w:tcBorders>
              <w:top w:val="single" w:sz="4" w:space="0" w:color="000000"/>
              <w:left w:val="nil"/>
              <w:bottom w:val="single" w:sz="4" w:space="0" w:color="000000"/>
              <w:right w:val="nil"/>
            </w:tcBorders>
            <w:shd w:val="clear" w:color="auto" w:fill="auto"/>
            <w:noWrap/>
            <w:vAlign w:val="bottom"/>
            <w:hideMark/>
          </w:tcPr>
          <w:p w14:paraId="19DADE25"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6,430 </w:t>
            </w:r>
          </w:p>
        </w:tc>
        <w:tc>
          <w:tcPr>
            <w:tcW w:w="920" w:type="dxa"/>
            <w:tcBorders>
              <w:top w:val="single" w:sz="4" w:space="0" w:color="000000"/>
              <w:left w:val="nil"/>
              <w:bottom w:val="single" w:sz="4" w:space="0" w:color="000000"/>
              <w:right w:val="nil"/>
            </w:tcBorders>
            <w:shd w:val="clear" w:color="auto" w:fill="auto"/>
            <w:noWrap/>
            <w:vAlign w:val="bottom"/>
            <w:hideMark/>
          </w:tcPr>
          <w:p w14:paraId="7C88FF10"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6,267 </w:t>
            </w:r>
          </w:p>
        </w:tc>
      </w:tr>
      <w:tr w:rsidR="00097147" w:rsidRPr="00097147" w14:paraId="4BF01243"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66A5244D" w14:textId="77777777" w:rsidR="00097147" w:rsidRPr="00097147" w:rsidRDefault="00097147" w:rsidP="00097147">
            <w:pPr>
              <w:spacing w:after="0"/>
              <w:ind w:leftChars="75" w:left="143"/>
              <w:rPr>
                <w:rFonts w:ascii="Arial" w:hAnsi="Arial" w:cs="Arial"/>
                <w:i/>
                <w:iCs/>
                <w:color w:val="auto"/>
                <w:sz w:val="16"/>
                <w:szCs w:val="16"/>
              </w:rPr>
            </w:pPr>
            <w:r w:rsidRPr="00097147">
              <w:rPr>
                <w:rFonts w:ascii="Arial" w:hAnsi="Arial" w:cs="Arial"/>
                <w:i/>
                <w:iCs/>
                <w:color w:val="auto"/>
                <w:sz w:val="16"/>
                <w:szCs w:val="16"/>
              </w:rPr>
              <w:t>Related receipts</w:t>
            </w:r>
          </w:p>
        </w:tc>
        <w:tc>
          <w:tcPr>
            <w:tcW w:w="460" w:type="dxa"/>
            <w:tcBorders>
              <w:top w:val="nil"/>
              <w:left w:val="nil"/>
              <w:bottom w:val="nil"/>
              <w:right w:val="nil"/>
            </w:tcBorders>
            <w:shd w:val="clear" w:color="auto" w:fill="auto"/>
            <w:noWrap/>
            <w:vAlign w:val="bottom"/>
            <w:hideMark/>
          </w:tcPr>
          <w:p w14:paraId="686E82D3" w14:textId="77777777" w:rsidR="00097147" w:rsidRPr="00097147" w:rsidRDefault="00097147" w:rsidP="00097147">
            <w:pPr>
              <w:spacing w:after="0"/>
              <w:ind w:firstLineChars="100" w:firstLine="16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14:paraId="729DC538"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29A3FD1E"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w:t>
            </w:r>
          </w:p>
        </w:tc>
        <w:tc>
          <w:tcPr>
            <w:tcW w:w="920" w:type="dxa"/>
            <w:tcBorders>
              <w:top w:val="nil"/>
              <w:left w:val="nil"/>
              <w:bottom w:val="nil"/>
              <w:right w:val="nil"/>
            </w:tcBorders>
            <w:shd w:val="clear" w:color="auto" w:fill="auto"/>
            <w:noWrap/>
            <w:vAlign w:val="bottom"/>
            <w:hideMark/>
          </w:tcPr>
          <w:p w14:paraId="13322079" w14:textId="77777777" w:rsidR="00097147" w:rsidRPr="00097147" w:rsidRDefault="00097147" w:rsidP="00097147">
            <w:pPr>
              <w:spacing w:after="0"/>
              <w:jc w:val="right"/>
              <w:rPr>
                <w:rFonts w:ascii="Arial" w:hAnsi="Arial" w:cs="Arial"/>
                <w:b/>
                <w:bCs/>
                <w:color w:val="auto"/>
                <w:sz w:val="16"/>
                <w:szCs w:val="16"/>
              </w:rPr>
            </w:pPr>
          </w:p>
        </w:tc>
        <w:tc>
          <w:tcPr>
            <w:tcW w:w="920" w:type="dxa"/>
            <w:tcBorders>
              <w:top w:val="nil"/>
              <w:left w:val="nil"/>
              <w:bottom w:val="nil"/>
              <w:right w:val="nil"/>
            </w:tcBorders>
            <w:shd w:val="clear" w:color="auto" w:fill="auto"/>
            <w:noWrap/>
            <w:vAlign w:val="bottom"/>
            <w:hideMark/>
          </w:tcPr>
          <w:p w14:paraId="05147AC2"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DB60BCF"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4FA581CD" w14:textId="77777777" w:rsidTr="00097147">
        <w:trPr>
          <w:trHeight w:val="425"/>
          <w:jc w:val="center"/>
        </w:trPr>
        <w:tc>
          <w:tcPr>
            <w:tcW w:w="2320" w:type="dxa"/>
            <w:tcBorders>
              <w:top w:val="nil"/>
              <w:left w:val="nil"/>
              <w:bottom w:val="nil"/>
              <w:right w:val="nil"/>
            </w:tcBorders>
            <w:shd w:val="clear" w:color="auto" w:fill="auto"/>
            <w:vAlign w:val="bottom"/>
            <w:hideMark/>
          </w:tcPr>
          <w:p w14:paraId="53F97D2A" w14:textId="77777777" w:rsidR="00097147" w:rsidRPr="00097147" w:rsidRDefault="00097147" w:rsidP="00097147">
            <w:pPr>
              <w:spacing w:after="0"/>
              <w:ind w:leftChars="75" w:left="143"/>
              <w:rPr>
                <w:rFonts w:ascii="Arial" w:hAnsi="Arial" w:cs="Arial"/>
                <w:i/>
                <w:iCs/>
                <w:color w:val="auto"/>
                <w:sz w:val="16"/>
                <w:szCs w:val="16"/>
              </w:rPr>
            </w:pPr>
            <w:r w:rsidRPr="00097147">
              <w:rPr>
                <w:rFonts w:ascii="Arial" w:hAnsi="Arial" w:cs="Arial"/>
                <w:i/>
                <w:iCs/>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25439285" w14:textId="77777777" w:rsidR="00097147" w:rsidRPr="00097147" w:rsidRDefault="00097147" w:rsidP="00097147">
            <w:pPr>
              <w:spacing w:after="0"/>
              <w:ind w:firstLineChars="100" w:firstLine="160"/>
              <w:rPr>
                <w:rFonts w:ascii="Arial" w:hAnsi="Arial" w:cs="Arial"/>
                <w:i/>
                <w:iCs/>
                <w:color w:val="auto"/>
                <w:sz w:val="16"/>
                <w:szCs w:val="16"/>
              </w:rPr>
            </w:pPr>
          </w:p>
        </w:tc>
        <w:tc>
          <w:tcPr>
            <w:tcW w:w="920" w:type="dxa"/>
            <w:tcBorders>
              <w:top w:val="nil"/>
              <w:left w:val="nil"/>
              <w:bottom w:val="single" w:sz="4" w:space="0" w:color="auto"/>
              <w:right w:val="nil"/>
            </w:tcBorders>
            <w:shd w:val="clear" w:color="auto" w:fill="auto"/>
            <w:noWrap/>
            <w:vAlign w:val="bottom"/>
            <w:hideMark/>
          </w:tcPr>
          <w:p w14:paraId="2C58BF20" w14:textId="77777777" w:rsidR="00097147" w:rsidRPr="00097147" w:rsidRDefault="00097147" w:rsidP="00097147">
            <w:pPr>
              <w:spacing w:after="0"/>
              <w:jc w:val="right"/>
              <w:rPr>
                <w:rFonts w:ascii="Arial" w:hAnsi="Arial" w:cs="Arial"/>
                <w:i/>
                <w:iCs/>
                <w:color w:val="auto"/>
                <w:sz w:val="16"/>
                <w:szCs w:val="16"/>
              </w:rPr>
            </w:pPr>
            <w:r w:rsidRPr="00097147">
              <w:rPr>
                <w:rFonts w:ascii="Arial" w:hAnsi="Arial" w:cs="Arial"/>
                <w:i/>
                <w:iCs/>
                <w:color w:val="auto"/>
                <w:sz w:val="16"/>
                <w:szCs w:val="16"/>
              </w:rPr>
              <w:t xml:space="preserve">- </w:t>
            </w:r>
          </w:p>
        </w:tc>
        <w:tc>
          <w:tcPr>
            <w:tcW w:w="920" w:type="dxa"/>
            <w:tcBorders>
              <w:top w:val="nil"/>
              <w:left w:val="nil"/>
              <w:bottom w:val="single" w:sz="4" w:space="0" w:color="auto"/>
              <w:right w:val="nil"/>
            </w:tcBorders>
            <w:shd w:val="clear" w:color="000000" w:fill="D9D9D9"/>
            <w:noWrap/>
            <w:vAlign w:val="bottom"/>
            <w:hideMark/>
          </w:tcPr>
          <w:p w14:paraId="63A8FB0D" w14:textId="77777777" w:rsidR="00097147" w:rsidRPr="00097147" w:rsidRDefault="00097147" w:rsidP="00097147">
            <w:pPr>
              <w:spacing w:after="0"/>
              <w:jc w:val="right"/>
              <w:rPr>
                <w:rFonts w:ascii="Arial" w:hAnsi="Arial" w:cs="Arial"/>
                <w:i/>
                <w:iCs/>
                <w:color w:val="auto"/>
                <w:sz w:val="16"/>
                <w:szCs w:val="16"/>
              </w:rPr>
            </w:pPr>
            <w:r w:rsidRPr="00097147">
              <w:rPr>
                <w:rFonts w:ascii="Arial" w:hAnsi="Arial" w:cs="Arial"/>
                <w:i/>
                <w:iCs/>
                <w:color w:val="auto"/>
                <w:sz w:val="16"/>
                <w:szCs w:val="16"/>
              </w:rPr>
              <w:t xml:space="preserve">5,741 </w:t>
            </w:r>
          </w:p>
        </w:tc>
        <w:tc>
          <w:tcPr>
            <w:tcW w:w="920" w:type="dxa"/>
            <w:tcBorders>
              <w:top w:val="nil"/>
              <w:left w:val="nil"/>
              <w:bottom w:val="single" w:sz="4" w:space="0" w:color="auto"/>
              <w:right w:val="nil"/>
            </w:tcBorders>
            <w:shd w:val="clear" w:color="auto" w:fill="auto"/>
            <w:noWrap/>
            <w:vAlign w:val="bottom"/>
            <w:hideMark/>
          </w:tcPr>
          <w:p w14:paraId="64B4060D" w14:textId="77777777" w:rsidR="00097147" w:rsidRPr="00097147" w:rsidRDefault="00097147" w:rsidP="00097147">
            <w:pPr>
              <w:spacing w:after="0"/>
              <w:jc w:val="right"/>
              <w:rPr>
                <w:rFonts w:ascii="Arial" w:hAnsi="Arial" w:cs="Arial"/>
                <w:i/>
                <w:iCs/>
                <w:color w:val="auto"/>
                <w:sz w:val="16"/>
                <w:szCs w:val="16"/>
              </w:rPr>
            </w:pPr>
            <w:r w:rsidRPr="00097147">
              <w:rPr>
                <w:rFonts w:ascii="Arial" w:hAnsi="Arial" w:cs="Arial"/>
                <w:i/>
                <w:iCs/>
                <w:color w:val="auto"/>
                <w:sz w:val="16"/>
                <w:szCs w:val="16"/>
              </w:rPr>
              <w:t xml:space="preserve">9,002 </w:t>
            </w:r>
          </w:p>
        </w:tc>
        <w:tc>
          <w:tcPr>
            <w:tcW w:w="920" w:type="dxa"/>
            <w:tcBorders>
              <w:top w:val="nil"/>
              <w:left w:val="nil"/>
              <w:bottom w:val="single" w:sz="4" w:space="0" w:color="auto"/>
              <w:right w:val="nil"/>
            </w:tcBorders>
            <w:shd w:val="clear" w:color="auto" w:fill="auto"/>
            <w:noWrap/>
            <w:vAlign w:val="bottom"/>
            <w:hideMark/>
          </w:tcPr>
          <w:p w14:paraId="695902E0" w14:textId="77777777" w:rsidR="00097147" w:rsidRPr="00097147" w:rsidRDefault="00097147" w:rsidP="00097147">
            <w:pPr>
              <w:spacing w:after="0"/>
              <w:jc w:val="right"/>
              <w:rPr>
                <w:rFonts w:ascii="Arial" w:hAnsi="Arial" w:cs="Arial"/>
                <w:i/>
                <w:iCs/>
                <w:color w:val="auto"/>
                <w:sz w:val="16"/>
                <w:szCs w:val="16"/>
              </w:rPr>
            </w:pPr>
            <w:r w:rsidRPr="00097147">
              <w:rPr>
                <w:rFonts w:ascii="Arial" w:hAnsi="Arial" w:cs="Arial"/>
                <w:i/>
                <w:iCs/>
                <w:color w:val="auto"/>
                <w:sz w:val="16"/>
                <w:szCs w:val="16"/>
              </w:rPr>
              <w:t xml:space="preserve">9,342 </w:t>
            </w:r>
          </w:p>
        </w:tc>
        <w:tc>
          <w:tcPr>
            <w:tcW w:w="920" w:type="dxa"/>
            <w:tcBorders>
              <w:top w:val="nil"/>
              <w:left w:val="nil"/>
              <w:bottom w:val="single" w:sz="4" w:space="0" w:color="auto"/>
              <w:right w:val="nil"/>
            </w:tcBorders>
            <w:shd w:val="clear" w:color="auto" w:fill="auto"/>
            <w:noWrap/>
            <w:vAlign w:val="bottom"/>
            <w:hideMark/>
          </w:tcPr>
          <w:p w14:paraId="16D049A2" w14:textId="77777777" w:rsidR="00097147" w:rsidRPr="00097147" w:rsidRDefault="00097147" w:rsidP="00097147">
            <w:pPr>
              <w:spacing w:after="0"/>
              <w:jc w:val="right"/>
              <w:rPr>
                <w:rFonts w:ascii="Arial" w:hAnsi="Arial" w:cs="Arial"/>
                <w:i/>
                <w:iCs/>
                <w:color w:val="auto"/>
                <w:sz w:val="16"/>
                <w:szCs w:val="16"/>
              </w:rPr>
            </w:pPr>
            <w:r w:rsidRPr="00097147">
              <w:rPr>
                <w:rFonts w:ascii="Arial" w:hAnsi="Arial" w:cs="Arial"/>
                <w:i/>
                <w:iCs/>
                <w:color w:val="auto"/>
                <w:sz w:val="16"/>
                <w:szCs w:val="16"/>
              </w:rPr>
              <w:t xml:space="preserve">9,800 </w:t>
            </w:r>
          </w:p>
        </w:tc>
      </w:tr>
      <w:tr w:rsidR="00097147" w:rsidRPr="00097147" w14:paraId="68863037" w14:textId="77777777" w:rsidTr="00097147">
        <w:trPr>
          <w:trHeight w:val="227"/>
          <w:jc w:val="center"/>
        </w:trPr>
        <w:tc>
          <w:tcPr>
            <w:tcW w:w="7380" w:type="dxa"/>
            <w:gridSpan w:val="7"/>
            <w:tcBorders>
              <w:top w:val="nil"/>
              <w:left w:val="nil"/>
              <w:bottom w:val="nil"/>
              <w:right w:val="nil"/>
            </w:tcBorders>
            <w:shd w:val="clear" w:color="auto" w:fill="auto"/>
            <w:vAlign w:val="bottom"/>
            <w:hideMark/>
          </w:tcPr>
          <w:p w14:paraId="1B7166EC"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Therapeutic Goods Administration — public good activities</w:t>
            </w:r>
          </w:p>
        </w:tc>
      </w:tr>
      <w:tr w:rsidR="00097147" w:rsidRPr="00097147" w14:paraId="52DFB97E" w14:textId="77777777" w:rsidTr="00097147">
        <w:trPr>
          <w:trHeight w:val="425"/>
          <w:jc w:val="center"/>
        </w:trPr>
        <w:tc>
          <w:tcPr>
            <w:tcW w:w="2320" w:type="dxa"/>
            <w:tcBorders>
              <w:top w:val="nil"/>
              <w:left w:val="nil"/>
              <w:bottom w:val="nil"/>
              <w:right w:val="nil"/>
            </w:tcBorders>
            <w:shd w:val="clear" w:color="auto" w:fill="auto"/>
            <w:vAlign w:val="bottom"/>
            <w:hideMark/>
          </w:tcPr>
          <w:p w14:paraId="7EF4AEEE"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BE7D175"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75B25AF"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EC17C8B"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FD3D5C2"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BC5795"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078BC62"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53765D45" w14:textId="77777777" w:rsidTr="00934D5E">
        <w:trPr>
          <w:trHeight w:val="225"/>
          <w:jc w:val="center"/>
        </w:trPr>
        <w:tc>
          <w:tcPr>
            <w:tcW w:w="2320" w:type="dxa"/>
            <w:tcBorders>
              <w:top w:val="nil"/>
              <w:left w:val="nil"/>
              <w:right w:val="nil"/>
            </w:tcBorders>
            <w:shd w:val="clear" w:color="auto" w:fill="auto"/>
            <w:vAlign w:val="bottom"/>
            <w:hideMark/>
          </w:tcPr>
          <w:p w14:paraId="6BDBF1F5" w14:textId="77777777" w:rsidR="00097147" w:rsidRPr="00097147" w:rsidRDefault="00097147" w:rsidP="00097147">
            <w:pPr>
              <w:spacing w:after="0"/>
              <w:ind w:leftChars="75" w:left="143"/>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6FDE466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3D3ED32D"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E383A6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14,979 </w:t>
            </w:r>
          </w:p>
        </w:tc>
        <w:tc>
          <w:tcPr>
            <w:tcW w:w="920" w:type="dxa"/>
            <w:tcBorders>
              <w:top w:val="nil"/>
              <w:left w:val="nil"/>
              <w:bottom w:val="nil"/>
              <w:right w:val="nil"/>
            </w:tcBorders>
            <w:shd w:val="clear" w:color="auto" w:fill="auto"/>
            <w:noWrap/>
            <w:vAlign w:val="bottom"/>
            <w:hideMark/>
          </w:tcPr>
          <w:p w14:paraId="3E24EE63"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15,214 </w:t>
            </w:r>
          </w:p>
        </w:tc>
        <w:tc>
          <w:tcPr>
            <w:tcW w:w="920" w:type="dxa"/>
            <w:tcBorders>
              <w:top w:val="nil"/>
              <w:left w:val="nil"/>
              <w:bottom w:val="nil"/>
              <w:right w:val="nil"/>
            </w:tcBorders>
            <w:shd w:val="clear" w:color="auto" w:fill="auto"/>
            <w:noWrap/>
            <w:vAlign w:val="bottom"/>
            <w:hideMark/>
          </w:tcPr>
          <w:p w14:paraId="29DA209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15,332 </w:t>
            </w:r>
          </w:p>
        </w:tc>
        <w:tc>
          <w:tcPr>
            <w:tcW w:w="920" w:type="dxa"/>
            <w:tcBorders>
              <w:top w:val="nil"/>
              <w:left w:val="nil"/>
              <w:bottom w:val="nil"/>
              <w:right w:val="nil"/>
            </w:tcBorders>
            <w:shd w:val="clear" w:color="auto" w:fill="auto"/>
            <w:noWrap/>
            <w:vAlign w:val="bottom"/>
            <w:hideMark/>
          </w:tcPr>
          <w:p w14:paraId="301FEA9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15,467 </w:t>
            </w:r>
          </w:p>
        </w:tc>
      </w:tr>
      <w:tr w:rsidR="00097147" w:rsidRPr="00097147" w14:paraId="5DAB42CE"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7EE4FA6D"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31682A0D"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421F158"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25346E6C"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14,979 </w:t>
            </w:r>
          </w:p>
        </w:tc>
        <w:tc>
          <w:tcPr>
            <w:tcW w:w="920" w:type="dxa"/>
            <w:tcBorders>
              <w:top w:val="single" w:sz="4" w:space="0" w:color="000000"/>
              <w:left w:val="nil"/>
              <w:bottom w:val="single" w:sz="4" w:space="0" w:color="000000"/>
              <w:right w:val="nil"/>
            </w:tcBorders>
            <w:shd w:val="clear" w:color="auto" w:fill="auto"/>
            <w:noWrap/>
            <w:vAlign w:val="bottom"/>
            <w:hideMark/>
          </w:tcPr>
          <w:p w14:paraId="677CFA93"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15,214 </w:t>
            </w:r>
          </w:p>
        </w:tc>
        <w:tc>
          <w:tcPr>
            <w:tcW w:w="920" w:type="dxa"/>
            <w:tcBorders>
              <w:top w:val="single" w:sz="4" w:space="0" w:color="000000"/>
              <w:left w:val="nil"/>
              <w:bottom w:val="single" w:sz="4" w:space="0" w:color="000000"/>
              <w:right w:val="nil"/>
            </w:tcBorders>
            <w:shd w:val="clear" w:color="auto" w:fill="auto"/>
            <w:noWrap/>
            <w:vAlign w:val="bottom"/>
            <w:hideMark/>
          </w:tcPr>
          <w:p w14:paraId="40A5D556"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15,332 </w:t>
            </w:r>
          </w:p>
        </w:tc>
        <w:tc>
          <w:tcPr>
            <w:tcW w:w="920" w:type="dxa"/>
            <w:tcBorders>
              <w:top w:val="single" w:sz="4" w:space="0" w:color="000000"/>
              <w:left w:val="nil"/>
              <w:bottom w:val="single" w:sz="4" w:space="0" w:color="000000"/>
              <w:right w:val="nil"/>
            </w:tcBorders>
            <w:shd w:val="clear" w:color="auto" w:fill="auto"/>
            <w:noWrap/>
            <w:vAlign w:val="bottom"/>
            <w:hideMark/>
          </w:tcPr>
          <w:p w14:paraId="34F6085A"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15,467 </w:t>
            </w:r>
          </w:p>
        </w:tc>
      </w:tr>
    </w:tbl>
    <w:p w14:paraId="2E91B4AD" w14:textId="77777777" w:rsidR="006A4F97" w:rsidRDefault="006A4F97">
      <w:pPr>
        <w:spacing w:after="0"/>
        <w:rPr>
          <w:rFonts w:ascii="Arial" w:hAnsi="Arial" w:cs="Arial"/>
          <w:b/>
          <w:sz w:val="20"/>
          <w:szCs w:val="18"/>
        </w:rPr>
      </w:pPr>
      <w:bookmarkStart w:id="14" w:name="_Toc444523512"/>
      <w:bookmarkStart w:id="15" w:name="_Toc65243509"/>
      <w:bookmarkEnd w:id="12"/>
      <w:bookmarkEnd w:id="13"/>
      <w:r>
        <w:rPr>
          <w:sz w:val="20"/>
        </w:rPr>
        <w:br w:type="page"/>
      </w:r>
    </w:p>
    <w:p w14:paraId="75B7243F" w14:textId="72E74D69" w:rsidR="00097147" w:rsidRPr="00557A54" w:rsidRDefault="00097147" w:rsidP="00097147">
      <w:pPr>
        <w:pStyle w:val="Tablenumberandreference"/>
        <w:rPr>
          <w:sz w:val="20"/>
        </w:rPr>
      </w:pPr>
      <w:r w:rsidRPr="00F277A4">
        <w:rPr>
          <w:sz w:val="20"/>
        </w:rPr>
        <w:lastRenderedPageBreak/>
        <w:t xml:space="preserve">Table 1.2: Department of Health and Aged Care </w:t>
      </w:r>
      <w:r>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097147" w:rsidRPr="00097147" w14:paraId="5C6E8D49" w14:textId="77777777" w:rsidTr="00097147">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242E8E5C"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 xml:space="preserve">Outcome/ </w:t>
            </w:r>
            <w:r w:rsidRPr="00097147">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291815D2"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2022–23</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1C09EE2F"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2023–24</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4035332"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2024–25</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4E9B8200"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2025–26</w:t>
            </w:r>
            <w:r w:rsidRPr="00097147">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3ED715DD" w14:textId="77777777" w:rsidR="00097147" w:rsidRPr="00097147" w:rsidRDefault="00097147" w:rsidP="00097147">
            <w:pPr>
              <w:spacing w:before="40" w:after="0"/>
              <w:jc w:val="right"/>
              <w:rPr>
                <w:rFonts w:ascii="Arial" w:hAnsi="Arial" w:cs="Arial"/>
                <w:b/>
                <w:bCs/>
                <w:color w:val="auto"/>
                <w:sz w:val="16"/>
                <w:szCs w:val="16"/>
              </w:rPr>
            </w:pPr>
            <w:r w:rsidRPr="00097147">
              <w:rPr>
                <w:rFonts w:ascii="Arial" w:hAnsi="Arial" w:cs="Arial"/>
                <w:b/>
                <w:bCs/>
                <w:color w:val="auto"/>
                <w:sz w:val="16"/>
                <w:szCs w:val="16"/>
              </w:rPr>
              <w:t>2026–27</w:t>
            </w:r>
            <w:r w:rsidRPr="00097147">
              <w:rPr>
                <w:rFonts w:ascii="Arial" w:hAnsi="Arial" w:cs="Arial"/>
                <w:b/>
                <w:bCs/>
                <w:color w:val="auto"/>
                <w:sz w:val="16"/>
                <w:szCs w:val="16"/>
              </w:rPr>
              <w:br/>
              <w:t>$'000</w:t>
            </w:r>
          </w:p>
        </w:tc>
      </w:tr>
      <w:tr w:rsidR="00097147" w:rsidRPr="00097147" w14:paraId="5F220C46" w14:textId="77777777" w:rsidTr="00097147">
        <w:trPr>
          <w:trHeight w:val="283"/>
          <w:jc w:val="center"/>
        </w:trPr>
        <w:tc>
          <w:tcPr>
            <w:tcW w:w="7380" w:type="dxa"/>
            <w:gridSpan w:val="7"/>
            <w:tcBorders>
              <w:top w:val="nil"/>
              <w:left w:val="nil"/>
              <w:bottom w:val="nil"/>
              <w:right w:val="nil"/>
            </w:tcBorders>
            <w:shd w:val="clear" w:color="auto" w:fill="auto"/>
            <w:vAlign w:val="bottom"/>
            <w:hideMark/>
          </w:tcPr>
          <w:p w14:paraId="182F06BC"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 xml:space="preserve">Urgent Health Supports for Flood-affected Communities </w:t>
            </w:r>
            <w:r w:rsidRPr="00097147">
              <w:rPr>
                <w:rFonts w:ascii="Arial" w:hAnsi="Arial" w:cs="Arial"/>
                <w:b/>
                <w:bCs/>
                <w:color w:val="auto"/>
                <w:sz w:val="16"/>
                <w:szCs w:val="16"/>
                <w:vertAlign w:val="superscript"/>
              </w:rPr>
              <w:t>(a)</w:t>
            </w:r>
          </w:p>
        </w:tc>
      </w:tr>
      <w:tr w:rsidR="00097147" w:rsidRPr="00097147" w14:paraId="5AAB69EF" w14:textId="77777777" w:rsidTr="00097147">
        <w:trPr>
          <w:trHeight w:val="425"/>
          <w:jc w:val="center"/>
        </w:trPr>
        <w:tc>
          <w:tcPr>
            <w:tcW w:w="2320" w:type="dxa"/>
            <w:tcBorders>
              <w:top w:val="nil"/>
              <w:left w:val="nil"/>
              <w:bottom w:val="nil"/>
              <w:right w:val="nil"/>
            </w:tcBorders>
            <w:shd w:val="clear" w:color="auto" w:fill="auto"/>
            <w:vAlign w:val="bottom"/>
            <w:hideMark/>
          </w:tcPr>
          <w:p w14:paraId="383DB930"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2F64586"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CD5EC6A"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5DB63F8"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C96E32E"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3963D7D"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5C1E642"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1EF45264"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7D0BEE9B"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4DCDA90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65D9F04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4E35D88"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1881BC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D9E4E0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D2426E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4EA64887"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1E099947"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149EF3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3C69FFB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98321D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6B6D8B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FA52F4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F14DE7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41BF4954"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C3934B7"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9A829D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1.8</w:t>
            </w:r>
          </w:p>
        </w:tc>
        <w:tc>
          <w:tcPr>
            <w:tcW w:w="920" w:type="dxa"/>
            <w:tcBorders>
              <w:top w:val="nil"/>
              <w:left w:val="nil"/>
              <w:bottom w:val="nil"/>
              <w:right w:val="nil"/>
            </w:tcBorders>
            <w:shd w:val="clear" w:color="auto" w:fill="auto"/>
            <w:noWrap/>
            <w:vAlign w:val="bottom"/>
            <w:hideMark/>
          </w:tcPr>
          <w:p w14:paraId="635B1E3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9A3D5E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D523DF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720CD6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075C97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196E28A7"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626CE698"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06D73AAD"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9F2B01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E59AFB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11B66E53"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1EB3292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5A3E0C63"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r>
      <w:tr w:rsidR="00097147" w:rsidRPr="00097147" w14:paraId="388A2786" w14:textId="77777777" w:rsidTr="00097147">
        <w:trPr>
          <w:trHeight w:val="283"/>
          <w:jc w:val="center"/>
        </w:trPr>
        <w:tc>
          <w:tcPr>
            <w:tcW w:w="7380" w:type="dxa"/>
            <w:gridSpan w:val="7"/>
            <w:tcBorders>
              <w:top w:val="nil"/>
              <w:left w:val="nil"/>
              <w:bottom w:val="nil"/>
              <w:right w:val="nil"/>
            </w:tcBorders>
            <w:shd w:val="clear" w:color="auto" w:fill="auto"/>
            <w:vAlign w:val="bottom"/>
            <w:hideMark/>
          </w:tcPr>
          <w:p w14:paraId="321A5DB8"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 xml:space="preserve">Vaping Regulation Reform and Smoking Cessation Package </w:t>
            </w:r>
            <w:r w:rsidRPr="00097147">
              <w:rPr>
                <w:rFonts w:ascii="Arial" w:hAnsi="Arial" w:cs="Arial"/>
                <w:b/>
                <w:bCs/>
                <w:color w:val="auto"/>
                <w:sz w:val="16"/>
                <w:szCs w:val="16"/>
                <w:vertAlign w:val="superscript"/>
              </w:rPr>
              <w:t>(b)</w:t>
            </w:r>
          </w:p>
        </w:tc>
      </w:tr>
      <w:tr w:rsidR="00097147" w:rsidRPr="00097147" w14:paraId="6D629223" w14:textId="77777777" w:rsidTr="00097147">
        <w:trPr>
          <w:trHeight w:val="425"/>
          <w:jc w:val="center"/>
        </w:trPr>
        <w:tc>
          <w:tcPr>
            <w:tcW w:w="2320" w:type="dxa"/>
            <w:tcBorders>
              <w:top w:val="nil"/>
              <w:left w:val="nil"/>
              <w:bottom w:val="nil"/>
              <w:right w:val="nil"/>
            </w:tcBorders>
            <w:shd w:val="clear" w:color="auto" w:fill="auto"/>
            <w:vAlign w:val="bottom"/>
            <w:hideMark/>
          </w:tcPr>
          <w:p w14:paraId="271B04B1"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28FB8F1"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EB6C9B1"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5648AD3"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D2EC6DA"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68F58F5"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4549EF2"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4E598C44"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798D3C07"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3A44C75D"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7BA1072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B9BA713"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10,000 </w:t>
            </w:r>
          </w:p>
        </w:tc>
        <w:tc>
          <w:tcPr>
            <w:tcW w:w="920" w:type="dxa"/>
            <w:tcBorders>
              <w:top w:val="nil"/>
              <w:left w:val="nil"/>
              <w:bottom w:val="nil"/>
              <w:right w:val="nil"/>
            </w:tcBorders>
            <w:shd w:val="clear" w:color="auto" w:fill="auto"/>
            <w:noWrap/>
            <w:vAlign w:val="bottom"/>
            <w:hideMark/>
          </w:tcPr>
          <w:p w14:paraId="4D656A5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10,260 </w:t>
            </w:r>
          </w:p>
        </w:tc>
        <w:tc>
          <w:tcPr>
            <w:tcW w:w="920" w:type="dxa"/>
            <w:tcBorders>
              <w:top w:val="nil"/>
              <w:left w:val="nil"/>
              <w:bottom w:val="nil"/>
              <w:right w:val="nil"/>
            </w:tcBorders>
            <w:shd w:val="clear" w:color="auto" w:fill="auto"/>
            <w:noWrap/>
            <w:vAlign w:val="bottom"/>
            <w:hideMark/>
          </w:tcPr>
          <w:p w14:paraId="46ACFE0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59ACA8D"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r>
      <w:tr w:rsidR="00097147" w:rsidRPr="00097147" w14:paraId="2BA1D46A"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C66EF15" w14:textId="77777777" w:rsidR="00097147" w:rsidRPr="00097147" w:rsidRDefault="00097147" w:rsidP="0009714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3EEE56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1.5</w:t>
            </w:r>
          </w:p>
        </w:tc>
        <w:tc>
          <w:tcPr>
            <w:tcW w:w="920" w:type="dxa"/>
            <w:tcBorders>
              <w:top w:val="nil"/>
              <w:left w:val="nil"/>
              <w:bottom w:val="nil"/>
              <w:right w:val="nil"/>
            </w:tcBorders>
            <w:shd w:val="clear" w:color="auto" w:fill="auto"/>
            <w:noWrap/>
            <w:vAlign w:val="bottom"/>
            <w:hideMark/>
          </w:tcPr>
          <w:p w14:paraId="2EE4568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8D90B8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38,389 </w:t>
            </w:r>
          </w:p>
        </w:tc>
        <w:tc>
          <w:tcPr>
            <w:tcW w:w="920" w:type="dxa"/>
            <w:tcBorders>
              <w:top w:val="nil"/>
              <w:left w:val="nil"/>
              <w:bottom w:val="nil"/>
              <w:right w:val="nil"/>
            </w:tcBorders>
            <w:shd w:val="clear" w:color="auto" w:fill="auto"/>
            <w:noWrap/>
            <w:vAlign w:val="bottom"/>
            <w:hideMark/>
          </w:tcPr>
          <w:p w14:paraId="099B3B1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51,047 </w:t>
            </w:r>
          </w:p>
        </w:tc>
        <w:tc>
          <w:tcPr>
            <w:tcW w:w="920" w:type="dxa"/>
            <w:tcBorders>
              <w:top w:val="nil"/>
              <w:left w:val="nil"/>
              <w:bottom w:val="nil"/>
              <w:right w:val="nil"/>
            </w:tcBorders>
            <w:shd w:val="clear" w:color="auto" w:fill="auto"/>
            <w:noWrap/>
            <w:vAlign w:val="bottom"/>
            <w:hideMark/>
          </w:tcPr>
          <w:p w14:paraId="2337ACEA"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112,474 </w:t>
            </w:r>
          </w:p>
        </w:tc>
        <w:tc>
          <w:tcPr>
            <w:tcW w:w="920" w:type="dxa"/>
            <w:tcBorders>
              <w:top w:val="nil"/>
              <w:left w:val="nil"/>
              <w:bottom w:val="nil"/>
              <w:right w:val="nil"/>
            </w:tcBorders>
            <w:shd w:val="clear" w:color="auto" w:fill="auto"/>
            <w:noWrap/>
            <w:vAlign w:val="bottom"/>
            <w:hideMark/>
          </w:tcPr>
          <w:p w14:paraId="29F15DA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107,558 </w:t>
            </w:r>
          </w:p>
        </w:tc>
      </w:tr>
      <w:tr w:rsidR="00097147" w:rsidRPr="00097147" w14:paraId="6AEC6910"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7A5EA1B3" w14:textId="77777777" w:rsidR="00097147" w:rsidRPr="00097147" w:rsidRDefault="00097147" w:rsidP="00097147">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B6E3CE7"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6F231A8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0BE4247"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E017A5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9BECED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56,444 </w:t>
            </w:r>
          </w:p>
        </w:tc>
        <w:tc>
          <w:tcPr>
            <w:tcW w:w="920" w:type="dxa"/>
            <w:tcBorders>
              <w:top w:val="nil"/>
              <w:left w:val="nil"/>
              <w:bottom w:val="nil"/>
              <w:right w:val="nil"/>
            </w:tcBorders>
            <w:shd w:val="clear" w:color="auto" w:fill="auto"/>
            <w:noWrap/>
            <w:vAlign w:val="bottom"/>
            <w:hideMark/>
          </w:tcPr>
          <w:p w14:paraId="5812F92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61,277 </w:t>
            </w:r>
          </w:p>
        </w:tc>
      </w:tr>
      <w:tr w:rsidR="00097147" w:rsidRPr="00097147" w14:paraId="4EF93357" w14:textId="77777777" w:rsidTr="00097147">
        <w:trPr>
          <w:trHeight w:val="225"/>
          <w:jc w:val="center"/>
        </w:trPr>
        <w:tc>
          <w:tcPr>
            <w:tcW w:w="2320" w:type="dxa"/>
            <w:tcBorders>
              <w:top w:val="nil"/>
              <w:left w:val="nil"/>
              <w:bottom w:val="nil"/>
              <w:right w:val="nil"/>
            </w:tcBorders>
            <w:shd w:val="clear" w:color="auto" w:fill="auto"/>
            <w:vAlign w:val="bottom"/>
            <w:hideMark/>
          </w:tcPr>
          <w:p w14:paraId="0A87713E"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91016B1"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49433C7F"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374B6D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5,147 </w:t>
            </w:r>
          </w:p>
        </w:tc>
        <w:tc>
          <w:tcPr>
            <w:tcW w:w="920" w:type="dxa"/>
            <w:tcBorders>
              <w:top w:val="nil"/>
              <w:left w:val="nil"/>
              <w:bottom w:val="nil"/>
              <w:right w:val="nil"/>
            </w:tcBorders>
            <w:shd w:val="clear" w:color="auto" w:fill="auto"/>
            <w:noWrap/>
            <w:vAlign w:val="bottom"/>
            <w:hideMark/>
          </w:tcPr>
          <w:p w14:paraId="1F96523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5,870 </w:t>
            </w:r>
          </w:p>
        </w:tc>
        <w:tc>
          <w:tcPr>
            <w:tcW w:w="920" w:type="dxa"/>
            <w:tcBorders>
              <w:top w:val="nil"/>
              <w:left w:val="nil"/>
              <w:bottom w:val="nil"/>
              <w:right w:val="nil"/>
            </w:tcBorders>
            <w:shd w:val="clear" w:color="auto" w:fill="auto"/>
            <w:noWrap/>
            <w:vAlign w:val="bottom"/>
            <w:hideMark/>
          </w:tcPr>
          <w:p w14:paraId="64DD874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3,830 </w:t>
            </w:r>
          </w:p>
        </w:tc>
        <w:tc>
          <w:tcPr>
            <w:tcW w:w="920" w:type="dxa"/>
            <w:tcBorders>
              <w:top w:val="nil"/>
              <w:left w:val="nil"/>
              <w:bottom w:val="nil"/>
              <w:right w:val="nil"/>
            </w:tcBorders>
            <w:shd w:val="clear" w:color="auto" w:fill="auto"/>
            <w:noWrap/>
            <w:vAlign w:val="bottom"/>
            <w:hideMark/>
          </w:tcPr>
          <w:p w14:paraId="219AE96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4,499 </w:t>
            </w:r>
          </w:p>
        </w:tc>
      </w:tr>
      <w:tr w:rsidR="00097147" w:rsidRPr="00097147" w14:paraId="3325ED88" w14:textId="77777777" w:rsidTr="00097147">
        <w:trPr>
          <w:trHeight w:val="283"/>
          <w:jc w:val="center"/>
        </w:trPr>
        <w:tc>
          <w:tcPr>
            <w:tcW w:w="2320" w:type="dxa"/>
            <w:tcBorders>
              <w:top w:val="nil"/>
              <w:left w:val="nil"/>
              <w:bottom w:val="nil"/>
              <w:right w:val="nil"/>
            </w:tcBorders>
            <w:shd w:val="clear" w:color="auto" w:fill="auto"/>
            <w:noWrap/>
            <w:vAlign w:val="bottom"/>
            <w:hideMark/>
          </w:tcPr>
          <w:p w14:paraId="49337469"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Cancer Australia</w:t>
            </w:r>
          </w:p>
        </w:tc>
        <w:tc>
          <w:tcPr>
            <w:tcW w:w="460" w:type="dxa"/>
            <w:tcBorders>
              <w:top w:val="nil"/>
              <w:left w:val="nil"/>
              <w:bottom w:val="nil"/>
              <w:right w:val="nil"/>
            </w:tcBorders>
            <w:shd w:val="clear" w:color="auto" w:fill="auto"/>
            <w:noWrap/>
            <w:vAlign w:val="bottom"/>
            <w:hideMark/>
          </w:tcPr>
          <w:p w14:paraId="5605B7E2"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46C4DD7"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9F30AC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BF1F7D8" w14:textId="77777777" w:rsidR="00097147" w:rsidRPr="00097147" w:rsidRDefault="00097147" w:rsidP="0009714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CBDFB1A"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F56E1EC"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01443BE2"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116493B"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F043991"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021676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C890B0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4,190 </w:t>
            </w:r>
          </w:p>
        </w:tc>
        <w:tc>
          <w:tcPr>
            <w:tcW w:w="920" w:type="dxa"/>
            <w:tcBorders>
              <w:top w:val="nil"/>
              <w:left w:val="nil"/>
              <w:bottom w:val="nil"/>
              <w:right w:val="nil"/>
            </w:tcBorders>
            <w:shd w:val="clear" w:color="auto" w:fill="auto"/>
            <w:noWrap/>
            <w:vAlign w:val="bottom"/>
            <w:hideMark/>
          </w:tcPr>
          <w:p w14:paraId="1078C3E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4,391 </w:t>
            </w:r>
          </w:p>
        </w:tc>
        <w:tc>
          <w:tcPr>
            <w:tcW w:w="920" w:type="dxa"/>
            <w:tcBorders>
              <w:top w:val="nil"/>
              <w:left w:val="nil"/>
              <w:bottom w:val="nil"/>
              <w:right w:val="nil"/>
            </w:tcBorders>
            <w:shd w:val="clear" w:color="auto" w:fill="auto"/>
            <w:noWrap/>
            <w:vAlign w:val="bottom"/>
            <w:hideMark/>
          </w:tcPr>
          <w:p w14:paraId="03FFCC1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1,607 </w:t>
            </w:r>
          </w:p>
        </w:tc>
        <w:tc>
          <w:tcPr>
            <w:tcW w:w="920" w:type="dxa"/>
            <w:tcBorders>
              <w:top w:val="nil"/>
              <w:left w:val="nil"/>
              <w:bottom w:val="nil"/>
              <w:right w:val="nil"/>
            </w:tcBorders>
            <w:shd w:val="clear" w:color="auto" w:fill="auto"/>
            <w:noWrap/>
            <w:vAlign w:val="bottom"/>
            <w:hideMark/>
          </w:tcPr>
          <w:p w14:paraId="07451BB2"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1,821 </w:t>
            </w:r>
          </w:p>
        </w:tc>
      </w:tr>
      <w:tr w:rsidR="00097147" w:rsidRPr="00097147" w14:paraId="14EDD5E5" w14:textId="77777777" w:rsidTr="00097147">
        <w:trPr>
          <w:trHeight w:val="225"/>
          <w:jc w:val="center"/>
        </w:trPr>
        <w:tc>
          <w:tcPr>
            <w:tcW w:w="2320" w:type="dxa"/>
            <w:tcBorders>
              <w:top w:val="nil"/>
              <w:left w:val="nil"/>
              <w:bottom w:val="nil"/>
              <w:right w:val="nil"/>
            </w:tcBorders>
            <w:shd w:val="clear" w:color="auto" w:fill="auto"/>
            <w:vAlign w:val="bottom"/>
            <w:hideMark/>
          </w:tcPr>
          <w:p w14:paraId="31B9F3C4"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5C9758E"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CAF954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6FE87ED"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922 </w:t>
            </w:r>
          </w:p>
        </w:tc>
        <w:tc>
          <w:tcPr>
            <w:tcW w:w="920" w:type="dxa"/>
            <w:tcBorders>
              <w:top w:val="nil"/>
              <w:left w:val="nil"/>
              <w:bottom w:val="nil"/>
              <w:right w:val="nil"/>
            </w:tcBorders>
            <w:shd w:val="clear" w:color="auto" w:fill="auto"/>
            <w:noWrap/>
            <w:vAlign w:val="bottom"/>
            <w:hideMark/>
          </w:tcPr>
          <w:p w14:paraId="7DB185B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934 </w:t>
            </w:r>
          </w:p>
        </w:tc>
        <w:tc>
          <w:tcPr>
            <w:tcW w:w="920" w:type="dxa"/>
            <w:tcBorders>
              <w:top w:val="nil"/>
              <w:left w:val="nil"/>
              <w:bottom w:val="nil"/>
              <w:right w:val="nil"/>
            </w:tcBorders>
            <w:shd w:val="clear" w:color="auto" w:fill="auto"/>
            <w:noWrap/>
            <w:vAlign w:val="bottom"/>
            <w:hideMark/>
          </w:tcPr>
          <w:p w14:paraId="1E635F33"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156 </w:t>
            </w:r>
          </w:p>
        </w:tc>
        <w:tc>
          <w:tcPr>
            <w:tcW w:w="920" w:type="dxa"/>
            <w:tcBorders>
              <w:top w:val="nil"/>
              <w:left w:val="nil"/>
              <w:bottom w:val="nil"/>
              <w:right w:val="nil"/>
            </w:tcBorders>
            <w:shd w:val="clear" w:color="auto" w:fill="auto"/>
            <w:noWrap/>
            <w:vAlign w:val="bottom"/>
            <w:hideMark/>
          </w:tcPr>
          <w:p w14:paraId="6547F77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158 </w:t>
            </w:r>
          </w:p>
        </w:tc>
      </w:tr>
      <w:tr w:rsidR="00097147" w:rsidRPr="00097147" w14:paraId="5C2DA71A" w14:textId="77777777" w:rsidTr="00097147">
        <w:trPr>
          <w:trHeight w:val="283"/>
          <w:jc w:val="center"/>
        </w:trPr>
        <w:tc>
          <w:tcPr>
            <w:tcW w:w="2320" w:type="dxa"/>
            <w:tcBorders>
              <w:top w:val="nil"/>
              <w:left w:val="nil"/>
              <w:bottom w:val="nil"/>
              <w:right w:val="nil"/>
            </w:tcBorders>
            <w:shd w:val="clear" w:color="auto" w:fill="auto"/>
            <w:vAlign w:val="bottom"/>
            <w:hideMark/>
          </w:tcPr>
          <w:p w14:paraId="03336C1D"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Department of the Treasury</w:t>
            </w:r>
          </w:p>
        </w:tc>
        <w:tc>
          <w:tcPr>
            <w:tcW w:w="460" w:type="dxa"/>
            <w:tcBorders>
              <w:top w:val="nil"/>
              <w:left w:val="nil"/>
              <w:bottom w:val="nil"/>
              <w:right w:val="nil"/>
            </w:tcBorders>
            <w:shd w:val="clear" w:color="auto" w:fill="auto"/>
            <w:noWrap/>
            <w:vAlign w:val="bottom"/>
            <w:hideMark/>
          </w:tcPr>
          <w:p w14:paraId="66C757AB"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87B31BD"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792FD861"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3B8CEE56" w14:textId="77777777" w:rsidR="00097147" w:rsidRPr="00097147" w:rsidRDefault="00097147" w:rsidP="0009714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8A01EB4"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1C6A17B"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47BE9BC7"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5E706BDB"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9E6A17A"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FCD94E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CD5EB49"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1,500 </w:t>
            </w:r>
          </w:p>
        </w:tc>
        <w:tc>
          <w:tcPr>
            <w:tcW w:w="920" w:type="dxa"/>
            <w:tcBorders>
              <w:top w:val="nil"/>
              <w:left w:val="nil"/>
              <w:bottom w:val="nil"/>
              <w:right w:val="nil"/>
            </w:tcBorders>
            <w:shd w:val="clear" w:color="auto" w:fill="auto"/>
            <w:noWrap/>
            <w:vAlign w:val="bottom"/>
            <w:hideMark/>
          </w:tcPr>
          <w:p w14:paraId="45B01E0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4,500 </w:t>
            </w:r>
          </w:p>
        </w:tc>
        <w:tc>
          <w:tcPr>
            <w:tcW w:w="920" w:type="dxa"/>
            <w:tcBorders>
              <w:top w:val="nil"/>
              <w:left w:val="nil"/>
              <w:bottom w:val="nil"/>
              <w:right w:val="nil"/>
            </w:tcBorders>
            <w:shd w:val="clear" w:color="auto" w:fill="auto"/>
            <w:noWrap/>
            <w:vAlign w:val="bottom"/>
            <w:hideMark/>
          </w:tcPr>
          <w:p w14:paraId="107D73A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4,500 </w:t>
            </w:r>
          </w:p>
        </w:tc>
        <w:tc>
          <w:tcPr>
            <w:tcW w:w="920" w:type="dxa"/>
            <w:tcBorders>
              <w:top w:val="nil"/>
              <w:left w:val="nil"/>
              <w:bottom w:val="nil"/>
              <w:right w:val="nil"/>
            </w:tcBorders>
            <w:shd w:val="clear" w:color="auto" w:fill="auto"/>
            <w:noWrap/>
            <w:vAlign w:val="bottom"/>
            <w:hideMark/>
          </w:tcPr>
          <w:p w14:paraId="37C97C9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4,500 </w:t>
            </w:r>
          </w:p>
        </w:tc>
      </w:tr>
      <w:tr w:rsidR="00097147" w:rsidRPr="00097147" w14:paraId="0E1A6DBA" w14:textId="77777777" w:rsidTr="00097147">
        <w:trPr>
          <w:trHeight w:val="454"/>
          <w:jc w:val="center"/>
        </w:trPr>
        <w:tc>
          <w:tcPr>
            <w:tcW w:w="2320" w:type="dxa"/>
            <w:tcBorders>
              <w:top w:val="nil"/>
              <w:left w:val="nil"/>
              <w:bottom w:val="nil"/>
              <w:right w:val="nil"/>
            </w:tcBorders>
            <w:shd w:val="clear" w:color="auto" w:fill="auto"/>
            <w:vAlign w:val="bottom"/>
            <w:hideMark/>
          </w:tcPr>
          <w:p w14:paraId="766B0E16"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Department of Veterans' Affairs</w:t>
            </w:r>
          </w:p>
        </w:tc>
        <w:tc>
          <w:tcPr>
            <w:tcW w:w="460" w:type="dxa"/>
            <w:tcBorders>
              <w:top w:val="nil"/>
              <w:left w:val="nil"/>
              <w:bottom w:val="nil"/>
              <w:right w:val="nil"/>
            </w:tcBorders>
            <w:shd w:val="clear" w:color="auto" w:fill="auto"/>
            <w:noWrap/>
            <w:vAlign w:val="bottom"/>
            <w:hideMark/>
          </w:tcPr>
          <w:p w14:paraId="0408584F"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F307AFB"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11EAD67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93145B3" w14:textId="77777777" w:rsidR="00097147" w:rsidRPr="00097147" w:rsidRDefault="00097147" w:rsidP="0009714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24BDB03"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31DED03"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16B0BDBC" w14:textId="77777777" w:rsidTr="00097147">
        <w:trPr>
          <w:trHeight w:val="225"/>
          <w:jc w:val="center"/>
        </w:trPr>
        <w:tc>
          <w:tcPr>
            <w:tcW w:w="2320" w:type="dxa"/>
            <w:tcBorders>
              <w:top w:val="nil"/>
              <w:left w:val="nil"/>
              <w:bottom w:val="nil"/>
              <w:right w:val="nil"/>
            </w:tcBorders>
            <w:shd w:val="clear" w:color="auto" w:fill="auto"/>
            <w:noWrap/>
            <w:vAlign w:val="bottom"/>
            <w:hideMark/>
          </w:tcPr>
          <w:p w14:paraId="26F01FAF"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4FC4F5E"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E7DBE56"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8FBC66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DF6489C"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C4C6CB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753 </w:t>
            </w:r>
          </w:p>
        </w:tc>
        <w:tc>
          <w:tcPr>
            <w:tcW w:w="920" w:type="dxa"/>
            <w:tcBorders>
              <w:top w:val="nil"/>
              <w:left w:val="nil"/>
              <w:bottom w:val="nil"/>
              <w:right w:val="nil"/>
            </w:tcBorders>
            <w:shd w:val="clear" w:color="auto" w:fill="auto"/>
            <w:noWrap/>
            <w:vAlign w:val="bottom"/>
            <w:hideMark/>
          </w:tcPr>
          <w:p w14:paraId="3AF2FBC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789 </w:t>
            </w:r>
          </w:p>
        </w:tc>
      </w:tr>
      <w:tr w:rsidR="00097147" w:rsidRPr="00097147" w14:paraId="136520E1" w14:textId="77777777" w:rsidTr="00097147">
        <w:trPr>
          <w:trHeight w:val="283"/>
          <w:jc w:val="center"/>
        </w:trPr>
        <w:tc>
          <w:tcPr>
            <w:tcW w:w="2320" w:type="dxa"/>
            <w:tcBorders>
              <w:top w:val="nil"/>
              <w:left w:val="nil"/>
              <w:bottom w:val="nil"/>
              <w:right w:val="nil"/>
            </w:tcBorders>
            <w:shd w:val="clear" w:color="auto" w:fill="auto"/>
            <w:vAlign w:val="bottom"/>
            <w:hideMark/>
          </w:tcPr>
          <w:p w14:paraId="156B85A1" w14:textId="77777777" w:rsidR="00097147" w:rsidRPr="00097147" w:rsidRDefault="00097147" w:rsidP="00097147">
            <w:pPr>
              <w:spacing w:after="0"/>
              <w:rPr>
                <w:rFonts w:ascii="Arial" w:hAnsi="Arial" w:cs="Arial"/>
                <w:color w:val="auto"/>
                <w:sz w:val="16"/>
                <w:szCs w:val="16"/>
              </w:rPr>
            </w:pPr>
            <w:r w:rsidRPr="00097147">
              <w:rPr>
                <w:rFonts w:ascii="Arial" w:hAnsi="Arial" w:cs="Arial"/>
                <w:color w:val="auto"/>
                <w:sz w:val="16"/>
                <w:szCs w:val="16"/>
              </w:rPr>
              <w:t>Services Australia</w:t>
            </w:r>
          </w:p>
        </w:tc>
        <w:tc>
          <w:tcPr>
            <w:tcW w:w="460" w:type="dxa"/>
            <w:tcBorders>
              <w:top w:val="nil"/>
              <w:left w:val="nil"/>
              <w:bottom w:val="nil"/>
              <w:right w:val="nil"/>
            </w:tcBorders>
            <w:shd w:val="clear" w:color="auto" w:fill="auto"/>
            <w:noWrap/>
            <w:vAlign w:val="bottom"/>
            <w:hideMark/>
          </w:tcPr>
          <w:p w14:paraId="58F22B08" w14:textId="77777777" w:rsidR="00097147" w:rsidRPr="00097147" w:rsidRDefault="00097147" w:rsidP="00097147">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D69BEED"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3CCE6EF4"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56834CD9" w14:textId="77777777" w:rsidR="00097147" w:rsidRPr="00097147" w:rsidRDefault="00097147" w:rsidP="00097147">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628023E" w14:textId="77777777" w:rsidR="00097147" w:rsidRPr="00097147" w:rsidRDefault="00097147" w:rsidP="00097147">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7EABD18" w14:textId="77777777" w:rsidR="00097147" w:rsidRPr="00097147" w:rsidRDefault="00097147" w:rsidP="00097147">
            <w:pPr>
              <w:spacing w:after="0"/>
              <w:jc w:val="right"/>
              <w:rPr>
                <w:rFonts w:ascii="Times New Roman" w:hAnsi="Times New Roman"/>
                <w:color w:val="auto"/>
                <w:sz w:val="20"/>
                <w:szCs w:val="20"/>
              </w:rPr>
            </w:pPr>
          </w:p>
        </w:tc>
      </w:tr>
      <w:tr w:rsidR="00097147" w:rsidRPr="00097147" w14:paraId="175C7D02" w14:textId="77777777" w:rsidTr="00934D5E">
        <w:trPr>
          <w:trHeight w:val="225"/>
          <w:jc w:val="center"/>
        </w:trPr>
        <w:tc>
          <w:tcPr>
            <w:tcW w:w="2320" w:type="dxa"/>
            <w:tcBorders>
              <w:top w:val="nil"/>
              <w:left w:val="nil"/>
              <w:right w:val="nil"/>
            </w:tcBorders>
            <w:shd w:val="clear" w:color="auto" w:fill="auto"/>
            <w:noWrap/>
            <w:vAlign w:val="bottom"/>
            <w:hideMark/>
          </w:tcPr>
          <w:p w14:paraId="29AB2571" w14:textId="77777777" w:rsidR="00097147" w:rsidRPr="00097147" w:rsidRDefault="00097147" w:rsidP="00097147">
            <w:pPr>
              <w:spacing w:after="0"/>
              <w:ind w:firstLineChars="100" w:firstLine="160"/>
              <w:rPr>
                <w:rFonts w:ascii="Arial" w:hAnsi="Arial" w:cs="Arial"/>
                <w:color w:val="auto"/>
                <w:sz w:val="16"/>
                <w:szCs w:val="16"/>
              </w:rPr>
            </w:pPr>
            <w:r w:rsidRPr="00097147">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25C82164" w14:textId="77777777" w:rsidR="00097147" w:rsidRPr="00097147" w:rsidRDefault="00097147" w:rsidP="00097147">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09B5BBCB"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BF212A5"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0C20AC0"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F23342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157 </w:t>
            </w:r>
          </w:p>
        </w:tc>
        <w:tc>
          <w:tcPr>
            <w:tcW w:w="920" w:type="dxa"/>
            <w:tcBorders>
              <w:top w:val="nil"/>
              <w:left w:val="nil"/>
              <w:bottom w:val="nil"/>
              <w:right w:val="nil"/>
            </w:tcBorders>
            <w:shd w:val="clear" w:color="auto" w:fill="auto"/>
            <w:noWrap/>
            <w:vAlign w:val="bottom"/>
            <w:hideMark/>
          </w:tcPr>
          <w:p w14:paraId="249586AE" w14:textId="77777777" w:rsidR="00097147" w:rsidRPr="00097147" w:rsidRDefault="00097147" w:rsidP="00097147">
            <w:pPr>
              <w:spacing w:after="0"/>
              <w:jc w:val="right"/>
              <w:rPr>
                <w:rFonts w:ascii="Arial" w:hAnsi="Arial" w:cs="Arial"/>
                <w:color w:val="auto"/>
                <w:sz w:val="16"/>
                <w:szCs w:val="16"/>
              </w:rPr>
            </w:pPr>
            <w:r w:rsidRPr="00097147">
              <w:rPr>
                <w:rFonts w:ascii="Arial" w:hAnsi="Arial" w:cs="Arial"/>
                <w:color w:val="auto"/>
                <w:sz w:val="16"/>
                <w:szCs w:val="16"/>
              </w:rPr>
              <w:t xml:space="preserve">168 </w:t>
            </w:r>
          </w:p>
        </w:tc>
      </w:tr>
      <w:tr w:rsidR="00097147" w:rsidRPr="00097147" w14:paraId="131C4AAD"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52346741" w14:textId="77777777" w:rsidR="00097147" w:rsidRPr="00097147" w:rsidRDefault="00097147" w:rsidP="00097147">
            <w:pPr>
              <w:spacing w:after="0"/>
              <w:rPr>
                <w:rFonts w:ascii="Arial" w:hAnsi="Arial" w:cs="Arial"/>
                <w:b/>
                <w:bCs/>
                <w:color w:val="auto"/>
                <w:sz w:val="16"/>
                <w:szCs w:val="16"/>
              </w:rPr>
            </w:pPr>
            <w:r w:rsidRPr="00097147">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3F6A04ED" w14:textId="77777777" w:rsidR="00097147" w:rsidRPr="00097147" w:rsidRDefault="00097147" w:rsidP="00097147">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614BC98B"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37FC458"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60,148 </w:t>
            </w:r>
          </w:p>
        </w:tc>
        <w:tc>
          <w:tcPr>
            <w:tcW w:w="920" w:type="dxa"/>
            <w:tcBorders>
              <w:top w:val="single" w:sz="4" w:space="0" w:color="000000"/>
              <w:left w:val="nil"/>
              <w:bottom w:val="single" w:sz="4" w:space="0" w:color="000000"/>
              <w:right w:val="nil"/>
            </w:tcBorders>
            <w:shd w:val="clear" w:color="auto" w:fill="auto"/>
            <w:noWrap/>
            <w:vAlign w:val="bottom"/>
            <w:hideMark/>
          </w:tcPr>
          <w:p w14:paraId="479C3E8F"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77,002 </w:t>
            </w:r>
          </w:p>
        </w:tc>
        <w:tc>
          <w:tcPr>
            <w:tcW w:w="920" w:type="dxa"/>
            <w:tcBorders>
              <w:top w:val="single" w:sz="4" w:space="0" w:color="000000"/>
              <w:left w:val="nil"/>
              <w:bottom w:val="single" w:sz="4" w:space="0" w:color="000000"/>
              <w:right w:val="nil"/>
            </w:tcBorders>
            <w:shd w:val="clear" w:color="auto" w:fill="auto"/>
            <w:noWrap/>
            <w:vAlign w:val="bottom"/>
            <w:hideMark/>
          </w:tcPr>
          <w:p w14:paraId="5018BE94"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179,921 </w:t>
            </w:r>
          </w:p>
        </w:tc>
        <w:tc>
          <w:tcPr>
            <w:tcW w:w="920" w:type="dxa"/>
            <w:tcBorders>
              <w:top w:val="single" w:sz="4" w:space="0" w:color="000000"/>
              <w:left w:val="nil"/>
              <w:bottom w:val="single" w:sz="4" w:space="0" w:color="000000"/>
              <w:right w:val="nil"/>
            </w:tcBorders>
            <w:shd w:val="clear" w:color="auto" w:fill="auto"/>
            <w:noWrap/>
            <w:vAlign w:val="bottom"/>
            <w:hideMark/>
          </w:tcPr>
          <w:p w14:paraId="60540A4E" w14:textId="77777777" w:rsidR="00097147" w:rsidRPr="00097147" w:rsidRDefault="00097147" w:rsidP="00097147">
            <w:pPr>
              <w:spacing w:after="0"/>
              <w:jc w:val="right"/>
              <w:rPr>
                <w:rFonts w:ascii="Arial" w:hAnsi="Arial" w:cs="Arial"/>
                <w:b/>
                <w:bCs/>
                <w:color w:val="auto"/>
                <w:sz w:val="16"/>
                <w:szCs w:val="16"/>
              </w:rPr>
            </w:pPr>
            <w:r w:rsidRPr="00097147">
              <w:rPr>
                <w:rFonts w:ascii="Arial" w:hAnsi="Arial" w:cs="Arial"/>
                <w:b/>
                <w:bCs/>
                <w:color w:val="auto"/>
                <w:sz w:val="16"/>
                <w:szCs w:val="16"/>
              </w:rPr>
              <w:t xml:space="preserve">180,770 </w:t>
            </w:r>
          </w:p>
        </w:tc>
      </w:tr>
    </w:tbl>
    <w:p w14:paraId="08D8D18E" w14:textId="77777777" w:rsidR="00097147" w:rsidRDefault="00097147">
      <w:pPr>
        <w:spacing w:after="0"/>
      </w:pPr>
      <w:r>
        <w:br w:type="page"/>
      </w:r>
    </w:p>
    <w:p w14:paraId="55EC2FE4" w14:textId="77777777" w:rsidR="00097147" w:rsidRPr="00557A54" w:rsidRDefault="00097147" w:rsidP="00097147">
      <w:pPr>
        <w:pStyle w:val="Tablenumberandreference"/>
        <w:rPr>
          <w:sz w:val="20"/>
        </w:rPr>
      </w:pPr>
      <w:r w:rsidRPr="00F277A4">
        <w:rPr>
          <w:sz w:val="20"/>
        </w:rPr>
        <w:lastRenderedPageBreak/>
        <w:t xml:space="preserve">Table 1.2: Department of Health and Aged Care </w:t>
      </w:r>
      <w:r>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804F82" w:rsidRPr="00804F82" w14:paraId="236CA699" w14:textId="77777777" w:rsidTr="00804F82">
        <w:trPr>
          <w:trHeight w:val="375"/>
          <w:jc w:val="center"/>
        </w:trPr>
        <w:tc>
          <w:tcPr>
            <w:tcW w:w="6460" w:type="dxa"/>
            <w:gridSpan w:val="6"/>
            <w:tcBorders>
              <w:top w:val="nil"/>
              <w:left w:val="nil"/>
              <w:bottom w:val="nil"/>
              <w:right w:val="nil"/>
            </w:tcBorders>
            <w:shd w:val="clear" w:color="000000" w:fill="D9D9D9"/>
            <w:noWrap/>
            <w:vAlign w:val="bottom"/>
            <w:hideMark/>
          </w:tcPr>
          <w:p w14:paraId="10D774F4" w14:textId="77777777" w:rsidR="00804F82" w:rsidRPr="00804F82" w:rsidRDefault="00804F82" w:rsidP="00804F82">
            <w:pPr>
              <w:spacing w:after="0"/>
              <w:rPr>
                <w:rFonts w:ascii="Arial" w:hAnsi="Arial" w:cs="Arial"/>
                <w:b/>
                <w:bCs/>
                <w:color w:val="auto"/>
                <w:sz w:val="20"/>
                <w:szCs w:val="20"/>
              </w:rPr>
            </w:pPr>
            <w:r w:rsidRPr="00804F82">
              <w:rPr>
                <w:rFonts w:ascii="Arial" w:hAnsi="Arial" w:cs="Arial"/>
                <w:b/>
                <w:bCs/>
                <w:color w:val="auto"/>
                <w:sz w:val="20"/>
                <w:szCs w:val="20"/>
              </w:rPr>
              <w:t xml:space="preserve">Other Portfolio measures since the October 2022-23 Budget </w:t>
            </w:r>
            <w:r w:rsidRPr="00804F82">
              <w:rPr>
                <w:rFonts w:ascii="Arial" w:hAnsi="Arial" w:cs="Arial"/>
                <w:b/>
                <w:bCs/>
                <w:color w:val="auto"/>
                <w:sz w:val="24"/>
                <w:szCs w:val="24"/>
                <w:vertAlign w:val="superscript"/>
              </w:rPr>
              <w:t>(e)</w:t>
            </w:r>
          </w:p>
        </w:tc>
        <w:tc>
          <w:tcPr>
            <w:tcW w:w="920" w:type="dxa"/>
            <w:tcBorders>
              <w:top w:val="nil"/>
              <w:left w:val="nil"/>
              <w:bottom w:val="nil"/>
              <w:right w:val="nil"/>
            </w:tcBorders>
            <w:shd w:val="clear" w:color="000000" w:fill="D9D9D9"/>
            <w:noWrap/>
            <w:vAlign w:val="bottom"/>
            <w:hideMark/>
          </w:tcPr>
          <w:p w14:paraId="34AE728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w:t>
            </w:r>
          </w:p>
        </w:tc>
      </w:tr>
      <w:tr w:rsidR="00804F82" w:rsidRPr="00804F82" w14:paraId="46725531" w14:textId="77777777" w:rsidTr="00804F82">
        <w:trPr>
          <w:trHeight w:val="340"/>
          <w:jc w:val="center"/>
        </w:trPr>
        <w:tc>
          <w:tcPr>
            <w:tcW w:w="2780" w:type="dxa"/>
            <w:gridSpan w:val="2"/>
            <w:tcBorders>
              <w:top w:val="single" w:sz="4" w:space="0" w:color="000000"/>
              <w:left w:val="nil"/>
              <w:bottom w:val="nil"/>
              <w:right w:val="nil"/>
            </w:tcBorders>
            <w:shd w:val="clear" w:color="auto" w:fill="auto"/>
            <w:vAlign w:val="bottom"/>
            <w:hideMark/>
          </w:tcPr>
          <w:p w14:paraId="1A3FF13C"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 xml:space="preserve">Outcome/ </w:t>
            </w:r>
            <w:r w:rsidRPr="00804F82">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2216405F"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2022–23</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4AB0517B"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2023–24</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932B4C5"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2024–25</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94DE8A5"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2025–26</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1CE2DE2E"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2026–27</w:t>
            </w:r>
            <w:r w:rsidRPr="00804F82">
              <w:rPr>
                <w:rFonts w:ascii="Arial" w:hAnsi="Arial" w:cs="Arial"/>
                <w:b/>
                <w:bCs/>
                <w:color w:val="auto"/>
                <w:sz w:val="16"/>
                <w:szCs w:val="16"/>
              </w:rPr>
              <w:br/>
              <w:t>$'000</w:t>
            </w:r>
          </w:p>
        </w:tc>
      </w:tr>
      <w:tr w:rsidR="00804F82" w:rsidRPr="00804F82" w14:paraId="11B1CD00"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2B3B0168"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Disaster Support </w:t>
            </w:r>
            <w:r w:rsidRPr="00804F82">
              <w:rPr>
                <w:rFonts w:ascii="Arial" w:hAnsi="Arial" w:cs="Arial"/>
                <w:b/>
                <w:bCs/>
                <w:color w:val="auto"/>
                <w:vertAlign w:val="superscript"/>
              </w:rPr>
              <w:t>(f)</w:t>
            </w:r>
          </w:p>
        </w:tc>
      </w:tr>
      <w:tr w:rsidR="00804F82" w:rsidRPr="00804F82" w14:paraId="09077698" w14:textId="77777777" w:rsidTr="00804F82">
        <w:trPr>
          <w:trHeight w:val="225"/>
          <w:jc w:val="center"/>
        </w:trPr>
        <w:tc>
          <w:tcPr>
            <w:tcW w:w="2320" w:type="dxa"/>
            <w:tcBorders>
              <w:top w:val="nil"/>
              <w:left w:val="nil"/>
              <w:bottom w:val="nil"/>
              <w:right w:val="nil"/>
            </w:tcBorders>
            <w:shd w:val="clear" w:color="auto" w:fill="auto"/>
            <w:vAlign w:val="bottom"/>
            <w:hideMark/>
          </w:tcPr>
          <w:p w14:paraId="6D1220C9"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14:paraId="6B80AA2A"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420D03DF"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85A4A2C"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ADC2A64"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B52FED8"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7A076700" w14:textId="77777777" w:rsidR="00804F82" w:rsidRPr="00804F82" w:rsidRDefault="00804F82" w:rsidP="00804F82">
            <w:pPr>
              <w:spacing w:after="0"/>
              <w:rPr>
                <w:rFonts w:ascii="Times New Roman" w:hAnsi="Times New Roman"/>
                <w:color w:val="auto"/>
                <w:sz w:val="20"/>
                <w:szCs w:val="20"/>
              </w:rPr>
            </w:pPr>
          </w:p>
        </w:tc>
      </w:tr>
      <w:tr w:rsidR="00804F82" w:rsidRPr="00804F82" w14:paraId="48DA548A" w14:textId="77777777" w:rsidTr="00804F82">
        <w:trPr>
          <w:trHeight w:val="425"/>
          <w:jc w:val="center"/>
        </w:trPr>
        <w:tc>
          <w:tcPr>
            <w:tcW w:w="2320" w:type="dxa"/>
            <w:tcBorders>
              <w:top w:val="nil"/>
              <w:left w:val="nil"/>
              <w:bottom w:val="nil"/>
              <w:right w:val="nil"/>
            </w:tcBorders>
            <w:shd w:val="clear" w:color="auto" w:fill="auto"/>
            <w:vAlign w:val="bottom"/>
            <w:hideMark/>
          </w:tcPr>
          <w:p w14:paraId="7E5D67FA"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606ADBF4"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E84FC79"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ED6B02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D31C93A"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A017ADB"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5D2F3A8"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144A26DD"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7AEA0A2C"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F95243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179BDB2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1333A6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2,805 </w:t>
            </w:r>
          </w:p>
        </w:tc>
        <w:tc>
          <w:tcPr>
            <w:tcW w:w="920" w:type="dxa"/>
            <w:tcBorders>
              <w:top w:val="nil"/>
              <w:left w:val="nil"/>
              <w:bottom w:val="nil"/>
              <w:right w:val="nil"/>
            </w:tcBorders>
            <w:shd w:val="clear" w:color="auto" w:fill="auto"/>
            <w:noWrap/>
            <w:vAlign w:val="bottom"/>
            <w:hideMark/>
          </w:tcPr>
          <w:p w14:paraId="3554C6C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4,291 </w:t>
            </w:r>
          </w:p>
        </w:tc>
        <w:tc>
          <w:tcPr>
            <w:tcW w:w="920" w:type="dxa"/>
            <w:tcBorders>
              <w:top w:val="nil"/>
              <w:left w:val="nil"/>
              <w:bottom w:val="nil"/>
              <w:right w:val="nil"/>
            </w:tcBorders>
            <w:shd w:val="clear" w:color="auto" w:fill="auto"/>
            <w:noWrap/>
            <w:vAlign w:val="bottom"/>
            <w:hideMark/>
          </w:tcPr>
          <w:p w14:paraId="105AAB1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1617EC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3929F83D" w14:textId="77777777" w:rsidTr="00804F82">
        <w:trPr>
          <w:trHeight w:val="225"/>
          <w:jc w:val="center"/>
        </w:trPr>
        <w:tc>
          <w:tcPr>
            <w:tcW w:w="2320" w:type="dxa"/>
            <w:tcBorders>
              <w:top w:val="nil"/>
              <w:left w:val="nil"/>
              <w:bottom w:val="nil"/>
              <w:right w:val="nil"/>
            </w:tcBorders>
            <w:shd w:val="clear" w:color="auto" w:fill="auto"/>
            <w:vAlign w:val="bottom"/>
            <w:hideMark/>
          </w:tcPr>
          <w:p w14:paraId="7BC19C16"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4D8DFF5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5B89EB9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520267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92 </w:t>
            </w:r>
          </w:p>
        </w:tc>
        <w:tc>
          <w:tcPr>
            <w:tcW w:w="920" w:type="dxa"/>
            <w:tcBorders>
              <w:top w:val="nil"/>
              <w:left w:val="nil"/>
              <w:bottom w:val="nil"/>
              <w:right w:val="nil"/>
            </w:tcBorders>
            <w:shd w:val="clear" w:color="auto" w:fill="auto"/>
            <w:noWrap/>
            <w:vAlign w:val="bottom"/>
            <w:hideMark/>
          </w:tcPr>
          <w:p w14:paraId="4D71AEC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8 </w:t>
            </w:r>
          </w:p>
        </w:tc>
        <w:tc>
          <w:tcPr>
            <w:tcW w:w="920" w:type="dxa"/>
            <w:tcBorders>
              <w:top w:val="nil"/>
              <w:left w:val="nil"/>
              <w:bottom w:val="nil"/>
              <w:right w:val="nil"/>
            </w:tcBorders>
            <w:shd w:val="clear" w:color="auto" w:fill="auto"/>
            <w:noWrap/>
            <w:vAlign w:val="bottom"/>
            <w:hideMark/>
          </w:tcPr>
          <w:p w14:paraId="1D4ADD9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C22ABE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2FF9DB3A"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1A2519E6"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1C5F48F3"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E7E5531"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1F96F425"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2,897 </w:t>
            </w:r>
          </w:p>
        </w:tc>
        <w:tc>
          <w:tcPr>
            <w:tcW w:w="920" w:type="dxa"/>
            <w:tcBorders>
              <w:top w:val="single" w:sz="4" w:space="0" w:color="000000"/>
              <w:left w:val="nil"/>
              <w:bottom w:val="single" w:sz="4" w:space="0" w:color="000000"/>
              <w:right w:val="nil"/>
            </w:tcBorders>
            <w:shd w:val="clear" w:color="auto" w:fill="auto"/>
            <w:noWrap/>
            <w:vAlign w:val="bottom"/>
            <w:hideMark/>
          </w:tcPr>
          <w:p w14:paraId="7D2103E2"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4,299 </w:t>
            </w:r>
          </w:p>
        </w:tc>
        <w:tc>
          <w:tcPr>
            <w:tcW w:w="920" w:type="dxa"/>
            <w:tcBorders>
              <w:top w:val="single" w:sz="4" w:space="0" w:color="000000"/>
              <w:left w:val="nil"/>
              <w:bottom w:val="single" w:sz="4" w:space="0" w:color="000000"/>
              <w:right w:val="nil"/>
            </w:tcBorders>
            <w:shd w:val="clear" w:color="auto" w:fill="auto"/>
            <w:noWrap/>
            <w:vAlign w:val="bottom"/>
            <w:hideMark/>
          </w:tcPr>
          <w:p w14:paraId="769EEA23"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4989366D"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r w:rsidR="00804F82" w:rsidRPr="00804F82" w14:paraId="26CEA5B2"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1F5BFB91"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Enhancing Pacific Engagement </w:t>
            </w:r>
            <w:r w:rsidRPr="00804F82">
              <w:rPr>
                <w:rFonts w:ascii="Arial" w:hAnsi="Arial" w:cs="Arial"/>
                <w:b/>
                <w:bCs/>
                <w:color w:val="auto"/>
                <w:vertAlign w:val="superscript"/>
              </w:rPr>
              <w:t>(g)</w:t>
            </w:r>
          </w:p>
        </w:tc>
      </w:tr>
      <w:tr w:rsidR="00804F82" w:rsidRPr="00804F82" w14:paraId="6CC66583" w14:textId="77777777" w:rsidTr="00804F82">
        <w:trPr>
          <w:trHeight w:val="425"/>
          <w:jc w:val="center"/>
        </w:trPr>
        <w:tc>
          <w:tcPr>
            <w:tcW w:w="2320" w:type="dxa"/>
            <w:tcBorders>
              <w:top w:val="nil"/>
              <w:left w:val="nil"/>
              <w:bottom w:val="nil"/>
              <w:right w:val="nil"/>
            </w:tcBorders>
            <w:shd w:val="clear" w:color="auto" w:fill="auto"/>
            <w:vAlign w:val="bottom"/>
            <w:hideMark/>
          </w:tcPr>
          <w:p w14:paraId="60B76418"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Foreign Affairs and Trade</w:t>
            </w:r>
          </w:p>
        </w:tc>
        <w:tc>
          <w:tcPr>
            <w:tcW w:w="460" w:type="dxa"/>
            <w:tcBorders>
              <w:top w:val="nil"/>
              <w:left w:val="nil"/>
              <w:bottom w:val="nil"/>
              <w:right w:val="nil"/>
            </w:tcBorders>
            <w:shd w:val="clear" w:color="auto" w:fill="auto"/>
            <w:noWrap/>
            <w:vAlign w:val="bottom"/>
            <w:hideMark/>
          </w:tcPr>
          <w:p w14:paraId="7687E307"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noWrap/>
            <w:vAlign w:val="bottom"/>
            <w:hideMark/>
          </w:tcPr>
          <w:p w14:paraId="561D7C7A"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43D34C1"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B1DA12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ABD767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175BC53"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35176247" w14:textId="77777777" w:rsidTr="00804F82">
        <w:trPr>
          <w:trHeight w:val="425"/>
          <w:jc w:val="center"/>
        </w:trPr>
        <w:tc>
          <w:tcPr>
            <w:tcW w:w="2320" w:type="dxa"/>
            <w:tcBorders>
              <w:top w:val="nil"/>
              <w:left w:val="nil"/>
              <w:bottom w:val="nil"/>
              <w:right w:val="nil"/>
            </w:tcBorders>
            <w:shd w:val="clear" w:color="auto" w:fill="auto"/>
            <w:vAlign w:val="bottom"/>
            <w:hideMark/>
          </w:tcPr>
          <w:p w14:paraId="1231369F"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5093820"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DBAC63E"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1540F3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0D890E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F3B417C"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F4C16E6"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239BEA2A"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D2206C6"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D6AB09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0106A3A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6C1C42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419 </w:t>
            </w:r>
          </w:p>
        </w:tc>
        <w:tc>
          <w:tcPr>
            <w:tcW w:w="920" w:type="dxa"/>
            <w:tcBorders>
              <w:top w:val="nil"/>
              <w:left w:val="nil"/>
              <w:bottom w:val="nil"/>
              <w:right w:val="nil"/>
            </w:tcBorders>
            <w:shd w:val="clear" w:color="auto" w:fill="auto"/>
            <w:noWrap/>
            <w:vAlign w:val="bottom"/>
            <w:hideMark/>
          </w:tcPr>
          <w:p w14:paraId="028E7DF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633 </w:t>
            </w:r>
          </w:p>
        </w:tc>
        <w:tc>
          <w:tcPr>
            <w:tcW w:w="920" w:type="dxa"/>
            <w:tcBorders>
              <w:top w:val="nil"/>
              <w:left w:val="nil"/>
              <w:bottom w:val="nil"/>
              <w:right w:val="nil"/>
            </w:tcBorders>
            <w:shd w:val="clear" w:color="auto" w:fill="auto"/>
            <w:noWrap/>
            <w:vAlign w:val="bottom"/>
            <w:hideMark/>
          </w:tcPr>
          <w:p w14:paraId="2F820B9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731 </w:t>
            </w:r>
          </w:p>
        </w:tc>
        <w:tc>
          <w:tcPr>
            <w:tcW w:w="920" w:type="dxa"/>
            <w:tcBorders>
              <w:top w:val="nil"/>
              <w:left w:val="nil"/>
              <w:bottom w:val="nil"/>
              <w:right w:val="nil"/>
            </w:tcBorders>
            <w:shd w:val="clear" w:color="auto" w:fill="auto"/>
            <w:noWrap/>
            <w:vAlign w:val="bottom"/>
            <w:hideMark/>
          </w:tcPr>
          <w:p w14:paraId="2B02C06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864 </w:t>
            </w:r>
          </w:p>
        </w:tc>
      </w:tr>
      <w:tr w:rsidR="00804F82" w:rsidRPr="00804F82" w14:paraId="38F69834"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2F731052"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6C45E31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5024F5B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4F449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72 </w:t>
            </w:r>
          </w:p>
        </w:tc>
        <w:tc>
          <w:tcPr>
            <w:tcW w:w="920" w:type="dxa"/>
            <w:tcBorders>
              <w:top w:val="nil"/>
              <w:left w:val="nil"/>
              <w:bottom w:val="nil"/>
              <w:right w:val="nil"/>
            </w:tcBorders>
            <w:shd w:val="clear" w:color="auto" w:fill="auto"/>
            <w:noWrap/>
            <w:vAlign w:val="bottom"/>
            <w:hideMark/>
          </w:tcPr>
          <w:p w14:paraId="1AB568C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158 </w:t>
            </w:r>
          </w:p>
        </w:tc>
        <w:tc>
          <w:tcPr>
            <w:tcW w:w="920" w:type="dxa"/>
            <w:tcBorders>
              <w:top w:val="nil"/>
              <w:left w:val="nil"/>
              <w:bottom w:val="nil"/>
              <w:right w:val="nil"/>
            </w:tcBorders>
            <w:shd w:val="clear" w:color="auto" w:fill="auto"/>
            <w:noWrap/>
            <w:vAlign w:val="bottom"/>
            <w:hideMark/>
          </w:tcPr>
          <w:p w14:paraId="3C82797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162 </w:t>
            </w:r>
          </w:p>
        </w:tc>
        <w:tc>
          <w:tcPr>
            <w:tcW w:w="920" w:type="dxa"/>
            <w:tcBorders>
              <w:top w:val="nil"/>
              <w:left w:val="nil"/>
              <w:bottom w:val="nil"/>
              <w:right w:val="nil"/>
            </w:tcBorders>
            <w:shd w:val="clear" w:color="auto" w:fill="auto"/>
            <w:noWrap/>
            <w:vAlign w:val="bottom"/>
            <w:hideMark/>
          </w:tcPr>
          <w:p w14:paraId="747B4AE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159 </w:t>
            </w:r>
          </w:p>
        </w:tc>
      </w:tr>
      <w:tr w:rsidR="00804F82" w:rsidRPr="00804F82" w14:paraId="37D4AC22" w14:textId="77777777" w:rsidTr="00804F82">
        <w:trPr>
          <w:trHeight w:val="225"/>
          <w:jc w:val="center"/>
        </w:trPr>
        <w:tc>
          <w:tcPr>
            <w:tcW w:w="2320" w:type="dxa"/>
            <w:tcBorders>
              <w:top w:val="nil"/>
              <w:left w:val="nil"/>
              <w:bottom w:val="nil"/>
              <w:right w:val="nil"/>
            </w:tcBorders>
            <w:shd w:val="clear" w:color="auto" w:fill="auto"/>
            <w:vAlign w:val="bottom"/>
            <w:hideMark/>
          </w:tcPr>
          <w:p w14:paraId="6739D396"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077136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14:paraId="632F740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E836A8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22 </w:t>
            </w:r>
          </w:p>
        </w:tc>
        <w:tc>
          <w:tcPr>
            <w:tcW w:w="920" w:type="dxa"/>
            <w:tcBorders>
              <w:top w:val="nil"/>
              <w:left w:val="nil"/>
              <w:bottom w:val="nil"/>
              <w:right w:val="nil"/>
            </w:tcBorders>
            <w:shd w:val="clear" w:color="auto" w:fill="auto"/>
            <w:noWrap/>
            <w:vAlign w:val="bottom"/>
            <w:hideMark/>
          </w:tcPr>
          <w:p w14:paraId="029A1D5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82 </w:t>
            </w:r>
          </w:p>
        </w:tc>
        <w:tc>
          <w:tcPr>
            <w:tcW w:w="920" w:type="dxa"/>
            <w:tcBorders>
              <w:top w:val="nil"/>
              <w:left w:val="nil"/>
              <w:bottom w:val="nil"/>
              <w:right w:val="nil"/>
            </w:tcBorders>
            <w:shd w:val="clear" w:color="auto" w:fill="auto"/>
            <w:noWrap/>
            <w:vAlign w:val="bottom"/>
            <w:hideMark/>
          </w:tcPr>
          <w:p w14:paraId="6D64BF8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87 </w:t>
            </w:r>
          </w:p>
        </w:tc>
        <w:tc>
          <w:tcPr>
            <w:tcW w:w="920" w:type="dxa"/>
            <w:tcBorders>
              <w:top w:val="nil"/>
              <w:left w:val="nil"/>
              <w:bottom w:val="nil"/>
              <w:right w:val="nil"/>
            </w:tcBorders>
            <w:shd w:val="clear" w:color="auto" w:fill="auto"/>
            <w:noWrap/>
            <w:vAlign w:val="bottom"/>
            <w:hideMark/>
          </w:tcPr>
          <w:p w14:paraId="4D14F3A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55 </w:t>
            </w:r>
          </w:p>
        </w:tc>
      </w:tr>
      <w:tr w:rsidR="00804F82" w:rsidRPr="00804F82" w14:paraId="40B2663F"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74DC52FD"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4368AE6B"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21F8181D"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45C1D0D3"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513 </w:t>
            </w:r>
          </w:p>
        </w:tc>
        <w:tc>
          <w:tcPr>
            <w:tcW w:w="920" w:type="dxa"/>
            <w:tcBorders>
              <w:top w:val="single" w:sz="4" w:space="0" w:color="000000"/>
              <w:left w:val="nil"/>
              <w:bottom w:val="single" w:sz="4" w:space="0" w:color="000000"/>
              <w:right w:val="nil"/>
            </w:tcBorders>
            <w:shd w:val="clear" w:color="auto" w:fill="auto"/>
            <w:noWrap/>
            <w:vAlign w:val="bottom"/>
            <w:hideMark/>
          </w:tcPr>
          <w:p w14:paraId="377502A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873 </w:t>
            </w:r>
          </w:p>
        </w:tc>
        <w:tc>
          <w:tcPr>
            <w:tcW w:w="920" w:type="dxa"/>
            <w:tcBorders>
              <w:top w:val="single" w:sz="4" w:space="0" w:color="000000"/>
              <w:left w:val="nil"/>
              <w:bottom w:val="single" w:sz="4" w:space="0" w:color="000000"/>
              <w:right w:val="nil"/>
            </w:tcBorders>
            <w:shd w:val="clear" w:color="auto" w:fill="auto"/>
            <w:noWrap/>
            <w:vAlign w:val="bottom"/>
            <w:hideMark/>
          </w:tcPr>
          <w:p w14:paraId="1EF3658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980 </w:t>
            </w:r>
          </w:p>
        </w:tc>
        <w:tc>
          <w:tcPr>
            <w:tcW w:w="920" w:type="dxa"/>
            <w:tcBorders>
              <w:top w:val="single" w:sz="4" w:space="0" w:color="000000"/>
              <w:left w:val="nil"/>
              <w:bottom w:val="single" w:sz="4" w:space="0" w:color="000000"/>
              <w:right w:val="nil"/>
            </w:tcBorders>
            <w:shd w:val="clear" w:color="auto" w:fill="auto"/>
            <w:noWrap/>
            <w:vAlign w:val="bottom"/>
            <w:hideMark/>
          </w:tcPr>
          <w:p w14:paraId="7A8AFA54"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1,078 </w:t>
            </w:r>
          </w:p>
        </w:tc>
      </w:tr>
      <w:tr w:rsidR="00804F82" w:rsidRPr="00804F82" w14:paraId="5B72B6B1"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170950F0"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Ensuring Ongoing Radiation Protection and Nuclear Safety for All Australians </w:t>
            </w:r>
            <w:r w:rsidRPr="00804F82">
              <w:rPr>
                <w:rFonts w:ascii="Arial" w:hAnsi="Arial" w:cs="Arial"/>
                <w:b/>
                <w:bCs/>
                <w:color w:val="auto"/>
                <w:vertAlign w:val="superscript"/>
              </w:rPr>
              <w:t>(h)</w:t>
            </w:r>
          </w:p>
        </w:tc>
      </w:tr>
      <w:tr w:rsidR="00804F82" w:rsidRPr="00804F82" w14:paraId="2E90060E"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AD78448"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Defence</w:t>
            </w:r>
          </w:p>
        </w:tc>
        <w:tc>
          <w:tcPr>
            <w:tcW w:w="460" w:type="dxa"/>
            <w:tcBorders>
              <w:top w:val="nil"/>
              <w:left w:val="nil"/>
              <w:bottom w:val="nil"/>
              <w:right w:val="nil"/>
            </w:tcBorders>
            <w:shd w:val="clear" w:color="auto" w:fill="auto"/>
            <w:vAlign w:val="bottom"/>
            <w:hideMark/>
          </w:tcPr>
          <w:p w14:paraId="18FAB226"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6491162C"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2D0C82EE"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5407C258"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8B79AA9"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6B5266D" w14:textId="77777777" w:rsidR="00804F82" w:rsidRPr="00804F82" w:rsidRDefault="00804F82" w:rsidP="00804F82">
            <w:pPr>
              <w:spacing w:after="0"/>
              <w:rPr>
                <w:rFonts w:ascii="Times New Roman" w:hAnsi="Times New Roman"/>
                <w:color w:val="auto"/>
                <w:sz w:val="20"/>
                <w:szCs w:val="20"/>
              </w:rPr>
            </w:pPr>
          </w:p>
        </w:tc>
      </w:tr>
      <w:tr w:rsidR="00804F82" w:rsidRPr="00804F82" w14:paraId="46A1F0CF" w14:textId="77777777" w:rsidTr="00804F82">
        <w:trPr>
          <w:trHeight w:val="624"/>
          <w:jc w:val="center"/>
        </w:trPr>
        <w:tc>
          <w:tcPr>
            <w:tcW w:w="2320" w:type="dxa"/>
            <w:tcBorders>
              <w:top w:val="nil"/>
              <w:left w:val="nil"/>
              <w:bottom w:val="nil"/>
              <w:right w:val="nil"/>
            </w:tcBorders>
            <w:shd w:val="clear" w:color="auto" w:fill="auto"/>
            <w:vAlign w:val="bottom"/>
            <w:hideMark/>
          </w:tcPr>
          <w:p w14:paraId="6645147C"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Australian Radiation Protection and Nuclear Safety Agency</w:t>
            </w:r>
          </w:p>
        </w:tc>
        <w:tc>
          <w:tcPr>
            <w:tcW w:w="460" w:type="dxa"/>
            <w:tcBorders>
              <w:top w:val="nil"/>
              <w:left w:val="nil"/>
              <w:bottom w:val="nil"/>
              <w:right w:val="nil"/>
            </w:tcBorders>
            <w:shd w:val="clear" w:color="auto" w:fill="auto"/>
            <w:noWrap/>
            <w:vAlign w:val="bottom"/>
            <w:hideMark/>
          </w:tcPr>
          <w:p w14:paraId="032FCB3E"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B94B61B"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31B069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ED7FAE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EC2923D"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9713242"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47AA9E9B" w14:textId="77777777" w:rsidTr="00804F82">
        <w:trPr>
          <w:trHeight w:val="225"/>
          <w:jc w:val="center"/>
        </w:trPr>
        <w:tc>
          <w:tcPr>
            <w:tcW w:w="2320" w:type="dxa"/>
            <w:tcBorders>
              <w:top w:val="nil"/>
              <w:left w:val="nil"/>
              <w:bottom w:val="nil"/>
              <w:right w:val="nil"/>
            </w:tcBorders>
            <w:shd w:val="clear" w:color="auto" w:fill="auto"/>
            <w:vAlign w:val="bottom"/>
            <w:hideMark/>
          </w:tcPr>
          <w:p w14:paraId="4D9FFF14"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E097FDB" w14:textId="77777777" w:rsidR="00804F82" w:rsidRPr="00804F82" w:rsidRDefault="00804F82" w:rsidP="00804F8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D7AA30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4CC9B9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964 </w:t>
            </w:r>
          </w:p>
        </w:tc>
        <w:tc>
          <w:tcPr>
            <w:tcW w:w="920" w:type="dxa"/>
            <w:tcBorders>
              <w:top w:val="nil"/>
              <w:left w:val="nil"/>
              <w:bottom w:val="nil"/>
              <w:right w:val="nil"/>
            </w:tcBorders>
            <w:shd w:val="clear" w:color="auto" w:fill="auto"/>
            <w:noWrap/>
            <w:vAlign w:val="bottom"/>
            <w:hideMark/>
          </w:tcPr>
          <w:p w14:paraId="387A6A4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987 </w:t>
            </w:r>
          </w:p>
        </w:tc>
        <w:tc>
          <w:tcPr>
            <w:tcW w:w="920" w:type="dxa"/>
            <w:tcBorders>
              <w:top w:val="nil"/>
              <w:left w:val="nil"/>
              <w:bottom w:val="nil"/>
              <w:right w:val="nil"/>
            </w:tcBorders>
            <w:shd w:val="clear" w:color="auto" w:fill="auto"/>
            <w:noWrap/>
            <w:vAlign w:val="bottom"/>
            <w:hideMark/>
          </w:tcPr>
          <w:p w14:paraId="4B4B8E3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1,002 </w:t>
            </w:r>
          </w:p>
        </w:tc>
        <w:tc>
          <w:tcPr>
            <w:tcW w:w="920" w:type="dxa"/>
            <w:tcBorders>
              <w:top w:val="nil"/>
              <w:left w:val="nil"/>
              <w:bottom w:val="nil"/>
              <w:right w:val="nil"/>
            </w:tcBorders>
            <w:shd w:val="clear" w:color="auto" w:fill="auto"/>
            <w:noWrap/>
            <w:vAlign w:val="bottom"/>
            <w:hideMark/>
          </w:tcPr>
          <w:p w14:paraId="2C9ABF5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1,013 </w:t>
            </w:r>
          </w:p>
        </w:tc>
      </w:tr>
      <w:tr w:rsidR="00804F82" w:rsidRPr="00804F82" w14:paraId="7200A142" w14:textId="77777777" w:rsidTr="00804F82">
        <w:trPr>
          <w:trHeight w:val="425"/>
          <w:jc w:val="center"/>
        </w:trPr>
        <w:tc>
          <w:tcPr>
            <w:tcW w:w="2320" w:type="dxa"/>
            <w:tcBorders>
              <w:top w:val="nil"/>
              <w:left w:val="nil"/>
              <w:bottom w:val="nil"/>
              <w:right w:val="nil"/>
            </w:tcBorders>
            <w:shd w:val="clear" w:color="auto" w:fill="auto"/>
            <w:vAlign w:val="bottom"/>
            <w:hideMark/>
          </w:tcPr>
          <w:p w14:paraId="779376C6"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6F407B4B" w14:textId="77777777" w:rsidR="00804F82" w:rsidRPr="00804F82" w:rsidRDefault="00804F82" w:rsidP="00804F8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7C6E5B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467152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2,730 </w:t>
            </w:r>
          </w:p>
        </w:tc>
        <w:tc>
          <w:tcPr>
            <w:tcW w:w="920" w:type="dxa"/>
            <w:tcBorders>
              <w:top w:val="nil"/>
              <w:left w:val="nil"/>
              <w:bottom w:val="nil"/>
              <w:right w:val="nil"/>
            </w:tcBorders>
            <w:shd w:val="clear" w:color="auto" w:fill="auto"/>
            <w:noWrap/>
            <w:vAlign w:val="bottom"/>
            <w:hideMark/>
          </w:tcPr>
          <w:p w14:paraId="41A3BFE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2,330 </w:t>
            </w:r>
          </w:p>
        </w:tc>
        <w:tc>
          <w:tcPr>
            <w:tcW w:w="920" w:type="dxa"/>
            <w:tcBorders>
              <w:top w:val="nil"/>
              <w:left w:val="nil"/>
              <w:bottom w:val="nil"/>
              <w:right w:val="nil"/>
            </w:tcBorders>
            <w:shd w:val="clear" w:color="auto" w:fill="auto"/>
            <w:noWrap/>
            <w:vAlign w:val="bottom"/>
            <w:hideMark/>
          </w:tcPr>
          <w:p w14:paraId="4204E97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17E369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68D32526"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1D37447C"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6C4B04EA"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50863DF"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DEC13F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3,694 </w:t>
            </w:r>
          </w:p>
        </w:tc>
        <w:tc>
          <w:tcPr>
            <w:tcW w:w="920" w:type="dxa"/>
            <w:tcBorders>
              <w:top w:val="single" w:sz="4" w:space="0" w:color="000000"/>
              <w:left w:val="nil"/>
              <w:bottom w:val="single" w:sz="4" w:space="0" w:color="000000"/>
              <w:right w:val="nil"/>
            </w:tcBorders>
            <w:shd w:val="clear" w:color="auto" w:fill="auto"/>
            <w:noWrap/>
            <w:vAlign w:val="bottom"/>
            <w:hideMark/>
          </w:tcPr>
          <w:p w14:paraId="64C7B0A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3,317 </w:t>
            </w:r>
          </w:p>
        </w:tc>
        <w:tc>
          <w:tcPr>
            <w:tcW w:w="920" w:type="dxa"/>
            <w:tcBorders>
              <w:top w:val="single" w:sz="4" w:space="0" w:color="000000"/>
              <w:left w:val="nil"/>
              <w:bottom w:val="single" w:sz="4" w:space="0" w:color="000000"/>
              <w:right w:val="nil"/>
            </w:tcBorders>
            <w:shd w:val="clear" w:color="auto" w:fill="auto"/>
            <w:noWrap/>
            <w:vAlign w:val="bottom"/>
            <w:hideMark/>
          </w:tcPr>
          <w:p w14:paraId="5BD16F5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1,002 </w:t>
            </w:r>
          </w:p>
        </w:tc>
        <w:tc>
          <w:tcPr>
            <w:tcW w:w="920" w:type="dxa"/>
            <w:tcBorders>
              <w:top w:val="single" w:sz="4" w:space="0" w:color="000000"/>
              <w:left w:val="nil"/>
              <w:bottom w:val="single" w:sz="4" w:space="0" w:color="000000"/>
              <w:right w:val="nil"/>
            </w:tcBorders>
            <w:shd w:val="clear" w:color="auto" w:fill="auto"/>
            <w:noWrap/>
            <w:vAlign w:val="bottom"/>
            <w:hideMark/>
          </w:tcPr>
          <w:p w14:paraId="0CA9CAB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1,013 </w:t>
            </w:r>
          </w:p>
        </w:tc>
      </w:tr>
      <w:tr w:rsidR="00804F82" w:rsidRPr="00804F82" w14:paraId="7EEA5D19"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07450C02"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Immigration Policy Settings for New Zealand Citizens </w:t>
            </w:r>
            <w:r w:rsidRPr="00804F82">
              <w:rPr>
                <w:rFonts w:ascii="Arial" w:hAnsi="Arial" w:cs="Arial"/>
                <w:b/>
                <w:bCs/>
                <w:color w:val="auto"/>
                <w:vertAlign w:val="superscript"/>
              </w:rPr>
              <w:t>(f) (</w:t>
            </w:r>
            <w:proofErr w:type="spellStart"/>
            <w:r w:rsidRPr="00804F82">
              <w:rPr>
                <w:rFonts w:ascii="Arial" w:hAnsi="Arial" w:cs="Arial"/>
                <w:b/>
                <w:bCs/>
                <w:color w:val="auto"/>
                <w:vertAlign w:val="superscript"/>
              </w:rPr>
              <w:t>i</w:t>
            </w:r>
            <w:proofErr w:type="spellEnd"/>
            <w:r w:rsidRPr="00804F82">
              <w:rPr>
                <w:rFonts w:ascii="Arial" w:hAnsi="Arial" w:cs="Arial"/>
                <w:b/>
                <w:bCs/>
                <w:color w:val="auto"/>
                <w:vertAlign w:val="superscript"/>
              </w:rPr>
              <w:t>)</w:t>
            </w:r>
          </w:p>
        </w:tc>
      </w:tr>
      <w:tr w:rsidR="00804F82" w:rsidRPr="00804F82" w14:paraId="45FBB1D9" w14:textId="77777777" w:rsidTr="00804F82">
        <w:trPr>
          <w:trHeight w:val="225"/>
          <w:jc w:val="center"/>
        </w:trPr>
        <w:tc>
          <w:tcPr>
            <w:tcW w:w="2320" w:type="dxa"/>
            <w:tcBorders>
              <w:top w:val="nil"/>
              <w:left w:val="nil"/>
              <w:bottom w:val="nil"/>
              <w:right w:val="nil"/>
            </w:tcBorders>
            <w:shd w:val="clear" w:color="auto" w:fill="auto"/>
            <w:vAlign w:val="bottom"/>
            <w:hideMark/>
          </w:tcPr>
          <w:p w14:paraId="00028704"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14:paraId="7C024C89"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7F3F2ACA"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5597B4C"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4DBEC73"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40AC973"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6CDF1A2A" w14:textId="77777777" w:rsidR="00804F82" w:rsidRPr="00804F82" w:rsidRDefault="00804F82" w:rsidP="00804F82">
            <w:pPr>
              <w:spacing w:after="0"/>
              <w:rPr>
                <w:rFonts w:ascii="Times New Roman" w:hAnsi="Times New Roman"/>
                <w:color w:val="auto"/>
                <w:sz w:val="20"/>
                <w:szCs w:val="20"/>
              </w:rPr>
            </w:pPr>
          </w:p>
        </w:tc>
      </w:tr>
      <w:tr w:rsidR="00804F82" w:rsidRPr="00804F82" w14:paraId="4474B137" w14:textId="77777777" w:rsidTr="00804F82">
        <w:trPr>
          <w:trHeight w:val="425"/>
          <w:jc w:val="center"/>
        </w:trPr>
        <w:tc>
          <w:tcPr>
            <w:tcW w:w="2320" w:type="dxa"/>
            <w:tcBorders>
              <w:top w:val="nil"/>
              <w:left w:val="nil"/>
              <w:bottom w:val="nil"/>
              <w:right w:val="nil"/>
            </w:tcBorders>
            <w:shd w:val="clear" w:color="auto" w:fill="auto"/>
            <w:vAlign w:val="bottom"/>
            <w:hideMark/>
          </w:tcPr>
          <w:p w14:paraId="63E29D95"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07C44F79"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1298F7B"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2720FD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CD680B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C1610D4"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5908614"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165AA8A2"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4BBF5FE0"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07CDE68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011072F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F17965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6EE95C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9F54F3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2EC829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130212EC"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2F041729"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4AF93E3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14:paraId="56D5626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32DFF9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6B3E1D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DEC74C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3482D6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6C2BCB23"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19CA70C"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1C163D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7320A2F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619F3B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6CA6C32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499F16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0CE0F4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5D58543C"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671CE317"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5A40E06A"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5EE346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1E5D0A7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72684AA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2604E26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246F4FE2"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r w:rsidR="00804F82" w:rsidRPr="00804F82" w14:paraId="60AC1C39"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20A47869"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Increased Support for Commonwealth Rent Assistance Recipients </w:t>
            </w:r>
            <w:r w:rsidRPr="00804F82">
              <w:rPr>
                <w:rFonts w:ascii="Arial" w:hAnsi="Arial" w:cs="Arial"/>
                <w:b/>
                <w:bCs/>
                <w:color w:val="auto"/>
                <w:vertAlign w:val="superscript"/>
              </w:rPr>
              <w:t>(j)</w:t>
            </w:r>
          </w:p>
        </w:tc>
      </w:tr>
      <w:tr w:rsidR="00804F82" w:rsidRPr="00804F82" w14:paraId="4A09F081" w14:textId="77777777" w:rsidTr="00804F82">
        <w:trPr>
          <w:trHeight w:val="255"/>
          <w:jc w:val="center"/>
        </w:trPr>
        <w:tc>
          <w:tcPr>
            <w:tcW w:w="2780" w:type="dxa"/>
            <w:gridSpan w:val="2"/>
            <w:tcBorders>
              <w:top w:val="nil"/>
              <w:left w:val="nil"/>
              <w:bottom w:val="nil"/>
              <w:right w:val="nil"/>
            </w:tcBorders>
            <w:shd w:val="clear" w:color="auto" w:fill="auto"/>
            <w:noWrap/>
            <w:vAlign w:val="bottom"/>
            <w:hideMark/>
          </w:tcPr>
          <w:p w14:paraId="45C3ACDE"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14:paraId="7ECBABA4"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6684C177"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DFEDB0F"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526865A"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1FCCB24" w14:textId="77777777" w:rsidR="00804F82" w:rsidRPr="00804F82" w:rsidRDefault="00804F82" w:rsidP="00804F82">
            <w:pPr>
              <w:spacing w:after="0"/>
              <w:rPr>
                <w:rFonts w:ascii="Times New Roman" w:hAnsi="Times New Roman"/>
                <w:color w:val="auto"/>
                <w:sz w:val="20"/>
                <w:szCs w:val="20"/>
              </w:rPr>
            </w:pPr>
          </w:p>
        </w:tc>
      </w:tr>
      <w:tr w:rsidR="00804F82" w:rsidRPr="00804F82" w14:paraId="301C9538" w14:textId="77777777" w:rsidTr="00804F82">
        <w:trPr>
          <w:trHeight w:val="425"/>
          <w:jc w:val="center"/>
        </w:trPr>
        <w:tc>
          <w:tcPr>
            <w:tcW w:w="2320" w:type="dxa"/>
            <w:tcBorders>
              <w:top w:val="nil"/>
              <w:left w:val="nil"/>
              <w:bottom w:val="nil"/>
              <w:right w:val="nil"/>
            </w:tcBorders>
            <w:shd w:val="clear" w:color="auto" w:fill="auto"/>
            <w:vAlign w:val="bottom"/>
            <w:hideMark/>
          </w:tcPr>
          <w:p w14:paraId="7A5C6930"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63C5EF5"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1513B50C"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015513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DAA71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4908F4"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E94C30"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2E6E8ACD"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3955FA2"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24829EF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4219771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5FBB0B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34 </w:t>
            </w:r>
          </w:p>
        </w:tc>
        <w:tc>
          <w:tcPr>
            <w:tcW w:w="920" w:type="dxa"/>
            <w:tcBorders>
              <w:top w:val="nil"/>
              <w:left w:val="nil"/>
              <w:bottom w:val="nil"/>
              <w:right w:val="nil"/>
            </w:tcBorders>
            <w:shd w:val="clear" w:color="auto" w:fill="auto"/>
            <w:noWrap/>
            <w:vAlign w:val="bottom"/>
            <w:hideMark/>
          </w:tcPr>
          <w:p w14:paraId="03B7F94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44 </w:t>
            </w:r>
          </w:p>
        </w:tc>
        <w:tc>
          <w:tcPr>
            <w:tcW w:w="920" w:type="dxa"/>
            <w:tcBorders>
              <w:top w:val="nil"/>
              <w:left w:val="nil"/>
              <w:bottom w:val="nil"/>
              <w:right w:val="nil"/>
            </w:tcBorders>
            <w:shd w:val="clear" w:color="auto" w:fill="auto"/>
            <w:noWrap/>
            <w:vAlign w:val="bottom"/>
            <w:hideMark/>
          </w:tcPr>
          <w:p w14:paraId="43E328F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49 </w:t>
            </w:r>
          </w:p>
        </w:tc>
        <w:tc>
          <w:tcPr>
            <w:tcW w:w="920" w:type="dxa"/>
            <w:tcBorders>
              <w:top w:val="nil"/>
              <w:left w:val="nil"/>
              <w:bottom w:val="nil"/>
              <w:right w:val="nil"/>
            </w:tcBorders>
            <w:shd w:val="clear" w:color="auto" w:fill="auto"/>
            <w:noWrap/>
            <w:vAlign w:val="bottom"/>
            <w:hideMark/>
          </w:tcPr>
          <w:p w14:paraId="7CA704C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44 </w:t>
            </w:r>
          </w:p>
        </w:tc>
      </w:tr>
      <w:tr w:rsidR="00804F82" w:rsidRPr="00804F82" w14:paraId="2063D7F4"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61CFABEB"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703413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14:paraId="52E9DBE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0A72A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c>
          <w:tcPr>
            <w:tcW w:w="920" w:type="dxa"/>
            <w:tcBorders>
              <w:top w:val="nil"/>
              <w:left w:val="nil"/>
              <w:bottom w:val="nil"/>
              <w:right w:val="nil"/>
            </w:tcBorders>
            <w:shd w:val="clear" w:color="auto" w:fill="auto"/>
            <w:noWrap/>
            <w:vAlign w:val="bottom"/>
            <w:hideMark/>
          </w:tcPr>
          <w:p w14:paraId="58175A8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c>
          <w:tcPr>
            <w:tcW w:w="920" w:type="dxa"/>
            <w:tcBorders>
              <w:top w:val="nil"/>
              <w:left w:val="nil"/>
              <w:bottom w:val="nil"/>
              <w:right w:val="nil"/>
            </w:tcBorders>
            <w:shd w:val="clear" w:color="auto" w:fill="auto"/>
            <w:noWrap/>
            <w:vAlign w:val="bottom"/>
            <w:hideMark/>
          </w:tcPr>
          <w:p w14:paraId="12F9C77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c>
          <w:tcPr>
            <w:tcW w:w="920" w:type="dxa"/>
            <w:tcBorders>
              <w:top w:val="nil"/>
              <w:left w:val="nil"/>
              <w:bottom w:val="nil"/>
              <w:right w:val="nil"/>
            </w:tcBorders>
            <w:shd w:val="clear" w:color="auto" w:fill="auto"/>
            <w:noWrap/>
            <w:vAlign w:val="bottom"/>
            <w:hideMark/>
          </w:tcPr>
          <w:p w14:paraId="1364E2F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r>
      <w:tr w:rsidR="00804F82" w:rsidRPr="00804F82" w14:paraId="3C6BD890"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3160644A"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59F42AA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0714EBE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8AA252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31 </w:t>
            </w:r>
          </w:p>
        </w:tc>
        <w:tc>
          <w:tcPr>
            <w:tcW w:w="920" w:type="dxa"/>
            <w:tcBorders>
              <w:top w:val="nil"/>
              <w:left w:val="nil"/>
              <w:bottom w:val="nil"/>
              <w:right w:val="nil"/>
            </w:tcBorders>
            <w:shd w:val="clear" w:color="auto" w:fill="auto"/>
            <w:noWrap/>
            <w:vAlign w:val="bottom"/>
            <w:hideMark/>
          </w:tcPr>
          <w:p w14:paraId="426114A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40 </w:t>
            </w:r>
          </w:p>
        </w:tc>
        <w:tc>
          <w:tcPr>
            <w:tcW w:w="920" w:type="dxa"/>
            <w:tcBorders>
              <w:top w:val="nil"/>
              <w:left w:val="nil"/>
              <w:bottom w:val="nil"/>
              <w:right w:val="nil"/>
            </w:tcBorders>
            <w:shd w:val="clear" w:color="auto" w:fill="auto"/>
            <w:noWrap/>
            <w:vAlign w:val="bottom"/>
            <w:hideMark/>
          </w:tcPr>
          <w:p w14:paraId="2162145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 </w:t>
            </w:r>
          </w:p>
        </w:tc>
        <w:tc>
          <w:tcPr>
            <w:tcW w:w="920" w:type="dxa"/>
            <w:tcBorders>
              <w:top w:val="nil"/>
              <w:left w:val="nil"/>
              <w:bottom w:val="nil"/>
              <w:right w:val="nil"/>
            </w:tcBorders>
            <w:shd w:val="clear" w:color="auto" w:fill="auto"/>
            <w:noWrap/>
            <w:vAlign w:val="bottom"/>
            <w:hideMark/>
          </w:tcPr>
          <w:p w14:paraId="4AB27CD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38 </w:t>
            </w:r>
          </w:p>
        </w:tc>
      </w:tr>
      <w:tr w:rsidR="00804F82" w:rsidRPr="00804F82" w14:paraId="3E6890D5" w14:textId="77777777" w:rsidTr="00934D5E">
        <w:trPr>
          <w:trHeight w:val="225"/>
          <w:jc w:val="center"/>
        </w:trPr>
        <w:tc>
          <w:tcPr>
            <w:tcW w:w="2320" w:type="dxa"/>
            <w:tcBorders>
              <w:top w:val="nil"/>
              <w:left w:val="nil"/>
              <w:right w:val="nil"/>
            </w:tcBorders>
            <w:shd w:val="clear" w:color="auto" w:fill="auto"/>
            <w:vAlign w:val="bottom"/>
            <w:hideMark/>
          </w:tcPr>
          <w:p w14:paraId="105FD658"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right w:val="nil"/>
            </w:tcBorders>
            <w:shd w:val="clear" w:color="auto" w:fill="auto"/>
            <w:noWrap/>
            <w:vAlign w:val="bottom"/>
            <w:hideMark/>
          </w:tcPr>
          <w:p w14:paraId="47AEB32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14:paraId="141AC59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21A179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182 </w:t>
            </w:r>
          </w:p>
        </w:tc>
        <w:tc>
          <w:tcPr>
            <w:tcW w:w="920" w:type="dxa"/>
            <w:tcBorders>
              <w:top w:val="nil"/>
              <w:left w:val="nil"/>
              <w:bottom w:val="nil"/>
              <w:right w:val="nil"/>
            </w:tcBorders>
            <w:shd w:val="clear" w:color="auto" w:fill="auto"/>
            <w:noWrap/>
            <w:vAlign w:val="bottom"/>
            <w:hideMark/>
          </w:tcPr>
          <w:p w14:paraId="1E0762A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177 </w:t>
            </w:r>
          </w:p>
        </w:tc>
        <w:tc>
          <w:tcPr>
            <w:tcW w:w="920" w:type="dxa"/>
            <w:tcBorders>
              <w:top w:val="nil"/>
              <w:left w:val="nil"/>
              <w:bottom w:val="nil"/>
              <w:right w:val="nil"/>
            </w:tcBorders>
            <w:shd w:val="clear" w:color="auto" w:fill="auto"/>
            <w:noWrap/>
            <w:vAlign w:val="bottom"/>
            <w:hideMark/>
          </w:tcPr>
          <w:p w14:paraId="1C6185D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215 </w:t>
            </w:r>
          </w:p>
        </w:tc>
        <w:tc>
          <w:tcPr>
            <w:tcW w:w="920" w:type="dxa"/>
            <w:tcBorders>
              <w:top w:val="nil"/>
              <w:left w:val="nil"/>
              <w:bottom w:val="nil"/>
              <w:right w:val="nil"/>
            </w:tcBorders>
            <w:shd w:val="clear" w:color="auto" w:fill="auto"/>
            <w:noWrap/>
            <w:vAlign w:val="bottom"/>
            <w:hideMark/>
          </w:tcPr>
          <w:p w14:paraId="6458D17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240 </w:t>
            </w:r>
          </w:p>
        </w:tc>
      </w:tr>
      <w:tr w:rsidR="00804F82" w:rsidRPr="00804F82" w14:paraId="1B577613"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4C89039C"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3F5C5568"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5445598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0388C60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248 </w:t>
            </w:r>
          </w:p>
        </w:tc>
        <w:tc>
          <w:tcPr>
            <w:tcW w:w="920" w:type="dxa"/>
            <w:tcBorders>
              <w:top w:val="single" w:sz="4" w:space="0" w:color="000000"/>
              <w:left w:val="nil"/>
              <w:bottom w:val="single" w:sz="4" w:space="0" w:color="000000"/>
              <w:right w:val="nil"/>
            </w:tcBorders>
            <w:shd w:val="clear" w:color="auto" w:fill="auto"/>
            <w:noWrap/>
            <w:vAlign w:val="bottom"/>
            <w:hideMark/>
          </w:tcPr>
          <w:p w14:paraId="312275B4"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262 </w:t>
            </w:r>
          </w:p>
        </w:tc>
        <w:tc>
          <w:tcPr>
            <w:tcW w:w="920" w:type="dxa"/>
            <w:tcBorders>
              <w:top w:val="single" w:sz="4" w:space="0" w:color="000000"/>
              <w:left w:val="nil"/>
              <w:bottom w:val="single" w:sz="4" w:space="0" w:color="000000"/>
              <w:right w:val="nil"/>
            </w:tcBorders>
            <w:shd w:val="clear" w:color="auto" w:fill="auto"/>
            <w:noWrap/>
            <w:vAlign w:val="bottom"/>
            <w:hideMark/>
          </w:tcPr>
          <w:p w14:paraId="120A4ED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307 </w:t>
            </w:r>
          </w:p>
        </w:tc>
        <w:tc>
          <w:tcPr>
            <w:tcW w:w="920" w:type="dxa"/>
            <w:tcBorders>
              <w:top w:val="single" w:sz="4" w:space="0" w:color="000000"/>
              <w:left w:val="nil"/>
              <w:bottom w:val="single" w:sz="4" w:space="0" w:color="000000"/>
              <w:right w:val="nil"/>
            </w:tcBorders>
            <w:shd w:val="clear" w:color="auto" w:fill="auto"/>
            <w:noWrap/>
            <w:vAlign w:val="bottom"/>
            <w:hideMark/>
          </w:tcPr>
          <w:p w14:paraId="307F366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323 </w:t>
            </w:r>
          </w:p>
        </w:tc>
      </w:tr>
    </w:tbl>
    <w:p w14:paraId="38628755" w14:textId="77777777" w:rsidR="005333F9" w:rsidRDefault="005333F9">
      <w:pPr>
        <w:spacing w:after="0"/>
        <w:rPr>
          <w:rFonts w:ascii="Arial" w:hAnsi="Arial" w:cs="Arial"/>
          <w:b/>
          <w:sz w:val="20"/>
          <w:szCs w:val="18"/>
        </w:rPr>
      </w:pPr>
      <w:r>
        <w:rPr>
          <w:sz w:val="20"/>
        </w:rPr>
        <w:br w:type="page"/>
      </w:r>
    </w:p>
    <w:p w14:paraId="27719F02" w14:textId="667883BB" w:rsidR="00097147" w:rsidRPr="00557A54" w:rsidRDefault="00097147" w:rsidP="00097147">
      <w:pPr>
        <w:pStyle w:val="Tablenumberandreference"/>
        <w:rPr>
          <w:sz w:val="20"/>
        </w:rPr>
      </w:pPr>
      <w:r w:rsidRPr="00F277A4">
        <w:rPr>
          <w:sz w:val="20"/>
        </w:rPr>
        <w:lastRenderedPageBreak/>
        <w:t xml:space="preserve">Table 1.2: Department of Health and Aged Care </w:t>
      </w:r>
      <w:r>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804F82" w:rsidRPr="00804F82" w14:paraId="265514A6" w14:textId="77777777" w:rsidTr="00804F82">
        <w:trPr>
          <w:trHeight w:val="283"/>
          <w:jc w:val="center"/>
        </w:trPr>
        <w:tc>
          <w:tcPr>
            <w:tcW w:w="2780" w:type="dxa"/>
            <w:gridSpan w:val="2"/>
            <w:tcBorders>
              <w:top w:val="single" w:sz="4" w:space="0" w:color="000000"/>
              <w:left w:val="nil"/>
              <w:bottom w:val="nil"/>
              <w:right w:val="nil"/>
            </w:tcBorders>
            <w:shd w:val="clear" w:color="auto" w:fill="auto"/>
            <w:vAlign w:val="bottom"/>
            <w:hideMark/>
          </w:tcPr>
          <w:p w14:paraId="2FDCD723"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 xml:space="preserve">Outcome/ </w:t>
            </w:r>
            <w:r w:rsidRPr="00804F82">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46363102"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2022–23</w:t>
            </w:r>
            <w:r w:rsidRPr="00804F82">
              <w:rPr>
                <w:rFonts w:ascii="Arial" w:hAnsi="Arial" w:cs="Arial"/>
                <w:b/>
                <w:bCs/>
                <w:color w:val="auto"/>
                <w:sz w:val="16"/>
                <w:szCs w:val="16"/>
              </w:rPr>
              <w:br/>
            </w:r>
            <w:r w:rsidRPr="00804F82">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000000" w:fill="D9D9D9"/>
            <w:vAlign w:val="bottom"/>
            <w:hideMark/>
          </w:tcPr>
          <w:p w14:paraId="2802E4A8"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2023–24</w:t>
            </w:r>
            <w:r w:rsidRPr="00804F82">
              <w:rPr>
                <w:rFonts w:ascii="Arial" w:hAnsi="Arial" w:cs="Arial"/>
                <w:b/>
                <w:bCs/>
                <w:color w:val="auto"/>
                <w:sz w:val="16"/>
                <w:szCs w:val="16"/>
              </w:rPr>
              <w:br/>
            </w:r>
            <w:r w:rsidRPr="00804F82">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14:paraId="120ACD16"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2024–25</w:t>
            </w:r>
            <w:r w:rsidRPr="00804F82">
              <w:rPr>
                <w:rFonts w:ascii="Arial" w:hAnsi="Arial" w:cs="Arial"/>
                <w:b/>
                <w:bCs/>
                <w:color w:val="auto"/>
                <w:sz w:val="16"/>
                <w:szCs w:val="16"/>
              </w:rPr>
              <w:br/>
            </w:r>
            <w:r w:rsidRPr="00804F82">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14:paraId="436A867B"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2025–26</w:t>
            </w:r>
            <w:r w:rsidRPr="00804F82">
              <w:rPr>
                <w:rFonts w:ascii="Arial" w:hAnsi="Arial" w:cs="Arial"/>
                <w:b/>
                <w:bCs/>
                <w:color w:val="auto"/>
                <w:sz w:val="16"/>
                <w:szCs w:val="16"/>
              </w:rPr>
              <w:br/>
            </w:r>
            <w:r w:rsidRPr="00804F82">
              <w:rPr>
                <w:rFonts w:ascii="Arial" w:hAnsi="Arial" w:cs="Arial"/>
                <w:color w:val="auto"/>
                <w:sz w:val="16"/>
                <w:szCs w:val="16"/>
              </w:rPr>
              <w:t>$'000</w:t>
            </w:r>
          </w:p>
        </w:tc>
        <w:tc>
          <w:tcPr>
            <w:tcW w:w="920" w:type="dxa"/>
            <w:tcBorders>
              <w:top w:val="single" w:sz="4" w:space="0" w:color="000000"/>
              <w:left w:val="nil"/>
              <w:bottom w:val="single" w:sz="4" w:space="0" w:color="000000"/>
              <w:right w:val="nil"/>
            </w:tcBorders>
            <w:shd w:val="clear" w:color="auto" w:fill="auto"/>
            <w:vAlign w:val="bottom"/>
            <w:hideMark/>
          </w:tcPr>
          <w:p w14:paraId="68B5ED14"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2026–27</w:t>
            </w:r>
            <w:r w:rsidRPr="00804F82">
              <w:rPr>
                <w:rFonts w:ascii="Arial" w:hAnsi="Arial" w:cs="Arial"/>
                <w:b/>
                <w:bCs/>
                <w:color w:val="auto"/>
                <w:sz w:val="16"/>
                <w:szCs w:val="16"/>
              </w:rPr>
              <w:br/>
            </w:r>
            <w:r w:rsidRPr="00804F82">
              <w:rPr>
                <w:rFonts w:ascii="Arial" w:hAnsi="Arial" w:cs="Arial"/>
                <w:color w:val="auto"/>
                <w:sz w:val="16"/>
                <w:szCs w:val="16"/>
              </w:rPr>
              <w:t>$'000</w:t>
            </w:r>
          </w:p>
        </w:tc>
      </w:tr>
      <w:tr w:rsidR="00804F82" w:rsidRPr="00804F82" w14:paraId="633642AB"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2905EBDD"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Migration Program — 2023-24 planning levels </w:t>
            </w:r>
            <w:r w:rsidRPr="00804F82">
              <w:rPr>
                <w:rFonts w:ascii="Arial" w:hAnsi="Arial" w:cs="Arial"/>
                <w:b/>
                <w:bCs/>
                <w:color w:val="auto"/>
                <w:vertAlign w:val="superscript"/>
              </w:rPr>
              <w:t>(f)</w:t>
            </w:r>
          </w:p>
        </w:tc>
      </w:tr>
      <w:tr w:rsidR="00804F82" w:rsidRPr="00804F82" w14:paraId="5BC980BE" w14:textId="77777777" w:rsidTr="00804F82">
        <w:trPr>
          <w:trHeight w:val="225"/>
          <w:jc w:val="center"/>
        </w:trPr>
        <w:tc>
          <w:tcPr>
            <w:tcW w:w="2320" w:type="dxa"/>
            <w:tcBorders>
              <w:top w:val="nil"/>
              <w:left w:val="nil"/>
              <w:bottom w:val="nil"/>
              <w:right w:val="nil"/>
            </w:tcBorders>
            <w:shd w:val="clear" w:color="auto" w:fill="auto"/>
            <w:vAlign w:val="bottom"/>
            <w:hideMark/>
          </w:tcPr>
          <w:p w14:paraId="33A87B9B"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14:paraId="619AA8D9"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054C67E0"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5F39A416"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158C42C"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56AA035"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6690CB06" w14:textId="77777777" w:rsidR="00804F82" w:rsidRPr="00804F82" w:rsidRDefault="00804F82" w:rsidP="00804F82">
            <w:pPr>
              <w:spacing w:after="0"/>
              <w:rPr>
                <w:rFonts w:ascii="Times New Roman" w:hAnsi="Times New Roman"/>
                <w:color w:val="auto"/>
                <w:sz w:val="20"/>
                <w:szCs w:val="20"/>
              </w:rPr>
            </w:pPr>
          </w:p>
        </w:tc>
      </w:tr>
      <w:tr w:rsidR="00804F82" w:rsidRPr="00804F82" w14:paraId="25A93B29" w14:textId="77777777" w:rsidTr="00804F82">
        <w:trPr>
          <w:trHeight w:val="425"/>
          <w:jc w:val="center"/>
        </w:trPr>
        <w:tc>
          <w:tcPr>
            <w:tcW w:w="2320" w:type="dxa"/>
            <w:tcBorders>
              <w:top w:val="nil"/>
              <w:left w:val="nil"/>
              <w:bottom w:val="nil"/>
              <w:right w:val="nil"/>
            </w:tcBorders>
            <w:shd w:val="clear" w:color="auto" w:fill="auto"/>
            <w:vAlign w:val="bottom"/>
            <w:hideMark/>
          </w:tcPr>
          <w:p w14:paraId="5C5CD183"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6FDE7C48"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552D35D"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5835E5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BC71B5A"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0712D2D"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0DEFD54"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2A9F47E5"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684F5DD9"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47D0326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1929D0A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436D54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76A12EF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(39)</w:t>
            </w:r>
          </w:p>
        </w:tc>
        <w:tc>
          <w:tcPr>
            <w:tcW w:w="920" w:type="dxa"/>
            <w:tcBorders>
              <w:top w:val="nil"/>
              <w:left w:val="nil"/>
              <w:bottom w:val="nil"/>
              <w:right w:val="nil"/>
            </w:tcBorders>
            <w:shd w:val="clear" w:color="auto" w:fill="auto"/>
            <w:noWrap/>
            <w:vAlign w:val="bottom"/>
            <w:hideMark/>
          </w:tcPr>
          <w:p w14:paraId="209333F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(29)</w:t>
            </w:r>
          </w:p>
        </w:tc>
        <w:tc>
          <w:tcPr>
            <w:tcW w:w="920" w:type="dxa"/>
            <w:tcBorders>
              <w:top w:val="nil"/>
              <w:left w:val="nil"/>
              <w:bottom w:val="nil"/>
              <w:right w:val="nil"/>
            </w:tcBorders>
            <w:shd w:val="clear" w:color="auto" w:fill="auto"/>
            <w:noWrap/>
            <w:vAlign w:val="bottom"/>
            <w:hideMark/>
          </w:tcPr>
          <w:p w14:paraId="4A3D3EC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r>
      <w:tr w:rsidR="00804F82" w:rsidRPr="00804F82" w14:paraId="14C7B7EF"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3B95D49D"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E0A5C4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14:paraId="6E8225E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1F58F6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148B0C9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356F53E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0AF2843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r>
      <w:tr w:rsidR="00804F82" w:rsidRPr="00804F82" w14:paraId="1EAB70AE"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4CE7FFE6"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B50FD9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6D1E287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902E1C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E9D527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(6)</w:t>
            </w:r>
          </w:p>
        </w:tc>
        <w:tc>
          <w:tcPr>
            <w:tcW w:w="920" w:type="dxa"/>
            <w:tcBorders>
              <w:top w:val="nil"/>
              <w:left w:val="nil"/>
              <w:bottom w:val="nil"/>
              <w:right w:val="nil"/>
            </w:tcBorders>
            <w:shd w:val="clear" w:color="auto" w:fill="auto"/>
            <w:noWrap/>
            <w:vAlign w:val="bottom"/>
            <w:hideMark/>
          </w:tcPr>
          <w:p w14:paraId="34713C4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(6)</w:t>
            </w:r>
          </w:p>
        </w:tc>
        <w:tc>
          <w:tcPr>
            <w:tcW w:w="920" w:type="dxa"/>
            <w:tcBorders>
              <w:top w:val="nil"/>
              <w:left w:val="nil"/>
              <w:bottom w:val="nil"/>
              <w:right w:val="nil"/>
            </w:tcBorders>
            <w:shd w:val="clear" w:color="auto" w:fill="auto"/>
            <w:noWrap/>
            <w:vAlign w:val="bottom"/>
            <w:hideMark/>
          </w:tcPr>
          <w:p w14:paraId="7723421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(5)</w:t>
            </w:r>
          </w:p>
        </w:tc>
      </w:tr>
      <w:tr w:rsidR="00804F82" w:rsidRPr="00804F82" w14:paraId="42DF4274" w14:textId="77777777" w:rsidTr="00804F82">
        <w:trPr>
          <w:trHeight w:val="225"/>
          <w:jc w:val="center"/>
        </w:trPr>
        <w:tc>
          <w:tcPr>
            <w:tcW w:w="2320" w:type="dxa"/>
            <w:tcBorders>
              <w:top w:val="nil"/>
              <w:left w:val="nil"/>
              <w:bottom w:val="nil"/>
              <w:right w:val="nil"/>
            </w:tcBorders>
            <w:shd w:val="clear" w:color="auto" w:fill="auto"/>
            <w:vAlign w:val="bottom"/>
            <w:hideMark/>
          </w:tcPr>
          <w:p w14:paraId="320E94A9"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7469DBE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14:paraId="1C25215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77C5E3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(43)</w:t>
            </w:r>
          </w:p>
        </w:tc>
        <w:tc>
          <w:tcPr>
            <w:tcW w:w="920" w:type="dxa"/>
            <w:tcBorders>
              <w:top w:val="nil"/>
              <w:left w:val="nil"/>
              <w:bottom w:val="nil"/>
              <w:right w:val="nil"/>
            </w:tcBorders>
            <w:shd w:val="clear" w:color="auto" w:fill="auto"/>
            <w:noWrap/>
            <w:vAlign w:val="bottom"/>
            <w:hideMark/>
          </w:tcPr>
          <w:p w14:paraId="593767D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(36)</w:t>
            </w:r>
          </w:p>
        </w:tc>
        <w:tc>
          <w:tcPr>
            <w:tcW w:w="920" w:type="dxa"/>
            <w:tcBorders>
              <w:top w:val="nil"/>
              <w:left w:val="nil"/>
              <w:bottom w:val="nil"/>
              <w:right w:val="nil"/>
            </w:tcBorders>
            <w:shd w:val="clear" w:color="auto" w:fill="auto"/>
            <w:noWrap/>
            <w:vAlign w:val="bottom"/>
            <w:hideMark/>
          </w:tcPr>
          <w:p w14:paraId="3D980A6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26 </w:t>
            </w:r>
          </w:p>
        </w:tc>
        <w:tc>
          <w:tcPr>
            <w:tcW w:w="920" w:type="dxa"/>
            <w:tcBorders>
              <w:top w:val="nil"/>
              <w:left w:val="nil"/>
              <w:bottom w:val="nil"/>
              <w:right w:val="nil"/>
            </w:tcBorders>
            <w:shd w:val="clear" w:color="auto" w:fill="auto"/>
            <w:noWrap/>
            <w:vAlign w:val="bottom"/>
            <w:hideMark/>
          </w:tcPr>
          <w:p w14:paraId="0CD42D6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 </w:t>
            </w:r>
          </w:p>
        </w:tc>
      </w:tr>
      <w:tr w:rsidR="00804F82" w:rsidRPr="00804F82" w14:paraId="370BFBE5"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0A053B27"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05BB06F0"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7305C86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3FE5FF7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(68)</w:t>
            </w:r>
          </w:p>
        </w:tc>
        <w:tc>
          <w:tcPr>
            <w:tcW w:w="920" w:type="dxa"/>
            <w:tcBorders>
              <w:top w:val="single" w:sz="4" w:space="0" w:color="000000"/>
              <w:left w:val="nil"/>
              <w:bottom w:val="single" w:sz="4" w:space="0" w:color="000000"/>
              <w:right w:val="nil"/>
            </w:tcBorders>
            <w:shd w:val="clear" w:color="auto" w:fill="auto"/>
            <w:noWrap/>
            <w:vAlign w:val="bottom"/>
            <w:hideMark/>
          </w:tcPr>
          <w:p w14:paraId="75876A2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(82)</w:t>
            </w:r>
          </w:p>
        </w:tc>
        <w:tc>
          <w:tcPr>
            <w:tcW w:w="920" w:type="dxa"/>
            <w:tcBorders>
              <w:top w:val="single" w:sz="4" w:space="0" w:color="000000"/>
              <w:left w:val="nil"/>
              <w:bottom w:val="single" w:sz="4" w:space="0" w:color="000000"/>
              <w:right w:val="nil"/>
            </w:tcBorders>
            <w:shd w:val="clear" w:color="auto" w:fill="auto"/>
            <w:noWrap/>
            <w:vAlign w:val="bottom"/>
            <w:hideMark/>
          </w:tcPr>
          <w:p w14:paraId="67002ACA"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(10)</w:t>
            </w:r>
          </w:p>
        </w:tc>
        <w:tc>
          <w:tcPr>
            <w:tcW w:w="920" w:type="dxa"/>
            <w:tcBorders>
              <w:top w:val="single" w:sz="4" w:space="0" w:color="000000"/>
              <w:left w:val="nil"/>
              <w:bottom w:val="single" w:sz="4" w:space="0" w:color="000000"/>
              <w:right w:val="nil"/>
            </w:tcBorders>
            <w:shd w:val="clear" w:color="auto" w:fill="auto"/>
            <w:noWrap/>
            <w:vAlign w:val="bottom"/>
            <w:hideMark/>
          </w:tcPr>
          <w:p w14:paraId="0C76724F"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13 </w:t>
            </w:r>
          </w:p>
        </w:tc>
      </w:tr>
      <w:tr w:rsidR="00804F82" w:rsidRPr="00804F82" w14:paraId="4E6417F2"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61CB46B2"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Nuclear-Powered Submarine Program — initial implementation </w:t>
            </w:r>
            <w:r w:rsidRPr="00804F82">
              <w:rPr>
                <w:rFonts w:ascii="Arial" w:hAnsi="Arial" w:cs="Arial"/>
                <w:b/>
                <w:bCs/>
                <w:color w:val="auto"/>
                <w:vertAlign w:val="superscript"/>
              </w:rPr>
              <w:t>(h)</w:t>
            </w:r>
          </w:p>
        </w:tc>
      </w:tr>
      <w:tr w:rsidR="00804F82" w:rsidRPr="00804F82" w14:paraId="33C4E7A1"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70F76D5C"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Defence</w:t>
            </w:r>
          </w:p>
        </w:tc>
        <w:tc>
          <w:tcPr>
            <w:tcW w:w="460" w:type="dxa"/>
            <w:tcBorders>
              <w:top w:val="nil"/>
              <w:left w:val="nil"/>
              <w:bottom w:val="nil"/>
              <w:right w:val="nil"/>
            </w:tcBorders>
            <w:shd w:val="clear" w:color="auto" w:fill="auto"/>
            <w:vAlign w:val="bottom"/>
            <w:hideMark/>
          </w:tcPr>
          <w:p w14:paraId="5F2B6971"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1F78FA2E"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7F228049"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69A07EF5"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D336262"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7521A39" w14:textId="77777777" w:rsidR="00804F82" w:rsidRPr="00804F82" w:rsidRDefault="00804F82" w:rsidP="00804F82">
            <w:pPr>
              <w:spacing w:after="0"/>
              <w:rPr>
                <w:rFonts w:ascii="Times New Roman" w:hAnsi="Times New Roman"/>
                <w:color w:val="auto"/>
                <w:sz w:val="20"/>
                <w:szCs w:val="20"/>
              </w:rPr>
            </w:pPr>
          </w:p>
        </w:tc>
      </w:tr>
      <w:tr w:rsidR="00804F82" w:rsidRPr="00804F82" w14:paraId="5290CC94" w14:textId="77777777" w:rsidTr="00804F82">
        <w:trPr>
          <w:trHeight w:val="425"/>
          <w:jc w:val="center"/>
        </w:trPr>
        <w:tc>
          <w:tcPr>
            <w:tcW w:w="2320" w:type="dxa"/>
            <w:tcBorders>
              <w:top w:val="nil"/>
              <w:left w:val="nil"/>
              <w:bottom w:val="nil"/>
              <w:right w:val="nil"/>
            </w:tcBorders>
            <w:shd w:val="clear" w:color="auto" w:fill="auto"/>
            <w:vAlign w:val="bottom"/>
            <w:hideMark/>
          </w:tcPr>
          <w:p w14:paraId="23F6ED0C"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52F0ABDE"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5FE3A90"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5199B20"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260FB5C"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D97BF01"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187673F"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2EB9C6BD" w14:textId="77777777" w:rsidTr="00804F82">
        <w:trPr>
          <w:trHeight w:val="225"/>
          <w:jc w:val="center"/>
        </w:trPr>
        <w:tc>
          <w:tcPr>
            <w:tcW w:w="2320" w:type="dxa"/>
            <w:tcBorders>
              <w:top w:val="nil"/>
              <w:left w:val="nil"/>
              <w:bottom w:val="nil"/>
              <w:right w:val="nil"/>
            </w:tcBorders>
            <w:shd w:val="clear" w:color="auto" w:fill="auto"/>
            <w:vAlign w:val="bottom"/>
            <w:hideMark/>
          </w:tcPr>
          <w:p w14:paraId="18052ACD"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1947B69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6F33A61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2B77191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1,547 </w:t>
            </w:r>
          </w:p>
        </w:tc>
        <w:tc>
          <w:tcPr>
            <w:tcW w:w="920" w:type="dxa"/>
            <w:tcBorders>
              <w:top w:val="nil"/>
              <w:left w:val="nil"/>
              <w:bottom w:val="nil"/>
              <w:right w:val="nil"/>
            </w:tcBorders>
            <w:shd w:val="clear" w:color="auto" w:fill="auto"/>
            <w:noWrap/>
            <w:vAlign w:val="bottom"/>
            <w:hideMark/>
          </w:tcPr>
          <w:p w14:paraId="130A80A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1,595 </w:t>
            </w:r>
          </w:p>
        </w:tc>
        <w:tc>
          <w:tcPr>
            <w:tcW w:w="920" w:type="dxa"/>
            <w:tcBorders>
              <w:top w:val="nil"/>
              <w:left w:val="nil"/>
              <w:bottom w:val="nil"/>
              <w:right w:val="nil"/>
            </w:tcBorders>
            <w:shd w:val="clear" w:color="auto" w:fill="auto"/>
            <w:noWrap/>
            <w:vAlign w:val="bottom"/>
            <w:hideMark/>
          </w:tcPr>
          <w:p w14:paraId="14F6D6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C90813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3B6A9E92" w14:textId="77777777" w:rsidTr="00804F82">
        <w:trPr>
          <w:trHeight w:val="624"/>
          <w:jc w:val="center"/>
        </w:trPr>
        <w:tc>
          <w:tcPr>
            <w:tcW w:w="2320" w:type="dxa"/>
            <w:tcBorders>
              <w:top w:val="nil"/>
              <w:left w:val="nil"/>
              <w:bottom w:val="nil"/>
              <w:right w:val="nil"/>
            </w:tcBorders>
            <w:shd w:val="clear" w:color="auto" w:fill="auto"/>
            <w:vAlign w:val="bottom"/>
            <w:hideMark/>
          </w:tcPr>
          <w:p w14:paraId="280A1D80"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Australian Radiation Protection and Nuclear Safety Agency</w:t>
            </w:r>
          </w:p>
        </w:tc>
        <w:tc>
          <w:tcPr>
            <w:tcW w:w="460" w:type="dxa"/>
            <w:tcBorders>
              <w:top w:val="nil"/>
              <w:left w:val="nil"/>
              <w:bottom w:val="nil"/>
              <w:right w:val="nil"/>
            </w:tcBorders>
            <w:shd w:val="clear" w:color="auto" w:fill="auto"/>
            <w:noWrap/>
            <w:vAlign w:val="bottom"/>
            <w:hideMark/>
          </w:tcPr>
          <w:p w14:paraId="271A6D00"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3BD46700"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000000" w:fill="D9D9D9"/>
            <w:noWrap/>
            <w:vAlign w:val="bottom"/>
            <w:hideMark/>
          </w:tcPr>
          <w:p w14:paraId="5E80483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w:t>
            </w:r>
          </w:p>
        </w:tc>
        <w:tc>
          <w:tcPr>
            <w:tcW w:w="920" w:type="dxa"/>
            <w:tcBorders>
              <w:top w:val="nil"/>
              <w:left w:val="nil"/>
              <w:bottom w:val="nil"/>
              <w:right w:val="nil"/>
            </w:tcBorders>
            <w:shd w:val="clear" w:color="auto" w:fill="auto"/>
            <w:noWrap/>
            <w:vAlign w:val="bottom"/>
            <w:hideMark/>
          </w:tcPr>
          <w:p w14:paraId="7A5F17F4" w14:textId="77777777" w:rsidR="00804F82" w:rsidRPr="00804F82" w:rsidRDefault="00804F82" w:rsidP="00804F82">
            <w:pPr>
              <w:spacing w:after="0"/>
              <w:jc w:val="right"/>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2D26F1C4"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A15A513"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24481EF1" w14:textId="77777777" w:rsidTr="00804F82">
        <w:trPr>
          <w:trHeight w:val="225"/>
          <w:jc w:val="center"/>
        </w:trPr>
        <w:tc>
          <w:tcPr>
            <w:tcW w:w="2320" w:type="dxa"/>
            <w:tcBorders>
              <w:top w:val="nil"/>
              <w:left w:val="nil"/>
              <w:bottom w:val="nil"/>
              <w:right w:val="nil"/>
            </w:tcBorders>
            <w:shd w:val="clear" w:color="auto" w:fill="auto"/>
            <w:vAlign w:val="bottom"/>
            <w:hideMark/>
          </w:tcPr>
          <w:p w14:paraId="04522A9F"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5F39D899" w14:textId="77777777" w:rsidR="00804F82" w:rsidRPr="00804F82" w:rsidRDefault="00804F82" w:rsidP="00804F8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4937405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7AB625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8,585 </w:t>
            </w:r>
          </w:p>
        </w:tc>
        <w:tc>
          <w:tcPr>
            <w:tcW w:w="920" w:type="dxa"/>
            <w:tcBorders>
              <w:top w:val="nil"/>
              <w:left w:val="nil"/>
              <w:bottom w:val="nil"/>
              <w:right w:val="nil"/>
            </w:tcBorders>
            <w:shd w:val="clear" w:color="auto" w:fill="auto"/>
            <w:noWrap/>
            <w:vAlign w:val="bottom"/>
            <w:hideMark/>
          </w:tcPr>
          <w:p w14:paraId="34E90B5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6,167 </w:t>
            </w:r>
          </w:p>
        </w:tc>
        <w:tc>
          <w:tcPr>
            <w:tcW w:w="920" w:type="dxa"/>
            <w:tcBorders>
              <w:top w:val="nil"/>
              <w:left w:val="nil"/>
              <w:bottom w:val="nil"/>
              <w:right w:val="nil"/>
            </w:tcBorders>
            <w:shd w:val="clear" w:color="auto" w:fill="auto"/>
            <w:noWrap/>
            <w:vAlign w:val="bottom"/>
            <w:hideMark/>
          </w:tcPr>
          <w:p w14:paraId="6B659B2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3FDA24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73D5926F" w14:textId="77777777" w:rsidTr="00804F82">
        <w:trPr>
          <w:trHeight w:val="425"/>
          <w:jc w:val="center"/>
        </w:trPr>
        <w:tc>
          <w:tcPr>
            <w:tcW w:w="2320" w:type="dxa"/>
            <w:tcBorders>
              <w:top w:val="nil"/>
              <w:left w:val="nil"/>
              <w:bottom w:val="nil"/>
              <w:right w:val="nil"/>
            </w:tcBorders>
            <w:shd w:val="clear" w:color="auto" w:fill="auto"/>
            <w:vAlign w:val="bottom"/>
            <w:hideMark/>
          </w:tcPr>
          <w:p w14:paraId="7DD7DB83"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capital payments</w:t>
            </w:r>
          </w:p>
        </w:tc>
        <w:tc>
          <w:tcPr>
            <w:tcW w:w="460" w:type="dxa"/>
            <w:tcBorders>
              <w:top w:val="nil"/>
              <w:left w:val="nil"/>
              <w:bottom w:val="nil"/>
              <w:right w:val="nil"/>
            </w:tcBorders>
            <w:shd w:val="clear" w:color="auto" w:fill="auto"/>
            <w:noWrap/>
            <w:vAlign w:val="bottom"/>
            <w:hideMark/>
          </w:tcPr>
          <w:p w14:paraId="5D0D3A3B" w14:textId="77777777" w:rsidR="00804F82" w:rsidRPr="00804F82" w:rsidRDefault="00804F82" w:rsidP="00804F82">
            <w:pPr>
              <w:spacing w:after="0"/>
              <w:ind w:firstLineChars="100" w:firstLine="16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F7FDD3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755B95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10,468 </w:t>
            </w:r>
          </w:p>
        </w:tc>
        <w:tc>
          <w:tcPr>
            <w:tcW w:w="920" w:type="dxa"/>
            <w:tcBorders>
              <w:top w:val="nil"/>
              <w:left w:val="nil"/>
              <w:bottom w:val="nil"/>
              <w:right w:val="nil"/>
            </w:tcBorders>
            <w:shd w:val="clear" w:color="auto" w:fill="auto"/>
            <w:noWrap/>
            <w:vAlign w:val="bottom"/>
            <w:hideMark/>
          </w:tcPr>
          <w:p w14:paraId="3EB4AB0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11222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056FA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1F0EC290"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635FAF86"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68DD839D"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50F195F"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F4D043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20,600 </w:t>
            </w:r>
          </w:p>
        </w:tc>
        <w:tc>
          <w:tcPr>
            <w:tcW w:w="920" w:type="dxa"/>
            <w:tcBorders>
              <w:top w:val="single" w:sz="4" w:space="0" w:color="000000"/>
              <w:left w:val="nil"/>
              <w:bottom w:val="single" w:sz="4" w:space="0" w:color="000000"/>
              <w:right w:val="nil"/>
            </w:tcBorders>
            <w:shd w:val="clear" w:color="auto" w:fill="auto"/>
            <w:noWrap/>
            <w:vAlign w:val="bottom"/>
            <w:hideMark/>
          </w:tcPr>
          <w:p w14:paraId="48A870E0"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7,762 </w:t>
            </w:r>
          </w:p>
        </w:tc>
        <w:tc>
          <w:tcPr>
            <w:tcW w:w="920" w:type="dxa"/>
            <w:tcBorders>
              <w:top w:val="single" w:sz="4" w:space="0" w:color="000000"/>
              <w:left w:val="nil"/>
              <w:bottom w:val="single" w:sz="4" w:space="0" w:color="000000"/>
              <w:right w:val="nil"/>
            </w:tcBorders>
            <w:shd w:val="clear" w:color="auto" w:fill="auto"/>
            <w:noWrap/>
            <w:vAlign w:val="bottom"/>
            <w:hideMark/>
          </w:tcPr>
          <w:p w14:paraId="00FF1D9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561FDA83"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r w:rsidR="00804F82" w:rsidRPr="00804F82" w14:paraId="14BF5FA0"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144ACDA1"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Parenting Payment (Single) — improved support for single parents </w:t>
            </w:r>
            <w:r w:rsidRPr="00804F82">
              <w:rPr>
                <w:rFonts w:ascii="Arial" w:hAnsi="Arial" w:cs="Arial"/>
                <w:b/>
                <w:bCs/>
                <w:color w:val="auto"/>
                <w:vertAlign w:val="superscript"/>
              </w:rPr>
              <w:t>(j)</w:t>
            </w:r>
          </w:p>
        </w:tc>
      </w:tr>
      <w:tr w:rsidR="00804F82" w:rsidRPr="00804F82" w14:paraId="2320E886" w14:textId="77777777" w:rsidTr="00804F82">
        <w:trPr>
          <w:trHeight w:val="255"/>
          <w:jc w:val="center"/>
        </w:trPr>
        <w:tc>
          <w:tcPr>
            <w:tcW w:w="2780" w:type="dxa"/>
            <w:gridSpan w:val="2"/>
            <w:tcBorders>
              <w:top w:val="nil"/>
              <w:left w:val="nil"/>
              <w:bottom w:val="nil"/>
              <w:right w:val="nil"/>
            </w:tcBorders>
            <w:shd w:val="clear" w:color="auto" w:fill="auto"/>
            <w:noWrap/>
            <w:vAlign w:val="bottom"/>
            <w:hideMark/>
          </w:tcPr>
          <w:p w14:paraId="0CC43134"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14:paraId="5DA05495"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6AD9B6E9"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D4B003B"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154AD61"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288C22D4" w14:textId="77777777" w:rsidR="00804F82" w:rsidRPr="00804F82" w:rsidRDefault="00804F82" w:rsidP="00804F82">
            <w:pPr>
              <w:spacing w:after="0"/>
              <w:rPr>
                <w:rFonts w:ascii="Times New Roman" w:hAnsi="Times New Roman"/>
                <w:color w:val="auto"/>
                <w:sz w:val="20"/>
                <w:szCs w:val="20"/>
              </w:rPr>
            </w:pPr>
          </w:p>
        </w:tc>
      </w:tr>
      <w:tr w:rsidR="00804F82" w:rsidRPr="00804F82" w14:paraId="0B2CFF96" w14:textId="77777777" w:rsidTr="00804F82">
        <w:trPr>
          <w:trHeight w:val="425"/>
          <w:jc w:val="center"/>
        </w:trPr>
        <w:tc>
          <w:tcPr>
            <w:tcW w:w="2320" w:type="dxa"/>
            <w:tcBorders>
              <w:top w:val="nil"/>
              <w:left w:val="nil"/>
              <w:bottom w:val="nil"/>
              <w:right w:val="nil"/>
            </w:tcBorders>
            <w:shd w:val="clear" w:color="auto" w:fill="auto"/>
            <w:vAlign w:val="bottom"/>
            <w:hideMark/>
          </w:tcPr>
          <w:p w14:paraId="408522ED"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E99AFCE"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8FA61ED"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88BB71C"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2FC8A4E"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D52CA1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1EF86B"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525B311D"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855C162"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CE8A6A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344EAE5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982E65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1,930 </w:t>
            </w:r>
          </w:p>
        </w:tc>
        <w:tc>
          <w:tcPr>
            <w:tcW w:w="920" w:type="dxa"/>
            <w:tcBorders>
              <w:top w:val="nil"/>
              <w:left w:val="nil"/>
              <w:bottom w:val="nil"/>
              <w:right w:val="nil"/>
            </w:tcBorders>
            <w:shd w:val="clear" w:color="auto" w:fill="auto"/>
            <w:noWrap/>
            <w:vAlign w:val="bottom"/>
            <w:hideMark/>
          </w:tcPr>
          <w:p w14:paraId="3DCB944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2,660 </w:t>
            </w:r>
          </w:p>
        </w:tc>
        <w:tc>
          <w:tcPr>
            <w:tcW w:w="920" w:type="dxa"/>
            <w:tcBorders>
              <w:top w:val="nil"/>
              <w:left w:val="nil"/>
              <w:bottom w:val="nil"/>
              <w:right w:val="nil"/>
            </w:tcBorders>
            <w:shd w:val="clear" w:color="auto" w:fill="auto"/>
            <w:noWrap/>
            <w:vAlign w:val="bottom"/>
            <w:hideMark/>
          </w:tcPr>
          <w:p w14:paraId="460497F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2,831 </w:t>
            </w:r>
          </w:p>
        </w:tc>
        <w:tc>
          <w:tcPr>
            <w:tcW w:w="920" w:type="dxa"/>
            <w:tcBorders>
              <w:top w:val="nil"/>
              <w:left w:val="nil"/>
              <w:bottom w:val="nil"/>
              <w:right w:val="nil"/>
            </w:tcBorders>
            <w:shd w:val="clear" w:color="auto" w:fill="auto"/>
            <w:noWrap/>
            <w:vAlign w:val="bottom"/>
            <w:hideMark/>
          </w:tcPr>
          <w:p w14:paraId="3946208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2,994 </w:t>
            </w:r>
          </w:p>
        </w:tc>
      </w:tr>
      <w:tr w:rsidR="00804F82" w:rsidRPr="00804F82" w14:paraId="4BF2633A"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0F77FD5B"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93F3B0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14:paraId="59C8C43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61BC30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689 </w:t>
            </w:r>
          </w:p>
        </w:tc>
        <w:tc>
          <w:tcPr>
            <w:tcW w:w="920" w:type="dxa"/>
            <w:tcBorders>
              <w:top w:val="nil"/>
              <w:left w:val="nil"/>
              <w:bottom w:val="nil"/>
              <w:right w:val="nil"/>
            </w:tcBorders>
            <w:shd w:val="clear" w:color="auto" w:fill="auto"/>
            <w:noWrap/>
            <w:vAlign w:val="bottom"/>
            <w:hideMark/>
          </w:tcPr>
          <w:p w14:paraId="7214B51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1,671 </w:t>
            </w:r>
          </w:p>
        </w:tc>
        <w:tc>
          <w:tcPr>
            <w:tcW w:w="920" w:type="dxa"/>
            <w:tcBorders>
              <w:top w:val="nil"/>
              <w:left w:val="nil"/>
              <w:bottom w:val="nil"/>
              <w:right w:val="nil"/>
            </w:tcBorders>
            <w:shd w:val="clear" w:color="auto" w:fill="auto"/>
            <w:noWrap/>
            <w:vAlign w:val="bottom"/>
            <w:hideMark/>
          </w:tcPr>
          <w:p w14:paraId="1F74D26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2,596 </w:t>
            </w:r>
          </w:p>
        </w:tc>
        <w:tc>
          <w:tcPr>
            <w:tcW w:w="920" w:type="dxa"/>
            <w:tcBorders>
              <w:top w:val="nil"/>
              <w:left w:val="nil"/>
              <w:bottom w:val="nil"/>
              <w:right w:val="nil"/>
            </w:tcBorders>
            <w:shd w:val="clear" w:color="auto" w:fill="auto"/>
            <w:noWrap/>
            <w:vAlign w:val="bottom"/>
            <w:hideMark/>
          </w:tcPr>
          <w:p w14:paraId="5FB8B4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3,262 </w:t>
            </w:r>
          </w:p>
        </w:tc>
      </w:tr>
      <w:tr w:rsidR="00804F82" w:rsidRPr="00804F82" w14:paraId="198078E1" w14:textId="77777777" w:rsidTr="00804F82">
        <w:trPr>
          <w:trHeight w:val="225"/>
          <w:jc w:val="center"/>
        </w:trPr>
        <w:tc>
          <w:tcPr>
            <w:tcW w:w="2320" w:type="dxa"/>
            <w:tcBorders>
              <w:top w:val="nil"/>
              <w:left w:val="nil"/>
              <w:bottom w:val="nil"/>
              <w:right w:val="nil"/>
            </w:tcBorders>
            <w:shd w:val="clear" w:color="auto" w:fill="auto"/>
            <w:vAlign w:val="bottom"/>
            <w:hideMark/>
          </w:tcPr>
          <w:p w14:paraId="2CD58D26"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1794C5E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41799D6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198CB9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1,779 </w:t>
            </w:r>
          </w:p>
        </w:tc>
        <w:tc>
          <w:tcPr>
            <w:tcW w:w="920" w:type="dxa"/>
            <w:tcBorders>
              <w:top w:val="nil"/>
              <w:left w:val="nil"/>
              <w:bottom w:val="nil"/>
              <w:right w:val="nil"/>
            </w:tcBorders>
            <w:shd w:val="clear" w:color="auto" w:fill="auto"/>
            <w:noWrap/>
            <w:vAlign w:val="bottom"/>
            <w:hideMark/>
          </w:tcPr>
          <w:p w14:paraId="0DC64E4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2,421 </w:t>
            </w:r>
          </w:p>
        </w:tc>
        <w:tc>
          <w:tcPr>
            <w:tcW w:w="920" w:type="dxa"/>
            <w:tcBorders>
              <w:top w:val="nil"/>
              <w:left w:val="nil"/>
              <w:bottom w:val="nil"/>
              <w:right w:val="nil"/>
            </w:tcBorders>
            <w:shd w:val="clear" w:color="auto" w:fill="auto"/>
            <w:noWrap/>
            <w:vAlign w:val="bottom"/>
            <w:hideMark/>
          </w:tcPr>
          <w:p w14:paraId="0BB589C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2,530 </w:t>
            </w:r>
          </w:p>
        </w:tc>
        <w:tc>
          <w:tcPr>
            <w:tcW w:w="920" w:type="dxa"/>
            <w:tcBorders>
              <w:top w:val="nil"/>
              <w:left w:val="nil"/>
              <w:bottom w:val="nil"/>
              <w:right w:val="nil"/>
            </w:tcBorders>
            <w:shd w:val="clear" w:color="auto" w:fill="auto"/>
            <w:noWrap/>
            <w:vAlign w:val="bottom"/>
            <w:hideMark/>
          </w:tcPr>
          <w:p w14:paraId="4E727F0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2,616 </w:t>
            </w:r>
          </w:p>
        </w:tc>
      </w:tr>
      <w:tr w:rsidR="00804F82" w:rsidRPr="00804F82" w14:paraId="04EB6824"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70AA05D5"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45AEC220"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5C5A284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09C91AA5"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4,398 </w:t>
            </w:r>
          </w:p>
        </w:tc>
        <w:tc>
          <w:tcPr>
            <w:tcW w:w="920" w:type="dxa"/>
            <w:tcBorders>
              <w:top w:val="single" w:sz="4" w:space="0" w:color="000000"/>
              <w:left w:val="nil"/>
              <w:bottom w:val="single" w:sz="4" w:space="0" w:color="000000"/>
              <w:right w:val="nil"/>
            </w:tcBorders>
            <w:shd w:val="clear" w:color="auto" w:fill="auto"/>
            <w:noWrap/>
            <w:vAlign w:val="bottom"/>
            <w:hideMark/>
          </w:tcPr>
          <w:p w14:paraId="030FEB6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6,752 </w:t>
            </w:r>
          </w:p>
        </w:tc>
        <w:tc>
          <w:tcPr>
            <w:tcW w:w="920" w:type="dxa"/>
            <w:tcBorders>
              <w:top w:val="single" w:sz="4" w:space="0" w:color="000000"/>
              <w:left w:val="nil"/>
              <w:bottom w:val="single" w:sz="4" w:space="0" w:color="000000"/>
              <w:right w:val="nil"/>
            </w:tcBorders>
            <w:shd w:val="clear" w:color="auto" w:fill="auto"/>
            <w:noWrap/>
            <w:vAlign w:val="bottom"/>
            <w:hideMark/>
          </w:tcPr>
          <w:p w14:paraId="14C6C8D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7,957 </w:t>
            </w:r>
          </w:p>
        </w:tc>
        <w:tc>
          <w:tcPr>
            <w:tcW w:w="920" w:type="dxa"/>
            <w:tcBorders>
              <w:top w:val="single" w:sz="4" w:space="0" w:color="000000"/>
              <w:left w:val="nil"/>
              <w:bottom w:val="single" w:sz="4" w:space="0" w:color="000000"/>
              <w:right w:val="nil"/>
            </w:tcBorders>
            <w:shd w:val="clear" w:color="auto" w:fill="auto"/>
            <w:noWrap/>
            <w:vAlign w:val="bottom"/>
            <w:hideMark/>
          </w:tcPr>
          <w:p w14:paraId="29142565"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8,872 </w:t>
            </w:r>
          </w:p>
        </w:tc>
      </w:tr>
      <w:tr w:rsidR="00804F82" w:rsidRPr="00804F82" w14:paraId="5F352C87"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5606D563"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Revive — National Cultural Policy and Location Incentive </w:t>
            </w:r>
            <w:r w:rsidRPr="00804F82">
              <w:rPr>
                <w:rFonts w:ascii="Arial" w:hAnsi="Arial" w:cs="Arial"/>
                <w:b/>
                <w:bCs/>
                <w:color w:val="auto"/>
                <w:vertAlign w:val="superscript"/>
              </w:rPr>
              <w:t>(k)</w:t>
            </w:r>
          </w:p>
        </w:tc>
      </w:tr>
      <w:tr w:rsidR="00804F82" w:rsidRPr="00804F82" w14:paraId="355DE02A" w14:textId="77777777" w:rsidTr="00804F82">
        <w:trPr>
          <w:trHeight w:val="255"/>
          <w:jc w:val="center"/>
        </w:trPr>
        <w:tc>
          <w:tcPr>
            <w:tcW w:w="7380" w:type="dxa"/>
            <w:gridSpan w:val="7"/>
            <w:tcBorders>
              <w:top w:val="nil"/>
              <w:left w:val="nil"/>
              <w:bottom w:val="nil"/>
              <w:right w:val="nil"/>
            </w:tcBorders>
            <w:shd w:val="clear" w:color="auto" w:fill="auto"/>
            <w:noWrap/>
            <w:vAlign w:val="bottom"/>
            <w:hideMark/>
          </w:tcPr>
          <w:p w14:paraId="15FA10A9"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Infrastructure, Transport, Regional Development, Communications and the Arts</w:t>
            </w:r>
          </w:p>
        </w:tc>
      </w:tr>
      <w:tr w:rsidR="00804F82" w:rsidRPr="00804F82" w14:paraId="7547A081" w14:textId="77777777" w:rsidTr="00804F82">
        <w:trPr>
          <w:trHeight w:val="425"/>
          <w:jc w:val="center"/>
        </w:trPr>
        <w:tc>
          <w:tcPr>
            <w:tcW w:w="2320" w:type="dxa"/>
            <w:tcBorders>
              <w:top w:val="nil"/>
              <w:left w:val="nil"/>
              <w:bottom w:val="nil"/>
              <w:right w:val="nil"/>
            </w:tcBorders>
            <w:shd w:val="clear" w:color="auto" w:fill="auto"/>
            <w:vAlign w:val="bottom"/>
            <w:hideMark/>
          </w:tcPr>
          <w:p w14:paraId="6D6D6AA5"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19A12F69"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7A47F2C"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CAFA56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96877BE"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7C6976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8AA3889"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3982296B"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7E572AB"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186CE31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244FA79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1EDD305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26941CF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1B284C1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1,538 </w:t>
            </w:r>
          </w:p>
        </w:tc>
        <w:tc>
          <w:tcPr>
            <w:tcW w:w="920" w:type="dxa"/>
            <w:tcBorders>
              <w:top w:val="nil"/>
              <w:left w:val="nil"/>
              <w:bottom w:val="nil"/>
              <w:right w:val="nil"/>
            </w:tcBorders>
            <w:shd w:val="clear" w:color="auto" w:fill="auto"/>
            <w:noWrap/>
            <w:vAlign w:val="bottom"/>
            <w:hideMark/>
          </w:tcPr>
          <w:p w14:paraId="73FC84D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1,670 </w:t>
            </w:r>
          </w:p>
        </w:tc>
      </w:tr>
      <w:tr w:rsidR="00804F82" w:rsidRPr="00804F82" w14:paraId="53013818"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517BAF95"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110BCC6F"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CAE87F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1EA370DE"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7F2DAF7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16B158A0"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1,538 </w:t>
            </w:r>
          </w:p>
        </w:tc>
        <w:tc>
          <w:tcPr>
            <w:tcW w:w="920" w:type="dxa"/>
            <w:tcBorders>
              <w:top w:val="single" w:sz="4" w:space="0" w:color="000000"/>
              <w:left w:val="nil"/>
              <w:bottom w:val="single" w:sz="4" w:space="0" w:color="000000"/>
              <w:right w:val="nil"/>
            </w:tcBorders>
            <w:shd w:val="clear" w:color="auto" w:fill="auto"/>
            <w:noWrap/>
            <w:vAlign w:val="bottom"/>
            <w:hideMark/>
          </w:tcPr>
          <w:p w14:paraId="2CA1B74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1,670 </w:t>
            </w:r>
          </w:p>
        </w:tc>
      </w:tr>
      <w:tr w:rsidR="00804F82" w:rsidRPr="00804F82" w14:paraId="3EFDB776"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70D1E2FB"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Support for People with Autism </w:t>
            </w:r>
            <w:r w:rsidRPr="00804F82">
              <w:rPr>
                <w:rFonts w:ascii="Arial" w:hAnsi="Arial" w:cs="Arial"/>
                <w:b/>
                <w:bCs/>
                <w:color w:val="auto"/>
                <w:vertAlign w:val="superscript"/>
              </w:rPr>
              <w:t>(j)</w:t>
            </w:r>
          </w:p>
        </w:tc>
      </w:tr>
      <w:tr w:rsidR="00804F82" w:rsidRPr="00804F82" w14:paraId="27E77274" w14:textId="77777777" w:rsidTr="00804F82">
        <w:trPr>
          <w:trHeight w:val="255"/>
          <w:jc w:val="center"/>
        </w:trPr>
        <w:tc>
          <w:tcPr>
            <w:tcW w:w="2780" w:type="dxa"/>
            <w:gridSpan w:val="2"/>
            <w:tcBorders>
              <w:top w:val="nil"/>
              <w:left w:val="nil"/>
              <w:bottom w:val="nil"/>
              <w:right w:val="nil"/>
            </w:tcBorders>
            <w:shd w:val="clear" w:color="auto" w:fill="auto"/>
            <w:noWrap/>
            <w:vAlign w:val="bottom"/>
            <w:hideMark/>
          </w:tcPr>
          <w:p w14:paraId="26740282"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14:paraId="4B910A7F"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164C78BD"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0EC0B2E5"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119BB291"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1D1E2112" w14:textId="77777777" w:rsidR="00804F82" w:rsidRPr="00804F82" w:rsidRDefault="00804F82" w:rsidP="00804F82">
            <w:pPr>
              <w:spacing w:after="0"/>
              <w:rPr>
                <w:rFonts w:ascii="Times New Roman" w:hAnsi="Times New Roman"/>
                <w:color w:val="auto"/>
                <w:sz w:val="20"/>
                <w:szCs w:val="20"/>
              </w:rPr>
            </w:pPr>
          </w:p>
        </w:tc>
      </w:tr>
      <w:tr w:rsidR="00804F82" w:rsidRPr="00804F82" w14:paraId="0DA69734" w14:textId="77777777" w:rsidTr="00804F82">
        <w:trPr>
          <w:trHeight w:val="425"/>
          <w:jc w:val="center"/>
        </w:trPr>
        <w:tc>
          <w:tcPr>
            <w:tcW w:w="2320" w:type="dxa"/>
            <w:tcBorders>
              <w:top w:val="nil"/>
              <w:left w:val="nil"/>
              <w:bottom w:val="nil"/>
              <w:right w:val="nil"/>
            </w:tcBorders>
            <w:shd w:val="clear" w:color="auto" w:fill="auto"/>
            <w:vAlign w:val="bottom"/>
            <w:hideMark/>
          </w:tcPr>
          <w:p w14:paraId="751E877B"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2F40747E"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6C1D486"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6502EED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C91D05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0F1E3A8"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1AB78644"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5371A7CF" w14:textId="77777777" w:rsidTr="00804F82">
        <w:trPr>
          <w:trHeight w:val="225"/>
          <w:jc w:val="center"/>
        </w:trPr>
        <w:tc>
          <w:tcPr>
            <w:tcW w:w="2320" w:type="dxa"/>
            <w:tcBorders>
              <w:top w:val="nil"/>
              <w:left w:val="nil"/>
              <w:bottom w:val="nil"/>
              <w:right w:val="nil"/>
            </w:tcBorders>
            <w:shd w:val="clear" w:color="auto" w:fill="auto"/>
            <w:vAlign w:val="bottom"/>
            <w:hideMark/>
          </w:tcPr>
          <w:p w14:paraId="4B0357B8"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5A48FFA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1.6</w:t>
            </w:r>
          </w:p>
        </w:tc>
        <w:tc>
          <w:tcPr>
            <w:tcW w:w="920" w:type="dxa"/>
            <w:tcBorders>
              <w:top w:val="nil"/>
              <w:left w:val="nil"/>
              <w:bottom w:val="nil"/>
              <w:right w:val="nil"/>
            </w:tcBorders>
            <w:shd w:val="clear" w:color="auto" w:fill="auto"/>
            <w:noWrap/>
            <w:vAlign w:val="bottom"/>
            <w:hideMark/>
          </w:tcPr>
          <w:p w14:paraId="3D85041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32FA85F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360 </w:t>
            </w:r>
          </w:p>
        </w:tc>
        <w:tc>
          <w:tcPr>
            <w:tcW w:w="920" w:type="dxa"/>
            <w:tcBorders>
              <w:top w:val="nil"/>
              <w:left w:val="nil"/>
              <w:bottom w:val="nil"/>
              <w:right w:val="nil"/>
            </w:tcBorders>
            <w:shd w:val="clear" w:color="auto" w:fill="auto"/>
            <w:noWrap/>
            <w:vAlign w:val="bottom"/>
            <w:hideMark/>
          </w:tcPr>
          <w:p w14:paraId="4FF2945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16 </w:t>
            </w:r>
          </w:p>
        </w:tc>
        <w:tc>
          <w:tcPr>
            <w:tcW w:w="920" w:type="dxa"/>
            <w:tcBorders>
              <w:top w:val="nil"/>
              <w:left w:val="nil"/>
              <w:bottom w:val="nil"/>
              <w:right w:val="nil"/>
            </w:tcBorders>
            <w:shd w:val="clear" w:color="auto" w:fill="auto"/>
            <w:noWrap/>
            <w:vAlign w:val="bottom"/>
            <w:hideMark/>
          </w:tcPr>
          <w:p w14:paraId="2830F91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79D09F0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1B87A967" w14:textId="77777777" w:rsidTr="00934D5E">
        <w:trPr>
          <w:trHeight w:val="225"/>
          <w:jc w:val="center"/>
        </w:trPr>
        <w:tc>
          <w:tcPr>
            <w:tcW w:w="2320" w:type="dxa"/>
            <w:tcBorders>
              <w:top w:val="nil"/>
              <w:left w:val="nil"/>
              <w:right w:val="nil"/>
            </w:tcBorders>
            <w:shd w:val="clear" w:color="auto" w:fill="auto"/>
            <w:noWrap/>
            <w:vAlign w:val="bottom"/>
            <w:hideMark/>
          </w:tcPr>
          <w:p w14:paraId="4A3F8924"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right w:val="nil"/>
            </w:tcBorders>
            <w:shd w:val="clear" w:color="auto" w:fill="auto"/>
            <w:noWrap/>
            <w:vAlign w:val="bottom"/>
            <w:hideMark/>
          </w:tcPr>
          <w:p w14:paraId="027CF4D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0ECA5A0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3ECFB5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561 </w:t>
            </w:r>
          </w:p>
        </w:tc>
        <w:tc>
          <w:tcPr>
            <w:tcW w:w="920" w:type="dxa"/>
            <w:tcBorders>
              <w:top w:val="nil"/>
              <w:left w:val="nil"/>
              <w:bottom w:val="nil"/>
              <w:right w:val="nil"/>
            </w:tcBorders>
            <w:shd w:val="clear" w:color="auto" w:fill="auto"/>
            <w:noWrap/>
            <w:vAlign w:val="bottom"/>
            <w:hideMark/>
          </w:tcPr>
          <w:p w14:paraId="3574057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303 </w:t>
            </w:r>
          </w:p>
        </w:tc>
        <w:tc>
          <w:tcPr>
            <w:tcW w:w="920" w:type="dxa"/>
            <w:tcBorders>
              <w:top w:val="nil"/>
              <w:left w:val="nil"/>
              <w:bottom w:val="nil"/>
              <w:right w:val="nil"/>
            </w:tcBorders>
            <w:shd w:val="clear" w:color="auto" w:fill="auto"/>
            <w:noWrap/>
            <w:vAlign w:val="bottom"/>
            <w:hideMark/>
          </w:tcPr>
          <w:p w14:paraId="3F016DA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4D99DC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55A63C3B"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3E7A856C"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7D5D5221"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0024AA4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19A57462"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921 </w:t>
            </w:r>
          </w:p>
        </w:tc>
        <w:tc>
          <w:tcPr>
            <w:tcW w:w="920" w:type="dxa"/>
            <w:tcBorders>
              <w:top w:val="single" w:sz="4" w:space="0" w:color="000000"/>
              <w:left w:val="nil"/>
              <w:bottom w:val="single" w:sz="4" w:space="0" w:color="000000"/>
              <w:right w:val="nil"/>
            </w:tcBorders>
            <w:shd w:val="clear" w:color="auto" w:fill="auto"/>
            <w:noWrap/>
            <w:vAlign w:val="bottom"/>
            <w:hideMark/>
          </w:tcPr>
          <w:p w14:paraId="7B6EA07A"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319 </w:t>
            </w:r>
          </w:p>
        </w:tc>
        <w:tc>
          <w:tcPr>
            <w:tcW w:w="920" w:type="dxa"/>
            <w:tcBorders>
              <w:top w:val="single" w:sz="4" w:space="0" w:color="000000"/>
              <w:left w:val="nil"/>
              <w:bottom w:val="single" w:sz="4" w:space="0" w:color="000000"/>
              <w:right w:val="nil"/>
            </w:tcBorders>
            <w:shd w:val="clear" w:color="auto" w:fill="auto"/>
            <w:noWrap/>
            <w:vAlign w:val="bottom"/>
            <w:hideMark/>
          </w:tcPr>
          <w:p w14:paraId="5E0F5E7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0EA7C7B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bl>
    <w:p w14:paraId="4F14B26C" w14:textId="77777777" w:rsidR="00804F82" w:rsidRPr="00557A54" w:rsidRDefault="00097147" w:rsidP="00804F82">
      <w:pPr>
        <w:pStyle w:val="Tablenumberandreference"/>
        <w:rPr>
          <w:sz w:val="20"/>
        </w:rPr>
      </w:pPr>
      <w:r>
        <w:br w:type="page"/>
      </w:r>
      <w:r w:rsidR="00804F82" w:rsidRPr="00F277A4">
        <w:rPr>
          <w:sz w:val="20"/>
        </w:rPr>
        <w:lastRenderedPageBreak/>
        <w:t xml:space="preserve">Table 1.2: Department of Health and Aged Care </w:t>
      </w:r>
      <w:r w:rsidR="00804F82">
        <w:rPr>
          <w:sz w:val="20"/>
        </w:rPr>
        <w:t>2023–24</w:t>
      </w:r>
      <w:r w:rsidR="00804F82"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804F82" w:rsidRPr="00804F82" w14:paraId="501E0456" w14:textId="77777777" w:rsidTr="00804F82">
        <w:trPr>
          <w:trHeight w:val="283"/>
          <w:jc w:val="center"/>
        </w:trPr>
        <w:tc>
          <w:tcPr>
            <w:tcW w:w="2780" w:type="dxa"/>
            <w:gridSpan w:val="2"/>
            <w:tcBorders>
              <w:top w:val="single" w:sz="4" w:space="0" w:color="000000"/>
              <w:left w:val="nil"/>
              <w:bottom w:val="nil"/>
              <w:right w:val="nil"/>
            </w:tcBorders>
            <w:shd w:val="clear" w:color="auto" w:fill="auto"/>
            <w:vAlign w:val="bottom"/>
            <w:hideMark/>
          </w:tcPr>
          <w:p w14:paraId="3DD7D2EE"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 xml:space="preserve">Outcome/ </w:t>
            </w:r>
            <w:r w:rsidRPr="00804F82">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1BC3C7DC"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2022–23</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40D6FCC4"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2023–24</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12ABCDBD"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2024–25</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640079AA"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2025–26</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01485CD5"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2026–27</w:t>
            </w:r>
            <w:r w:rsidRPr="00804F82">
              <w:rPr>
                <w:rFonts w:ascii="Arial" w:hAnsi="Arial" w:cs="Arial"/>
                <w:b/>
                <w:bCs/>
                <w:color w:val="auto"/>
                <w:sz w:val="16"/>
                <w:szCs w:val="16"/>
              </w:rPr>
              <w:br/>
              <w:t>$'000</w:t>
            </w:r>
          </w:p>
        </w:tc>
      </w:tr>
      <w:tr w:rsidR="00804F82" w:rsidRPr="00804F82" w14:paraId="51E5D0CC" w14:textId="77777777" w:rsidTr="00804F82">
        <w:trPr>
          <w:trHeight w:val="255"/>
          <w:jc w:val="center"/>
        </w:trPr>
        <w:tc>
          <w:tcPr>
            <w:tcW w:w="7380" w:type="dxa"/>
            <w:gridSpan w:val="7"/>
            <w:tcBorders>
              <w:top w:val="nil"/>
              <w:left w:val="nil"/>
              <w:bottom w:val="nil"/>
              <w:right w:val="nil"/>
            </w:tcBorders>
            <w:shd w:val="clear" w:color="auto" w:fill="auto"/>
            <w:vAlign w:val="bottom"/>
            <w:hideMark/>
          </w:tcPr>
          <w:p w14:paraId="2A99307C"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Visa and Migration System </w:t>
            </w:r>
            <w:r w:rsidRPr="00804F82">
              <w:rPr>
                <w:rFonts w:ascii="Arial" w:hAnsi="Arial" w:cs="Arial"/>
                <w:b/>
                <w:bCs/>
                <w:color w:val="auto"/>
                <w:vertAlign w:val="superscript"/>
              </w:rPr>
              <w:t>(f)</w:t>
            </w:r>
          </w:p>
        </w:tc>
      </w:tr>
      <w:tr w:rsidR="00804F82" w:rsidRPr="00804F82" w14:paraId="41C3FA1A" w14:textId="77777777" w:rsidTr="00804F82">
        <w:trPr>
          <w:trHeight w:val="225"/>
          <w:jc w:val="center"/>
        </w:trPr>
        <w:tc>
          <w:tcPr>
            <w:tcW w:w="2320" w:type="dxa"/>
            <w:tcBorders>
              <w:top w:val="nil"/>
              <w:left w:val="nil"/>
              <w:bottom w:val="nil"/>
              <w:right w:val="nil"/>
            </w:tcBorders>
            <w:shd w:val="clear" w:color="auto" w:fill="auto"/>
            <w:vAlign w:val="bottom"/>
            <w:hideMark/>
          </w:tcPr>
          <w:p w14:paraId="78881472"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Home Affairs</w:t>
            </w:r>
          </w:p>
        </w:tc>
        <w:tc>
          <w:tcPr>
            <w:tcW w:w="460" w:type="dxa"/>
            <w:tcBorders>
              <w:top w:val="nil"/>
              <w:left w:val="nil"/>
              <w:bottom w:val="nil"/>
              <w:right w:val="nil"/>
            </w:tcBorders>
            <w:shd w:val="clear" w:color="auto" w:fill="auto"/>
            <w:vAlign w:val="bottom"/>
            <w:hideMark/>
          </w:tcPr>
          <w:p w14:paraId="178560AA"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72DA07FC"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1715186"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635148A3"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05C6F94"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5315CDA" w14:textId="77777777" w:rsidR="00804F82" w:rsidRPr="00804F82" w:rsidRDefault="00804F82" w:rsidP="00804F82">
            <w:pPr>
              <w:spacing w:after="0"/>
              <w:rPr>
                <w:rFonts w:ascii="Times New Roman" w:hAnsi="Times New Roman"/>
                <w:color w:val="auto"/>
                <w:sz w:val="20"/>
                <w:szCs w:val="20"/>
              </w:rPr>
            </w:pPr>
          </w:p>
        </w:tc>
      </w:tr>
      <w:tr w:rsidR="00804F82" w:rsidRPr="00804F82" w14:paraId="04B4505E" w14:textId="77777777" w:rsidTr="00804F82">
        <w:trPr>
          <w:trHeight w:val="425"/>
          <w:jc w:val="center"/>
        </w:trPr>
        <w:tc>
          <w:tcPr>
            <w:tcW w:w="2320" w:type="dxa"/>
            <w:tcBorders>
              <w:top w:val="nil"/>
              <w:left w:val="nil"/>
              <w:bottom w:val="nil"/>
              <w:right w:val="nil"/>
            </w:tcBorders>
            <w:shd w:val="clear" w:color="auto" w:fill="auto"/>
            <w:vAlign w:val="bottom"/>
            <w:hideMark/>
          </w:tcPr>
          <w:p w14:paraId="165E884C"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39F7EB6"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58CCE14F"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6EC81B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A38560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E48B4D0"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64D75FE"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5CA1952B"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147BD761"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E0264A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2.1</w:t>
            </w:r>
          </w:p>
        </w:tc>
        <w:tc>
          <w:tcPr>
            <w:tcW w:w="920" w:type="dxa"/>
            <w:tcBorders>
              <w:top w:val="nil"/>
              <w:left w:val="nil"/>
              <w:bottom w:val="nil"/>
              <w:right w:val="nil"/>
            </w:tcBorders>
            <w:shd w:val="clear" w:color="auto" w:fill="auto"/>
            <w:noWrap/>
            <w:vAlign w:val="bottom"/>
            <w:hideMark/>
          </w:tcPr>
          <w:p w14:paraId="6CDD22C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7A8C15B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21 </w:t>
            </w:r>
          </w:p>
        </w:tc>
        <w:tc>
          <w:tcPr>
            <w:tcW w:w="920" w:type="dxa"/>
            <w:tcBorders>
              <w:top w:val="nil"/>
              <w:left w:val="nil"/>
              <w:bottom w:val="nil"/>
              <w:right w:val="nil"/>
            </w:tcBorders>
            <w:shd w:val="clear" w:color="auto" w:fill="auto"/>
            <w:noWrap/>
            <w:vAlign w:val="bottom"/>
            <w:hideMark/>
          </w:tcPr>
          <w:p w14:paraId="6B29FD3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39 </w:t>
            </w:r>
          </w:p>
        </w:tc>
        <w:tc>
          <w:tcPr>
            <w:tcW w:w="920" w:type="dxa"/>
            <w:tcBorders>
              <w:top w:val="nil"/>
              <w:left w:val="nil"/>
              <w:bottom w:val="nil"/>
              <w:right w:val="nil"/>
            </w:tcBorders>
            <w:shd w:val="clear" w:color="auto" w:fill="auto"/>
            <w:noWrap/>
            <w:vAlign w:val="bottom"/>
            <w:hideMark/>
          </w:tcPr>
          <w:p w14:paraId="44E360C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 </w:t>
            </w:r>
          </w:p>
        </w:tc>
        <w:tc>
          <w:tcPr>
            <w:tcW w:w="920" w:type="dxa"/>
            <w:tcBorders>
              <w:top w:val="nil"/>
              <w:left w:val="nil"/>
              <w:bottom w:val="nil"/>
              <w:right w:val="nil"/>
            </w:tcBorders>
            <w:shd w:val="clear" w:color="auto" w:fill="auto"/>
            <w:noWrap/>
            <w:vAlign w:val="bottom"/>
            <w:hideMark/>
          </w:tcPr>
          <w:p w14:paraId="62045E4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 </w:t>
            </w:r>
          </w:p>
        </w:tc>
      </w:tr>
      <w:tr w:rsidR="00804F82" w:rsidRPr="00804F82" w14:paraId="29904C94"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3DE4887C"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354CC2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2.2</w:t>
            </w:r>
          </w:p>
        </w:tc>
        <w:tc>
          <w:tcPr>
            <w:tcW w:w="920" w:type="dxa"/>
            <w:tcBorders>
              <w:top w:val="nil"/>
              <w:left w:val="nil"/>
              <w:bottom w:val="nil"/>
              <w:right w:val="nil"/>
            </w:tcBorders>
            <w:shd w:val="clear" w:color="auto" w:fill="auto"/>
            <w:noWrap/>
            <w:vAlign w:val="bottom"/>
            <w:hideMark/>
          </w:tcPr>
          <w:p w14:paraId="672986A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c>
          <w:tcPr>
            <w:tcW w:w="920" w:type="dxa"/>
            <w:tcBorders>
              <w:top w:val="nil"/>
              <w:left w:val="nil"/>
              <w:bottom w:val="nil"/>
              <w:right w:val="nil"/>
            </w:tcBorders>
            <w:shd w:val="clear" w:color="000000" w:fill="D9D9D9"/>
            <w:noWrap/>
            <w:vAlign w:val="bottom"/>
            <w:hideMark/>
          </w:tcPr>
          <w:p w14:paraId="3F1EB5B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27 </w:t>
            </w:r>
          </w:p>
        </w:tc>
        <w:tc>
          <w:tcPr>
            <w:tcW w:w="920" w:type="dxa"/>
            <w:tcBorders>
              <w:top w:val="nil"/>
              <w:left w:val="nil"/>
              <w:bottom w:val="nil"/>
              <w:right w:val="nil"/>
            </w:tcBorders>
            <w:shd w:val="clear" w:color="auto" w:fill="auto"/>
            <w:noWrap/>
            <w:vAlign w:val="bottom"/>
            <w:hideMark/>
          </w:tcPr>
          <w:p w14:paraId="182F100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102 </w:t>
            </w:r>
          </w:p>
        </w:tc>
        <w:tc>
          <w:tcPr>
            <w:tcW w:w="920" w:type="dxa"/>
            <w:tcBorders>
              <w:top w:val="nil"/>
              <w:left w:val="nil"/>
              <w:bottom w:val="nil"/>
              <w:right w:val="nil"/>
            </w:tcBorders>
            <w:shd w:val="clear" w:color="auto" w:fill="auto"/>
            <w:noWrap/>
            <w:vAlign w:val="bottom"/>
            <w:hideMark/>
          </w:tcPr>
          <w:p w14:paraId="60873D8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225 </w:t>
            </w:r>
          </w:p>
        </w:tc>
        <w:tc>
          <w:tcPr>
            <w:tcW w:w="920" w:type="dxa"/>
            <w:tcBorders>
              <w:top w:val="nil"/>
              <w:left w:val="nil"/>
              <w:bottom w:val="nil"/>
              <w:right w:val="nil"/>
            </w:tcBorders>
            <w:shd w:val="clear" w:color="auto" w:fill="auto"/>
            <w:noWrap/>
            <w:vAlign w:val="bottom"/>
            <w:hideMark/>
          </w:tcPr>
          <w:p w14:paraId="3F5135F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388 </w:t>
            </w:r>
          </w:p>
        </w:tc>
      </w:tr>
      <w:tr w:rsidR="00804F82" w:rsidRPr="00804F82" w14:paraId="690A561C"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1FD6894F"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045E506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2.3</w:t>
            </w:r>
          </w:p>
        </w:tc>
        <w:tc>
          <w:tcPr>
            <w:tcW w:w="920" w:type="dxa"/>
            <w:tcBorders>
              <w:top w:val="nil"/>
              <w:left w:val="nil"/>
              <w:bottom w:val="nil"/>
              <w:right w:val="nil"/>
            </w:tcBorders>
            <w:shd w:val="clear" w:color="auto" w:fill="auto"/>
            <w:noWrap/>
            <w:vAlign w:val="bottom"/>
            <w:hideMark/>
          </w:tcPr>
          <w:p w14:paraId="313E40F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78 </w:t>
            </w:r>
          </w:p>
        </w:tc>
        <w:tc>
          <w:tcPr>
            <w:tcW w:w="920" w:type="dxa"/>
            <w:tcBorders>
              <w:top w:val="nil"/>
              <w:left w:val="nil"/>
              <w:bottom w:val="nil"/>
              <w:right w:val="nil"/>
            </w:tcBorders>
            <w:shd w:val="clear" w:color="000000" w:fill="D9D9D9"/>
            <w:noWrap/>
            <w:vAlign w:val="bottom"/>
            <w:hideMark/>
          </w:tcPr>
          <w:p w14:paraId="3C4E8E7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1,999 </w:t>
            </w:r>
          </w:p>
        </w:tc>
        <w:tc>
          <w:tcPr>
            <w:tcW w:w="920" w:type="dxa"/>
            <w:tcBorders>
              <w:top w:val="nil"/>
              <w:left w:val="nil"/>
              <w:bottom w:val="nil"/>
              <w:right w:val="nil"/>
            </w:tcBorders>
            <w:shd w:val="clear" w:color="auto" w:fill="auto"/>
            <w:noWrap/>
            <w:vAlign w:val="bottom"/>
            <w:hideMark/>
          </w:tcPr>
          <w:p w14:paraId="2CBBF2B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3,676 </w:t>
            </w:r>
          </w:p>
        </w:tc>
        <w:tc>
          <w:tcPr>
            <w:tcW w:w="920" w:type="dxa"/>
            <w:tcBorders>
              <w:top w:val="nil"/>
              <w:left w:val="nil"/>
              <w:bottom w:val="nil"/>
              <w:right w:val="nil"/>
            </w:tcBorders>
            <w:shd w:val="clear" w:color="auto" w:fill="auto"/>
            <w:noWrap/>
            <w:vAlign w:val="bottom"/>
            <w:hideMark/>
          </w:tcPr>
          <w:p w14:paraId="415B835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3,166 </w:t>
            </w:r>
          </w:p>
        </w:tc>
        <w:tc>
          <w:tcPr>
            <w:tcW w:w="920" w:type="dxa"/>
            <w:tcBorders>
              <w:top w:val="nil"/>
              <w:left w:val="nil"/>
              <w:bottom w:val="nil"/>
              <w:right w:val="nil"/>
            </w:tcBorders>
            <w:shd w:val="clear" w:color="auto" w:fill="auto"/>
            <w:noWrap/>
            <w:vAlign w:val="bottom"/>
            <w:hideMark/>
          </w:tcPr>
          <w:p w14:paraId="6ECA7C2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2,462 </w:t>
            </w:r>
          </w:p>
        </w:tc>
      </w:tr>
      <w:tr w:rsidR="00804F82" w:rsidRPr="00804F82" w14:paraId="7DE4DA45"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4C965DF1" w14:textId="77777777" w:rsidR="00804F82" w:rsidRPr="00804F82" w:rsidRDefault="00804F82" w:rsidP="00804F82">
            <w:pPr>
              <w:spacing w:after="0"/>
              <w:jc w:val="right"/>
              <w:rPr>
                <w:rFonts w:ascii="Arial" w:hAnsi="Arial" w:cs="Arial"/>
                <w:color w:val="auto"/>
                <w:sz w:val="16"/>
                <w:szCs w:val="16"/>
              </w:rPr>
            </w:pPr>
          </w:p>
        </w:tc>
        <w:tc>
          <w:tcPr>
            <w:tcW w:w="460" w:type="dxa"/>
            <w:tcBorders>
              <w:top w:val="nil"/>
              <w:left w:val="nil"/>
              <w:bottom w:val="nil"/>
              <w:right w:val="nil"/>
            </w:tcBorders>
            <w:shd w:val="clear" w:color="auto" w:fill="auto"/>
            <w:noWrap/>
            <w:vAlign w:val="bottom"/>
            <w:hideMark/>
          </w:tcPr>
          <w:p w14:paraId="3F9EC45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2.5</w:t>
            </w:r>
          </w:p>
        </w:tc>
        <w:tc>
          <w:tcPr>
            <w:tcW w:w="920" w:type="dxa"/>
            <w:tcBorders>
              <w:top w:val="nil"/>
              <w:left w:val="nil"/>
              <w:bottom w:val="nil"/>
              <w:right w:val="nil"/>
            </w:tcBorders>
            <w:shd w:val="clear" w:color="auto" w:fill="auto"/>
            <w:noWrap/>
            <w:vAlign w:val="bottom"/>
            <w:hideMark/>
          </w:tcPr>
          <w:p w14:paraId="48DFE72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 </w:t>
            </w:r>
          </w:p>
        </w:tc>
        <w:tc>
          <w:tcPr>
            <w:tcW w:w="920" w:type="dxa"/>
            <w:tcBorders>
              <w:top w:val="nil"/>
              <w:left w:val="nil"/>
              <w:bottom w:val="nil"/>
              <w:right w:val="nil"/>
            </w:tcBorders>
            <w:shd w:val="clear" w:color="000000" w:fill="D9D9D9"/>
            <w:noWrap/>
            <w:vAlign w:val="bottom"/>
            <w:hideMark/>
          </w:tcPr>
          <w:p w14:paraId="50B35B9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31 </w:t>
            </w:r>
          </w:p>
        </w:tc>
        <w:tc>
          <w:tcPr>
            <w:tcW w:w="920" w:type="dxa"/>
            <w:tcBorders>
              <w:top w:val="nil"/>
              <w:left w:val="nil"/>
              <w:bottom w:val="nil"/>
              <w:right w:val="nil"/>
            </w:tcBorders>
            <w:shd w:val="clear" w:color="auto" w:fill="auto"/>
            <w:noWrap/>
            <w:vAlign w:val="bottom"/>
            <w:hideMark/>
          </w:tcPr>
          <w:p w14:paraId="0BCDB84E"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53 </w:t>
            </w:r>
          </w:p>
        </w:tc>
        <w:tc>
          <w:tcPr>
            <w:tcW w:w="920" w:type="dxa"/>
            <w:tcBorders>
              <w:top w:val="nil"/>
              <w:left w:val="nil"/>
              <w:bottom w:val="nil"/>
              <w:right w:val="nil"/>
            </w:tcBorders>
            <w:shd w:val="clear" w:color="auto" w:fill="auto"/>
            <w:noWrap/>
            <w:vAlign w:val="bottom"/>
            <w:hideMark/>
          </w:tcPr>
          <w:p w14:paraId="6E2432E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54 </w:t>
            </w:r>
          </w:p>
        </w:tc>
        <w:tc>
          <w:tcPr>
            <w:tcW w:w="920" w:type="dxa"/>
            <w:tcBorders>
              <w:top w:val="nil"/>
              <w:left w:val="nil"/>
              <w:bottom w:val="nil"/>
              <w:right w:val="nil"/>
            </w:tcBorders>
            <w:shd w:val="clear" w:color="auto" w:fill="auto"/>
            <w:noWrap/>
            <w:vAlign w:val="bottom"/>
            <w:hideMark/>
          </w:tcPr>
          <w:p w14:paraId="7DC15B9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52 </w:t>
            </w:r>
          </w:p>
        </w:tc>
      </w:tr>
      <w:tr w:rsidR="00804F82" w:rsidRPr="00804F82" w14:paraId="4769364B"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4F967E7A"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5B7F006F"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24094AA"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80 </w:t>
            </w:r>
          </w:p>
        </w:tc>
        <w:tc>
          <w:tcPr>
            <w:tcW w:w="920" w:type="dxa"/>
            <w:tcBorders>
              <w:top w:val="single" w:sz="4" w:space="0" w:color="000000"/>
              <w:left w:val="nil"/>
              <w:bottom w:val="single" w:sz="4" w:space="0" w:color="000000"/>
              <w:right w:val="nil"/>
            </w:tcBorders>
            <w:shd w:val="clear" w:color="000000" w:fill="D9D9D9"/>
            <w:noWrap/>
            <w:vAlign w:val="bottom"/>
            <w:hideMark/>
          </w:tcPr>
          <w:p w14:paraId="72941EA3"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2,078 </w:t>
            </w:r>
          </w:p>
        </w:tc>
        <w:tc>
          <w:tcPr>
            <w:tcW w:w="920" w:type="dxa"/>
            <w:tcBorders>
              <w:top w:val="single" w:sz="4" w:space="0" w:color="000000"/>
              <w:left w:val="nil"/>
              <w:bottom w:val="single" w:sz="4" w:space="0" w:color="000000"/>
              <w:right w:val="nil"/>
            </w:tcBorders>
            <w:shd w:val="clear" w:color="auto" w:fill="auto"/>
            <w:noWrap/>
            <w:vAlign w:val="bottom"/>
            <w:hideMark/>
          </w:tcPr>
          <w:p w14:paraId="37684E1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3,870 </w:t>
            </w:r>
          </w:p>
        </w:tc>
        <w:tc>
          <w:tcPr>
            <w:tcW w:w="920" w:type="dxa"/>
            <w:tcBorders>
              <w:top w:val="single" w:sz="4" w:space="0" w:color="000000"/>
              <w:left w:val="nil"/>
              <w:bottom w:val="single" w:sz="4" w:space="0" w:color="000000"/>
              <w:right w:val="nil"/>
            </w:tcBorders>
            <w:shd w:val="clear" w:color="auto" w:fill="auto"/>
            <w:noWrap/>
            <w:vAlign w:val="bottom"/>
            <w:hideMark/>
          </w:tcPr>
          <w:p w14:paraId="3788EABA"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3,487 </w:t>
            </w:r>
          </w:p>
        </w:tc>
        <w:tc>
          <w:tcPr>
            <w:tcW w:w="920" w:type="dxa"/>
            <w:tcBorders>
              <w:top w:val="single" w:sz="4" w:space="0" w:color="000000"/>
              <w:left w:val="nil"/>
              <w:bottom w:val="single" w:sz="4" w:space="0" w:color="000000"/>
              <w:right w:val="nil"/>
            </w:tcBorders>
            <w:shd w:val="clear" w:color="auto" w:fill="auto"/>
            <w:noWrap/>
            <w:vAlign w:val="bottom"/>
            <w:hideMark/>
          </w:tcPr>
          <w:p w14:paraId="1AA1ACA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2,944 </w:t>
            </w:r>
          </w:p>
        </w:tc>
      </w:tr>
      <w:tr w:rsidR="00804F82" w:rsidRPr="00804F82" w14:paraId="0F9134B6"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2A54BADB"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 xml:space="preserve">Younger People in Residential Aged Care </w:t>
            </w:r>
            <w:r w:rsidRPr="00804F82">
              <w:rPr>
                <w:rFonts w:ascii="Arial" w:hAnsi="Arial" w:cs="Arial"/>
                <w:b/>
                <w:bCs/>
                <w:color w:val="auto"/>
                <w:vertAlign w:val="superscript"/>
              </w:rPr>
              <w:t>(j)</w:t>
            </w:r>
          </w:p>
        </w:tc>
      </w:tr>
      <w:tr w:rsidR="00804F82" w:rsidRPr="00804F82" w14:paraId="7A6B91E0" w14:textId="77777777" w:rsidTr="00804F82">
        <w:trPr>
          <w:trHeight w:val="225"/>
          <w:jc w:val="center"/>
        </w:trPr>
        <w:tc>
          <w:tcPr>
            <w:tcW w:w="2780" w:type="dxa"/>
            <w:gridSpan w:val="2"/>
            <w:tcBorders>
              <w:top w:val="nil"/>
              <w:left w:val="nil"/>
              <w:bottom w:val="nil"/>
              <w:right w:val="nil"/>
            </w:tcBorders>
            <w:shd w:val="clear" w:color="auto" w:fill="auto"/>
            <w:noWrap/>
            <w:vAlign w:val="bottom"/>
            <w:hideMark/>
          </w:tcPr>
          <w:p w14:paraId="509FD2BA" w14:textId="77777777" w:rsidR="00804F82" w:rsidRPr="00804F82" w:rsidRDefault="00804F82" w:rsidP="00804F82">
            <w:pPr>
              <w:spacing w:after="0"/>
              <w:rPr>
                <w:rFonts w:ascii="Arial" w:hAnsi="Arial" w:cs="Arial"/>
                <w:i/>
                <w:iCs/>
                <w:color w:val="auto"/>
                <w:sz w:val="16"/>
                <w:szCs w:val="16"/>
              </w:rPr>
            </w:pPr>
            <w:r w:rsidRPr="00804F82">
              <w:rPr>
                <w:rFonts w:ascii="Arial" w:hAnsi="Arial" w:cs="Arial"/>
                <w:i/>
                <w:iCs/>
                <w:color w:val="auto"/>
                <w:sz w:val="16"/>
                <w:szCs w:val="16"/>
              </w:rPr>
              <w:t>Department of Social Services</w:t>
            </w:r>
          </w:p>
        </w:tc>
        <w:tc>
          <w:tcPr>
            <w:tcW w:w="920" w:type="dxa"/>
            <w:tcBorders>
              <w:top w:val="nil"/>
              <w:left w:val="nil"/>
              <w:bottom w:val="nil"/>
              <w:right w:val="nil"/>
            </w:tcBorders>
            <w:shd w:val="clear" w:color="auto" w:fill="auto"/>
            <w:vAlign w:val="bottom"/>
            <w:hideMark/>
          </w:tcPr>
          <w:p w14:paraId="1E6414A5" w14:textId="77777777" w:rsidR="00804F82" w:rsidRPr="00804F82" w:rsidRDefault="00804F82" w:rsidP="00804F82">
            <w:pPr>
              <w:spacing w:after="0"/>
              <w:rPr>
                <w:rFonts w:ascii="Arial" w:hAnsi="Arial" w:cs="Arial"/>
                <w:i/>
                <w:iCs/>
                <w:color w:val="auto"/>
                <w:sz w:val="16"/>
                <w:szCs w:val="16"/>
              </w:rPr>
            </w:pPr>
          </w:p>
        </w:tc>
        <w:tc>
          <w:tcPr>
            <w:tcW w:w="920" w:type="dxa"/>
            <w:tcBorders>
              <w:top w:val="nil"/>
              <w:left w:val="nil"/>
              <w:bottom w:val="nil"/>
              <w:right w:val="nil"/>
            </w:tcBorders>
            <w:shd w:val="clear" w:color="auto" w:fill="auto"/>
            <w:vAlign w:val="bottom"/>
            <w:hideMark/>
          </w:tcPr>
          <w:p w14:paraId="0078C713"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3479E22B"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42E6634A" w14:textId="77777777" w:rsidR="00804F82" w:rsidRPr="00804F82" w:rsidRDefault="00804F82" w:rsidP="00804F82">
            <w:pPr>
              <w:spacing w:after="0"/>
              <w:rPr>
                <w:rFonts w:ascii="Times New Roman" w:hAnsi="Times New Roman"/>
                <w:color w:val="auto"/>
                <w:sz w:val="20"/>
                <w:szCs w:val="20"/>
              </w:rPr>
            </w:pPr>
          </w:p>
        </w:tc>
        <w:tc>
          <w:tcPr>
            <w:tcW w:w="920" w:type="dxa"/>
            <w:tcBorders>
              <w:top w:val="nil"/>
              <w:left w:val="nil"/>
              <w:bottom w:val="nil"/>
              <w:right w:val="nil"/>
            </w:tcBorders>
            <w:shd w:val="clear" w:color="auto" w:fill="auto"/>
            <w:vAlign w:val="bottom"/>
            <w:hideMark/>
          </w:tcPr>
          <w:p w14:paraId="1B7BE0CB" w14:textId="77777777" w:rsidR="00804F82" w:rsidRPr="00804F82" w:rsidRDefault="00804F82" w:rsidP="00804F82">
            <w:pPr>
              <w:spacing w:after="0"/>
              <w:rPr>
                <w:rFonts w:ascii="Times New Roman" w:hAnsi="Times New Roman"/>
                <w:color w:val="auto"/>
                <w:sz w:val="20"/>
                <w:szCs w:val="20"/>
              </w:rPr>
            </w:pPr>
          </w:p>
        </w:tc>
      </w:tr>
      <w:tr w:rsidR="00804F82" w:rsidRPr="00804F82" w14:paraId="718B7349" w14:textId="77777777" w:rsidTr="00804F82">
        <w:trPr>
          <w:trHeight w:val="425"/>
          <w:jc w:val="center"/>
        </w:trPr>
        <w:tc>
          <w:tcPr>
            <w:tcW w:w="2320" w:type="dxa"/>
            <w:tcBorders>
              <w:top w:val="nil"/>
              <w:left w:val="nil"/>
              <w:bottom w:val="nil"/>
              <w:right w:val="nil"/>
            </w:tcBorders>
            <w:shd w:val="clear" w:color="auto" w:fill="auto"/>
            <w:vAlign w:val="bottom"/>
            <w:hideMark/>
          </w:tcPr>
          <w:p w14:paraId="0BC83F2E"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1C2C847B"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72E3221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E9F000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4CFFCC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A20628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077012BC"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48FAFA4C"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0DD2B22E"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70A4F8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3.1</w:t>
            </w:r>
          </w:p>
        </w:tc>
        <w:tc>
          <w:tcPr>
            <w:tcW w:w="920" w:type="dxa"/>
            <w:tcBorders>
              <w:top w:val="nil"/>
              <w:left w:val="nil"/>
              <w:bottom w:val="nil"/>
              <w:right w:val="nil"/>
            </w:tcBorders>
            <w:shd w:val="clear" w:color="auto" w:fill="auto"/>
            <w:noWrap/>
            <w:vAlign w:val="bottom"/>
            <w:hideMark/>
          </w:tcPr>
          <w:p w14:paraId="1199A61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4E85951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1,515 </w:t>
            </w:r>
          </w:p>
        </w:tc>
        <w:tc>
          <w:tcPr>
            <w:tcW w:w="920" w:type="dxa"/>
            <w:tcBorders>
              <w:top w:val="nil"/>
              <w:left w:val="nil"/>
              <w:bottom w:val="nil"/>
              <w:right w:val="nil"/>
            </w:tcBorders>
            <w:shd w:val="clear" w:color="auto" w:fill="auto"/>
            <w:noWrap/>
            <w:vAlign w:val="bottom"/>
            <w:hideMark/>
          </w:tcPr>
          <w:p w14:paraId="75B5CAA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1,515 </w:t>
            </w:r>
          </w:p>
        </w:tc>
        <w:tc>
          <w:tcPr>
            <w:tcW w:w="920" w:type="dxa"/>
            <w:tcBorders>
              <w:top w:val="nil"/>
              <w:left w:val="nil"/>
              <w:bottom w:val="nil"/>
              <w:right w:val="nil"/>
            </w:tcBorders>
            <w:shd w:val="clear" w:color="auto" w:fill="auto"/>
            <w:noWrap/>
            <w:vAlign w:val="bottom"/>
            <w:hideMark/>
          </w:tcPr>
          <w:p w14:paraId="5A2B679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4E3100D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7E5450FB" w14:textId="77777777" w:rsidTr="00804F82">
        <w:trPr>
          <w:trHeight w:val="225"/>
          <w:jc w:val="center"/>
        </w:trPr>
        <w:tc>
          <w:tcPr>
            <w:tcW w:w="2320" w:type="dxa"/>
            <w:tcBorders>
              <w:top w:val="nil"/>
              <w:left w:val="nil"/>
              <w:bottom w:val="nil"/>
              <w:right w:val="nil"/>
            </w:tcBorders>
            <w:shd w:val="clear" w:color="auto" w:fill="auto"/>
            <w:vAlign w:val="bottom"/>
            <w:hideMark/>
          </w:tcPr>
          <w:p w14:paraId="5F61118B"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29EAFCD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36F22A1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03462687"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723 </w:t>
            </w:r>
          </w:p>
        </w:tc>
        <w:tc>
          <w:tcPr>
            <w:tcW w:w="920" w:type="dxa"/>
            <w:tcBorders>
              <w:top w:val="nil"/>
              <w:left w:val="nil"/>
              <w:bottom w:val="nil"/>
              <w:right w:val="nil"/>
            </w:tcBorders>
            <w:shd w:val="clear" w:color="auto" w:fill="auto"/>
            <w:noWrap/>
            <w:vAlign w:val="bottom"/>
            <w:hideMark/>
          </w:tcPr>
          <w:p w14:paraId="3540BEE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558 </w:t>
            </w:r>
          </w:p>
        </w:tc>
        <w:tc>
          <w:tcPr>
            <w:tcW w:w="920" w:type="dxa"/>
            <w:tcBorders>
              <w:top w:val="nil"/>
              <w:left w:val="nil"/>
              <w:bottom w:val="nil"/>
              <w:right w:val="nil"/>
            </w:tcBorders>
            <w:shd w:val="clear" w:color="auto" w:fill="auto"/>
            <w:noWrap/>
            <w:vAlign w:val="bottom"/>
            <w:hideMark/>
          </w:tcPr>
          <w:p w14:paraId="0FE907D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562 </w:t>
            </w:r>
          </w:p>
        </w:tc>
        <w:tc>
          <w:tcPr>
            <w:tcW w:w="920" w:type="dxa"/>
            <w:tcBorders>
              <w:top w:val="nil"/>
              <w:left w:val="nil"/>
              <w:bottom w:val="nil"/>
              <w:right w:val="nil"/>
            </w:tcBorders>
            <w:shd w:val="clear" w:color="auto" w:fill="auto"/>
            <w:noWrap/>
            <w:vAlign w:val="bottom"/>
            <w:hideMark/>
          </w:tcPr>
          <w:p w14:paraId="79DF15C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68F26EC1" w14:textId="77777777" w:rsidTr="00934D5E">
        <w:trPr>
          <w:trHeight w:val="425"/>
          <w:jc w:val="center"/>
        </w:trPr>
        <w:tc>
          <w:tcPr>
            <w:tcW w:w="2320" w:type="dxa"/>
            <w:tcBorders>
              <w:top w:val="nil"/>
              <w:left w:val="nil"/>
              <w:right w:val="nil"/>
            </w:tcBorders>
            <w:shd w:val="clear" w:color="auto" w:fill="auto"/>
            <w:vAlign w:val="bottom"/>
            <w:hideMark/>
          </w:tcPr>
          <w:p w14:paraId="03B3A29A" w14:textId="77777777" w:rsidR="00804F82" w:rsidRPr="00804F82" w:rsidRDefault="00804F82" w:rsidP="00804F82">
            <w:pPr>
              <w:spacing w:after="0"/>
              <w:ind w:leftChars="75" w:left="143"/>
              <w:rPr>
                <w:rFonts w:ascii="Arial" w:hAnsi="Arial" w:cs="Arial"/>
                <w:color w:val="auto"/>
                <w:sz w:val="16"/>
                <w:szCs w:val="16"/>
              </w:rPr>
            </w:pPr>
            <w:r w:rsidRPr="00804F82">
              <w:rPr>
                <w:rFonts w:ascii="Arial" w:hAnsi="Arial" w:cs="Arial"/>
                <w:color w:val="auto"/>
                <w:sz w:val="16"/>
                <w:szCs w:val="16"/>
              </w:rPr>
              <w:t>Departmental capital payments</w:t>
            </w:r>
          </w:p>
        </w:tc>
        <w:tc>
          <w:tcPr>
            <w:tcW w:w="460" w:type="dxa"/>
            <w:tcBorders>
              <w:top w:val="nil"/>
              <w:left w:val="nil"/>
              <w:right w:val="nil"/>
            </w:tcBorders>
            <w:shd w:val="clear" w:color="auto" w:fill="auto"/>
            <w:noWrap/>
            <w:vAlign w:val="bottom"/>
            <w:hideMark/>
          </w:tcPr>
          <w:p w14:paraId="1D71935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3</w:t>
            </w:r>
          </w:p>
        </w:tc>
        <w:tc>
          <w:tcPr>
            <w:tcW w:w="920" w:type="dxa"/>
            <w:tcBorders>
              <w:top w:val="nil"/>
              <w:left w:val="nil"/>
              <w:bottom w:val="nil"/>
              <w:right w:val="nil"/>
            </w:tcBorders>
            <w:shd w:val="clear" w:color="auto" w:fill="auto"/>
            <w:noWrap/>
            <w:vAlign w:val="bottom"/>
            <w:hideMark/>
          </w:tcPr>
          <w:p w14:paraId="292E163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8174339"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535 </w:t>
            </w:r>
          </w:p>
        </w:tc>
        <w:tc>
          <w:tcPr>
            <w:tcW w:w="920" w:type="dxa"/>
            <w:tcBorders>
              <w:top w:val="nil"/>
              <w:left w:val="nil"/>
              <w:bottom w:val="nil"/>
              <w:right w:val="nil"/>
            </w:tcBorders>
            <w:shd w:val="clear" w:color="auto" w:fill="auto"/>
            <w:noWrap/>
            <w:vAlign w:val="bottom"/>
            <w:hideMark/>
          </w:tcPr>
          <w:p w14:paraId="5F7ADC9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76D628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0A689395"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6571E780" w14:textId="77777777" w:rsidTr="00934D5E">
        <w:trPr>
          <w:trHeight w:val="225"/>
          <w:jc w:val="center"/>
        </w:trPr>
        <w:tc>
          <w:tcPr>
            <w:tcW w:w="2320" w:type="dxa"/>
            <w:tcBorders>
              <w:top w:val="nil"/>
              <w:left w:val="nil"/>
              <w:bottom w:val="single" w:sz="4" w:space="0" w:color="auto"/>
              <w:right w:val="nil"/>
            </w:tcBorders>
            <w:shd w:val="clear" w:color="auto" w:fill="auto"/>
            <w:noWrap/>
            <w:vAlign w:val="bottom"/>
            <w:hideMark/>
          </w:tcPr>
          <w:p w14:paraId="378FC1B9"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2107A75B"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3DAC1D0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0EE2A6FB"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2,773 </w:t>
            </w:r>
          </w:p>
        </w:tc>
        <w:tc>
          <w:tcPr>
            <w:tcW w:w="920" w:type="dxa"/>
            <w:tcBorders>
              <w:top w:val="single" w:sz="4" w:space="0" w:color="000000"/>
              <w:left w:val="nil"/>
              <w:bottom w:val="single" w:sz="4" w:space="0" w:color="000000"/>
              <w:right w:val="nil"/>
            </w:tcBorders>
            <w:shd w:val="clear" w:color="auto" w:fill="auto"/>
            <w:noWrap/>
            <w:vAlign w:val="bottom"/>
            <w:hideMark/>
          </w:tcPr>
          <w:p w14:paraId="282CB451"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2,073 </w:t>
            </w:r>
          </w:p>
        </w:tc>
        <w:tc>
          <w:tcPr>
            <w:tcW w:w="920" w:type="dxa"/>
            <w:tcBorders>
              <w:top w:val="single" w:sz="4" w:space="0" w:color="000000"/>
              <w:left w:val="nil"/>
              <w:bottom w:val="single" w:sz="4" w:space="0" w:color="000000"/>
              <w:right w:val="nil"/>
            </w:tcBorders>
            <w:shd w:val="clear" w:color="auto" w:fill="auto"/>
            <w:noWrap/>
            <w:vAlign w:val="bottom"/>
            <w:hideMark/>
          </w:tcPr>
          <w:p w14:paraId="560E45B1"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562 </w:t>
            </w:r>
          </w:p>
        </w:tc>
        <w:tc>
          <w:tcPr>
            <w:tcW w:w="920" w:type="dxa"/>
            <w:tcBorders>
              <w:top w:val="single" w:sz="4" w:space="0" w:color="000000"/>
              <w:left w:val="nil"/>
              <w:bottom w:val="single" w:sz="4" w:space="0" w:color="000000"/>
              <w:right w:val="nil"/>
            </w:tcBorders>
            <w:shd w:val="clear" w:color="auto" w:fill="auto"/>
            <w:noWrap/>
            <w:vAlign w:val="bottom"/>
            <w:hideMark/>
          </w:tcPr>
          <w:p w14:paraId="7C946EF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bl>
    <w:p w14:paraId="241488A6" w14:textId="77777777" w:rsidR="00804F82" w:rsidRDefault="00804F82">
      <w:pPr>
        <w:spacing w:after="0"/>
      </w:pPr>
      <w:r>
        <w:br w:type="page"/>
      </w:r>
    </w:p>
    <w:p w14:paraId="02A6E4F2" w14:textId="77777777" w:rsidR="00804F82" w:rsidRPr="00557A54" w:rsidRDefault="00804F82" w:rsidP="00804F82">
      <w:pPr>
        <w:pStyle w:val="Tablenumberandreference"/>
        <w:rPr>
          <w:sz w:val="20"/>
        </w:rPr>
      </w:pPr>
      <w:r w:rsidRPr="00F277A4">
        <w:rPr>
          <w:sz w:val="20"/>
        </w:rPr>
        <w:lastRenderedPageBreak/>
        <w:t xml:space="preserve">Table 1.2: Department of Health and Aged Care </w:t>
      </w:r>
      <w:r>
        <w:rPr>
          <w:sz w:val="20"/>
        </w:rPr>
        <w:t>2023–24</w:t>
      </w:r>
      <w:r w:rsidRPr="00F277A4">
        <w:rPr>
          <w:sz w:val="20"/>
        </w:rPr>
        <w:t xml:space="preserve"> Budget measures (continued)</w:t>
      </w:r>
    </w:p>
    <w:tbl>
      <w:tblPr>
        <w:tblW w:w="7380" w:type="dxa"/>
        <w:jc w:val="center"/>
        <w:tblLayout w:type="fixed"/>
        <w:tblLook w:val="04A0" w:firstRow="1" w:lastRow="0" w:firstColumn="1" w:lastColumn="0" w:noHBand="0" w:noVBand="1"/>
      </w:tblPr>
      <w:tblGrid>
        <w:gridCol w:w="2320"/>
        <w:gridCol w:w="460"/>
        <w:gridCol w:w="920"/>
        <w:gridCol w:w="920"/>
        <w:gridCol w:w="920"/>
        <w:gridCol w:w="920"/>
        <w:gridCol w:w="920"/>
      </w:tblGrid>
      <w:tr w:rsidR="00804F82" w:rsidRPr="00804F82" w14:paraId="5675F950" w14:textId="77777777" w:rsidTr="00804F82">
        <w:trPr>
          <w:trHeight w:val="375"/>
          <w:jc w:val="center"/>
        </w:trPr>
        <w:tc>
          <w:tcPr>
            <w:tcW w:w="7380" w:type="dxa"/>
            <w:gridSpan w:val="7"/>
            <w:tcBorders>
              <w:top w:val="nil"/>
              <w:left w:val="nil"/>
              <w:bottom w:val="nil"/>
              <w:right w:val="nil"/>
            </w:tcBorders>
            <w:shd w:val="clear" w:color="000000" w:fill="D9D9D9"/>
            <w:noWrap/>
            <w:vAlign w:val="bottom"/>
            <w:hideMark/>
          </w:tcPr>
          <w:p w14:paraId="5CAF91B7" w14:textId="77777777" w:rsidR="00804F82" w:rsidRPr="00804F82" w:rsidRDefault="00804F82" w:rsidP="00804F82">
            <w:pPr>
              <w:spacing w:after="0"/>
              <w:rPr>
                <w:rFonts w:ascii="Arial" w:hAnsi="Arial" w:cs="Arial"/>
                <w:b/>
                <w:bCs/>
                <w:color w:val="auto"/>
                <w:sz w:val="20"/>
                <w:szCs w:val="20"/>
              </w:rPr>
            </w:pPr>
            <w:r w:rsidRPr="00804F82">
              <w:rPr>
                <w:rFonts w:ascii="Arial" w:hAnsi="Arial" w:cs="Arial"/>
                <w:b/>
                <w:bCs/>
                <w:color w:val="auto"/>
                <w:sz w:val="20"/>
                <w:szCs w:val="20"/>
              </w:rPr>
              <w:t>Whole of Government measures since the October 2022–23 Budget</w:t>
            </w:r>
            <w:r w:rsidRPr="00804F82">
              <w:rPr>
                <w:rFonts w:ascii="Arial" w:hAnsi="Arial" w:cs="Arial"/>
                <w:b/>
                <w:bCs/>
                <w:color w:val="auto"/>
                <w:sz w:val="20"/>
                <w:szCs w:val="20"/>
                <w:vertAlign w:val="superscript"/>
              </w:rPr>
              <w:t xml:space="preserve"> (e) (l)</w:t>
            </w:r>
          </w:p>
        </w:tc>
      </w:tr>
      <w:tr w:rsidR="00804F82" w:rsidRPr="00804F82" w14:paraId="17998673" w14:textId="77777777" w:rsidTr="00804F82">
        <w:trPr>
          <w:trHeight w:val="283"/>
          <w:jc w:val="center"/>
        </w:trPr>
        <w:tc>
          <w:tcPr>
            <w:tcW w:w="2780" w:type="dxa"/>
            <w:gridSpan w:val="2"/>
            <w:tcBorders>
              <w:top w:val="single" w:sz="4" w:space="0" w:color="000000"/>
              <w:left w:val="nil"/>
              <w:bottom w:val="nil"/>
              <w:right w:val="nil"/>
            </w:tcBorders>
            <w:shd w:val="clear" w:color="auto" w:fill="auto"/>
            <w:vAlign w:val="bottom"/>
            <w:hideMark/>
          </w:tcPr>
          <w:p w14:paraId="06EA581E"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 xml:space="preserve">Outcome/ </w:t>
            </w:r>
            <w:r w:rsidRPr="00804F82">
              <w:rPr>
                <w:rFonts w:ascii="Arial" w:hAnsi="Arial" w:cs="Arial"/>
                <w:b/>
                <w:bCs/>
                <w:color w:val="auto"/>
                <w:sz w:val="16"/>
                <w:szCs w:val="16"/>
              </w:rPr>
              <w:br/>
              <w:t>Program</w:t>
            </w:r>
          </w:p>
        </w:tc>
        <w:tc>
          <w:tcPr>
            <w:tcW w:w="920" w:type="dxa"/>
            <w:tcBorders>
              <w:top w:val="single" w:sz="4" w:space="0" w:color="000000"/>
              <w:left w:val="nil"/>
              <w:bottom w:val="single" w:sz="4" w:space="0" w:color="000000"/>
              <w:right w:val="nil"/>
            </w:tcBorders>
            <w:shd w:val="clear" w:color="auto" w:fill="auto"/>
            <w:vAlign w:val="bottom"/>
            <w:hideMark/>
          </w:tcPr>
          <w:p w14:paraId="67433982"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2022–23</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000000" w:fill="D9D9D9"/>
            <w:vAlign w:val="bottom"/>
            <w:hideMark/>
          </w:tcPr>
          <w:p w14:paraId="19021C6D"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2023–24</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0109402B"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2024–25</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5AEF586F"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2025–26</w:t>
            </w:r>
            <w:r w:rsidRPr="00804F82">
              <w:rPr>
                <w:rFonts w:ascii="Arial" w:hAnsi="Arial" w:cs="Arial"/>
                <w:b/>
                <w:bCs/>
                <w:color w:val="auto"/>
                <w:sz w:val="16"/>
                <w:szCs w:val="16"/>
              </w:rPr>
              <w:br/>
              <w:t>$'000</w:t>
            </w:r>
          </w:p>
        </w:tc>
        <w:tc>
          <w:tcPr>
            <w:tcW w:w="920" w:type="dxa"/>
            <w:tcBorders>
              <w:top w:val="single" w:sz="4" w:space="0" w:color="000000"/>
              <w:left w:val="nil"/>
              <w:bottom w:val="single" w:sz="4" w:space="0" w:color="000000"/>
              <w:right w:val="nil"/>
            </w:tcBorders>
            <w:shd w:val="clear" w:color="auto" w:fill="auto"/>
            <w:vAlign w:val="bottom"/>
            <w:hideMark/>
          </w:tcPr>
          <w:p w14:paraId="2B20779D" w14:textId="77777777" w:rsidR="00804F82" w:rsidRPr="00804F82" w:rsidRDefault="00804F82" w:rsidP="00804F82">
            <w:pPr>
              <w:spacing w:before="40" w:after="0"/>
              <w:jc w:val="right"/>
              <w:rPr>
                <w:rFonts w:ascii="Arial" w:hAnsi="Arial" w:cs="Arial"/>
                <w:b/>
                <w:bCs/>
                <w:color w:val="auto"/>
                <w:sz w:val="16"/>
                <w:szCs w:val="16"/>
              </w:rPr>
            </w:pPr>
            <w:r w:rsidRPr="00804F82">
              <w:rPr>
                <w:rFonts w:ascii="Arial" w:hAnsi="Arial" w:cs="Arial"/>
                <w:b/>
                <w:bCs/>
                <w:color w:val="auto"/>
                <w:sz w:val="16"/>
                <w:szCs w:val="16"/>
              </w:rPr>
              <w:t>2026–27</w:t>
            </w:r>
            <w:r w:rsidRPr="00804F82">
              <w:rPr>
                <w:rFonts w:ascii="Arial" w:hAnsi="Arial" w:cs="Arial"/>
                <w:b/>
                <w:bCs/>
                <w:color w:val="auto"/>
                <w:sz w:val="16"/>
                <w:szCs w:val="16"/>
              </w:rPr>
              <w:br/>
              <w:t>$'000</w:t>
            </w:r>
          </w:p>
        </w:tc>
      </w:tr>
      <w:tr w:rsidR="00804F82" w:rsidRPr="00804F82" w14:paraId="3EFA0305" w14:textId="77777777" w:rsidTr="00804F82">
        <w:trPr>
          <w:trHeight w:val="283"/>
          <w:jc w:val="center"/>
        </w:trPr>
        <w:tc>
          <w:tcPr>
            <w:tcW w:w="7380" w:type="dxa"/>
            <w:gridSpan w:val="7"/>
            <w:tcBorders>
              <w:top w:val="nil"/>
              <w:left w:val="nil"/>
              <w:bottom w:val="nil"/>
              <w:right w:val="nil"/>
            </w:tcBorders>
            <w:shd w:val="clear" w:color="auto" w:fill="auto"/>
            <w:vAlign w:val="bottom"/>
            <w:hideMark/>
          </w:tcPr>
          <w:p w14:paraId="77C79708"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Better, Safer Future for Central Australia Plan</w:t>
            </w:r>
          </w:p>
        </w:tc>
      </w:tr>
      <w:tr w:rsidR="00804F82" w:rsidRPr="00804F82" w14:paraId="064C16E2" w14:textId="77777777" w:rsidTr="00804F82">
        <w:trPr>
          <w:trHeight w:val="425"/>
          <w:jc w:val="center"/>
        </w:trPr>
        <w:tc>
          <w:tcPr>
            <w:tcW w:w="2320" w:type="dxa"/>
            <w:tcBorders>
              <w:top w:val="nil"/>
              <w:left w:val="nil"/>
              <w:bottom w:val="nil"/>
              <w:right w:val="nil"/>
            </w:tcBorders>
            <w:shd w:val="clear" w:color="auto" w:fill="auto"/>
            <w:vAlign w:val="bottom"/>
            <w:hideMark/>
          </w:tcPr>
          <w:p w14:paraId="1852AD10"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36C5F4E9"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3516E07"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5F6E526"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2BC1BE25"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2A85507"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4ED2C13D"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4BA7881D" w14:textId="77777777" w:rsidTr="00804F82">
        <w:trPr>
          <w:trHeight w:val="225"/>
          <w:jc w:val="center"/>
        </w:trPr>
        <w:tc>
          <w:tcPr>
            <w:tcW w:w="2320" w:type="dxa"/>
            <w:tcBorders>
              <w:top w:val="nil"/>
              <w:left w:val="nil"/>
              <w:bottom w:val="nil"/>
              <w:right w:val="nil"/>
            </w:tcBorders>
            <w:shd w:val="clear" w:color="auto" w:fill="auto"/>
            <w:vAlign w:val="bottom"/>
            <w:hideMark/>
          </w:tcPr>
          <w:p w14:paraId="301687C9" w14:textId="77777777" w:rsidR="00804F82" w:rsidRPr="00804F82" w:rsidRDefault="00804F82" w:rsidP="00804F82">
            <w:pPr>
              <w:spacing w:after="0"/>
              <w:ind w:firstLineChars="100" w:firstLine="160"/>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6B63FFE3"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1.3</w:t>
            </w:r>
          </w:p>
        </w:tc>
        <w:tc>
          <w:tcPr>
            <w:tcW w:w="920" w:type="dxa"/>
            <w:tcBorders>
              <w:top w:val="nil"/>
              <w:left w:val="nil"/>
              <w:bottom w:val="nil"/>
              <w:right w:val="nil"/>
            </w:tcBorders>
            <w:shd w:val="clear" w:color="auto" w:fill="auto"/>
            <w:noWrap/>
            <w:vAlign w:val="bottom"/>
            <w:hideMark/>
          </w:tcPr>
          <w:p w14:paraId="765C8772"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56C5147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3,500 </w:t>
            </w:r>
          </w:p>
        </w:tc>
        <w:tc>
          <w:tcPr>
            <w:tcW w:w="920" w:type="dxa"/>
            <w:tcBorders>
              <w:top w:val="nil"/>
              <w:left w:val="nil"/>
              <w:bottom w:val="nil"/>
              <w:right w:val="nil"/>
            </w:tcBorders>
            <w:shd w:val="clear" w:color="auto" w:fill="auto"/>
            <w:noWrap/>
            <w:vAlign w:val="bottom"/>
            <w:hideMark/>
          </w:tcPr>
          <w:p w14:paraId="61AF741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6,156 </w:t>
            </w:r>
          </w:p>
        </w:tc>
        <w:tc>
          <w:tcPr>
            <w:tcW w:w="920" w:type="dxa"/>
            <w:tcBorders>
              <w:top w:val="nil"/>
              <w:left w:val="nil"/>
              <w:bottom w:val="nil"/>
              <w:right w:val="nil"/>
            </w:tcBorders>
            <w:shd w:val="clear" w:color="auto" w:fill="auto"/>
            <w:noWrap/>
            <w:vAlign w:val="bottom"/>
            <w:hideMark/>
          </w:tcPr>
          <w:p w14:paraId="2305AC84"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6,267 </w:t>
            </w:r>
          </w:p>
        </w:tc>
        <w:tc>
          <w:tcPr>
            <w:tcW w:w="920" w:type="dxa"/>
            <w:tcBorders>
              <w:top w:val="nil"/>
              <w:left w:val="nil"/>
              <w:bottom w:val="nil"/>
              <w:right w:val="nil"/>
            </w:tcBorders>
            <w:shd w:val="clear" w:color="auto" w:fill="auto"/>
            <w:noWrap/>
            <w:vAlign w:val="bottom"/>
            <w:hideMark/>
          </w:tcPr>
          <w:p w14:paraId="2BB7F7B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0384A74B"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751DAFCD" w14:textId="77777777" w:rsidR="00804F82" w:rsidRPr="00804F82" w:rsidRDefault="00804F82" w:rsidP="00804F82">
            <w:pPr>
              <w:spacing w:after="0"/>
              <w:ind w:firstLineChars="100" w:firstLine="160"/>
              <w:rPr>
                <w:rFonts w:ascii="Arial" w:hAnsi="Arial" w:cs="Arial"/>
                <w:color w:val="auto"/>
                <w:sz w:val="16"/>
                <w:szCs w:val="16"/>
              </w:rPr>
            </w:pPr>
            <w:r w:rsidRPr="00804F82">
              <w:rPr>
                <w:rFonts w:ascii="Arial" w:hAnsi="Arial" w:cs="Arial"/>
                <w:color w:val="auto"/>
                <w:sz w:val="16"/>
                <w:szCs w:val="16"/>
              </w:rPr>
              <w:t>Departmental payments</w:t>
            </w:r>
          </w:p>
        </w:tc>
        <w:tc>
          <w:tcPr>
            <w:tcW w:w="460" w:type="dxa"/>
            <w:tcBorders>
              <w:top w:val="nil"/>
              <w:left w:val="nil"/>
              <w:bottom w:val="nil"/>
              <w:right w:val="nil"/>
            </w:tcBorders>
            <w:shd w:val="clear" w:color="auto" w:fill="auto"/>
            <w:noWrap/>
            <w:vAlign w:val="bottom"/>
            <w:hideMark/>
          </w:tcPr>
          <w:p w14:paraId="0EEE4190"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w:t>
            </w:r>
          </w:p>
        </w:tc>
        <w:tc>
          <w:tcPr>
            <w:tcW w:w="920" w:type="dxa"/>
            <w:tcBorders>
              <w:top w:val="nil"/>
              <w:left w:val="nil"/>
              <w:bottom w:val="nil"/>
              <w:right w:val="nil"/>
            </w:tcBorders>
            <w:shd w:val="clear" w:color="auto" w:fill="auto"/>
            <w:noWrap/>
            <w:vAlign w:val="bottom"/>
            <w:hideMark/>
          </w:tcPr>
          <w:p w14:paraId="6555EEFA"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42 </w:t>
            </w:r>
          </w:p>
        </w:tc>
        <w:tc>
          <w:tcPr>
            <w:tcW w:w="920" w:type="dxa"/>
            <w:tcBorders>
              <w:top w:val="nil"/>
              <w:left w:val="nil"/>
              <w:bottom w:val="nil"/>
              <w:right w:val="nil"/>
            </w:tcBorders>
            <w:shd w:val="clear" w:color="000000" w:fill="D9D9D9"/>
            <w:noWrap/>
            <w:vAlign w:val="bottom"/>
            <w:hideMark/>
          </w:tcPr>
          <w:p w14:paraId="2CBDD97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14 </w:t>
            </w:r>
          </w:p>
        </w:tc>
        <w:tc>
          <w:tcPr>
            <w:tcW w:w="920" w:type="dxa"/>
            <w:tcBorders>
              <w:top w:val="nil"/>
              <w:left w:val="nil"/>
              <w:bottom w:val="nil"/>
              <w:right w:val="nil"/>
            </w:tcBorders>
            <w:shd w:val="clear" w:color="auto" w:fill="auto"/>
            <w:noWrap/>
            <w:vAlign w:val="bottom"/>
            <w:hideMark/>
          </w:tcPr>
          <w:p w14:paraId="0A4C929C"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7 </w:t>
            </w:r>
          </w:p>
        </w:tc>
        <w:tc>
          <w:tcPr>
            <w:tcW w:w="920" w:type="dxa"/>
            <w:tcBorders>
              <w:top w:val="nil"/>
              <w:left w:val="nil"/>
              <w:bottom w:val="nil"/>
              <w:right w:val="nil"/>
            </w:tcBorders>
            <w:shd w:val="clear" w:color="auto" w:fill="auto"/>
            <w:noWrap/>
            <w:vAlign w:val="bottom"/>
            <w:hideMark/>
          </w:tcPr>
          <w:p w14:paraId="36A11F1F"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E33C7CB"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42823F81"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131294FB"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nil"/>
              <w:right w:val="nil"/>
            </w:tcBorders>
            <w:shd w:val="clear" w:color="auto" w:fill="auto"/>
            <w:noWrap/>
            <w:vAlign w:val="bottom"/>
            <w:hideMark/>
          </w:tcPr>
          <w:p w14:paraId="4AEA2585" w14:textId="77777777" w:rsidR="00804F82" w:rsidRPr="00804F82" w:rsidRDefault="00804F82" w:rsidP="00804F82">
            <w:pPr>
              <w:spacing w:after="0"/>
              <w:rPr>
                <w:rFonts w:ascii="Arial" w:hAnsi="Arial" w:cs="Arial"/>
                <w:b/>
                <w:bCs/>
                <w:color w:val="auto"/>
                <w:sz w:val="16"/>
                <w:szCs w:val="16"/>
              </w:rPr>
            </w:pPr>
          </w:p>
        </w:tc>
        <w:tc>
          <w:tcPr>
            <w:tcW w:w="920" w:type="dxa"/>
            <w:tcBorders>
              <w:top w:val="single" w:sz="4" w:space="0" w:color="000000"/>
              <w:left w:val="nil"/>
              <w:bottom w:val="single" w:sz="4" w:space="0" w:color="000000"/>
              <w:right w:val="nil"/>
            </w:tcBorders>
            <w:shd w:val="clear" w:color="auto" w:fill="auto"/>
            <w:noWrap/>
            <w:vAlign w:val="bottom"/>
            <w:hideMark/>
          </w:tcPr>
          <w:p w14:paraId="13AE2BF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42 </w:t>
            </w:r>
          </w:p>
        </w:tc>
        <w:tc>
          <w:tcPr>
            <w:tcW w:w="920" w:type="dxa"/>
            <w:tcBorders>
              <w:top w:val="single" w:sz="4" w:space="0" w:color="000000"/>
              <w:left w:val="nil"/>
              <w:bottom w:val="single" w:sz="4" w:space="0" w:color="000000"/>
              <w:right w:val="nil"/>
            </w:tcBorders>
            <w:shd w:val="clear" w:color="000000" w:fill="D9D9D9"/>
            <w:noWrap/>
            <w:vAlign w:val="bottom"/>
            <w:hideMark/>
          </w:tcPr>
          <w:p w14:paraId="1BD99BF8"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3,514 </w:t>
            </w:r>
          </w:p>
        </w:tc>
        <w:tc>
          <w:tcPr>
            <w:tcW w:w="920" w:type="dxa"/>
            <w:tcBorders>
              <w:top w:val="single" w:sz="4" w:space="0" w:color="000000"/>
              <w:left w:val="nil"/>
              <w:bottom w:val="single" w:sz="4" w:space="0" w:color="000000"/>
              <w:right w:val="nil"/>
            </w:tcBorders>
            <w:shd w:val="clear" w:color="auto" w:fill="auto"/>
            <w:noWrap/>
            <w:vAlign w:val="bottom"/>
            <w:hideMark/>
          </w:tcPr>
          <w:p w14:paraId="0641288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6,163 </w:t>
            </w:r>
          </w:p>
        </w:tc>
        <w:tc>
          <w:tcPr>
            <w:tcW w:w="920" w:type="dxa"/>
            <w:tcBorders>
              <w:top w:val="single" w:sz="4" w:space="0" w:color="000000"/>
              <w:left w:val="nil"/>
              <w:bottom w:val="single" w:sz="4" w:space="0" w:color="000000"/>
              <w:right w:val="nil"/>
            </w:tcBorders>
            <w:shd w:val="clear" w:color="auto" w:fill="auto"/>
            <w:noWrap/>
            <w:vAlign w:val="bottom"/>
            <w:hideMark/>
          </w:tcPr>
          <w:p w14:paraId="0CBC75B3"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6,267 </w:t>
            </w:r>
          </w:p>
        </w:tc>
        <w:tc>
          <w:tcPr>
            <w:tcW w:w="920" w:type="dxa"/>
            <w:tcBorders>
              <w:top w:val="single" w:sz="4" w:space="0" w:color="000000"/>
              <w:left w:val="nil"/>
              <w:bottom w:val="single" w:sz="4" w:space="0" w:color="000000"/>
              <w:right w:val="nil"/>
            </w:tcBorders>
            <w:shd w:val="clear" w:color="auto" w:fill="auto"/>
            <w:noWrap/>
            <w:vAlign w:val="bottom"/>
            <w:hideMark/>
          </w:tcPr>
          <w:p w14:paraId="34FBFF69"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r w:rsidR="00804F82" w:rsidRPr="00804F82" w14:paraId="1C175339" w14:textId="77777777" w:rsidTr="00804F82">
        <w:trPr>
          <w:trHeight w:val="454"/>
          <w:jc w:val="center"/>
        </w:trPr>
        <w:tc>
          <w:tcPr>
            <w:tcW w:w="7380" w:type="dxa"/>
            <w:gridSpan w:val="7"/>
            <w:tcBorders>
              <w:top w:val="nil"/>
              <w:left w:val="nil"/>
              <w:bottom w:val="nil"/>
              <w:right w:val="nil"/>
            </w:tcBorders>
            <w:shd w:val="clear" w:color="auto" w:fill="auto"/>
            <w:vAlign w:val="bottom"/>
            <w:hideMark/>
          </w:tcPr>
          <w:p w14:paraId="19CB01F8"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Delivering the Referendum to Recognise Aboriginal and Torres Strait Peoples in the Constitution Through a Voice to Parliament</w:t>
            </w:r>
          </w:p>
        </w:tc>
      </w:tr>
      <w:tr w:rsidR="00804F82" w:rsidRPr="00804F82" w14:paraId="0C371DBC" w14:textId="77777777" w:rsidTr="00804F82">
        <w:trPr>
          <w:trHeight w:val="425"/>
          <w:jc w:val="center"/>
        </w:trPr>
        <w:tc>
          <w:tcPr>
            <w:tcW w:w="2320" w:type="dxa"/>
            <w:tcBorders>
              <w:top w:val="nil"/>
              <w:left w:val="nil"/>
              <w:bottom w:val="nil"/>
              <w:right w:val="nil"/>
            </w:tcBorders>
            <w:shd w:val="clear" w:color="auto" w:fill="auto"/>
            <w:vAlign w:val="bottom"/>
            <w:hideMark/>
          </w:tcPr>
          <w:p w14:paraId="45E07A2A" w14:textId="77777777" w:rsidR="00804F82" w:rsidRPr="00804F82" w:rsidRDefault="00804F82" w:rsidP="00804F82">
            <w:pPr>
              <w:spacing w:after="0"/>
              <w:rPr>
                <w:rFonts w:ascii="Arial" w:hAnsi="Arial" w:cs="Arial"/>
                <w:color w:val="auto"/>
                <w:sz w:val="16"/>
                <w:szCs w:val="16"/>
              </w:rPr>
            </w:pPr>
            <w:r w:rsidRPr="00804F82">
              <w:rPr>
                <w:rFonts w:ascii="Arial" w:hAnsi="Arial" w:cs="Arial"/>
                <w:color w:val="auto"/>
                <w:sz w:val="16"/>
                <w:szCs w:val="16"/>
              </w:rPr>
              <w:t xml:space="preserve">Department of Health and Aged Care </w:t>
            </w:r>
          </w:p>
        </w:tc>
        <w:tc>
          <w:tcPr>
            <w:tcW w:w="460" w:type="dxa"/>
            <w:tcBorders>
              <w:top w:val="nil"/>
              <w:left w:val="nil"/>
              <w:bottom w:val="nil"/>
              <w:right w:val="nil"/>
            </w:tcBorders>
            <w:shd w:val="clear" w:color="auto" w:fill="auto"/>
            <w:noWrap/>
            <w:vAlign w:val="bottom"/>
            <w:hideMark/>
          </w:tcPr>
          <w:p w14:paraId="4FBB6989" w14:textId="77777777" w:rsidR="00804F82" w:rsidRPr="00804F82" w:rsidRDefault="00804F82" w:rsidP="00804F82">
            <w:pPr>
              <w:spacing w:after="0"/>
              <w:rPr>
                <w:rFonts w:ascii="Arial" w:hAnsi="Arial" w:cs="Arial"/>
                <w:color w:val="auto"/>
                <w:sz w:val="16"/>
                <w:szCs w:val="16"/>
              </w:rPr>
            </w:pPr>
          </w:p>
        </w:tc>
        <w:tc>
          <w:tcPr>
            <w:tcW w:w="920" w:type="dxa"/>
            <w:tcBorders>
              <w:top w:val="nil"/>
              <w:left w:val="nil"/>
              <w:bottom w:val="nil"/>
              <w:right w:val="nil"/>
            </w:tcBorders>
            <w:shd w:val="clear" w:color="auto" w:fill="auto"/>
            <w:noWrap/>
            <w:vAlign w:val="bottom"/>
            <w:hideMark/>
          </w:tcPr>
          <w:p w14:paraId="63CC8329"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7D0A64B"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5A886263"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3D335352" w14:textId="77777777" w:rsidR="00804F82" w:rsidRPr="00804F82" w:rsidRDefault="00804F82" w:rsidP="00804F82">
            <w:pPr>
              <w:spacing w:after="0"/>
              <w:jc w:val="right"/>
              <w:rPr>
                <w:rFonts w:ascii="Times New Roman" w:hAnsi="Times New Roman"/>
                <w:color w:val="auto"/>
                <w:sz w:val="20"/>
                <w:szCs w:val="20"/>
              </w:rPr>
            </w:pPr>
          </w:p>
        </w:tc>
        <w:tc>
          <w:tcPr>
            <w:tcW w:w="920" w:type="dxa"/>
            <w:tcBorders>
              <w:top w:val="nil"/>
              <w:left w:val="nil"/>
              <w:bottom w:val="nil"/>
              <w:right w:val="nil"/>
            </w:tcBorders>
            <w:shd w:val="clear" w:color="auto" w:fill="auto"/>
            <w:noWrap/>
            <w:vAlign w:val="bottom"/>
            <w:hideMark/>
          </w:tcPr>
          <w:p w14:paraId="75104515" w14:textId="77777777" w:rsidR="00804F82" w:rsidRPr="00804F82" w:rsidRDefault="00804F82" w:rsidP="00804F82">
            <w:pPr>
              <w:spacing w:after="0"/>
              <w:jc w:val="right"/>
              <w:rPr>
                <w:rFonts w:ascii="Times New Roman" w:hAnsi="Times New Roman"/>
                <w:color w:val="auto"/>
                <w:sz w:val="20"/>
                <w:szCs w:val="20"/>
              </w:rPr>
            </w:pPr>
          </w:p>
        </w:tc>
      </w:tr>
      <w:tr w:rsidR="00804F82" w:rsidRPr="00804F82" w14:paraId="3325197B" w14:textId="77777777" w:rsidTr="00804F82">
        <w:trPr>
          <w:trHeight w:val="225"/>
          <w:jc w:val="center"/>
        </w:trPr>
        <w:tc>
          <w:tcPr>
            <w:tcW w:w="2320" w:type="dxa"/>
            <w:tcBorders>
              <w:top w:val="nil"/>
              <w:left w:val="nil"/>
              <w:bottom w:val="nil"/>
              <w:right w:val="nil"/>
            </w:tcBorders>
            <w:shd w:val="clear" w:color="auto" w:fill="auto"/>
            <w:noWrap/>
            <w:vAlign w:val="bottom"/>
            <w:hideMark/>
          </w:tcPr>
          <w:p w14:paraId="397C6660" w14:textId="77777777" w:rsidR="00804F82" w:rsidRPr="00804F82" w:rsidRDefault="00804F82" w:rsidP="00804F82">
            <w:pPr>
              <w:spacing w:after="0"/>
              <w:ind w:firstLineChars="100" w:firstLine="160"/>
              <w:rPr>
                <w:rFonts w:ascii="Arial" w:hAnsi="Arial" w:cs="Arial"/>
                <w:color w:val="auto"/>
                <w:sz w:val="16"/>
                <w:szCs w:val="16"/>
              </w:rPr>
            </w:pPr>
            <w:r w:rsidRPr="00804F82">
              <w:rPr>
                <w:rFonts w:ascii="Arial" w:hAnsi="Arial" w:cs="Arial"/>
                <w:color w:val="auto"/>
                <w:sz w:val="16"/>
                <w:szCs w:val="16"/>
              </w:rPr>
              <w:t>Administered payments</w:t>
            </w:r>
          </w:p>
        </w:tc>
        <w:tc>
          <w:tcPr>
            <w:tcW w:w="460" w:type="dxa"/>
            <w:tcBorders>
              <w:top w:val="nil"/>
              <w:left w:val="nil"/>
              <w:bottom w:val="nil"/>
              <w:right w:val="nil"/>
            </w:tcBorders>
            <w:shd w:val="clear" w:color="auto" w:fill="auto"/>
            <w:noWrap/>
            <w:vAlign w:val="bottom"/>
            <w:hideMark/>
          </w:tcPr>
          <w:p w14:paraId="747049B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1.2</w:t>
            </w:r>
          </w:p>
        </w:tc>
        <w:tc>
          <w:tcPr>
            <w:tcW w:w="920" w:type="dxa"/>
            <w:tcBorders>
              <w:top w:val="nil"/>
              <w:left w:val="nil"/>
              <w:bottom w:val="nil"/>
              <w:right w:val="nil"/>
            </w:tcBorders>
            <w:shd w:val="clear" w:color="auto" w:fill="auto"/>
            <w:noWrap/>
            <w:vAlign w:val="bottom"/>
            <w:hideMark/>
          </w:tcPr>
          <w:p w14:paraId="12C9C1D6"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000000" w:fill="D9D9D9"/>
            <w:noWrap/>
            <w:vAlign w:val="bottom"/>
            <w:hideMark/>
          </w:tcPr>
          <w:p w14:paraId="611DF10D"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10,500 </w:t>
            </w:r>
          </w:p>
        </w:tc>
        <w:tc>
          <w:tcPr>
            <w:tcW w:w="920" w:type="dxa"/>
            <w:tcBorders>
              <w:top w:val="nil"/>
              <w:left w:val="nil"/>
              <w:bottom w:val="nil"/>
              <w:right w:val="nil"/>
            </w:tcBorders>
            <w:shd w:val="clear" w:color="auto" w:fill="auto"/>
            <w:noWrap/>
            <w:vAlign w:val="bottom"/>
            <w:hideMark/>
          </w:tcPr>
          <w:p w14:paraId="54B5766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508C6931"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c>
          <w:tcPr>
            <w:tcW w:w="920" w:type="dxa"/>
            <w:tcBorders>
              <w:top w:val="nil"/>
              <w:left w:val="nil"/>
              <w:bottom w:val="nil"/>
              <w:right w:val="nil"/>
            </w:tcBorders>
            <w:shd w:val="clear" w:color="auto" w:fill="auto"/>
            <w:noWrap/>
            <w:vAlign w:val="bottom"/>
            <w:hideMark/>
          </w:tcPr>
          <w:p w14:paraId="35AC6ED8" w14:textId="77777777" w:rsidR="00804F82" w:rsidRPr="00804F82" w:rsidRDefault="00804F82" w:rsidP="00804F82">
            <w:pPr>
              <w:spacing w:after="0"/>
              <w:jc w:val="right"/>
              <w:rPr>
                <w:rFonts w:ascii="Arial" w:hAnsi="Arial" w:cs="Arial"/>
                <w:color w:val="auto"/>
                <w:sz w:val="16"/>
                <w:szCs w:val="16"/>
              </w:rPr>
            </w:pPr>
            <w:r w:rsidRPr="00804F82">
              <w:rPr>
                <w:rFonts w:ascii="Arial" w:hAnsi="Arial" w:cs="Arial"/>
                <w:color w:val="auto"/>
                <w:sz w:val="16"/>
                <w:szCs w:val="16"/>
              </w:rPr>
              <w:t xml:space="preserve">- </w:t>
            </w:r>
          </w:p>
        </w:tc>
      </w:tr>
      <w:tr w:rsidR="00804F82" w:rsidRPr="00804F82" w14:paraId="2D17E02F" w14:textId="77777777" w:rsidTr="00804F82">
        <w:trPr>
          <w:trHeight w:val="225"/>
          <w:jc w:val="center"/>
        </w:trPr>
        <w:tc>
          <w:tcPr>
            <w:tcW w:w="2320" w:type="dxa"/>
            <w:tcBorders>
              <w:top w:val="nil"/>
              <w:left w:val="nil"/>
              <w:bottom w:val="single" w:sz="4" w:space="0" w:color="auto"/>
              <w:right w:val="nil"/>
            </w:tcBorders>
            <w:shd w:val="clear" w:color="auto" w:fill="auto"/>
            <w:noWrap/>
            <w:vAlign w:val="bottom"/>
            <w:hideMark/>
          </w:tcPr>
          <w:p w14:paraId="314F4253" w14:textId="77777777" w:rsidR="00804F82" w:rsidRPr="00804F82" w:rsidRDefault="00804F82" w:rsidP="00804F82">
            <w:pPr>
              <w:spacing w:after="0"/>
              <w:rPr>
                <w:rFonts w:ascii="Arial" w:hAnsi="Arial" w:cs="Arial"/>
                <w:b/>
                <w:bCs/>
                <w:color w:val="auto"/>
                <w:sz w:val="16"/>
                <w:szCs w:val="16"/>
              </w:rPr>
            </w:pPr>
            <w:r w:rsidRPr="00804F82">
              <w:rPr>
                <w:rFonts w:ascii="Arial" w:hAnsi="Arial" w:cs="Arial"/>
                <w:b/>
                <w:bCs/>
                <w:color w:val="auto"/>
                <w:sz w:val="16"/>
                <w:szCs w:val="16"/>
              </w:rPr>
              <w:t>Total payments</w:t>
            </w:r>
          </w:p>
        </w:tc>
        <w:tc>
          <w:tcPr>
            <w:tcW w:w="460" w:type="dxa"/>
            <w:tcBorders>
              <w:top w:val="nil"/>
              <w:left w:val="nil"/>
              <w:bottom w:val="single" w:sz="4" w:space="0" w:color="auto"/>
              <w:right w:val="nil"/>
            </w:tcBorders>
            <w:shd w:val="clear" w:color="auto" w:fill="auto"/>
            <w:noWrap/>
            <w:vAlign w:val="bottom"/>
            <w:hideMark/>
          </w:tcPr>
          <w:p w14:paraId="48B03E4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w:t>
            </w:r>
          </w:p>
        </w:tc>
        <w:tc>
          <w:tcPr>
            <w:tcW w:w="920" w:type="dxa"/>
            <w:tcBorders>
              <w:top w:val="single" w:sz="4" w:space="0" w:color="000000"/>
              <w:left w:val="nil"/>
              <w:bottom w:val="single" w:sz="4" w:space="0" w:color="000000"/>
              <w:right w:val="nil"/>
            </w:tcBorders>
            <w:shd w:val="clear" w:color="auto" w:fill="auto"/>
            <w:noWrap/>
            <w:vAlign w:val="bottom"/>
            <w:hideMark/>
          </w:tcPr>
          <w:p w14:paraId="2C52C2C7"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000000" w:fill="D9D9D9"/>
            <w:noWrap/>
            <w:vAlign w:val="bottom"/>
            <w:hideMark/>
          </w:tcPr>
          <w:p w14:paraId="7E07059C"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10,500 </w:t>
            </w:r>
          </w:p>
        </w:tc>
        <w:tc>
          <w:tcPr>
            <w:tcW w:w="920" w:type="dxa"/>
            <w:tcBorders>
              <w:top w:val="single" w:sz="4" w:space="0" w:color="000000"/>
              <w:left w:val="nil"/>
              <w:bottom w:val="single" w:sz="4" w:space="0" w:color="000000"/>
              <w:right w:val="nil"/>
            </w:tcBorders>
            <w:shd w:val="clear" w:color="auto" w:fill="auto"/>
            <w:noWrap/>
            <w:vAlign w:val="bottom"/>
            <w:hideMark/>
          </w:tcPr>
          <w:p w14:paraId="6E6F302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3A97130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14:paraId="50C19256" w14:textId="77777777" w:rsidR="00804F82" w:rsidRPr="00804F82" w:rsidRDefault="00804F82" w:rsidP="00804F82">
            <w:pPr>
              <w:spacing w:after="0"/>
              <w:jc w:val="right"/>
              <w:rPr>
                <w:rFonts w:ascii="Arial" w:hAnsi="Arial" w:cs="Arial"/>
                <w:b/>
                <w:bCs/>
                <w:color w:val="auto"/>
                <w:sz w:val="16"/>
                <w:szCs w:val="16"/>
              </w:rPr>
            </w:pPr>
            <w:r w:rsidRPr="00804F82">
              <w:rPr>
                <w:rFonts w:ascii="Arial" w:hAnsi="Arial" w:cs="Arial"/>
                <w:b/>
                <w:bCs/>
                <w:color w:val="auto"/>
                <w:sz w:val="16"/>
                <w:szCs w:val="16"/>
              </w:rPr>
              <w:t xml:space="preserve">- </w:t>
            </w:r>
          </w:p>
        </w:tc>
      </w:tr>
    </w:tbl>
    <w:p w14:paraId="366E2215" w14:textId="091F40E6" w:rsidR="00D56DA9" w:rsidRDefault="00D56DA9" w:rsidP="00D56DA9">
      <w:pPr>
        <w:pStyle w:val="FootnoteText"/>
        <w:tabs>
          <w:tab w:val="clear" w:pos="284"/>
          <w:tab w:val="left" w:pos="0"/>
        </w:tabs>
        <w:spacing w:before="120" w:after="0"/>
        <w:ind w:left="0" w:firstLine="0"/>
      </w:pPr>
      <w:r>
        <w:t>Prepared on a Government Financial Statistics (Underlying Cash) basis. Figures displayed as a negative (-) represent a decrease in funds and a positive (+) represent an increase in funds.</w:t>
      </w:r>
    </w:p>
    <w:p w14:paraId="7483EDDA" w14:textId="03A35B2E" w:rsidR="00804F82" w:rsidRDefault="00D56DA9" w:rsidP="004F4B6E">
      <w:pPr>
        <w:pStyle w:val="FootnoteText"/>
        <w:spacing w:before="40" w:after="0"/>
      </w:pPr>
      <w:r w:rsidRPr="00804F82">
        <w:rPr>
          <w:vertAlign w:val="superscript"/>
        </w:rPr>
        <w:t>(a)</w:t>
      </w:r>
      <w:r>
        <w:tab/>
      </w:r>
      <w:r w:rsidR="00804F82">
        <w:t>The cost of this measure will be met fro</w:t>
      </w:r>
      <w:r w:rsidR="00934D5E">
        <w:t>m within existing resources.</w:t>
      </w:r>
    </w:p>
    <w:p w14:paraId="0448A89A" w14:textId="6657D41C" w:rsidR="00804F82" w:rsidRDefault="00804F82" w:rsidP="00804F82">
      <w:pPr>
        <w:pStyle w:val="FootnoteText"/>
        <w:spacing w:after="0"/>
      </w:pPr>
      <w:r w:rsidRPr="00804F82">
        <w:rPr>
          <w:vertAlign w:val="superscript"/>
        </w:rPr>
        <w:t>(b)</w:t>
      </w:r>
      <w:r>
        <w:tab/>
        <w:t>Part of the costs of this measure will be met fr</w:t>
      </w:r>
      <w:r w:rsidR="00934D5E">
        <w:t>om within existing resources.</w:t>
      </w:r>
    </w:p>
    <w:p w14:paraId="7278DEB4" w14:textId="1C165A39" w:rsidR="00804F82" w:rsidRDefault="00804F82" w:rsidP="00804F82">
      <w:pPr>
        <w:pStyle w:val="FootnoteText"/>
        <w:spacing w:after="0"/>
      </w:pPr>
      <w:r w:rsidRPr="00804F82">
        <w:rPr>
          <w:vertAlign w:val="superscript"/>
        </w:rPr>
        <w:t>(c)</w:t>
      </w:r>
      <w:r>
        <w:tab/>
        <w:t xml:space="preserve">Includes the impact of measures that are not for publication due to </w:t>
      </w:r>
      <w:r w:rsidR="00934D5E">
        <w:t>commercial sensitivities (nfp).</w:t>
      </w:r>
    </w:p>
    <w:p w14:paraId="22049987" w14:textId="1D9F7165" w:rsidR="00804F82" w:rsidRDefault="00804F82" w:rsidP="00804F82">
      <w:pPr>
        <w:pStyle w:val="FootnoteText"/>
        <w:spacing w:after="0"/>
      </w:pPr>
      <w:r w:rsidRPr="00804F82">
        <w:rPr>
          <w:vertAlign w:val="superscript"/>
        </w:rPr>
        <w:t>(d)</w:t>
      </w:r>
      <w:r>
        <w:tab/>
        <w:t>Part of the funding for this measure has already been p</w:t>
      </w:r>
      <w:r w:rsidR="00934D5E">
        <w:t>rovided for by the Government.</w:t>
      </w:r>
    </w:p>
    <w:p w14:paraId="25828685" w14:textId="38C3E97C" w:rsidR="00804F82" w:rsidRDefault="00804F82" w:rsidP="00804F82">
      <w:pPr>
        <w:pStyle w:val="FootnoteText"/>
        <w:spacing w:after="0"/>
      </w:pPr>
      <w:r w:rsidRPr="00804F82">
        <w:rPr>
          <w:vertAlign w:val="superscript"/>
        </w:rPr>
        <w:t>(e)</w:t>
      </w:r>
      <w:r>
        <w:tab/>
        <w:t>The Department of Health and Aged Care (Health) is not the lead entity for these measures. Only the Health Portfolio impacts and associated Health policy flow-</w:t>
      </w:r>
      <w:proofErr w:type="spellStart"/>
      <w:r>
        <w:t>ons</w:t>
      </w:r>
      <w:proofErr w:type="spellEnd"/>
      <w:r>
        <w:t xml:space="preserve"> to other Portfolios are shown in this table</w:t>
      </w:r>
      <w:r>
        <w:tab/>
      </w:r>
    </w:p>
    <w:p w14:paraId="1B6F51D1" w14:textId="15E8711F" w:rsidR="00804F82" w:rsidRDefault="00804F82" w:rsidP="00804F82">
      <w:pPr>
        <w:pStyle w:val="FootnoteText"/>
        <w:spacing w:after="0"/>
      </w:pPr>
      <w:r w:rsidRPr="00804F82">
        <w:rPr>
          <w:vertAlign w:val="superscript"/>
        </w:rPr>
        <w:t>(f)</w:t>
      </w:r>
      <w:r>
        <w:tab/>
        <w:t>The lead entity for this measure is the Department of Home Affairs. The full measure description and package details appear in 2023</w:t>
      </w:r>
      <w:r w:rsidRPr="00804F82">
        <w:t>–</w:t>
      </w:r>
      <w:r>
        <w:t xml:space="preserve">24 Budget under the Home </w:t>
      </w:r>
      <w:r w:rsidR="00934D5E">
        <w:t>Affairs Portfolio.</w:t>
      </w:r>
    </w:p>
    <w:p w14:paraId="18A28CEE" w14:textId="239053A5" w:rsidR="00804F82" w:rsidRDefault="00804F82" w:rsidP="00804F82">
      <w:pPr>
        <w:pStyle w:val="FootnoteText"/>
        <w:spacing w:after="0"/>
      </w:pPr>
      <w:r w:rsidRPr="00804F82">
        <w:rPr>
          <w:vertAlign w:val="superscript"/>
        </w:rPr>
        <w:t>(g)</w:t>
      </w:r>
      <w:r>
        <w:tab/>
        <w:t>The lead entity for this measure is the Department of Foreign Affairs and Trade. The full measure description and package details appear in 2023</w:t>
      </w:r>
      <w:r w:rsidRPr="00804F82">
        <w:t>–</w:t>
      </w:r>
      <w:r>
        <w:t>24 Budget under the Foreign Affairs and Trade Portfolio</w:t>
      </w:r>
    </w:p>
    <w:p w14:paraId="2F053D4F" w14:textId="251C7E5D" w:rsidR="00804F82" w:rsidRDefault="00804F82" w:rsidP="00804F82">
      <w:pPr>
        <w:pStyle w:val="FootnoteText"/>
        <w:spacing w:after="0"/>
      </w:pPr>
      <w:r w:rsidRPr="00804F82">
        <w:rPr>
          <w:vertAlign w:val="superscript"/>
        </w:rPr>
        <w:t>(h)</w:t>
      </w:r>
      <w:r>
        <w:tab/>
        <w:t>The lead entity for this measure is the Department of Defence. The full measure description and package details appear in 2023</w:t>
      </w:r>
      <w:r w:rsidRPr="00804F82">
        <w:t>–</w:t>
      </w:r>
      <w:r>
        <w:t xml:space="preserve">24 Budget </w:t>
      </w:r>
      <w:r w:rsidR="00934D5E">
        <w:t>under the Defence Portfolio.</w:t>
      </w:r>
    </w:p>
    <w:p w14:paraId="770DD809" w14:textId="33113357" w:rsidR="00804F82" w:rsidRDefault="00804F82" w:rsidP="00804F82">
      <w:pPr>
        <w:pStyle w:val="FootnoteText"/>
        <w:spacing w:after="0"/>
      </w:pPr>
      <w:r w:rsidRPr="00804F82">
        <w:rPr>
          <w:vertAlign w:val="superscript"/>
        </w:rPr>
        <w:t>(</w:t>
      </w:r>
      <w:proofErr w:type="spellStart"/>
      <w:r w:rsidRPr="00804F82">
        <w:rPr>
          <w:vertAlign w:val="superscript"/>
        </w:rPr>
        <w:t>i</w:t>
      </w:r>
      <w:proofErr w:type="spellEnd"/>
      <w:r w:rsidRPr="00804F82">
        <w:rPr>
          <w:vertAlign w:val="superscript"/>
        </w:rPr>
        <w:t>)</w:t>
      </w:r>
      <w:r>
        <w:tab/>
        <w:t>Funding for this measure has already been pr</w:t>
      </w:r>
      <w:r w:rsidR="00934D5E">
        <w:t>ovided for by the Government.</w:t>
      </w:r>
    </w:p>
    <w:p w14:paraId="6925D764" w14:textId="597634FE" w:rsidR="00804F82" w:rsidRDefault="00804F82" w:rsidP="00804F82">
      <w:pPr>
        <w:pStyle w:val="FootnoteText"/>
        <w:spacing w:after="0"/>
      </w:pPr>
      <w:r w:rsidRPr="00804F82">
        <w:rPr>
          <w:vertAlign w:val="superscript"/>
        </w:rPr>
        <w:t>(j)</w:t>
      </w:r>
      <w:r>
        <w:tab/>
        <w:t>The lead entity for this measure is the Department of Social Services. The full measure description and package details appear in 2023</w:t>
      </w:r>
      <w:r w:rsidRPr="00804F82">
        <w:t>–</w:t>
      </w:r>
      <w:r>
        <w:t>24 Budget under t</w:t>
      </w:r>
      <w:r w:rsidR="00934D5E">
        <w:t>he Social Services Portfolio.</w:t>
      </w:r>
    </w:p>
    <w:p w14:paraId="6BC4F68F" w14:textId="1A2B23BB" w:rsidR="00804F82" w:rsidRDefault="00804F82" w:rsidP="00804F82">
      <w:pPr>
        <w:pStyle w:val="FootnoteText"/>
        <w:spacing w:after="0"/>
      </w:pPr>
      <w:r w:rsidRPr="00804F82">
        <w:rPr>
          <w:vertAlign w:val="superscript"/>
        </w:rPr>
        <w:t>(k)</w:t>
      </w:r>
      <w:r>
        <w:tab/>
        <w:t>The lead entity for this measure is the Department of Infrastructure, Transport, Regional Development, Communications and Arts. The full measure description and package details appear in 2023</w:t>
      </w:r>
      <w:r w:rsidRPr="00804F82">
        <w:t>–</w:t>
      </w:r>
      <w:r>
        <w:t>24 Budget under the Infrastructure, Transport, Regional Development, Com</w:t>
      </w:r>
      <w:r w:rsidR="00934D5E">
        <w:t>munications and Arts Portfolio.</w:t>
      </w:r>
    </w:p>
    <w:p w14:paraId="36FFE928" w14:textId="3317EC3F" w:rsidR="00804F82" w:rsidRDefault="00804F82" w:rsidP="00804F82">
      <w:pPr>
        <w:pStyle w:val="FootnoteText"/>
        <w:spacing w:after="0"/>
      </w:pPr>
      <w:r w:rsidRPr="00804F82">
        <w:rPr>
          <w:vertAlign w:val="superscript"/>
        </w:rPr>
        <w:t>(l)</w:t>
      </w:r>
      <w:r>
        <w:tab/>
        <w:t>This is a Cross Portfolio measure. The full measure description and package details appear in 2023</w:t>
      </w:r>
      <w:r w:rsidR="00BF24C5" w:rsidRPr="00804F82">
        <w:t>–</w:t>
      </w:r>
      <w:r>
        <w:t>24 Budget Paper 2 under Cross Portfolio.</w:t>
      </w:r>
      <w:r>
        <w:tab/>
      </w:r>
      <w:r>
        <w:br w:type="page"/>
      </w:r>
    </w:p>
    <w:p w14:paraId="16AACD26" w14:textId="2882A4FB" w:rsidR="00232F9B" w:rsidRPr="0000272F" w:rsidRDefault="0000272F" w:rsidP="000D22DB">
      <w:pPr>
        <w:pStyle w:val="Heading2"/>
      </w:pPr>
      <w:r w:rsidRPr="0000272F">
        <w:lastRenderedPageBreak/>
        <w:t>Section 2: Outcomes and planned performance</w:t>
      </w:r>
      <w:bookmarkEnd w:id="14"/>
      <w:bookmarkEnd w:id="15"/>
    </w:p>
    <w:p w14:paraId="318CF7D5" w14:textId="77777777" w:rsidR="0000272F" w:rsidRPr="0000272F" w:rsidRDefault="0000272F" w:rsidP="000D22DB">
      <w:r w:rsidRPr="0000272F">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80C75BB" w14:textId="77777777" w:rsidR="00B20448" w:rsidRDefault="0000272F" w:rsidP="000D22DB">
      <w:r w:rsidRPr="0000272F">
        <w:t>Each outcome is described below together with its related programs. The following provides detailed information on expenses for each outcome and program, further broken down by funding source.</w:t>
      </w:r>
    </w:p>
    <w:tbl>
      <w:tblPr>
        <w:tblStyle w:val="TableGrid"/>
        <w:tblW w:w="0" w:type="auto"/>
        <w:tblLook w:val="04A0" w:firstRow="1" w:lastRow="0" w:firstColumn="1" w:lastColumn="0" w:noHBand="0" w:noVBand="1"/>
      </w:tblPr>
      <w:tblGrid>
        <w:gridCol w:w="7360"/>
      </w:tblGrid>
      <w:tr w:rsidR="00F277A4" w14:paraId="0AF7F83E" w14:textId="77777777" w:rsidTr="00F277A4">
        <w:tc>
          <w:tcPr>
            <w:tcW w:w="7360" w:type="dxa"/>
          </w:tcPr>
          <w:p w14:paraId="5594A826" w14:textId="77777777" w:rsidR="00F277A4" w:rsidRPr="00F277A4" w:rsidRDefault="00F277A4" w:rsidP="00F277A4">
            <w:pPr>
              <w:pStyle w:val="Tablenumberandreference"/>
              <w:rPr>
                <w:rFonts w:ascii="Book Antiqua" w:hAnsi="Book Antiqua"/>
              </w:rPr>
            </w:pPr>
            <w:r w:rsidRPr="00F277A4">
              <w:rPr>
                <w:rFonts w:ascii="Book Antiqua" w:hAnsi="Book Antiqua"/>
              </w:rPr>
              <w:t>Note:</w:t>
            </w:r>
          </w:p>
          <w:p w14:paraId="4303A04F" w14:textId="77777777" w:rsidR="00F277A4" w:rsidRPr="0000272F" w:rsidRDefault="00F277A4" w:rsidP="00F277A4">
            <w:r w:rsidRPr="0000272F">
              <w:t xml:space="preserve">Performance reporting requirements in the Portfolio Budget Statements are part of the Commonwealth performance framework established by the </w:t>
            </w:r>
            <w:r w:rsidRPr="0000272F">
              <w:rPr>
                <w:i/>
              </w:rPr>
              <w:t>Public Governance, Performance and Accountability Act 2013</w:t>
            </w:r>
            <w:r w:rsidRPr="0000272F">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D29BCC1" w14:textId="77777777" w:rsidR="00F277A4" w:rsidRPr="00B53956" w:rsidRDefault="00F277A4" w:rsidP="00F277A4">
            <w:r w:rsidRPr="0000272F">
              <w:t xml:space="preserve">The most </w:t>
            </w:r>
            <w:r w:rsidRPr="00B53956">
              <w:t>recent Corporate Plan for the Department of Health and Aged Care is available at: www.health.gov.au/resources/publications/corporate-plan-2022-23</w:t>
            </w:r>
          </w:p>
          <w:p w14:paraId="453B31F2" w14:textId="77777777" w:rsidR="00F277A4" w:rsidRDefault="00F277A4" w:rsidP="000D22DB">
            <w:r w:rsidRPr="00B53956">
              <w:t>The most recent Annual Performance Statement for the Department of Health and Aged Care is available at: www.health.gov.au/resources/publications/department-of-health-annual-report-2021-22</w:t>
            </w:r>
          </w:p>
        </w:tc>
      </w:tr>
    </w:tbl>
    <w:p w14:paraId="65FB2881" w14:textId="77777777" w:rsidR="00E42081" w:rsidRPr="00B20448" w:rsidRDefault="00E42081" w:rsidP="000D22DB">
      <w:pPr>
        <w:sectPr w:rsidR="00E42081" w:rsidRPr="00B20448" w:rsidSect="0079143E">
          <w:headerReference w:type="even" r:id="rId17"/>
          <w:headerReference w:type="default" r:id="rId18"/>
          <w:pgSz w:w="11906" w:h="16838"/>
          <w:pgMar w:top="2665" w:right="2268" w:bottom="2126" w:left="2268" w:header="1899" w:footer="1899" w:gutter="0"/>
          <w:cols w:space="708"/>
          <w:docGrid w:linePitch="360"/>
        </w:sectPr>
      </w:pPr>
    </w:p>
    <w:p w14:paraId="6F4DCFBA" w14:textId="77777777" w:rsidR="00280050" w:rsidRDefault="00280050" w:rsidP="00BA2102"/>
    <w:sectPr w:rsidR="00280050" w:rsidSect="0079143E">
      <w:headerReference w:type="even" r:id="rId19"/>
      <w:pgSz w:w="11906" w:h="16838"/>
      <w:pgMar w:top="2665" w:right="2268" w:bottom="2126" w:left="2268" w:header="1899" w:footer="189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BD">
      <wne:wch wne:val="00002013"/>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C5EE2" w14:textId="77777777" w:rsidR="00804F82" w:rsidRDefault="00804F82" w:rsidP="000D22DB">
      <w:r>
        <w:separator/>
      </w:r>
    </w:p>
  </w:endnote>
  <w:endnote w:type="continuationSeparator" w:id="0">
    <w:p w14:paraId="5BFD4B08" w14:textId="77777777" w:rsidR="00804F82" w:rsidRDefault="00804F82" w:rsidP="000D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8B3B" w14:textId="77777777" w:rsidR="00804F82" w:rsidRPr="004C6378" w:rsidRDefault="00804F82" w:rsidP="000D22DB">
    <w:pPr>
      <w:pStyle w:val="FooterEven"/>
    </w:pPr>
    <w:r w:rsidRPr="004C6378">
      <w:rPr>
        <w:b/>
        <w:bCs/>
      </w:rPr>
      <w:t xml:space="preserve">Page </w:t>
    </w:r>
    <w:r w:rsidRPr="004C6378">
      <w:rPr>
        <w:b/>
        <w:bCs/>
      </w:rPr>
      <w:fldChar w:fldCharType="begin"/>
    </w:r>
    <w:r w:rsidRPr="004C6378">
      <w:rPr>
        <w:b/>
        <w:bCs/>
      </w:rPr>
      <w:instrText xml:space="preserve"> PAGE </w:instrText>
    </w:r>
    <w:r w:rsidRPr="004C6378">
      <w:rPr>
        <w:b/>
        <w:bCs/>
      </w:rPr>
      <w:fldChar w:fldCharType="separate"/>
    </w:r>
    <w:r>
      <w:rPr>
        <w:b/>
        <w:bCs/>
        <w:noProof/>
      </w:rPr>
      <w:t>8</w:t>
    </w:r>
    <w:r w:rsidRPr="004C6378">
      <w:rPr>
        <w:b/>
        <w:bCs/>
      </w:rPr>
      <w:fldChar w:fldCharType="end"/>
    </w:r>
    <w:r w:rsidRPr="004C6378">
      <w:t xml:space="preserve">  </w:t>
    </w:r>
    <w:proofErr w:type="gramStart"/>
    <w:r w:rsidRPr="004C6378">
      <w:t xml:space="preserve">|  </w:t>
    </w:r>
    <w:r>
      <w:t>Department</w:t>
    </w:r>
    <w:proofErr w:type="gramEnd"/>
    <w:r>
      <w:t xml:space="preserve"> of Health and Aged Care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0A95" w14:textId="691203F6" w:rsidR="00804F82" w:rsidRPr="00D952A0" w:rsidRDefault="00804F82" w:rsidP="000D22DB">
    <w:pPr>
      <w:pStyle w:val="FooterOdd"/>
      <w:rPr>
        <w:rFonts w:cs="Arial"/>
        <w:szCs w:val="18"/>
      </w:rPr>
    </w:pPr>
    <w:r w:rsidRPr="00D96B2A">
      <w:t xml:space="preserve">Department of Health and Aged </w:t>
    </w:r>
    <w:proofErr w:type="gramStart"/>
    <w:r w:rsidRPr="00D96B2A">
      <w:t>Care  |</w:t>
    </w:r>
    <w:proofErr w:type="gramEnd"/>
    <w:r w:rsidRPr="00D96B2A">
      <w:t xml:space="preserve">  </w:t>
    </w:r>
    <w:r w:rsidRPr="00D96B2A">
      <w:rPr>
        <w:b/>
        <w:bCs/>
      </w:rPr>
      <w:t xml:space="preserve">Page </w:t>
    </w:r>
    <w:r w:rsidRPr="00D96B2A">
      <w:rPr>
        <w:b/>
        <w:bCs/>
      </w:rPr>
      <w:fldChar w:fldCharType="begin"/>
    </w:r>
    <w:r w:rsidRPr="00D96B2A">
      <w:rPr>
        <w:b/>
        <w:bCs/>
      </w:rPr>
      <w:instrText xml:space="preserve"> PAGE  \* Arabic </w:instrText>
    </w:r>
    <w:r w:rsidRPr="00D96B2A">
      <w:rPr>
        <w:b/>
        <w:bCs/>
      </w:rPr>
      <w:fldChar w:fldCharType="separate"/>
    </w:r>
    <w:r w:rsidR="00BF643B">
      <w:rPr>
        <w:b/>
        <w:bCs/>
        <w:noProof/>
      </w:rPr>
      <w:t>13</w:t>
    </w:r>
    <w:r w:rsidRPr="00D96B2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5A89" w14:textId="086D50AD" w:rsidR="00804F82" w:rsidRPr="00B40A0F" w:rsidRDefault="00804F82" w:rsidP="00BF5D7D">
    <w:pPr>
      <w:pStyle w:val="FooterEven"/>
    </w:pPr>
    <w:r w:rsidRPr="00BF5D7D">
      <w:rPr>
        <w:b/>
        <w:bCs/>
        <w:szCs w:val="20"/>
      </w:rPr>
      <w:t xml:space="preserve">Page </w:t>
    </w:r>
    <w:r w:rsidRPr="00BF5D7D">
      <w:rPr>
        <w:b/>
        <w:bCs/>
        <w:szCs w:val="20"/>
      </w:rPr>
      <w:fldChar w:fldCharType="begin"/>
    </w:r>
    <w:r w:rsidRPr="00BF5D7D">
      <w:rPr>
        <w:b/>
        <w:bCs/>
        <w:szCs w:val="20"/>
      </w:rPr>
      <w:instrText xml:space="preserve"> PAGE </w:instrText>
    </w:r>
    <w:r w:rsidRPr="00BF5D7D">
      <w:rPr>
        <w:b/>
        <w:bCs/>
        <w:szCs w:val="20"/>
      </w:rPr>
      <w:fldChar w:fldCharType="separate"/>
    </w:r>
    <w:r w:rsidR="00BF643B">
      <w:rPr>
        <w:b/>
        <w:bCs/>
        <w:noProof/>
        <w:szCs w:val="20"/>
      </w:rPr>
      <w:t>32</w:t>
    </w:r>
    <w:r w:rsidRPr="00BF5D7D">
      <w:rPr>
        <w:b/>
        <w:bCs/>
        <w:szCs w:val="20"/>
      </w:rPr>
      <w:fldChar w:fldCharType="end"/>
    </w:r>
    <w:r w:rsidRPr="00BF5D7D">
      <w:rPr>
        <w:szCs w:val="20"/>
      </w:rPr>
      <w:t xml:space="preserve">  </w:t>
    </w:r>
    <w:proofErr w:type="gramStart"/>
    <w:r w:rsidRPr="00BF5D7D">
      <w:rPr>
        <w:szCs w:val="20"/>
      </w:rPr>
      <w:t xml:space="preserve">|  </w:t>
    </w:r>
    <w:proofErr w:type="gramEnd"/>
    <w:r w:rsidRPr="00BF5D7D">
      <w:rPr>
        <w:szCs w:val="20"/>
      </w:rPr>
      <w:fldChar w:fldCharType="begin"/>
    </w:r>
    <w:r w:rsidRPr="00BF5D7D">
      <w:rPr>
        <w:szCs w:val="20"/>
      </w:rPr>
      <w:instrText xml:space="preserve"> STYLEREF  "Heading 1"  \* MERGEFORMAT </w:instrText>
    </w:r>
    <w:r w:rsidRPr="00BF5D7D">
      <w:rPr>
        <w:szCs w:val="20"/>
      </w:rPr>
      <w:fldChar w:fldCharType="separate"/>
    </w:r>
    <w:r w:rsidR="00BF643B">
      <w:rPr>
        <w:noProof/>
        <w:szCs w:val="20"/>
      </w:rPr>
      <w:t>Department of Health and Aged Care</w:t>
    </w:r>
    <w:r w:rsidRPr="00BF5D7D">
      <w:rPr>
        <w:szCs w:val="20"/>
      </w:rPr>
      <w:fldChar w:fldCharType="end"/>
    </w:r>
    <w:r w:rsidRPr="00BF5D7D">
      <w:rPr>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FD5B" w14:textId="168DF758" w:rsidR="00804F82" w:rsidRPr="00B40A0F" w:rsidRDefault="00804F82" w:rsidP="00BF5D7D">
    <w:pPr>
      <w:pStyle w:val="FooterOdd"/>
      <w:rPr>
        <w:sz w:val="22"/>
      </w:rPr>
    </w:pPr>
    <w:r w:rsidRPr="00BF5D7D">
      <w:rPr>
        <w:color w:val="auto"/>
        <w:szCs w:val="20"/>
      </w:rPr>
      <w:fldChar w:fldCharType="begin"/>
    </w:r>
    <w:r w:rsidRPr="00BF5D7D">
      <w:rPr>
        <w:color w:val="auto"/>
        <w:szCs w:val="20"/>
      </w:rPr>
      <w:instrText xml:space="preserve"> STYLEREF  "Heading 1"  \* MERGEFORMAT </w:instrText>
    </w:r>
    <w:r w:rsidRPr="00BF5D7D">
      <w:rPr>
        <w:color w:val="auto"/>
        <w:szCs w:val="20"/>
      </w:rPr>
      <w:fldChar w:fldCharType="separate"/>
    </w:r>
    <w:r w:rsidR="00BF643B">
      <w:rPr>
        <w:noProof/>
        <w:color w:val="auto"/>
        <w:szCs w:val="20"/>
      </w:rPr>
      <w:t>Department of Health and Aged Care</w:t>
    </w:r>
    <w:r w:rsidRPr="00BF5D7D">
      <w:rPr>
        <w:color w:val="auto"/>
        <w:szCs w:val="20"/>
      </w:rPr>
      <w:fldChar w:fldCharType="end"/>
    </w:r>
    <w:r w:rsidRPr="00BF5D7D">
      <w:rPr>
        <w:color w:val="auto"/>
        <w:szCs w:val="20"/>
      </w:rPr>
      <w:t xml:space="preserve">  </w:t>
    </w:r>
    <w:proofErr w:type="gramStart"/>
    <w:r w:rsidRPr="00BF5D7D">
      <w:rPr>
        <w:color w:val="auto"/>
        <w:szCs w:val="20"/>
      </w:rPr>
      <w:t xml:space="preserve">|  </w:t>
    </w:r>
    <w:r w:rsidRPr="00BF5D7D">
      <w:rPr>
        <w:b/>
        <w:bCs/>
        <w:color w:val="auto"/>
        <w:szCs w:val="20"/>
      </w:rPr>
      <w:t>Page</w:t>
    </w:r>
    <w:proofErr w:type="gramEnd"/>
    <w:r w:rsidRPr="00BF5D7D">
      <w:rPr>
        <w:b/>
        <w:bCs/>
        <w:color w:val="auto"/>
        <w:szCs w:val="20"/>
      </w:rPr>
      <w:t xml:space="preserve"> </w:t>
    </w:r>
    <w:r w:rsidRPr="00BF5D7D">
      <w:rPr>
        <w:b/>
        <w:bCs/>
        <w:color w:val="auto"/>
        <w:szCs w:val="20"/>
      </w:rPr>
      <w:fldChar w:fldCharType="begin"/>
    </w:r>
    <w:r w:rsidRPr="00BF5D7D">
      <w:rPr>
        <w:b/>
        <w:bCs/>
        <w:color w:val="auto"/>
        <w:szCs w:val="20"/>
      </w:rPr>
      <w:instrText xml:space="preserve"> PAGE  \* Arabic </w:instrText>
    </w:r>
    <w:r w:rsidRPr="00BF5D7D">
      <w:rPr>
        <w:b/>
        <w:bCs/>
        <w:color w:val="auto"/>
        <w:szCs w:val="20"/>
      </w:rPr>
      <w:fldChar w:fldCharType="separate"/>
    </w:r>
    <w:r w:rsidR="00BF643B">
      <w:rPr>
        <w:b/>
        <w:bCs/>
        <w:noProof/>
        <w:color w:val="auto"/>
        <w:szCs w:val="20"/>
      </w:rPr>
      <w:t>33</w:t>
    </w:r>
    <w:r w:rsidRPr="00BF5D7D">
      <w:rPr>
        <w:b/>
        <w:bCs/>
        <w:color w:val="auto"/>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EF55" w14:textId="77777777" w:rsidR="00804F82" w:rsidRDefault="00804F82" w:rsidP="000D22DB">
      <w:r>
        <w:separator/>
      </w:r>
    </w:p>
  </w:footnote>
  <w:footnote w:type="continuationSeparator" w:id="0">
    <w:p w14:paraId="4732292F" w14:textId="77777777" w:rsidR="00804F82" w:rsidRDefault="00804F82" w:rsidP="000D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EA2B" w14:textId="77777777" w:rsidR="00804F82" w:rsidRPr="00D96B2A" w:rsidRDefault="00804F82" w:rsidP="000D22DB">
    <w:r w:rsidRPr="00D96B2A">
      <w:rPr>
        <w:i/>
        <w:noProof/>
        <w:position w:val="-6"/>
      </w:rPr>
      <w:drawing>
        <wp:inline distT="0" distB="0" distL="0" distR="0" wp14:anchorId="13367921" wp14:editId="2BD1A687">
          <wp:extent cx="1358265" cy="170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D96B2A">
      <w:rPr>
        <w:i/>
      </w:rPr>
      <w:t xml:space="preserve">  </w:t>
    </w:r>
    <w:proofErr w:type="gramStart"/>
    <w:r w:rsidRPr="00D96B2A">
      <w:rPr>
        <w:i/>
      </w:rPr>
      <w:t xml:space="preserve">| </w:t>
    </w:r>
    <w:r w:rsidRPr="00D96B2A">
      <w:t xml:space="preserve"> Portfolio</w:t>
    </w:r>
    <w:proofErr w:type="gramEnd"/>
    <w:r w:rsidRPr="00D96B2A">
      <w:t xml:space="preserve"> Budget Statements</w:t>
    </w:r>
  </w:p>
  <w:p w14:paraId="66E83ACD" w14:textId="77777777" w:rsidR="00804F82" w:rsidRPr="004C6378" w:rsidRDefault="00804F82" w:rsidP="000D2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F962" w14:textId="77777777" w:rsidR="00804F82" w:rsidRPr="001432F3" w:rsidRDefault="00804F82" w:rsidP="000D2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98626" w14:textId="77777777" w:rsidR="00804F82" w:rsidRPr="00E9428A" w:rsidRDefault="00804F82" w:rsidP="000D2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EC75D" w14:textId="77777777" w:rsidR="00804F82" w:rsidRDefault="00804F82" w:rsidP="000D2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7D96" w14:textId="56BA03F5" w:rsidR="00804F82" w:rsidRPr="00BA05A4" w:rsidRDefault="005333F9" w:rsidP="005333F9">
    <w:pPr>
      <w:spacing w:before="76" w:after="0" w:line="260" w:lineRule="exact"/>
      <w:jc w:val="both"/>
    </w:pPr>
    <w:r w:rsidRPr="005333F9">
      <w:rPr>
        <w:rFonts w:ascii="Arial" w:hAnsi="Arial" w:cs="Arial"/>
        <w:b/>
        <w:sz w:val="18"/>
        <w:szCs w:val="18"/>
      </w:rPr>
      <w:t>Budget</w:t>
    </w:r>
    <w:r w:rsidRPr="005333F9">
      <w:rPr>
        <w:rFonts w:ascii="Arial" w:hAnsi="Arial" w:cs="Arial"/>
        <w:sz w:val="18"/>
        <w:szCs w:val="18"/>
      </w:rPr>
      <w:t xml:space="preserve"> 2023–</w:t>
    </w:r>
    <w:proofErr w:type="gramStart"/>
    <w:r w:rsidRPr="005333F9">
      <w:rPr>
        <w:rFonts w:ascii="Arial" w:hAnsi="Arial" w:cs="Arial"/>
        <w:sz w:val="18"/>
        <w:szCs w:val="18"/>
      </w:rPr>
      <w:t>24</w:t>
    </w:r>
    <w:r w:rsidRPr="005333F9">
      <w:rPr>
        <w:rFonts w:cs="Arial"/>
        <w:b/>
        <w:sz w:val="20"/>
        <w:szCs w:val="20"/>
      </w:rPr>
      <w:t xml:space="preserve">  </w:t>
    </w:r>
    <w:r w:rsidRPr="005333F9">
      <w:rPr>
        <w:rFonts w:ascii="Times New Roman" w:hAnsi="Times New Roman" w:cs="Arial"/>
        <w:b/>
        <w:sz w:val="18"/>
        <w:szCs w:val="18"/>
      </w:rPr>
      <w:t>|</w:t>
    </w:r>
    <w:proofErr w:type="gramEnd"/>
    <w:r w:rsidRPr="005333F9">
      <w:rPr>
        <w:rFonts w:ascii="Times New Roman" w:hAnsi="Times New Roman" w:cs="Arial"/>
        <w:b/>
        <w:sz w:val="18"/>
        <w:szCs w:val="18"/>
      </w:rPr>
      <w:t xml:space="preserve">  </w:t>
    </w:r>
    <w:r w:rsidRPr="005333F9">
      <w:rPr>
        <w:rFonts w:ascii="Arial" w:hAnsi="Arial" w:cs="Arial"/>
        <w:sz w:val="18"/>
        <w:szCs w:val="18"/>
      </w:rPr>
      <w:t>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4F58" w14:textId="77777777" w:rsidR="00804F82" w:rsidRPr="00557A54" w:rsidRDefault="00804F82" w:rsidP="00557A54">
    <w:pPr>
      <w:pStyle w:val="Header"/>
      <w:jc w:val="right"/>
      <w:rPr>
        <w:rFonts w:ascii="Arial" w:hAnsi="Arial" w:cs="Arial"/>
        <w:sz w:val="18"/>
        <w:szCs w:val="18"/>
      </w:rPr>
    </w:pPr>
    <w:r w:rsidRPr="00557A54">
      <w:rPr>
        <w:rFonts w:ascii="Arial" w:hAnsi="Arial"/>
        <w:sz w:val="18"/>
      </w:rPr>
      <w:t xml:space="preserve">Portfolio Budget </w:t>
    </w:r>
    <w:proofErr w:type="gramStart"/>
    <w:r w:rsidRPr="00557A54">
      <w:rPr>
        <w:rFonts w:ascii="Arial" w:hAnsi="Arial"/>
        <w:sz w:val="18"/>
      </w:rPr>
      <w:t xml:space="preserve">Statements </w:t>
    </w:r>
    <w:r w:rsidRPr="00557A54">
      <w:rPr>
        <w:rFonts w:ascii="Arial" w:hAnsi="Arial"/>
        <w:b/>
        <w:sz w:val="18"/>
      </w:rPr>
      <w:t xml:space="preserve"> </w:t>
    </w:r>
    <w:r w:rsidRPr="00557A54">
      <w:rPr>
        <w:rFonts w:ascii="Arial" w:hAnsi="Arial"/>
        <w:sz w:val="18"/>
      </w:rPr>
      <w:t>|</w:t>
    </w:r>
    <w:proofErr w:type="gramEnd"/>
    <w:r w:rsidRPr="00557A54">
      <w:rPr>
        <w:rFonts w:ascii="Arial" w:hAnsi="Arial"/>
        <w:sz w:val="18"/>
      </w:rPr>
      <w:t xml:space="preserve">  </w:t>
    </w:r>
    <w:r w:rsidRPr="00557A54">
      <w:rPr>
        <w:rFonts w:ascii="Arial" w:hAnsi="Arial"/>
        <w:b/>
        <w:sz w:val="18"/>
      </w:rPr>
      <w:t xml:space="preserve">Budget </w:t>
    </w:r>
    <w:r w:rsidRPr="00B53956">
      <w:rPr>
        <w:rFonts w:ascii="Arial" w:hAnsi="Arial"/>
        <w:sz w:val="18"/>
      </w:rPr>
      <w:t>2023–24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9B0F3" w14:textId="77777777" w:rsidR="00804F82" w:rsidRPr="00E42081" w:rsidRDefault="00804F82" w:rsidP="000D2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EA"/>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93105"/>
    <w:multiLevelType w:val="hybridMultilevel"/>
    <w:tmpl w:val="8A44C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5B023D"/>
    <w:multiLevelType w:val="hybridMultilevel"/>
    <w:tmpl w:val="F87A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2335C"/>
    <w:multiLevelType w:val="hybridMultilevel"/>
    <w:tmpl w:val="316C560C"/>
    <w:lvl w:ilvl="0" w:tplc="6C76454A">
      <w:start w:val="1"/>
      <w:numFmt w:val="bullet"/>
      <w:pStyle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12FC7C8C"/>
    <w:multiLevelType w:val="multilevel"/>
    <w:tmpl w:val="4BA2174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25B0B"/>
    <w:multiLevelType w:val="hybridMultilevel"/>
    <w:tmpl w:val="F0D00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A4263"/>
    <w:multiLevelType w:val="multilevel"/>
    <w:tmpl w:val="0A70E22A"/>
    <w:lvl w:ilvl="0">
      <w:start w:val="1"/>
      <w:numFmt w:val="decimal"/>
      <w:lvlText w:val="%1"/>
      <w:lvlJc w:val="left"/>
      <w:pPr>
        <w:ind w:left="360" w:hanging="360"/>
      </w:pPr>
      <w:rPr>
        <w:rFonts w:hint="default"/>
        <w:b/>
        <w:i w:val="0"/>
      </w:rPr>
    </w:lvl>
    <w:lvl w:ilvl="1">
      <w:start w:val="4"/>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800" w:hanging="180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2160" w:hanging="2160"/>
      </w:pPr>
      <w:rPr>
        <w:rFonts w:hint="default"/>
        <w:b/>
        <w:i w:val="0"/>
      </w:rPr>
    </w:lvl>
  </w:abstractNum>
  <w:abstractNum w:abstractNumId="7" w15:restartNumberingAfterBreak="0">
    <w:nsid w:val="23D02480"/>
    <w:multiLevelType w:val="hybridMultilevel"/>
    <w:tmpl w:val="F74E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550A6B"/>
    <w:multiLevelType w:val="hybridMultilevel"/>
    <w:tmpl w:val="DC4AA4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9F96E9AA">
      <w:start w:val="1"/>
      <w:numFmt w:val="bullet"/>
      <w:lvlText w:val="-"/>
      <w:lvlJc w:val="left"/>
      <w:pPr>
        <w:tabs>
          <w:tab w:val="num" w:pos="1800"/>
        </w:tabs>
        <w:ind w:left="1800" w:hanging="360"/>
      </w:pPr>
      <w:rPr>
        <w:rFonts w:ascii="Courier New" w:hAnsi="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8F2F13"/>
    <w:multiLevelType w:val="multilevel"/>
    <w:tmpl w:val="D76E4C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59644E"/>
    <w:multiLevelType w:val="multilevel"/>
    <w:tmpl w:val="2D685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BB1FC6"/>
    <w:multiLevelType w:val="hybridMultilevel"/>
    <w:tmpl w:val="52227366"/>
    <w:lvl w:ilvl="0" w:tplc="04090001">
      <w:start w:val="1"/>
      <w:numFmt w:val="bullet"/>
      <w:lvlText w:val=""/>
      <w:lvlJc w:val="left"/>
      <w:pPr>
        <w:tabs>
          <w:tab w:val="num" w:pos="360"/>
        </w:tabs>
        <w:ind w:left="360" w:hanging="360"/>
      </w:pPr>
      <w:rPr>
        <w:rFonts w:ascii="Symbol" w:hAnsi="Symbol" w:hint="default"/>
      </w:rPr>
    </w:lvl>
    <w:lvl w:ilvl="1" w:tplc="A856633A">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DF0001"/>
    <w:multiLevelType w:val="hybridMultilevel"/>
    <w:tmpl w:val="A818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223EC"/>
    <w:multiLevelType w:val="hybridMultilevel"/>
    <w:tmpl w:val="BF9E9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115ECE"/>
    <w:multiLevelType w:val="multilevel"/>
    <w:tmpl w:val="BB229E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654925"/>
    <w:multiLevelType w:val="multilevel"/>
    <w:tmpl w:val="0B4CE6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F85BA5"/>
    <w:multiLevelType w:val="hybridMultilevel"/>
    <w:tmpl w:val="752EC38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701BC"/>
    <w:multiLevelType w:val="hybridMultilevel"/>
    <w:tmpl w:val="7D0A6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3BF3971"/>
    <w:multiLevelType w:val="hybridMultilevel"/>
    <w:tmpl w:val="E51AB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476828"/>
    <w:multiLevelType w:val="hybridMultilevel"/>
    <w:tmpl w:val="2870CF6A"/>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55137"/>
    <w:multiLevelType w:val="hybridMultilevel"/>
    <w:tmpl w:val="31D03E28"/>
    <w:lvl w:ilvl="0" w:tplc="0C090001">
      <w:start w:val="1"/>
      <w:numFmt w:val="bullet"/>
      <w:lvlText w:val=""/>
      <w:lvlJc w:val="left"/>
      <w:pPr>
        <w:ind w:left="770" w:hanging="360"/>
      </w:pPr>
      <w:rPr>
        <w:rFonts w:ascii="Symbol" w:hAnsi="Symbol" w:hint="default"/>
      </w:rPr>
    </w:lvl>
    <w:lvl w:ilvl="1" w:tplc="001EC094">
      <w:numFmt w:val="bullet"/>
      <w:lvlText w:val="·"/>
      <w:lvlJc w:val="left"/>
      <w:pPr>
        <w:ind w:left="1490" w:hanging="360"/>
      </w:pPr>
      <w:rPr>
        <w:rFonts w:ascii="Calibri" w:eastAsiaTheme="minorHAnsi" w:hAnsi="Calibri" w:cs="Calibri"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2" w15:restartNumberingAfterBreak="0">
    <w:nsid w:val="49CF5543"/>
    <w:multiLevelType w:val="hybridMultilevel"/>
    <w:tmpl w:val="25B639D2"/>
    <w:lvl w:ilvl="0" w:tplc="FB708D8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A765ECF"/>
    <w:multiLevelType w:val="hybridMultilevel"/>
    <w:tmpl w:val="0DEC8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B7F6437"/>
    <w:multiLevelType w:val="hybridMultilevel"/>
    <w:tmpl w:val="CEDA1A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10302F"/>
    <w:multiLevelType w:val="hybridMultilevel"/>
    <w:tmpl w:val="8F82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9E3F0E"/>
    <w:multiLevelType w:val="hybridMultilevel"/>
    <w:tmpl w:val="CA663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D61FAB"/>
    <w:multiLevelType w:val="hybridMultilevel"/>
    <w:tmpl w:val="4CD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1BD2"/>
    <w:multiLevelType w:val="hybridMultilevel"/>
    <w:tmpl w:val="0994E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DF0C0F"/>
    <w:multiLevelType w:val="hybridMultilevel"/>
    <w:tmpl w:val="A87E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70E67"/>
    <w:multiLevelType w:val="hybridMultilevel"/>
    <w:tmpl w:val="57FE1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EA20BAB"/>
    <w:multiLevelType w:val="multilevel"/>
    <w:tmpl w:val="4CCA64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DC06D1"/>
    <w:multiLevelType w:val="multilevel"/>
    <w:tmpl w:val="692A06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962C20"/>
    <w:multiLevelType w:val="hybridMultilevel"/>
    <w:tmpl w:val="F2101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2635A5"/>
    <w:multiLevelType w:val="hybridMultilevel"/>
    <w:tmpl w:val="7C4ABDD8"/>
    <w:lvl w:ilvl="0" w:tplc="A5EA97BC">
      <w:start w:val="1"/>
      <w:numFmt w:val="bullet"/>
      <w:lvlText w:val=""/>
      <w:lvlJc w:val="left"/>
      <w:pPr>
        <w:ind w:left="360" w:hanging="360"/>
      </w:pPr>
      <w:rPr>
        <w:rFonts w:ascii="Symbol" w:hAnsi="Symbol" w:hint="default"/>
      </w:rPr>
    </w:lvl>
    <w:lvl w:ilvl="1" w:tplc="A1C2291E">
      <w:start w:val="1"/>
      <w:numFmt w:val="bullet"/>
      <w:lvlText w:val="o"/>
      <w:lvlJc w:val="left"/>
      <w:pPr>
        <w:ind w:left="1440" w:hanging="360"/>
      </w:pPr>
      <w:rPr>
        <w:rFonts w:ascii="Courier New" w:hAnsi="Courier New" w:cs="Courier New" w:hint="default"/>
      </w:rPr>
    </w:lvl>
    <w:lvl w:ilvl="2" w:tplc="BF6A0114">
      <w:start w:val="1"/>
      <w:numFmt w:val="bullet"/>
      <w:lvlText w:val=""/>
      <w:lvlJc w:val="left"/>
      <w:pPr>
        <w:ind w:left="2160" w:hanging="360"/>
      </w:pPr>
      <w:rPr>
        <w:rFonts w:ascii="Wingdings" w:hAnsi="Wingdings" w:hint="default"/>
      </w:rPr>
    </w:lvl>
    <w:lvl w:ilvl="3" w:tplc="D12E4E74">
      <w:start w:val="1"/>
      <w:numFmt w:val="bullet"/>
      <w:lvlText w:val=""/>
      <w:lvlJc w:val="left"/>
      <w:pPr>
        <w:ind w:left="2880" w:hanging="360"/>
      </w:pPr>
      <w:rPr>
        <w:rFonts w:ascii="Symbol" w:hAnsi="Symbol" w:hint="default"/>
      </w:rPr>
    </w:lvl>
    <w:lvl w:ilvl="4" w:tplc="296C5DA4">
      <w:start w:val="1"/>
      <w:numFmt w:val="bullet"/>
      <w:lvlText w:val="o"/>
      <w:lvlJc w:val="left"/>
      <w:pPr>
        <w:ind w:left="3600" w:hanging="360"/>
      </w:pPr>
      <w:rPr>
        <w:rFonts w:ascii="Courier New" w:hAnsi="Courier New" w:cs="Courier New" w:hint="default"/>
      </w:rPr>
    </w:lvl>
    <w:lvl w:ilvl="5" w:tplc="EA0EAE3A">
      <w:start w:val="1"/>
      <w:numFmt w:val="bullet"/>
      <w:lvlText w:val=""/>
      <w:lvlJc w:val="left"/>
      <w:pPr>
        <w:ind w:left="4320" w:hanging="360"/>
      </w:pPr>
      <w:rPr>
        <w:rFonts w:ascii="Wingdings" w:hAnsi="Wingdings" w:hint="default"/>
      </w:rPr>
    </w:lvl>
    <w:lvl w:ilvl="6" w:tplc="7292D2BE">
      <w:start w:val="1"/>
      <w:numFmt w:val="bullet"/>
      <w:lvlText w:val=""/>
      <w:lvlJc w:val="left"/>
      <w:pPr>
        <w:ind w:left="5040" w:hanging="360"/>
      </w:pPr>
      <w:rPr>
        <w:rFonts w:ascii="Symbol" w:hAnsi="Symbol" w:hint="default"/>
      </w:rPr>
    </w:lvl>
    <w:lvl w:ilvl="7" w:tplc="796A6086">
      <w:start w:val="1"/>
      <w:numFmt w:val="bullet"/>
      <w:lvlText w:val="o"/>
      <w:lvlJc w:val="left"/>
      <w:pPr>
        <w:ind w:left="5760" w:hanging="360"/>
      </w:pPr>
      <w:rPr>
        <w:rFonts w:ascii="Courier New" w:hAnsi="Courier New" w:cs="Courier New" w:hint="default"/>
      </w:rPr>
    </w:lvl>
    <w:lvl w:ilvl="8" w:tplc="5ED69A38">
      <w:start w:val="1"/>
      <w:numFmt w:val="bullet"/>
      <w:lvlText w:val=""/>
      <w:lvlJc w:val="left"/>
      <w:pPr>
        <w:ind w:left="6480" w:hanging="360"/>
      </w:pPr>
      <w:rPr>
        <w:rFonts w:ascii="Wingdings" w:hAnsi="Wingdings" w:hint="default"/>
      </w:rPr>
    </w:lvl>
  </w:abstractNum>
  <w:abstractNum w:abstractNumId="35" w15:restartNumberingAfterBreak="0">
    <w:nsid w:val="77670981"/>
    <w:multiLevelType w:val="hybridMultilevel"/>
    <w:tmpl w:val="97F2B138"/>
    <w:lvl w:ilvl="0" w:tplc="B5AE86D8">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502D1C"/>
    <w:multiLevelType w:val="hybridMultilevel"/>
    <w:tmpl w:val="A9468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9A34D8"/>
    <w:multiLevelType w:val="hybridMultilevel"/>
    <w:tmpl w:val="15D87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B4D04A4"/>
    <w:multiLevelType w:val="hybridMultilevel"/>
    <w:tmpl w:val="7166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12"/>
  </w:num>
  <w:num w:numId="5">
    <w:abstractNumId w:val="9"/>
  </w:num>
  <w:num w:numId="6">
    <w:abstractNumId w:val="24"/>
  </w:num>
  <w:num w:numId="7">
    <w:abstractNumId w:val="16"/>
  </w:num>
  <w:num w:numId="8">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23"/>
  </w:num>
  <w:num w:numId="12">
    <w:abstractNumId w:val="36"/>
  </w:num>
  <w:num w:numId="13">
    <w:abstractNumId w:val="25"/>
  </w:num>
  <w:num w:numId="14">
    <w:abstractNumId w:val="35"/>
  </w:num>
  <w:num w:numId="15">
    <w:abstractNumId w:val="20"/>
  </w:num>
  <w:num w:numId="16">
    <w:abstractNumId w:val="13"/>
  </w:num>
  <w:num w:numId="17">
    <w:abstractNumId w:val="38"/>
  </w:num>
  <w:num w:numId="18">
    <w:abstractNumId w:val="28"/>
  </w:num>
  <w:num w:numId="19">
    <w:abstractNumId w:val="7"/>
  </w:num>
  <w:num w:numId="20">
    <w:abstractNumId w:val="29"/>
  </w:num>
  <w:num w:numId="21">
    <w:abstractNumId w:val="27"/>
  </w:num>
  <w:num w:numId="22">
    <w:abstractNumId w:val="5"/>
  </w:num>
  <w:num w:numId="23">
    <w:abstractNumId w:val="33"/>
  </w:num>
  <w:num w:numId="24">
    <w:abstractNumId w:val="1"/>
  </w:num>
  <w:num w:numId="25">
    <w:abstractNumId w:val="18"/>
  </w:num>
  <w:num w:numId="26">
    <w:abstractNumId w:val="30"/>
  </w:num>
  <w:num w:numId="27">
    <w:abstractNumId w:val="37"/>
  </w:num>
  <w:num w:numId="28">
    <w:abstractNumId w:val="22"/>
  </w:num>
  <w:num w:numId="29">
    <w:abstractNumId w:val="34"/>
  </w:num>
  <w:num w:numId="30">
    <w:abstractNumId w:val="14"/>
  </w:num>
  <w:num w:numId="31">
    <w:abstractNumId w:val="21"/>
  </w:num>
  <w:num w:numId="32">
    <w:abstractNumId w:val="31"/>
  </w:num>
  <w:num w:numId="33">
    <w:abstractNumId w:val="4"/>
  </w:num>
  <w:num w:numId="34">
    <w:abstractNumId w:val="15"/>
  </w:num>
  <w:num w:numId="35">
    <w:abstractNumId w:val="32"/>
  </w:num>
  <w:num w:numId="36">
    <w:abstractNumId w:val="0"/>
  </w:num>
  <w:num w:numId="37">
    <w:abstractNumId w:val="6"/>
  </w:num>
  <w:num w:numId="38">
    <w:abstractNumId w:val="19"/>
  </w:num>
  <w:num w:numId="39">
    <w:abstractNumId w:val="10"/>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9B"/>
    <w:rsid w:val="0000272F"/>
    <w:rsid w:val="00011AF6"/>
    <w:rsid w:val="00015FAC"/>
    <w:rsid w:val="000166A3"/>
    <w:rsid w:val="0004202E"/>
    <w:rsid w:val="000555FB"/>
    <w:rsid w:val="00055850"/>
    <w:rsid w:val="00066B1B"/>
    <w:rsid w:val="000921B0"/>
    <w:rsid w:val="00094E6C"/>
    <w:rsid w:val="00097147"/>
    <w:rsid w:val="000A07C8"/>
    <w:rsid w:val="000B0C29"/>
    <w:rsid w:val="000C724C"/>
    <w:rsid w:val="000D22DB"/>
    <w:rsid w:val="0013129D"/>
    <w:rsid w:val="0013764D"/>
    <w:rsid w:val="001432F3"/>
    <w:rsid w:val="00145199"/>
    <w:rsid w:val="001644D5"/>
    <w:rsid w:val="00171DF4"/>
    <w:rsid w:val="00173C78"/>
    <w:rsid w:val="00180100"/>
    <w:rsid w:val="001807F5"/>
    <w:rsid w:val="00180DB7"/>
    <w:rsid w:val="0018720A"/>
    <w:rsid w:val="001912DE"/>
    <w:rsid w:val="001B2EF1"/>
    <w:rsid w:val="001B585A"/>
    <w:rsid w:val="001C6D8C"/>
    <w:rsid w:val="001D3D31"/>
    <w:rsid w:val="001E1021"/>
    <w:rsid w:val="001E1E28"/>
    <w:rsid w:val="001F2E52"/>
    <w:rsid w:val="00202081"/>
    <w:rsid w:val="0021020D"/>
    <w:rsid w:val="002206DB"/>
    <w:rsid w:val="002277F9"/>
    <w:rsid w:val="00232F9B"/>
    <w:rsid w:val="00247971"/>
    <w:rsid w:val="00280050"/>
    <w:rsid w:val="00283006"/>
    <w:rsid w:val="00284ECF"/>
    <w:rsid w:val="00287345"/>
    <w:rsid w:val="002D3721"/>
    <w:rsid w:val="00314BF3"/>
    <w:rsid w:val="00344A07"/>
    <w:rsid w:val="003523F1"/>
    <w:rsid w:val="00362527"/>
    <w:rsid w:val="0037037F"/>
    <w:rsid w:val="00383BFF"/>
    <w:rsid w:val="00390166"/>
    <w:rsid w:val="00392641"/>
    <w:rsid w:val="003A45A0"/>
    <w:rsid w:val="003C2938"/>
    <w:rsid w:val="003C4A03"/>
    <w:rsid w:val="003C6CD1"/>
    <w:rsid w:val="003D40FC"/>
    <w:rsid w:val="003D6BEC"/>
    <w:rsid w:val="003E3FC0"/>
    <w:rsid w:val="003F1847"/>
    <w:rsid w:val="0040541D"/>
    <w:rsid w:val="004476E4"/>
    <w:rsid w:val="00457A85"/>
    <w:rsid w:val="00460A0F"/>
    <w:rsid w:val="004745C1"/>
    <w:rsid w:val="00485651"/>
    <w:rsid w:val="0048645A"/>
    <w:rsid w:val="00491822"/>
    <w:rsid w:val="004B14B0"/>
    <w:rsid w:val="004C3B30"/>
    <w:rsid w:val="004C6378"/>
    <w:rsid w:val="004C7F94"/>
    <w:rsid w:val="004F4B6E"/>
    <w:rsid w:val="005333F9"/>
    <w:rsid w:val="00557A54"/>
    <w:rsid w:val="005637B4"/>
    <w:rsid w:val="00577970"/>
    <w:rsid w:val="005B225B"/>
    <w:rsid w:val="005C2D60"/>
    <w:rsid w:val="005D52B5"/>
    <w:rsid w:val="0060451B"/>
    <w:rsid w:val="0060513A"/>
    <w:rsid w:val="00612778"/>
    <w:rsid w:val="00627240"/>
    <w:rsid w:val="006A4F97"/>
    <w:rsid w:val="006A7787"/>
    <w:rsid w:val="006D04B1"/>
    <w:rsid w:val="007149BA"/>
    <w:rsid w:val="00732FFD"/>
    <w:rsid w:val="007427E1"/>
    <w:rsid w:val="007429C2"/>
    <w:rsid w:val="007550F0"/>
    <w:rsid w:val="00757236"/>
    <w:rsid w:val="00760E97"/>
    <w:rsid w:val="0076288A"/>
    <w:rsid w:val="00774F7F"/>
    <w:rsid w:val="00776000"/>
    <w:rsid w:val="007845B5"/>
    <w:rsid w:val="00784FEB"/>
    <w:rsid w:val="0079143E"/>
    <w:rsid w:val="007936AF"/>
    <w:rsid w:val="007938B3"/>
    <w:rsid w:val="00796498"/>
    <w:rsid w:val="007D48FE"/>
    <w:rsid w:val="007E5D75"/>
    <w:rsid w:val="007F0FA0"/>
    <w:rsid w:val="00803083"/>
    <w:rsid w:val="00804F82"/>
    <w:rsid w:val="00817FEF"/>
    <w:rsid w:val="0083134F"/>
    <w:rsid w:val="00847AD6"/>
    <w:rsid w:val="00855CF7"/>
    <w:rsid w:val="008673F0"/>
    <w:rsid w:val="0089182B"/>
    <w:rsid w:val="008C0E3D"/>
    <w:rsid w:val="008C3C13"/>
    <w:rsid w:val="008C4F35"/>
    <w:rsid w:val="008D71D0"/>
    <w:rsid w:val="008F3F2F"/>
    <w:rsid w:val="009143BF"/>
    <w:rsid w:val="009152DE"/>
    <w:rsid w:val="009215A6"/>
    <w:rsid w:val="00924439"/>
    <w:rsid w:val="00934D5E"/>
    <w:rsid w:val="009661B0"/>
    <w:rsid w:val="00992F2C"/>
    <w:rsid w:val="009B3A6C"/>
    <w:rsid w:val="009C0FE8"/>
    <w:rsid w:val="009C358C"/>
    <w:rsid w:val="009C684C"/>
    <w:rsid w:val="009C6ECB"/>
    <w:rsid w:val="009E5CA9"/>
    <w:rsid w:val="00A01FB9"/>
    <w:rsid w:val="00A14EB6"/>
    <w:rsid w:val="00A2059A"/>
    <w:rsid w:val="00A21E8B"/>
    <w:rsid w:val="00A232B2"/>
    <w:rsid w:val="00A25625"/>
    <w:rsid w:val="00A31A90"/>
    <w:rsid w:val="00A6223E"/>
    <w:rsid w:val="00A668BF"/>
    <w:rsid w:val="00A77688"/>
    <w:rsid w:val="00A856E6"/>
    <w:rsid w:val="00A87D4F"/>
    <w:rsid w:val="00A92B0E"/>
    <w:rsid w:val="00AA029B"/>
    <w:rsid w:val="00AC0838"/>
    <w:rsid w:val="00AC4E35"/>
    <w:rsid w:val="00AD5D75"/>
    <w:rsid w:val="00AE4C2F"/>
    <w:rsid w:val="00AF3E31"/>
    <w:rsid w:val="00B0267D"/>
    <w:rsid w:val="00B0747C"/>
    <w:rsid w:val="00B20448"/>
    <w:rsid w:val="00B411A5"/>
    <w:rsid w:val="00B53956"/>
    <w:rsid w:val="00B57B95"/>
    <w:rsid w:val="00B63A9E"/>
    <w:rsid w:val="00B67D53"/>
    <w:rsid w:val="00B70687"/>
    <w:rsid w:val="00B90798"/>
    <w:rsid w:val="00BA05A4"/>
    <w:rsid w:val="00BA2102"/>
    <w:rsid w:val="00BA4B89"/>
    <w:rsid w:val="00BC1A1D"/>
    <w:rsid w:val="00BC2833"/>
    <w:rsid w:val="00BD26BD"/>
    <w:rsid w:val="00BD4F45"/>
    <w:rsid w:val="00BD703F"/>
    <w:rsid w:val="00BE0F59"/>
    <w:rsid w:val="00BF24C5"/>
    <w:rsid w:val="00BF5D7D"/>
    <w:rsid w:val="00BF643B"/>
    <w:rsid w:val="00C05A0F"/>
    <w:rsid w:val="00C069E9"/>
    <w:rsid w:val="00C06F9A"/>
    <w:rsid w:val="00C1601F"/>
    <w:rsid w:val="00C50908"/>
    <w:rsid w:val="00C63A77"/>
    <w:rsid w:val="00C8253B"/>
    <w:rsid w:val="00C94B58"/>
    <w:rsid w:val="00CB0838"/>
    <w:rsid w:val="00CD19AB"/>
    <w:rsid w:val="00CD22B5"/>
    <w:rsid w:val="00CE2F67"/>
    <w:rsid w:val="00D042CA"/>
    <w:rsid w:val="00D409E9"/>
    <w:rsid w:val="00D55799"/>
    <w:rsid w:val="00D56DA9"/>
    <w:rsid w:val="00D63C2C"/>
    <w:rsid w:val="00D64250"/>
    <w:rsid w:val="00D64D1D"/>
    <w:rsid w:val="00D66C8E"/>
    <w:rsid w:val="00D7327A"/>
    <w:rsid w:val="00D74BDA"/>
    <w:rsid w:val="00D952A0"/>
    <w:rsid w:val="00D96B2A"/>
    <w:rsid w:val="00DA1CA1"/>
    <w:rsid w:val="00DA7A80"/>
    <w:rsid w:val="00DB2FDE"/>
    <w:rsid w:val="00E02443"/>
    <w:rsid w:val="00E05BB8"/>
    <w:rsid w:val="00E1360D"/>
    <w:rsid w:val="00E1721A"/>
    <w:rsid w:val="00E24E18"/>
    <w:rsid w:val="00E335E7"/>
    <w:rsid w:val="00E42081"/>
    <w:rsid w:val="00E4787B"/>
    <w:rsid w:val="00E53F2F"/>
    <w:rsid w:val="00E62194"/>
    <w:rsid w:val="00E8250E"/>
    <w:rsid w:val="00EB0222"/>
    <w:rsid w:val="00ED76FE"/>
    <w:rsid w:val="00EE2AFE"/>
    <w:rsid w:val="00EF0171"/>
    <w:rsid w:val="00EF5C5E"/>
    <w:rsid w:val="00F14D6C"/>
    <w:rsid w:val="00F277A4"/>
    <w:rsid w:val="00F30B2C"/>
    <w:rsid w:val="00F36320"/>
    <w:rsid w:val="00FA06C5"/>
    <w:rsid w:val="00FC4239"/>
    <w:rsid w:val="00FC72B7"/>
    <w:rsid w:val="00FD2283"/>
    <w:rsid w:val="00FD28A8"/>
    <w:rsid w:val="00FD724B"/>
    <w:rsid w:val="00FF1A9C"/>
    <w:rsid w:val="00FF7B9F"/>
    <w:rsid w:val="00FF7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3CABA6BC"/>
  <w15:chartTrackingRefBased/>
  <w15:docId w15:val="{0E29E643-84AE-41BE-AB13-D6ADA19F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DB"/>
    <w:pPr>
      <w:spacing w:after="120"/>
    </w:pPr>
    <w:rPr>
      <w:rFonts w:ascii="Book Antiqua" w:eastAsia="Times New Roman" w:hAnsi="Book Antiqua"/>
      <w:color w:val="000000"/>
      <w:sz w:val="19"/>
      <w:szCs w:val="19"/>
      <w:lang w:eastAsia="en-AU"/>
    </w:rPr>
  </w:style>
  <w:style w:type="paragraph" w:styleId="Heading1">
    <w:name w:val="heading 1"/>
    <w:basedOn w:val="Normal"/>
    <w:next w:val="Normal"/>
    <w:link w:val="Heading1Char"/>
    <w:qFormat/>
    <w:rsid w:val="001432F3"/>
    <w:pPr>
      <w:keepNext/>
      <w:spacing w:after="240"/>
      <w:outlineLvl w:val="0"/>
    </w:pPr>
    <w:rPr>
      <w:rFonts w:ascii="Arial Bold" w:hAnsi="Arial Bold"/>
      <w:b/>
      <w:kern w:val="34"/>
      <w:sz w:val="36"/>
    </w:rPr>
  </w:style>
  <w:style w:type="paragraph" w:styleId="Heading2">
    <w:name w:val="heading 2"/>
    <w:basedOn w:val="Normal"/>
    <w:next w:val="Normal"/>
    <w:link w:val="Heading2Char"/>
    <w:qFormat/>
    <w:rsid w:val="000D22DB"/>
    <w:pPr>
      <w:keepNext/>
      <w:spacing w:before="240" w:after="240"/>
      <w:outlineLvl w:val="1"/>
    </w:pPr>
    <w:rPr>
      <w:rFonts w:ascii="Arial Bold" w:hAnsi="Arial Bold"/>
      <w:b/>
      <w:sz w:val="26"/>
    </w:rPr>
  </w:style>
  <w:style w:type="paragraph" w:styleId="Heading3">
    <w:name w:val="heading 3"/>
    <w:basedOn w:val="Normal"/>
    <w:next w:val="Normal"/>
    <w:link w:val="Heading3Char"/>
    <w:qFormat/>
    <w:rsid w:val="000D22DB"/>
    <w:pPr>
      <w:keepNext/>
      <w:spacing w:before="120"/>
      <w:outlineLvl w:val="2"/>
    </w:pPr>
    <w:rPr>
      <w:rFonts w:ascii="Arial Bold" w:hAnsi="Arial Bold"/>
      <w:b/>
      <w:sz w:val="22"/>
    </w:rPr>
  </w:style>
  <w:style w:type="paragraph" w:styleId="Heading4">
    <w:name w:val="heading 4"/>
    <w:basedOn w:val="Normal"/>
    <w:next w:val="Normal"/>
    <w:link w:val="Heading4Char"/>
    <w:qFormat/>
    <w:rsid w:val="009215A6"/>
    <w:pPr>
      <w:keepNext/>
      <w:tabs>
        <w:tab w:val="left" w:pos="709"/>
      </w:tabs>
      <w:spacing w:before="240"/>
      <w:outlineLvl w:val="3"/>
    </w:pPr>
    <w:rPr>
      <w:rFonts w:ascii="Arial" w:hAnsi="Arial"/>
      <w:b/>
      <w:sz w:val="22"/>
    </w:rPr>
  </w:style>
  <w:style w:type="paragraph" w:styleId="Heading5">
    <w:name w:val="heading 5"/>
    <w:basedOn w:val="Normal"/>
    <w:next w:val="Normal"/>
    <w:link w:val="Heading5Char"/>
    <w:qFormat/>
    <w:rsid w:val="009215A6"/>
    <w:pPr>
      <w:spacing w:before="120"/>
      <w:outlineLvl w:val="4"/>
    </w:pPr>
    <w:rPr>
      <w:rFonts w:ascii="Arial" w:hAnsi="Arial"/>
      <w:b/>
      <w:bCs/>
      <w:iCs/>
      <w:szCs w:val="26"/>
    </w:rPr>
  </w:style>
  <w:style w:type="paragraph" w:styleId="Heading6">
    <w:name w:val="heading 6"/>
    <w:basedOn w:val="Normal"/>
    <w:next w:val="Normal"/>
    <w:link w:val="Heading6Char"/>
    <w:rsid w:val="009215A6"/>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
    <w:name w:val="Contents Heading"/>
    <w:link w:val="ContentsHeadingChar"/>
    <w:qFormat/>
    <w:rsid w:val="009215A6"/>
    <w:pPr>
      <w:spacing w:after="360"/>
      <w:jc w:val="center"/>
    </w:pPr>
    <w:rPr>
      <w:rFonts w:ascii="Arial" w:eastAsia="Times New Roman" w:hAnsi="Arial" w:cs="Arial"/>
      <w:b/>
      <w:bCs/>
      <w:smallCaps/>
      <w:color w:val="000000"/>
      <w:kern w:val="32"/>
      <w:sz w:val="34"/>
      <w:szCs w:val="34"/>
      <w:lang w:eastAsia="en-AU"/>
    </w:rPr>
  </w:style>
  <w:style w:type="character" w:customStyle="1" w:styleId="ContentsHeadingChar">
    <w:name w:val="Contents Heading Char"/>
    <w:basedOn w:val="Heading1Char"/>
    <w:link w:val="ContentsHeading"/>
    <w:rsid w:val="009215A6"/>
    <w:rPr>
      <w:rFonts w:ascii="Arial" w:eastAsia="Times New Roman" w:hAnsi="Arial" w:cs="Arial"/>
      <w:b/>
      <w:bCs w:val="0"/>
      <w:smallCaps w:val="0"/>
      <w:color w:val="000000"/>
      <w:kern w:val="32"/>
      <w:sz w:val="34"/>
      <w:szCs w:val="34"/>
      <w:lang w:eastAsia="en-AU"/>
    </w:rPr>
  </w:style>
  <w:style w:type="paragraph" w:customStyle="1" w:styleId="PartHeading">
    <w:name w:val="Part Heading"/>
    <w:basedOn w:val="Heading1"/>
    <w:next w:val="Normal"/>
    <w:qFormat/>
    <w:rsid w:val="009215A6"/>
    <w:pPr>
      <w:spacing w:after="0"/>
    </w:pPr>
    <w:rPr>
      <w:smallCaps/>
      <w:kern w:val="28"/>
    </w:rPr>
  </w:style>
  <w:style w:type="character" w:customStyle="1" w:styleId="Heading1Char">
    <w:name w:val="Heading 1 Char"/>
    <w:basedOn w:val="DefaultParagraphFont"/>
    <w:link w:val="Heading1"/>
    <w:rsid w:val="001432F3"/>
    <w:rPr>
      <w:rFonts w:ascii="Arial Bold" w:eastAsia="Times New Roman" w:hAnsi="Arial Bold"/>
      <w:b/>
      <w:kern w:val="34"/>
      <w:sz w:val="36"/>
      <w:lang w:eastAsia="en-AU"/>
    </w:rPr>
  </w:style>
  <w:style w:type="paragraph" w:customStyle="1" w:styleId="EntitySubtitle">
    <w:name w:val="Entity Subtitle"/>
    <w:basedOn w:val="Normal"/>
    <w:link w:val="EntitySubtitleChar"/>
    <w:qFormat/>
    <w:rsid w:val="000D22DB"/>
    <w:pPr>
      <w:keepNext/>
      <w:tabs>
        <w:tab w:val="left" w:pos="5830"/>
      </w:tabs>
      <w:spacing w:before="440"/>
      <w:ind w:right="-68"/>
      <w:jc w:val="center"/>
    </w:pPr>
    <w:rPr>
      <w:rFonts w:ascii="Arial Bold" w:hAnsi="Arial Bold" w:cs="Arial"/>
      <w:b/>
      <w:bCs/>
      <w:sz w:val="52"/>
      <w:szCs w:val="56"/>
    </w:rPr>
  </w:style>
  <w:style w:type="character" w:customStyle="1" w:styleId="EntitySubtitleChar">
    <w:name w:val="Entity Subtitle Char"/>
    <w:basedOn w:val="DefaultParagraphFont"/>
    <w:link w:val="EntitySubtitle"/>
    <w:rsid w:val="000D22DB"/>
    <w:rPr>
      <w:rFonts w:ascii="Arial Bold" w:eastAsia="Times New Roman" w:hAnsi="Arial Bold" w:cs="Arial"/>
      <w:b/>
      <w:bCs/>
      <w:sz w:val="52"/>
      <w:szCs w:val="56"/>
    </w:rPr>
  </w:style>
  <w:style w:type="paragraph" w:customStyle="1" w:styleId="TOCHeading1">
    <w:name w:val="TOC Heading1"/>
    <w:basedOn w:val="Normal"/>
    <w:link w:val="ToCHeadingChar"/>
    <w:qFormat/>
    <w:rsid w:val="009215A6"/>
    <w:pPr>
      <w:tabs>
        <w:tab w:val="left" w:pos="1760"/>
        <w:tab w:val="right" w:leader="dot" w:pos="7371"/>
      </w:tabs>
      <w:spacing w:before="180"/>
    </w:pPr>
    <w:rPr>
      <w:rFonts w:ascii="Arial" w:hAnsi="Arial" w:cs="Arial"/>
      <w:b/>
      <w:bCs/>
    </w:rPr>
  </w:style>
  <w:style w:type="character" w:customStyle="1" w:styleId="ToCHeadingChar">
    <w:name w:val="ToC Heading Char"/>
    <w:basedOn w:val="DefaultParagraphFont"/>
    <w:link w:val="TOCHeading1"/>
    <w:rsid w:val="009215A6"/>
    <w:rPr>
      <w:rFonts w:ascii="Arial" w:eastAsia="Times New Roman" w:hAnsi="Arial" w:cs="Arial"/>
      <w:b/>
      <w:bCs/>
      <w:color w:val="000000"/>
      <w:sz w:val="20"/>
      <w:szCs w:val="20"/>
      <w:lang w:eastAsia="en-AU"/>
    </w:rPr>
  </w:style>
  <w:style w:type="paragraph" w:customStyle="1" w:styleId="Bullet">
    <w:name w:val="Bullet"/>
    <w:basedOn w:val="Normal"/>
    <w:rsid w:val="009215A6"/>
    <w:pPr>
      <w:keepNext/>
      <w:keepLines/>
      <w:numPr>
        <w:numId w:val="2"/>
      </w:numPr>
      <w:spacing w:before="60" w:after="60" w:line="300" w:lineRule="auto"/>
      <w:outlineLvl w:val="2"/>
    </w:pPr>
    <w:rPr>
      <w:rFonts w:eastAsiaTheme="minorEastAsia" w:cstheme="minorBidi"/>
      <w:sz w:val="24"/>
      <w:szCs w:val="24"/>
    </w:rPr>
  </w:style>
  <w:style w:type="paragraph" w:customStyle="1" w:styleId="ToCHeading2">
    <w:name w:val="ToC Heading 2"/>
    <w:basedOn w:val="Normal"/>
    <w:link w:val="ToCHeading2Char"/>
    <w:qFormat/>
    <w:rsid w:val="009215A6"/>
    <w:pPr>
      <w:tabs>
        <w:tab w:val="left" w:pos="567"/>
        <w:tab w:val="right" w:leader="dot" w:pos="7371"/>
      </w:tabs>
      <w:spacing w:before="180"/>
    </w:pPr>
    <w:rPr>
      <w:rFonts w:ascii="Arial" w:hAnsi="Arial" w:cs="Arial"/>
      <w:b/>
    </w:rPr>
  </w:style>
  <w:style w:type="character" w:customStyle="1" w:styleId="ToCHeading2Char">
    <w:name w:val="ToC Heading 2 Char"/>
    <w:basedOn w:val="DefaultParagraphFont"/>
    <w:link w:val="ToCHeading2"/>
    <w:rsid w:val="009215A6"/>
    <w:rPr>
      <w:rFonts w:ascii="Arial" w:eastAsia="Times New Roman" w:hAnsi="Arial" w:cs="Arial"/>
      <w:b/>
      <w:color w:val="000000"/>
      <w:sz w:val="20"/>
      <w:szCs w:val="20"/>
      <w:lang w:eastAsia="en-AU"/>
    </w:rPr>
  </w:style>
  <w:style w:type="paragraph" w:customStyle="1" w:styleId="Tablenumberandreference">
    <w:name w:val="Table number and reference"/>
    <w:basedOn w:val="Normal"/>
    <w:qFormat/>
    <w:rsid w:val="009215A6"/>
    <w:rPr>
      <w:rFonts w:ascii="Arial" w:hAnsi="Arial" w:cs="Arial"/>
      <w:b/>
      <w:szCs w:val="18"/>
    </w:rPr>
  </w:style>
  <w:style w:type="paragraph" w:customStyle="1" w:styleId="StyleTableGraphicItalicRed">
    <w:name w:val="Style Table Graphic + Italic Red"/>
    <w:basedOn w:val="Normal"/>
    <w:rsid w:val="009215A6"/>
    <w:pPr>
      <w:spacing w:after="60" w:line="200" w:lineRule="exact"/>
    </w:pPr>
    <w:rPr>
      <w:i/>
      <w:iCs/>
      <w:color w:val="FF0000"/>
    </w:rPr>
  </w:style>
  <w:style w:type="character" w:customStyle="1" w:styleId="Heading2Char">
    <w:name w:val="Heading 2 Char"/>
    <w:basedOn w:val="DefaultParagraphFont"/>
    <w:link w:val="Heading2"/>
    <w:rsid w:val="000D22DB"/>
    <w:rPr>
      <w:rFonts w:ascii="Arial Bold" w:eastAsia="Times New Roman" w:hAnsi="Arial Bold"/>
      <w:b/>
      <w:sz w:val="26"/>
      <w:lang w:eastAsia="en-AU"/>
    </w:rPr>
  </w:style>
  <w:style w:type="character" w:customStyle="1" w:styleId="Heading3Char">
    <w:name w:val="Heading 3 Char"/>
    <w:link w:val="Heading3"/>
    <w:rsid w:val="000D22DB"/>
    <w:rPr>
      <w:rFonts w:ascii="Arial Bold" w:eastAsia="Times New Roman" w:hAnsi="Arial Bold"/>
      <w:b/>
      <w:sz w:val="22"/>
      <w:lang w:eastAsia="en-AU"/>
    </w:rPr>
  </w:style>
  <w:style w:type="character" w:customStyle="1" w:styleId="Heading4Char">
    <w:name w:val="Heading 4 Char"/>
    <w:basedOn w:val="DefaultParagraphFont"/>
    <w:link w:val="Heading4"/>
    <w:rsid w:val="009215A6"/>
    <w:rPr>
      <w:rFonts w:ascii="Arial" w:eastAsia="Times New Roman" w:hAnsi="Arial"/>
      <w:b/>
      <w:color w:val="000000"/>
      <w:sz w:val="22"/>
      <w:szCs w:val="20"/>
      <w:lang w:eastAsia="en-AU"/>
    </w:rPr>
  </w:style>
  <w:style w:type="character" w:customStyle="1" w:styleId="Heading5Char">
    <w:name w:val="Heading 5 Char"/>
    <w:basedOn w:val="DefaultParagraphFont"/>
    <w:link w:val="Heading5"/>
    <w:rsid w:val="009215A6"/>
    <w:rPr>
      <w:rFonts w:ascii="Arial" w:eastAsia="Times New Roman" w:hAnsi="Arial"/>
      <w:b/>
      <w:bCs/>
      <w:iCs/>
      <w:color w:val="000000"/>
      <w:sz w:val="20"/>
      <w:szCs w:val="26"/>
      <w:lang w:eastAsia="en-AU"/>
    </w:rPr>
  </w:style>
  <w:style w:type="character" w:customStyle="1" w:styleId="Heading6Char">
    <w:name w:val="Heading 6 Char"/>
    <w:basedOn w:val="DefaultParagraphFont"/>
    <w:link w:val="Heading6"/>
    <w:rsid w:val="009215A6"/>
    <w:rPr>
      <w:rFonts w:ascii="Book Antiqua" w:eastAsia="Times New Roman" w:hAnsi="Book Antiqua"/>
      <w:b/>
      <w:bCs/>
      <w:i/>
      <w:color w:val="000000"/>
      <w:sz w:val="22"/>
      <w:szCs w:val="22"/>
      <w:lang w:eastAsia="en-AU"/>
    </w:rPr>
  </w:style>
  <w:style w:type="paragraph" w:styleId="TOC1">
    <w:name w:val="toc 1"/>
    <w:next w:val="Normal"/>
    <w:autoRedefine/>
    <w:uiPriority w:val="39"/>
    <w:qFormat/>
    <w:rsid w:val="009215A6"/>
    <w:pPr>
      <w:tabs>
        <w:tab w:val="right" w:leader="dot" w:pos="7371"/>
      </w:tabs>
      <w:spacing w:before="360" w:after="120"/>
    </w:pPr>
    <w:rPr>
      <w:rFonts w:ascii="Arial" w:eastAsia="Times New Roman" w:hAnsi="Arial" w:cs="Arial"/>
      <w:b/>
      <w:bCs/>
      <w:color w:val="000000"/>
    </w:rPr>
  </w:style>
  <w:style w:type="paragraph" w:styleId="TOC2">
    <w:name w:val="toc 2"/>
    <w:next w:val="Normal"/>
    <w:autoRedefine/>
    <w:uiPriority w:val="39"/>
    <w:rsid w:val="009215A6"/>
    <w:pPr>
      <w:tabs>
        <w:tab w:val="left" w:pos="658"/>
        <w:tab w:val="right" w:leader="dot" w:pos="7360"/>
      </w:tabs>
      <w:spacing w:before="60" w:after="120"/>
    </w:pPr>
    <w:rPr>
      <w:rFonts w:ascii="Arial" w:eastAsiaTheme="minorEastAsia" w:hAnsi="Arial" w:cstheme="minorBidi"/>
      <w:noProof/>
      <w:szCs w:val="22"/>
      <w:lang w:eastAsia="en-AU"/>
    </w:rPr>
  </w:style>
  <w:style w:type="paragraph" w:styleId="TOC3">
    <w:name w:val="toc 3"/>
    <w:basedOn w:val="Normal"/>
    <w:next w:val="Normal"/>
    <w:autoRedefine/>
    <w:uiPriority w:val="39"/>
    <w:rsid w:val="009215A6"/>
    <w:pPr>
      <w:tabs>
        <w:tab w:val="right" w:leader="dot" w:pos="7371"/>
      </w:tabs>
      <w:spacing w:before="10" w:after="10"/>
      <w:ind w:left="2694" w:hanging="1843"/>
    </w:pPr>
    <w:rPr>
      <w:rFonts w:ascii="Arial" w:hAnsi="Arial" w:cs="Arial"/>
    </w:rPr>
  </w:style>
  <w:style w:type="paragraph" w:styleId="TOC4">
    <w:name w:val="toc 4"/>
    <w:basedOn w:val="Normal"/>
    <w:next w:val="Normal"/>
    <w:autoRedefine/>
    <w:rsid w:val="009215A6"/>
    <w:pPr>
      <w:spacing w:after="100"/>
      <w:ind w:left="600"/>
    </w:pPr>
  </w:style>
  <w:style w:type="paragraph" w:styleId="FootnoteText">
    <w:name w:val="footnote text"/>
    <w:basedOn w:val="Normal"/>
    <w:link w:val="FootnoteTextChar"/>
    <w:qFormat/>
    <w:rsid w:val="009215A6"/>
    <w:pPr>
      <w:tabs>
        <w:tab w:val="left" w:pos="284"/>
      </w:tabs>
      <w:ind w:left="284" w:hanging="284"/>
    </w:pPr>
    <w:rPr>
      <w:rFonts w:ascii="Arial" w:hAnsi="Arial"/>
      <w:sz w:val="15"/>
    </w:rPr>
  </w:style>
  <w:style w:type="character" w:customStyle="1" w:styleId="FootnoteTextChar">
    <w:name w:val="Footnote Text Char"/>
    <w:basedOn w:val="DefaultParagraphFont"/>
    <w:link w:val="FootnoteText"/>
    <w:rsid w:val="009215A6"/>
    <w:rPr>
      <w:rFonts w:ascii="Arial" w:eastAsia="Times New Roman" w:hAnsi="Arial"/>
      <w:color w:val="000000"/>
      <w:sz w:val="15"/>
      <w:szCs w:val="20"/>
      <w:lang w:eastAsia="en-AU"/>
    </w:rPr>
  </w:style>
  <w:style w:type="paragraph" w:styleId="CommentText">
    <w:name w:val="annotation text"/>
    <w:basedOn w:val="Normal"/>
    <w:link w:val="CommentTextChar"/>
    <w:uiPriority w:val="99"/>
    <w:unhideWhenUsed/>
    <w:rsid w:val="009215A6"/>
  </w:style>
  <w:style w:type="character" w:customStyle="1" w:styleId="CommentTextChar">
    <w:name w:val="Comment Text Char"/>
    <w:basedOn w:val="DefaultParagraphFont"/>
    <w:link w:val="CommentText"/>
    <w:uiPriority w:val="99"/>
    <w:rsid w:val="009215A6"/>
    <w:rPr>
      <w:rFonts w:ascii="Book Antiqua" w:eastAsia="Times New Roman" w:hAnsi="Book Antiqua"/>
      <w:color w:val="000000"/>
      <w:sz w:val="20"/>
      <w:szCs w:val="20"/>
      <w:lang w:eastAsia="en-AU"/>
    </w:rPr>
  </w:style>
  <w:style w:type="paragraph" w:styleId="Header">
    <w:name w:val="header"/>
    <w:basedOn w:val="Normal"/>
    <w:link w:val="HeaderChar"/>
    <w:uiPriority w:val="99"/>
    <w:rsid w:val="009215A6"/>
    <w:pPr>
      <w:tabs>
        <w:tab w:val="center" w:pos="4513"/>
        <w:tab w:val="right" w:pos="9026"/>
      </w:tabs>
    </w:pPr>
  </w:style>
  <w:style w:type="character" w:customStyle="1" w:styleId="HeaderChar">
    <w:name w:val="Header Char"/>
    <w:basedOn w:val="DefaultParagraphFont"/>
    <w:link w:val="Header"/>
    <w:uiPriority w:val="99"/>
    <w:rsid w:val="009215A6"/>
    <w:rPr>
      <w:rFonts w:ascii="Book Antiqua" w:eastAsia="Times New Roman" w:hAnsi="Book Antiqua"/>
      <w:color w:val="000000"/>
      <w:sz w:val="20"/>
      <w:szCs w:val="20"/>
      <w:lang w:eastAsia="en-AU"/>
    </w:rPr>
  </w:style>
  <w:style w:type="paragraph" w:styleId="Footer">
    <w:name w:val="footer"/>
    <w:basedOn w:val="Normal"/>
    <w:link w:val="FooterChar"/>
    <w:uiPriority w:val="99"/>
    <w:rsid w:val="009215A6"/>
    <w:pPr>
      <w:tabs>
        <w:tab w:val="center" w:pos="4513"/>
        <w:tab w:val="right" w:pos="9026"/>
      </w:tabs>
    </w:pPr>
  </w:style>
  <w:style w:type="character" w:customStyle="1" w:styleId="FooterChar">
    <w:name w:val="Footer Char"/>
    <w:basedOn w:val="DefaultParagraphFont"/>
    <w:link w:val="Footer"/>
    <w:uiPriority w:val="99"/>
    <w:rsid w:val="009215A6"/>
    <w:rPr>
      <w:rFonts w:ascii="Book Antiqua" w:eastAsia="Times New Roman" w:hAnsi="Book Antiqua"/>
      <w:color w:val="000000"/>
      <w:sz w:val="20"/>
      <w:szCs w:val="20"/>
      <w:lang w:eastAsia="en-AU"/>
    </w:rPr>
  </w:style>
  <w:style w:type="character" w:styleId="FootnoteReference">
    <w:name w:val="footnote reference"/>
    <w:aliases w:val="(NECG) Footnote Reference"/>
    <w:rsid w:val="009215A6"/>
    <w:rPr>
      <w:rFonts w:ascii="Arial" w:hAnsi="Arial"/>
      <w:sz w:val="15"/>
      <w:vertAlign w:val="superscript"/>
    </w:rPr>
  </w:style>
  <w:style w:type="character" w:styleId="CommentReference">
    <w:name w:val="annotation reference"/>
    <w:basedOn w:val="DefaultParagraphFont"/>
    <w:uiPriority w:val="99"/>
    <w:unhideWhenUsed/>
    <w:rsid w:val="009215A6"/>
    <w:rPr>
      <w:sz w:val="16"/>
      <w:szCs w:val="16"/>
    </w:rPr>
  </w:style>
  <w:style w:type="character" w:styleId="PageNumber">
    <w:name w:val="page number"/>
    <w:rsid w:val="009215A6"/>
    <w:rPr>
      <w:rFonts w:ascii="Arial" w:hAnsi="Arial" w:cs="Arial"/>
    </w:rPr>
  </w:style>
  <w:style w:type="character" w:styleId="Hyperlink">
    <w:name w:val="Hyperlink"/>
    <w:basedOn w:val="DefaultParagraphFont"/>
    <w:uiPriority w:val="99"/>
    <w:unhideWhenUsed/>
    <w:rsid w:val="009215A6"/>
    <w:rPr>
      <w:color w:val="0563C1" w:themeColor="hyperlink"/>
      <w:u w:val="single"/>
    </w:rPr>
  </w:style>
  <w:style w:type="paragraph" w:styleId="CommentSubject">
    <w:name w:val="annotation subject"/>
    <w:basedOn w:val="CommentText"/>
    <w:next w:val="CommentText"/>
    <w:link w:val="CommentSubjectChar"/>
    <w:rsid w:val="009215A6"/>
    <w:rPr>
      <w:b/>
      <w:bCs/>
    </w:rPr>
  </w:style>
  <w:style w:type="character" w:customStyle="1" w:styleId="CommentSubjectChar">
    <w:name w:val="Comment Subject Char"/>
    <w:basedOn w:val="CommentTextChar"/>
    <w:link w:val="CommentSubject"/>
    <w:rsid w:val="009215A6"/>
    <w:rPr>
      <w:rFonts w:ascii="Book Antiqua" w:eastAsia="Times New Roman" w:hAnsi="Book Antiqua"/>
      <w:b/>
      <w:bCs/>
      <w:color w:val="000000"/>
      <w:sz w:val="20"/>
      <w:szCs w:val="20"/>
      <w:lang w:eastAsia="en-AU"/>
    </w:rPr>
  </w:style>
  <w:style w:type="paragraph" w:styleId="BalloonText">
    <w:name w:val="Balloon Text"/>
    <w:basedOn w:val="Normal"/>
    <w:link w:val="BalloonTextChar"/>
    <w:rsid w:val="009215A6"/>
    <w:rPr>
      <w:rFonts w:ascii="Tahoma" w:hAnsi="Tahoma" w:cs="Tahoma"/>
      <w:sz w:val="16"/>
      <w:szCs w:val="16"/>
    </w:rPr>
  </w:style>
  <w:style w:type="character" w:customStyle="1" w:styleId="BalloonTextChar">
    <w:name w:val="Balloon Text Char"/>
    <w:basedOn w:val="DefaultParagraphFont"/>
    <w:link w:val="BalloonText"/>
    <w:rsid w:val="009215A6"/>
    <w:rPr>
      <w:rFonts w:ascii="Tahoma" w:eastAsia="Times New Roman" w:hAnsi="Tahoma" w:cs="Tahoma"/>
      <w:color w:val="000000"/>
      <w:sz w:val="16"/>
      <w:szCs w:val="16"/>
      <w:lang w:eastAsia="en-AU"/>
    </w:rPr>
  </w:style>
  <w:style w:type="table" w:styleId="TableGrid">
    <w:name w:val="Table Grid"/>
    <w:basedOn w:val="TableNormal"/>
    <w:rsid w:val="009215A6"/>
    <w:pPr>
      <w:spacing w:before="120" w:after="120"/>
    </w:pPr>
    <w:rPr>
      <w:rFonts w:ascii="Book Antiqua" w:eastAsia="Times New Roman" w:hAnsi="Book Antiqu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9215A6"/>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215A6"/>
    <w:rPr>
      <w:rFonts w:ascii="Book Antiqua" w:eastAsia="Times New Roman" w:hAnsi="Book Antiqua"/>
      <w:color w:val="000000"/>
      <w:sz w:val="20"/>
      <w:szCs w:val="20"/>
      <w:lang w:eastAsia="en-AU"/>
    </w:rPr>
  </w:style>
  <w:style w:type="paragraph" w:styleId="TOCHeading">
    <w:name w:val="TOC Heading"/>
    <w:basedOn w:val="Heading1"/>
    <w:next w:val="Normal"/>
    <w:uiPriority w:val="39"/>
    <w:semiHidden/>
    <w:unhideWhenUsed/>
    <w:qFormat/>
    <w:rsid w:val="009215A6"/>
    <w:pPr>
      <w:keepLines/>
      <w:spacing w:before="480" w:after="0" w:line="276" w:lineRule="auto"/>
      <w:outlineLvl w:val="9"/>
    </w:pPr>
    <w:rPr>
      <w:rFonts w:asciiTheme="majorHAnsi" w:hAnsiTheme="majorHAnsi" w:cstheme="majorBidi"/>
      <w:smallCaps/>
      <w:color w:val="2E74B5" w:themeColor="accent1" w:themeShade="BF"/>
      <w:kern w:val="0"/>
      <w:sz w:val="28"/>
      <w:szCs w:val="28"/>
      <w:lang w:val="en-US" w:eastAsia="ja-JP"/>
    </w:rPr>
  </w:style>
  <w:style w:type="numbering" w:customStyle="1" w:styleId="NoList1">
    <w:name w:val="No List1"/>
    <w:next w:val="NoList"/>
    <w:uiPriority w:val="99"/>
    <w:semiHidden/>
    <w:unhideWhenUsed/>
    <w:rsid w:val="00232F9B"/>
  </w:style>
  <w:style w:type="paragraph" w:styleId="Revision">
    <w:name w:val="Revision"/>
    <w:hidden/>
    <w:uiPriority w:val="99"/>
    <w:semiHidden/>
    <w:rsid w:val="00232F9B"/>
    <w:rPr>
      <w:rFonts w:ascii="Book Antiqua" w:eastAsia="Times New Roman" w:hAnsi="Book Antiqua"/>
      <w:color w:val="000000"/>
      <w:lang w:eastAsia="en-AU"/>
    </w:rPr>
  </w:style>
  <w:style w:type="paragraph" w:customStyle="1" w:styleId="NormalBookAntiqua">
    <w:name w:val="Normal Book Antiqua"/>
    <w:basedOn w:val="Normal"/>
    <w:qFormat/>
    <w:rsid w:val="001B2EF1"/>
    <w:pPr>
      <w:spacing w:before="40"/>
    </w:pPr>
    <w:rPr>
      <w:rFonts w:cs="Arial"/>
    </w:rPr>
  </w:style>
  <w:style w:type="paragraph" w:customStyle="1" w:styleId="TableParagraph">
    <w:name w:val="Table Paragraph"/>
    <w:basedOn w:val="Normal"/>
    <w:uiPriority w:val="1"/>
    <w:qFormat/>
    <w:rsid w:val="00760E97"/>
    <w:pPr>
      <w:widowControl w:val="0"/>
      <w:autoSpaceDE w:val="0"/>
      <w:autoSpaceDN w:val="0"/>
    </w:pPr>
    <w:rPr>
      <w:rFonts w:eastAsia="Book Antiqua" w:cs="Book Antiqua"/>
      <w:sz w:val="22"/>
      <w:szCs w:val="22"/>
      <w:lang w:val="en-US"/>
    </w:rPr>
  </w:style>
  <w:style w:type="table" w:customStyle="1" w:styleId="TableGrid1">
    <w:name w:val="Table Grid1"/>
    <w:basedOn w:val="TableNormal"/>
    <w:next w:val="TableGrid"/>
    <w:uiPriority w:val="39"/>
    <w:rsid w:val="005C2D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
    <w:qFormat/>
    <w:rsid w:val="00D96B2A"/>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4C6378"/>
    <w:pPr>
      <w:pBdr>
        <w:top w:val="single" w:sz="4" w:space="10" w:color="000000"/>
      </w:pBdr>
      <w:tabs>
        <w:tab w:val="clear" w:pos="4513"/>
        <w:tab w:val="clear" w:pos="9026"/>
        <w:tab w:val="center" w:pos="4153"/>
        <w:tab w:val="right" w:pos="8306"/>
      </w:tabs>
    </w:pPr>
    <w:rPr>
      <w:rFonts w:ascii="Arial" w:hAnsi="Arial"/>
      <w:sz w:val="18"/>
    </w:rPr>
  </w:style>
  <w:style w:type="paragraph" w:customStyle="1" w:styleId="TableHeading">
    <w:name w:val="Table Heading"/>
    <w:basedOn w:val="Normal"/>
    <w:next w:val="TableGraphic"/>
    <w:link w:val="TableHeadingChar"/>
    <w:qFormat/>
    <w:rsid w:val="007D48FE"/>
    <w:pPr>
      <w:keepNext/>
      <w:spacing w:before="120" w:after="20"/>
    </w:pPr>
    <w:rPr>
      <w:rFonts w:ascii="Arial" w:hAnsi="Arial"/>
      <w:b/>
    </w:rPr>
  </w:style>
  <w:style w:type="paragraph" w:customStyle="1" w:styleId="TableGraphic">
    <w:name w:val="Table Graphic"/>
    <w:basedOn w:val="Normal"/>
    <w:next w:val="Normal"/>
    <w:rsid w:val="007D48FE"/>
    <w:pPr>
      <w:ind w:right="-113"/>
    </w:pPr>
  </w:style>
  <w:style w:type="character" w:customStyle="1" w:styleId="TableHeadingChar">
    <w:name w:val="Table Heading Char"/>
    <w:link w:val="TableHeading"/>
    <w:rsid w:val="007D48FE"/>
    <w:rPr>
      <w:rFonts w:ascii="Arial" w:eastAsia="Times New Roman" w:hAnsi="Arial"/>
      <w:b/>
      <w:lang w:eastAsia="en-AU"/>
    </w:rPr>
  </w:style>
  <w:style w:type="character" w:styleId="FollowedHyperlink">
    <w:name w:val="FollowedHyperlink"/>
    <w:basedOn w:val="DefaultParagraphFont"/>
    <w:uiPriority w:val="99"/>
    <w:semiHidden/>
    <w:unhideWhenUsed/>
    <w:rsid w:val="0000272F"/>
    <w:rPr>
      <w:color w:val="954F72" w:themeColor="followedHyperlink"/>
      <w:u w:val="single"/>
    </w:rPr>
  </w:style>
  <w:style w:type="paragraph" w:customStyle="1" w:styleId="Header-Left">
    <w:name w:val="Header -Left"/>
    <w:basedOn w:val="Normal"/>
    <w:link w:val="Header-LeftChar"/>
    <w:uiPriority w:val="13"/>
    <w:qFormat/>
    <w:rsid w:val="001432F3"/>
    <w:pPr>
      <w:pBdr>
        <w:bottom w:val="single" w:sz="4" w:space="1" w:color="auto"/>
      </w:pBdr>
      <w:tabs>
        <w:tab w:val="center" w:pos="4513"/>
        <w:tab w:val="right" w:pos="9026"/>
      </w:tabs>
    </w:pPr>
    <w:rPr>
      <w:rFonts w:ascii="Arial" w:hAnsi="Arial" w:cs="Arial"/>
      <w:sz w:val="18"/>
      <w:szCs w:val="18"/>
    </w:rPr>
  </w:style>
  <w:style w:type="character" w:customStyle="1" w:styleId="Header-LeftChar">
    <w:name w:val="Header -Left Char"/>
    <w:basedOn w:val="DefaultParagraphFont"/>
    <w:link w:val="Header-Left"/>
    <w:uiPriority w:val="13"/>
    <w:locked/>
    <w:rsid w:val="001432F3"/>
    <w:rPr>
      <w:rFonts w:ascii="Arial" w:eastAsia="Times New Roman" w:hAnsi="Arial" w:cs="Arial"/>
      <w:sz w:val="18"/>
      <w:szCs w:val="18"/>
    </w:rPr>
  </w:style>
  <w:style w:type="paragraph" w:styleId="BodyText">
    <w:name w:val="Body Text"/>
    <w:aliases w:val="Body Text Cab,CAB - Body Text,CAB Body Text"/>
    <w:basedOn w:val="Normal"/>
    <w:link w:val="BodyTextChar"/>
    <w:unhideWhenUsed/>
    <w:rsid w:val="000166A3"/>
    <w:pPr>
      <w:spacing w:after="0"/>
    </w:pPr>
    <w:rPr>
      <w:rFonts w:ascii="Times New Roman" w:eastAsiaTheme="minorHAnsi" w:hAnsi="Times New Roman"/>
      <w:color w:val="auto"/>
      <w:sz w:val="20"/>
      <w:szCs w:val="24"/>
      <w:lang w:eastAsia="en-US"/>
    </w:rPr>
  </w:style>
  <w:style w:type="character" w:customStyle="1" w:styleId="BodyTextChar">
    <w:name w:val="Body Text Char"/>
    <w:aliases w:val="Body Text Cab Char,CAB - Body Text Char,CAB Body Text Char"/>
    <w:basedOn w:val="DefaultParagraphFont"/>
    <w:link w:val="BodyText"/>
    <w:rsid w:val="000166A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7920">
      <w:bodyDiv w:val="1"/>
      <w:marLeft w:val="0"/>
      <w:marRight w:val="0"/>
      <w:marTop w:val="0"/>
      <w:marBottom w:val="0"/>
      <w:divBdr>
        <w:top w:val="none" w:sz="0" w:space="0" w:color="auto"/>
        <w:left w:val="none" w:sz="0" w:space="0" w:color="auto"/>
        <w:bottom w:val="none" w:sz="0" w:space="0" w:color="auto"/>
        <w:right w:val="none" w:sz="0" w:space="0" w:color="auto"/>
      </w:divBdr>
    </w:div>
    <w:div w:id="67198135">
      <w:bodyDiv w:val="1"/>
      <w:marLeft w:val="0"/>
      <w:marRight w:val="0"/>
      <w:marTop w:val="0"/>
      <w:marBottom w:val="0"/>
      <w:divBdr>
        <w:top w:val="none" w:sz="0" w:space="0" w:color="auto"/>
        <w:left w:val="none" w:sz="0" w:space="0" w:color="auto"/>
        <w:bottom w:val="none" w:sz="0" w:space="0" w:color="auto"/>
        <w:right w:val="none" w:sz="0" w:space="0" w:color="auto"/>
      </w:divBdr>
    </w:div>
    <w:div w:id="155876160">
      <w:bodyDiv w:val="1"/>
      <w:marLeft w:val="0"/>
      <w:marRight w:val="0"/>
      <w:marTop w:val="0"/>
      <w:marBottom w:val="0"/>
      <w:divBdr>
        <w:top w:val="none" w:sz="0" w:space="0" w:color="auto"/>
        <w:left w:val="none" w:sz="0" w:space="0" w:color="auto"/>
        <w:bottom w:val="none" w:sz="0" w:space="0" w:color="auto"/>
        <w:right w:val="none" w:sz="0" w:space="0" w:color="auto"/>
      </w:divBdr>
    </w:div>
    <w:div w:id="159540423">
      <w:bodyDiv w:val="1"/>
      <w:marLeft w:val="0"/>
      <w:marRight w:val="0"/>
      <w:marTop w:val="0"/>
      <w:marBottom w:val="0"/>
      <w:divBdr>
        <w:top w:val="none" w:sz="0" w:space="0" w:color="auto"/>
        <w:left w:val="none" w:sz="0" w:space="0" w:color="auto"/>
        <w:bottom w:val="none" w:sz="0" w:space="0" w:color="auto"/>
        <w:right w:val="none" w:sz="0" w:space="0" w:color="auto"/>
      </w:divBdr>
    </w:div>
    <w:div w:id="162666887">
      <w:bodyDiv w:val="1"/>
      <w:marLeft w:val="0"/>
      <w:marRight w:val="0"/>
      <w:marTop w:val="0"/>
      <w:marBottom w:val="0"/>
      <w:divBdr>
        <w:top w:val="none" w:sz="0" w:space="0" w:color="auto"/>
        <w:left w:val="none" w:sz="0" w:space="0" w:color="auto"/>
        <w:bottom w:val="none" w:sz="0" w:space="0" w:color="auto"/>
        <w:right w:val="none" w:sz="0" w:space="0" w:color="auto"/>
      </w:divBdr>
    </w:div>
    <w:div w:id="163328824">
      <w:bodyDiv w:val="1"/>
      <w:marLeft w:val="0"/>
      <w:marRight w:val="0"/>
      <w:marTop w:val="0"/>
      <w:marBottom w:val="0"/>
      <w:divBdr>
        <w:top w:val="none" w:sz="0" w:space="0" w:color="auto"/>
        <w:left w:val="none" w:sz="0" w:space="0" w:color="auto"/>
        <w:bottom w:val="none" w:sz="0" w:space="0" w:color="auto"/>
        <w:right w:val="none" w:sz="0" w:space="0" w:color="auto"/>
      </w:divBdr>
    </w:div>
    <w:div w:id="224679827">
      <w:bodyDiv w:val="1"/>
      <w:marLeft w:val="0"/>
      <w:marRight w:val="0"/>
      <w:marTop w:val="0"/>
      <w:marBottom w:val="0"/>
      <w:divBdr>
        <w:top w:val="none" w:sz="0" w:space="0" w:color="auto"/>
        <w:left w:val="none" w:sz="0" w:space="0" w:color="auto"/>
        <w:bottom w:val="none" w:sz="0" w:space="0" w:color="auto"/>
        <w:right w:val="none" w:sz="0" w:space="0" w:color="auto"/>
      </w:divBdr>
    </w:div>
    <w:div w:id="246159720">
      <w:bodyDiv w:val="1"/>
      <w:marLeft w:val="0"/>
      <w:marRight w:val="0"/>
      <w:marTop w:val="0"/>
      <w:marBottom w:val="0"/>
      <w:divBdr>
        <w:top w:val="none" w:sz="0" w:space="0" w:color="auto"/>
        <w:left w:val="none" w:sz="0" w:space="0" w:color="auto"/>
        <w:bottom w:val="none" w:sz="0" w:space="0" w:color="auto"/>
        <w:right w:val="none" w:sz="0" w:space="0" w:color="auto"/>
      </w:divBdr>
    </w:div>
    <w:div w:id="305744453">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40856882">
      <w:bodyDiv w:val="1"/>
      <w:marLeft w:val="0"/>
      <w:marRight w:val="0"/>
      <w:marTop w:val="0"/>
      <w:marBottom w:val="0"/>
      <w:divBdr>
        <w:top w:val="none" w:sz="0" w:space="0" w:color="auto"/>
        <w:left w:val="none" w:sz="0" w:space="0" w:color="auto"/>
        <w:bottom w:val="none" w:sz="0" w:space="0" w:color="auto"/>
        <w:right w:val="none" w:sz="0" w:space="0" w:color="auto"/>
      </w:divBdr>
    </w:div>
    <w:div w:id="374500607">
      <w:bodyDiv w:val="1"/>
      <w:marLeft w:val="0"/>
      <w:marRight w:val="0"/>
      <w:marTop w:val="0"/>
      <w:marBottom w:val="0"/>
      <w:divBdr>
        <w:top w:val="none" w:sz="0" w:space="0" w:color="auto"/>
        <w:left w:val="none" w:sz="0" w:space="0" w:color="auto"/>
        <w:bottom w:val="none" w:sz="0" w:space="0" w:color="auto"/>
        <w:right w:val="none" w:sz="0" w:space="0" w:color="auto"/>
      </w:divBdr>
    </w:div>
    <w:div w:id="392049062">
      <w:bodyDiv w:val="1"/>
      <w:marLeft w:val="0"/>
      <w:marRight w:val="0"/>
      <w:marTop w:val="0"/>
      <w:marBottom w:val="0"/>
      <w:divBdr>
        <w:top w:val="none" w:sz="0" w:space="0" w:color="auto"/>
        <w:left w:val="none" w:sz="0" w:space="0" w:color="auto"/>
        <w:bottom w:val="none" w:sz="0" w:space="0" w:color="auto"/>
        <w:right w:val="none" w:sz="0" w:space="0" w:color="auto"/>
      </w:divBdr>
    </w:div>
    <w:div w:id="398333702">
      <w:bodyDiv w:val="1"/>
      <w:marLeft w:val="0"/>
      <w:marRight w:val="0"/>
      <w:marTop w:val="0"/>
      <w:marBottom w:val="0"/>
      <w:divBdr>
        <w:top w:val="none" w:sz="0" w:space="0" w:color="auto"/>
        <w:left w:val="none" w:sz="0" w:space="0" w:color="auto"/>
        <w:bottom w:val="none" w:sz="0" w:space="0" w:color="auto"/>
        <w:right w:val="none" w:sz="0" w:space="0" w:color="auto"/>
      </w:divBdr>
    </w:div>
    <w:div w:id="410271575">
      <w:bodyDiv w:val="1"/>
      <w:marLeft w:val="0"/>
      <w:marRight w:val="0"/>
      <w:marTop w:val="0"/>
      <w:marBottom w:val="0"/>
      <w:divBdr>
        <w:top w:val="none" w:sz="0" w:space="0" w:color="auto"/>
        <w:left w:val="none" w:sz="0" w:space="0" w:color="auto"/>
        <w:bottom w:val="none" w:sz="0" w:space="0" w:color="auto"/>
        <w:right w:val="none" w:sz="0" w:space="0" w:color="auto"/>
      </w:divBdr>
    </w:div>
    <w:div w:id="420183400">
      <w:bodyDiv w:val="1"/>
      <w:marLeft w:val="0"/>
      <w:marRight w:val="0"/>
      <w:marTop w:val="0"/>
      <w:marBottom w:val="0"/>
      <w:divBdr>
        <w:top w:val="none" w:sz="0" w:space="0" w:color="auto"/>
        <w:left w:val="none" w:sz="0" w:space="0" w:color="auto"/>
        <w:bottom w:val="none" w:sz="0" w:space="0" w:color="auto"/>
        <w:right w:val="none" w:sz="0" w:space="0" w:color="auto"/>
      </w:divBdr>
    </w:div>
    <w:div w:id="431358749">
      <w:bodyDiv w:val="1"/>
      <w:marLeft w:val="0"/>
      <w:marRight w:val="0"/>
      <w:marTop w:val="0"/>
      <w:marBottom w:val="0"/>
      <w:divBdr>
        <w:top w:val="none" w:sz="0" w:space="0" w:color="auto"/>
        <w:left w:val="none" w:sz="0" w:space="0" w:color="auto"/>
        <w:bottom w:val="none" w:sz="0" w:space="0" w:color="auto"/>
        <w:right w:val="none" w:sz="0" w:space="0" w:color="auto"/>
      </w:divBdr>
    </w:div>
    <w:div w:id="444927003">
      <w:bodyDiv w:val="1"/>
      <w:marLeft w:val="0"/>
      <w:marRight w:val="0"/>
      <w:marTop w:val="0"/>
      <w:marBottom w:val="0"/>
      <w:divBdr>
        <w:top w:val="none" w:sz="0" w:space="0" w:color="auto"/>
        <w:left w:val="none" w:sz="0" w:space="0" w:color="auto"/>
        <w:bottom w:val="none" w:sz="0" w:space="0" w:color="auto"/>
        <w:right w:val="none" w:sz="0" w:space="0" w:color="auto"/>
      </w:divBdr>
    </w:div>
    <w:div w:id="451825212">
      <w:bodyDiv w:val="1"/>
      <w:marLeft w:val="0"/>
      <w:marRight w:val="0"/>
      <w:marTop w:val="0"/>
      <w:marBottom w:val="0"/>
      <w:divBdr>
        <w:top w:val="none" w:sz="0" w:space="0" w:color="auto"/>
        <w:left w:val="none" w:sz="0" w:space="0" w:color="auto"/>
        <w:bottom w:val="none" w:sz="0" w:space="0" w:color="auto"/>
        <w:right w:val="none" w:sz="0" w:space="0" w:color="auto"/>
      </w:divBdr>
    </w:div>
    <w:div w:id="452672404">
      <w:bodyDiv w:val="1"/>
      <w:marLeft w:val="0"/>
      <w:marRight w:val="0"/>
      <w:marTop w:val="0"/>
      <w:marBottom w:val="0"/>
      <w:divBdr>
        <w:top w:val="none" w:sz="0" w:space="0" w:color="auto"/>
        <w:left w:val="none" w:sz="0" w:space="0" w:color="auto"/>
        <w:bottom w:val="none" w:sz="0" w:space="0" w:color="auto"/>
        <w:right w:val="none" w:sz="0" w:space="0" w:color="auto"/>
      </w:divBdr>
    </w:div>
    <w:div w:id="457840929">
      <w:bodyDiv w:val="1"/>
      <w:marLeft w:val="0"/>
      <w:marRight w:val="0"/>
      <w:marTop w:val="0"/>
      <w:marBottom w:val="0"/>
      <w:divBdr>
        <w:top w:val="none" w:sz="0" w:space="0" w:color="auto"/>
        <w:left w:val="none" w:sz="0" w:space="0" w:color="auto"/>
        <w:bottom w:val="none" w:sz="0" w:space="0" w:color="auto"/>
        <w:right w:val="none" w:sz="0" w:space="0" w:color="auto"/>
      </w:divBdr>
    </w:div>
    <w:div w:id="468284842">
      <w:bodyDiv w:val="1"/>
      <w:marLeft w:val="0"/>
      <w:marRight w:val="0"/>
      <w:marTop w:val="0"/>
      <w:marBottom w:val="0"/>
      <w:divBdr>
        <w:top w:val="none" w:sz="0" w:space="0" w:color="auto"/>
        <w:left w:val="none" w:sz="0" w:space="0" w:color="auto"/>
        <w:bottom w:val="none" w:sz="0" w:space="0" w:color="auto"/>
        <w:right w:val="none" w:sz="0" w:space="0" w:color="auto"/>
      </w:divBdr>
    </w:div>
    <w:div w:id="471601558">
      <w:bodyDiv w:val="1"/>
      <w:marLeft w:val="0"/>
      <w:marRight w:val="0"/>
      <w:marTop w:val="0"/>
      <w:marBottom w:val="0"/>
      <w:divBdr>
        <w:top w:val="none" w:sz="0" w:space="0" w:color="auto"/>
        <w:left w:val="none" w:sz="0" w:space="0" w:color="auto"/>
        <w:bottom w:val="none" w:sz="0" w:space="0" w:color="auto"/>
        <w:right w:val="none" w:sz="0" w:space="0" w:color="auto"/>
      </w:divBdr>
    </w:div>
    <w:div w:id="543252956">
      <w:bodyDiv w:val="1"/>
      <w:marLeft w:val="0"/>
      <w:marRight w:val="0"/>
      <w:marTop w:val="0"/>
      <w:marBottom w:val="0"/>
      <w:divBdr>
        <w:top w:val="none" w:sz="0" w:space="0" w:color="auto"/>
        <w:left w:val="none" w:sz="0" w:space="0" w:color="auto"/>
        <w:bottom w:val="none" w:sz="0" w:space="0" w:color="auto"/>
        <w:right w:val="none" w:sz="0" w:space="0" w:color="auto"/>
      </w:divBdr>
    </w:div>
    <w:div w:id="669258587">
      <w:bodyDiv w:val="1"/>
      <w:marLeft w:val="0"/>
      <w:marRight w:val="0"/>
      <w:marTop w:val="0"/>
      <w:marBottom w:val="0"/>
      <w:divBdr>
        <w:top w:val="none" w:sz="0" w:space="0" w:color="auto"/>
        <w:left w:val="none" w:sz="0" w:space="0" w:color="auto"/>
        <w:bottom w:val="none" w:sz="0" w:space="0" w:color="auto"/>
        <w:right w:val="none" w:sz="0" w:space="0" w:color="auto"/>
      </w:divBdr>
    </w:div>
    <w:div w:id="681475985">
      <w:bodyDiv w:val="1"/>
      <w:marLeft w:val="0"/>
      <w:marRight w:val="0"/>
      <w:marTop w:val="0"/>
      <w:marBottom w:val="0"/>
      <w:divBdr>
        <w:top w:val="none" w:sz="0" w:space="0" w:color="auto"/>
        <w:left w:val="none" w:sz="0" w:space="0" w:color="auto"/>
        <w:bottom w:val="none" w:sz="0" w:space="0" w:color="auto"/>
        <w:right w:val="none" w:sz="0" w:space="0" w:color="auto"/>
      </w:divBdr>
    </w:div>
    <w:div w:id="682633186">
      <w:bodyDiv w:val="1"/>
      <w:marLeft w:val="0"/>
      <w:marRight w:val="0"/>
      <w:marTop w:val="0"/>
      <w:marBottom w:val="0"/>
      <w:divBdr>
        <w:top w:val="none" w:sz="0" w:space="0" w:color="auto"/>
        <w:left w:val="none" w:sz="0" w:space="0" w:color="auto"/>
        <w:bottom w:val="none" w:sz="0" w:space="0" w:color="auto"/>
        <w:right w:val="none" w:sz="0" w:space="0" w:color="auto"/>
      </w:divBdr>
    </w:div>
    <w:div w:id="703674221">
      <w:bodyDiv w:val="1"/>
      <w:marLeft w:val="0"/>
      <w:marRight w:val="0"/>
      <w:marTop w:val="0"/>
      <w:marBottom w:val="0"/>
      <w:divBdr>
        <w:top w:val="none" w:sz="0" w:space="0" w:color="auto"/>
        <w:left w:val="none" w:sz="0" w:space="0" w:color="auto"/>
        <w:bottom w:val="none" w:sz="0" w:space="0" w:color="auto"/>
        <w:right w:val="none" w:sz="0" w:space="0" w:color="auto"/>
      </w:divBdr>
    </w:div>
    <w:div w:id="707219771">
      <w:bodyDiv w:val="1"/>
      <w:marLeft w:val="0"/>
      <w:marRight w:val="0"/>
      <w:marTop w:val="0"/>
      <w:marBottom w:val="0"/>
      <w:divBdr>
        <w:top w:val="none" w:sz="0" w:space="0" w:color="auto"/>
        <w:left w:val="none" w:sz="0" w:space="0" w:color="auto"/>
        <w:bottom w:val="none" w:sz="0" w:space="0" w:color="auto"/>
        <w:right w:val="none" w:sz="0" w:space="0" w:color="auto"/>
      </w:divBdr>
    </w:div>
    <w:div w:id="755053196">
      <w:bodyDiv w:val="1"/>
      <w:marLeft w:val="0"/>
      <w:marRight w:val="0"/>
      <w:marTop w:val="0"/>
      <w:marBottom w:val="0"/>
      <w:divBdr>
        <w:top w:val="none" w:sz="0" w:space="0" w:color="auto"/>
        <w:left w:val="none" w:sz="0" w:space="0" w:color="auto"/>
        <w:bottom w:val="none" w:sz="0" w:space="0" w:color="auto"/>
        <w:right w:val="none" w:sz="0" w:space="0" w:color="auto"/>
      </w:divBdr>
    </w:div>
    <w:div w:id="774056288">
      <w:bodyDiv w:val="1"/>
      <w:marLeft w:val="0"/>
      <w:marRight w:val="0"/>
      <w:marTop w:val="0"/>
      <w:marBottom w:val="0"/>
      <w:divBdr>
        <w:top w:val="none" w:sz="0" w:space="0" w:color="auto"/>
        <w:left w:val="none" w:sz="0" w:space="0" w:color="auto"/>
        <w:bottom w:val="none" w:sz="0" w:space="0" w:color="auto"/>
        <w:right w:val="none" w:sz="0" w:space="0" w:color="auto"/>
      </w:divBdr>
    </w:div>
    <w:div w:id="798575872">
      <w:bodyDiv w:val="1"/>
      <w:marLeft w:val="0"/>
      <w:marRight w:val="0"/>
      <w:marTop w:val="0"/>
      <w:marBottom w:val="0"/>
      <w:divBdr>
        <w:top w:val="none" w:sz="0" w:space="0" w:color="auto"/>
        <w:left w:val="none" w:sz="0" w:space="0" w:color="auto"/>
        <w:bottom w:val="none" w:sz="0" w:space="0" w:color="auto"/>
        <w:right w:val="none" w:sz="0" w:space="0" w:color="auto"/>
      </w:divBdr>
    </w:div>
    <w:div w:id="834344842">
      <w:bodyDiv w:val="1"/>
      <w:marLeft w:val="0"/>
      <w:marRight w:val="0"/>
      <w:marTop w:val="0"/>
      <w:marBottom w:val="0"/>
      <w:divBdr>
        <w:top w:val="none" w:sz="0" w:space="0" w:color="auto"/>
        <w:left w:val="none" w:sz="0" w:space="0" w:color="auto"/>
        <w:bottom w:val="none" w:sz="0" w:space="0" w:color="auto"/>
        <w:right w:val="none" w:sz="0" w:space="0" w:color="auto"/>
      </w:divBdr>
    </w:div>
    <w:div w:id="877087188">
      <w:bodyDiv w:val="1"/>
      <w:marLeft w:val="0"/>
      <w:marRight w:val="0"/>
      <w:marTop w:val="0"/>
      <w:marBottom w:val="0"/>
      <w:divBdr>
        <w:top w:val="none" w:sz="0" w:space="0" w:color="auto"/>
        <w:left w:val="none" w:sz="0" w:space="0" w:color="auto"/>
        <w:bottom w:val="none" w:sz="0" w:space="0" w:color="auto"/>
        <w:right w:val="none" w:sz="0" w:space="0" w:color="auto"/>
      </w:divBdr>
    </w:div>
    <w:div w:id="878930747">
      <w:bodyDiv w:val="1"/>
      <w:marLeft w:val="0"/>
      <w:marRight w:val="0"/>
      <w:marTop w:val="0"/>
      <w:marBottom w:val="0"/>
      <w:divBdr>
        <w:top w:val="none" w:sz="0" w:space="0" w:color="auto"/>
        <w:left w:val="none" w:sz="0" w:space="0" w:color="auto"/>
        <w:bottom w:val="none" w:sz="0" w:space="0" w:color="auto"/>
        <w:right w:val="none" w:sz="0" w:space="0" w:color="auto"/>
      </w:divBdr>
    </w:div>
    <w:div w:id="881986497">
      <w:bodyDiv w:val="1"/>
      <w:marLeft w:val="0"/>
      <w:marRight w:val="0"/>
      <w:marTop w:val="0"/>
      <w:marBottom w:val="0"/>
      <w:divBdr>
        <w:top w:val="none" w:sz="0" w:space="0" w:color="auto"/>
        <w:left w:val="none" w:sz="0" w:space="0" w:color="auto"/>
        <w:bottom w:val="none" w:sz="0" w:space="0" w:color="auto"/>
        <w:right w:val="none" w:sz="0" w:space="0" w:color="auto"/>
      </w:divBdr>
    </w:div>
    <w:div w:id="885334393">
      <w:bodyDiv w:val="1"/>
      <w:marLeft w:val="0"/>
      <w:marRight w:val="0"/>
      <w:marTop w:val="0"/>
      <w:marBottom w:val="0"/>
      <w:divBdr>
        <w:top w:val="none" w:sz="0" w:space="0" w:color="auto"/>
        <w:left w:val="none" w:sz="0" w:space="0" w:color="auto"/>
        <w:bottom w:val="none" w:sz="0" w:space="0" w:color="auto"/>
        <w:right w:val="none" w:sz="0" w:space="0" w:color="auto"/>
      </w:divBdr>
    </w:div>
    <w:div w:id="900677880">
      <w:bodyDiv w:val="1"/>
      <w:marLeft w:val="0"/>
      <w:marRight w:val="0"/>
      <w:marTop w:val="0"/>
      <w:marBottom w:val="0"/>
      <w:divBdr>
        <w:top w:val="none" w:sz="0" w:space="0" w:color="auto"/>
        <w:left w:val="none" w:sz="0" w:space="0" w:color="auto"/>
        <w:bottom w:val="none" w:sz="0" w:space="0" w:color="auto"/>
        <w:right w:val="none" w:sz="0" w:space="0" w:color="auto"/>
      </w:divBdr>
    </w:div>
    <w:div w:id="946695904">
      <w:bodyDiv w:val="1"/>
      <w:marLeft w:val="0"/>
      <w:marRight w:val="0"/>
      <w:marTop w:val="0"/>
      <w:marBottom w:val="0"/>
      <w:divBdr>
        <w:top w:val="none" w:sz="0" w:space="0" w:color="auto"/>
        <w:left w:val="none" w:sz="0" w:space="0" w:color="auto"/>
        <w:bottom w:val="none" w:sz="0" w:space="0" w:color="auto"/>
        <w:right w:val="none" w:sz="0" w:space="0" w:color="auto"/>
      </w:divBdr>
    </w:div>
    <w:div w:id="986937669">
      <w:bodyDiv w:val="1"/>
      <w:marLeft w:val="0"/>
      <w:marRight w:val="0"/>
      <w:marTop w:val="0"/>
      <w:marBottom w:val="0"/>
      <w:divBdr>
        <w:top w:val="none" w:sz="0" w:space="0" w:color="auto"/>
        <w:left w:val="none" w:sz="0" w:space="0" w:color="auto"/>
        <w:bottom w:val="none" w:sz="0" w:space="0" w:color="auto"/>
        <w:right w:val="none" w:sz="0" w:space="0" w:color="auto"/>
      </w:divBdr>
    </w:div>
    <w:div w:id="1016998664">
      <w:bodyDiv w:val="1"/>
      <w:marLeft w:val="0"/>
      <w:marRight w:val="0"/>
      <w:marTop w:val="0"/>
      <w:marBottom w:val="0"/>
      <w:divBdr>
        <w:top w:val="none" w:sz="0" w:space="0" w:color="auto"/>
        <w:left w:val="none" w:sz="0" w:space="0" w:color="auto"/>
        <w:bottom w:val="none" w:sz="0" w:space="0" w:color="auto"/>
        <w:right w:val="none" w:sz="0" w:space="0" w:color="auto"/>
      </w:divBdr>
    </w:div>
    <w:div w:id="1025252586">
      <w:bodyDiv w:val="1"/>
      <w:marLeft w:val="0"/>
      <w:marRight w:val="0"/>
      <w:marTop w:val="0"/>
      <w:marBottom w:val="0"/>
      <w:divBdr>
        <w:top w:val="none" w:sz="0" w:space="0" w:color="auto"/>
        <w:left w:val="none" w:sz="0" w:space="0" w:color="auto"/>
        <w:bottom w:val="none" w:sz="0" w:space="0" w:color="auto"/>
        <w:right w:val="none" w:sz="0" w:space="0" w:color="auto"/>
      </w:divBdr>
    </w:div>
    <w:div w:id="1030685315">
      <w:bodyDiv w:val="1"/>
      <w:marLeft w:val="0"/>
      <w:marRight w:val="0"/>
      <w:marTop w:val="0"/>
      <w:marBottom w:val="0"/>
      <w:divBdr>
        <w:top w:val="none" w:sz="0" w:space="0" w:color="auto"/>
        <w:left w:val="none" w:sz="0" w:space="0" w:color="auto"/>
        <w:bottom w:val="none" w:sz="0" w:space="0" w:color="auto"/>
        <w:right w:val="none" w:sz="0" w:space="0" w:color="auto"/>
      </w:divBdr>
    </w:div>
    <w:div w:id="1062363765">
      <w:bodyDiv w:val="1"/>
      <w:marLeft w:val="0"/>
      <w:marRight w:val="0"/>
      <w:marTop w:val="0"/>
      <w:marBottom w:val="0"/>
      <w:divBdr>
        <w:top w:val="none" w:sz="0" w:space="0" w:color="auto"/>
        <w:left w:val="none" w:sz="0" w:space="0" w:color="auto"/>
        <w:bottom w:val="none" w:sz="0" w:space="0" w:color="auto"/>
        <w:right w:val="none" w:sz="0" w:space="0" w:color="auto"/>
      </w:divBdr>
    </w:div>
    <w:div w:id="1094742737">
      <w:bodyDiv w:val="1"/>
      <w:marLeft w:val="0"/>
      <w:marRight w:val="0"/>
      <w:marTop w:val="0"/>
      <w:marBottom w:val="0"/>
      <w:divBdr>
        <w:top w:val="none" w:sz="0" w:space="0" w:color="auto"/>
        <w:left w:val="none" w:sz="0" w:space="0" w:color="auto"/>
        <w:bottom w:val="none" w:sz="0" w:space="0" w:color="auto"/>
        <w:right w:val="none" w:sz="0" w:space="0" w:color="auto"/>
      </w:divBdr>
    </w:div>
    <w:div w:id="1205021936">
      <w:bodyDiv w:val="1"/>
      <w:marLeft w:val="0"/>
      <w:marRight w:val="0"/>
      <w:marTop w:val="0"/>
      <w:marBottom w:val="0"/>
      <w:divBdr>
        <w:top w:val="none" w:sz="0" w:space="0" w:color="auto"/>
        <w:left w:val="none" w:sz="0" w:space="0" w:color="auto"/>
        <w:bottom w:val="none" w:sz="0" w:space="0" w:color="auto"/>
        <w:right w:val="none" w:sz="0" w:space="0" w:color="auto"/>
      </w:divBdr>
    </w:div>
    <w:div w:id="1255213356">
      <w:bodyDiv w:val="1"/>
      <w:marLeft w:val="0"/>
      <w:marRight w:val="0"/>
      <w:marTop w:val="0"/>
      <w:marBottom w:val="0"/>
      <w:divBdr>
        <w:top w:val="none" w:sz="0" w:space="0" w:color="auto"/>
        <w:left w:val="none" w:sz="0" w:space="0" w:color="auto"/>
        <w:bottom w:val="none" w:sz="0" w:space="0" w:color="auto"/>
        <w:right w:val="none" w:sz="0" w:space="0" w:color="auto"/>
      </w:divBdr>
    </w:div>
    <w:div w:id="1268270902">
      <w:bodyDiv w:val="1"/>
      <w:marLeft w:val="0"/>
      <w:marRight w:val="0"/>
      <w:marTop w:val="0"/>
      <w:marBottom w:val="0"/>
      <w:divBdr>
        <w:top w:val="none" w:sz="0" w:space="0" w:color="auto"/>
        <w:left w:val="none" w:sz="0" w:space="0" w:color="auto"/>
        <w:bottom w:val="none" w:sz="0" w:space="0" w:color="auto"/>
        <w:right w:val="none" w:sz="0" w:space="0" w:color="auto"/>
      </w:divBdr>
    </w:div>
    <w:div w:id="1274552892">
      <w:bodyDiv w:val="1"/>
      <w:marLeft w:val="0"/>
      <w:marRight w:val="0"/>
      <w:marTop w:val="0"/>
      <w:marBottom w:val="0"/>
      <w:divBdr>
        <w:top w:val="none" w:sz="0" w:space="0" w:color="auto"/>
        <w:left w:val="none" w:sz="0" w:space="0" w:color="auto"/>
        <w:bottom w:val="none" w:sz="0" w:space="0" w:color="auto"/>
        <w:right w:val="none" w:sz="0" w:space="0" w:color="auto"/>
      </w:divBdr>
    </w:div>
    <w:div w:id="1329209246">
      <w:bodyDiv w:val="1"/>
      <w:marLeft w:val="0"/>
      <w:marRight w:val="0"/>
      <w:marTop w:val="0"/>
      <w:marBottom w:val="0"/>
      <w:divBdr>
        <w:top w:val="none" w:sz="0" w:space="0" w:color="auto"/>
        <w:left w:val="none" w:sz="0" w:space="0" w:color="auto"/>
        <w:bottom w:val="none" w:sz="0" w:space="0" w:color="auto"/>
        <w:right w:val="none" w:sz="0" w:space="0" w:color="auto"/>
      </w:divBdr>
    </w:div>
    <w:div w:id="1344672269">
      <w:bodyDiv w:val="1"/>
      <w:marLeft w:val="0"/>
      <w:marRight w:val="0"/>
      <w:marTop w:val="0"/>
      <w:marBottom w:val="0"/>
      <w:divBdr>
        <w:top w:val="none" w:sz="0" w:space="0" w:color="auto"/>
        <w:left w:val="none" w:sz="0" w:space="0" w:color="auto"/>
        <w:bottom w:val="none" w:sz="0" w:space="0" w:color="auto"/>
        <w:right w:val="none" w:sz="0" w:space="0" w:color="auto"/>
      </w:divBdr>
    </w:div>
    <w:div w:id="1348798693">
      <w:bodyDiv w:val="1"/>
      <w:marLeft w:val="0"/>
      <w:marRight w:val="0"/>
      <w:marTop w:val="0"/>
      <w:marBottom w:val="0"/>
      <w:divBdr>
        <w:top w:val="none" w:sz="0" w:space="0" w:color="auto"/>
        <w:left w:val="none" w:sz="0" w:space="0" w:color="auto"/>
        <w:bottom w:val="none" w:sz="0" w:space="0" w:color="auto"/>
        <w:right w:val="none" w:sz="0" w:space="0" w:color="auto"/>
      </w:divBdr>
    </w:div>
    <w:div w:id="1391229354">
      <w:bodyDiv w:val="1"/>
      <w:marLeft w:val="0"/>
      <w:marRight w:val="0"/>
      <w:marTop w:val="0"/>
      <w:marBottom w:val="0"/>
      <w:divBdr>
        <w:top w:val="none" w:sz="0" w:space="0" w:color="auto"/>
        <w:left w:val="none" w:sz="0" w:space="0" w:color="auto"/>
        <w:bottom w:val="none" w:sz="0" w:space="0" w:color="auto"/>
        <w:right w:val="none" w:sz="0" w:space="0" w:color="auto"/>
      </w:divBdr>
    </w:div>
    <w:div w:id="1426414679">
      <w:bodyDiv w:val="1"/>
      <w:marLeft w:val="0"/>
      <w:marRight w:val="0"/>
      <w:marTop w:val="0"/>
      <w:marBottom w:val="0"/>
      <w:divBdr>
        <w:top w:val="none" w:sz="0" w:space="0" w:color="auto"/>
        <w:left w:val="none" w:sz="0" w:space="0" w:color="auto"/>
        <w:bottom w:val="none" w:sz="0" w:space="0" w:color="auto"/>
        <w:right w:val="none" w:sz="0" w:space="0" w:color="auto"/>
      </w:divBdr>
    </w:div>
    <w:div w:id="1475561683">
      <w:bodyDiv w:val="1"/>
      <w:marLeft w:val="0"/>
      <w:marRight w:val="0"/>
      <w:marTop w:val="0"/>
      <w:marBottom w:val="0"/>
      <w:divBdr>
        <w:top w:val="none" w:sz="0" w:space="0" w:color="auto"/>
        <w:left w:val="none" w:sz="0" w:space="0" w:color="auto"/>
        <w:bottom w:val="none" w:sz="0" w:space="0" w:color="auto"/>
        <w:right w:val="none" w:sz="0" w:space="0" w:color="auto"/>
      </w:divBdr>
    </w:div>
    <w:div w:id="1495410421">
      <w:bodyDiv w:val="1"/>
      <w:marLeft w:val="0"/>
      <w:marRight w:val="0"/>
      <w:marTop w:val="0"/>
      <w:marBottom w:val="0"/>
      <w:divBdr>
        <w:top w:val="none" w:sz="0" w:space="0" w:color="auto"/>
        <w:left w:val="none" w:sz="0" w:space="0" w:color="auto"/>
        <w:bottom w:val="none" w:sz="0" w:space="0" w:color="auto"/>
        <w:right w:val="none" w:sz="0" w:space="0" w:color="auto"/>
      </w:divBdr>
    </w:div>
    <w:div w:id="1501699233">
      <w:bodyDiv w:val="1"/>
      <w:marLeft w:val="0"/>
      <w:marRight w:val="0"/>
      <w:marTop w:val="0"/>
      <w:marBottom w:val="0"/>
      <w:divBdr>
        <w:top w:val="none" w:sz="0" w:space="0" w:color="auto"/>
        <w:left w:val="none" w:sz="0" w:space="0" w:color="auto"/>
        <w:bottom w:val="none" w:sz="0" w:space="0" w:color="auto"/>
        <w:right w:val="none" w:sz="0" w:space="0" w:color="auto"/>
      </w:divBdr>
    </w:div>
    <w:div w:id="1503199770">
      <w:bodyDiv w:val="1"/>
      <w:marLeft w:val="0"/>
      <w:marRight w:val="0"/>
      <w:marTop w:val="0"/>
      <w:marBottom w:val="0"/>
      <w:divBdr>
        <w:top w:val="none" w:sz="0" w:space="0" w:color="auto"/>
        <w:left w:val="none" w:sz="0" w:space="0" w:color="auto"/>
        <w:bottom w:val="none" w:sz="0" w:space="0" w:color="auto"/>
        <w:right w:val="none" w:sz="0" w:space="0" w:color="auto"/>
      </w:divBdr>
    </w:div>
    <w:div w:id="1505777332">
      <w:bodyDiv w:val="1"/>
      <w:marLeft w:val="0"/>
      <w:marRight w:val="0"/>
      <w:marTop w:val="0"/>
      <w:marBottom w:val="0"/>
      <w:divBdr>
        <w:top w:val="none" w:sz="0" w:space="0" w:color="auto"/>
        <w:left w:val="none" w:sz="0" w:space="0" w:color="auto"/>
        <w:bottom w:val="none" w:sz="0" w:space="0" w:color="auto"/>
        <w:right w:val="none" w:sz="0" w:space="0" w:color="auto"/>
      </w:divBdr>
    </w:div>
    <w:div w:id="1558008010">
      <w:bodyDiv w:val="1"/>
      <w:marLeft w:val="0"/>
      <w:marRight w:val="0"/>
      <w:marTop w:val="0"/>
      <w:marBottom w:val="0"/>
      <w:divBdr>
        <w:top w:val="none" w:sz="0" w:space="0" w:color="auto"/>
        <w:left w:val="none" w:sz="0" w:space="0" w:color="auto"/>
        <w:bottom w:val="none" w:sz="0" w:space="0" w:color="auto"/>
        <w:right w:val="none" w:sz="0" w:space="0" w:color="auto"/>
      </w:divBdr>
    </w:div>
    <w:div w:id="1618682073">
      <w:bodyDiv w:val="1"/>
      <w:marLeft w:val="0"/>
      <w:marRight w:val="0"/>
      <w:marTop w:val="0"/>
      <w:marBottom w:val="0"/>
      <w:divBdr>
        <w:top w:val="none" w:sz="0" w:space="0" w:color="auto"/>
        <w:left w:val="none" w:sz="0" w:space="0" w:color="auto"/>
        <w:bottom w:val="none" w:sz="0" w:space="0" w:color="auto"/>
        <w:right w:val="none" w:sz="0" w:space="0" w:color="auto"/>
      </w:divBdr>
    </w:div>
    <w:div w:id="1667437002">
      <w:bodyDiv w:val="1"/>
      <w:marLeft w:val="0"/>
      <w:marRight w:val="0"/>
      <w:marTop w:val="0"/>
      <w:marBottom w:val="0"/>
      <w:divBdr>
        <w:top w:val="none" w:sz="0" w:space="0" w:color="auto"/>
        <w:left w:val="none" w:sz="0" w:space="0" w:color="auto"/>
        <w:bottom w:val="none" w:sz="0" w:space="0" w:color="auto"/>
        <w:right w:val="none" w:sz="0" w:space="0" w:color="auto"/>
      </w:divBdr>
    </w:div>
    <w:div w:id="1677073934">
      <w:bodyDiv w:val="1"/>
      <w:marLeft w:val="0"/>
      <w:marRight w:val="0"/>
      <w:marTop w:val="0"/>
      <w:marBottom w:val="0"/>
      <w:divBdr>
        <w:top w:val="none" w:sz="0" w:space="0" w:color="auto"/>
        <w:left w:val="none" w:sz="0" w:space="0" w:color="auto"/>
        <w:bottom w:val="none" w:sz="0" w:space="0" w:color="auto"/>
        <w:right w:val="none" w:sz="0" w:space="0" w:color="auto"/>
      </w:divBdr>
    </w:div>
    <w:div w:id="1699816885">
      <w:bodyDiv w:val="1"/>
      <w:marLeft w:val="0"/>
      <w:marRight w:val="0"/>
      <w:marTop w:val="0"/>
      <w:marBottom w:val="0"/>
      <w:divBdr>
        <w:top w:val="none" w:sz="0" w:space="0" w:color="auto"/>
        <w:left w:val="none" w:sz="0" w:space="0" w:color="auto"/>
        <w:bottom w:val="none" w:sz="0" w:space="0" w:color="auto"/>
        <w:right w:val="none" w:sz="0" w:space="0" w:color="auto"/>
      </w:divBdr>
    </w:div>
    <w:div w:id="1704284194">
      <w:bodyDiv w:val="1"/>
      <w:marLeft w:val="0"/>
      <w:marRight w:val="0"/>
      <w:marTop w:val="0"/>
      <w:marBottom w:val="0"/>
      <w:divBdr>
        <w:top w:val="none" w:sz="0" w:space="0" w:color="auto"/>
        <w:left w:val="none" w:sz="0" w:space="0" w:color="auto"/>
        <w:bottom w:val="none" w:sz="0" w:space="0" w:color="auto"/>
        <w:right w:val="none" w:sz="0" w:space="0" w:color="auto"/>
      </w:divBdr>
    </w:div>
    <w:div w:id="1717703884">
      <w:bodyDiv w:val="1"/>
      <w:marLeft w:val="0"/>
      <w:marRight w:val="0"/>
      <w:marTop w:val="0"/>
      <w:marBottom w:val="0"/>
      <w:divBdr>
        <w:top w:val="none" w:sz="0" w:space="0" w:color="auto"/>
        <w:left w:val="none" w:sz="0" w:space="0" w:color="auto"/>
        <w:bottom w:val="none" w:sz="0" w:space="0" w:color="auto"/>
        <w:right w:val="none" w:sz="0" w:space="0" w:color="auto"/>
      </w:divBdr>
    </w:div>
    <w:div w:id="1762483089">
      <w:bodyDiv w:val="1"/>
      <w:marLeft w:val="0"/>
      <w:marRight w:val="0"/>
      <w:marTop w:val="0"/>
      <w:marBottom w:val="0"/>
      <w:divBdr>
        <w:top w:val="none" w:sz="0" w:space="0" w:color="auto"/>
        <w:left w:val="none" w:sz="0" w:space="0" w:color="auto"/>
        <w:bottom w:val="none" w:sz="0" w:space="0" w:color="auto"/>
        <w:right w:val="none" w:sz="0" w:space="0" w:color="auto"/>
      </w:divBdr>
    </w:div>
    <w:div w:id="1770810733">
      <w:bodyDiv w:val="1"/>
      <w:marLeft w:val="0"/>
      <w:marRight w:val="0"/>
      <w:marTop w:val="0"/>
      <w:marBottom w:val="0"/>
      <w:divBdr>
        <w:top w:val="none" w:sz="0" w:space="0" w:color="auto"/>
        <w:left w:val="none" w:sz="0" w:space="0" w:color="auto"/>
        <w:bottom w:val="none" w:sz="0" w:space="0" w:color="auto"/>
        <w:right w:val="none" w:sz="0" w:space="0" w:color="auto"/>
      </w:divBdr>
    </w:div>
    <w:div w:id="1796823630">
      <w:bodyDiv w:val="1"/>
      <w:marLeft w:val="0"/>
      <w:marRight w:val="0"/>
      <w:marTop w:val="0"/>
      <w:marBottom w:val="0"/>
      <w:divBdr>
        <w:top w:val="none" w:sz="0" w:space="0" w:color="auto"/>
        <w:left w:val="none" w:sz="0" w:space="0" w:color="auto"/>
        <w:bottom w:val="none" w:sz="0" w:space="0" w:color="auto"/>
        <w:right w:val="none" w:sz="0" w:space="0" w:color="auto"/>
      </w:divBdr>
    </w:div>
    <w:div w:id="1799252851">
      <w:bodyDiv w:val="1"/>
      <w:marLeft w:val="0"/>
      <w:marRight w:val="0"/>
      <w:marTop w:val="0"/>
      <w:marBottom w:val="0"/>
      <w:divBdr>
        <w:top w:val="none" w:sz="0" w:space="0" w:color="auto"/>
        <w:left w:val="none" w:sz="0" w:space="0" w:color="auto"/>
        <w:bottom w:val="none" w:sz="0" w:space="0" w:color="auto"/>
        <w:right w:val="none" w:sz="0" w:space="0" w:color="auto"/>
      </w:divBdr>
    </w:div>
    <w:div w:id="1806121826">
      <w:bodyDiv w:val="1"/>
      <w:marLeft w:val="0"/>
      <w:marRight w:val="0"/>
      <w:marTop w:val="0"/>
      <w:marBottom w:val="0"/>
      <w:divBdr>
        <w:top w:val="none" w:sz="0" w:space="0" w:color="auto"/>
        <w:left w:val="none" w:sz="0" w:space="0" w:color="auto"/>
        <w:bottom w:val="none" w:sz="0" w:space="0" w:color="auto"/>
        <w:right w:val="none" w:sz="0" w:space="0" w:color="auto"/>
      </w:divBdr>
    </w:div>
    <w:div w:id="1816604318">
      <w:bodyDiv w:val="1"/>
      <w:marLeft w:val="0"/>
      <w:marRight w:val="0"/>
      <w:marTop w:val="0"/>
      <w:marBottom w:val="0"/>
      <w:divBdr>
        <w:top w:val="none" w:sz="0" w:space="0" w:color="auto"/>
        <w:left w:val="none" w:sz="0" w:space="0" w:color="auto"/>
        <w:bottom w:val="none" w:sz="0" w:space="0" w:color="auto"/>
        <w:right w:val="none" w:sz="0" w:space="0" w:color="auto"/>
      </w:divBdr>
    </w:div>
    <w:div w:id="1823890602">
      <w:bodyDiv w:val="1"/>
      <w:marLeft w:val="0"/>
      <w:marRight w:val="0"/>
      <w:marTop w:val="0"/>
      <w:marBottom w:val="0"/>
      <w:divBdr>
        <w:top w:val="none" w:sz="0" w:space="0" w:color="auto"/>
        <w:left w:val="none" w:sz="0" w:space="0" w:color="auto"/>
        <w:bottom w:val="none" w:sz="0" w:space="0" w:color="auto"/>
        <w:right w:val="none" w:sz="0" w:space="0" w:color="auto"/>
      </w:divBdr>
    </w:div>
    <w:div w:id="1869563040">
      <w:bodyDiv w:val="1"/>
      <w:marLeft w:val="0"/>
      <w:marRight w:val="0"/>
      <w:marTop w:val="0"/>
      <w:marBottom w:val="0"/>
      <w:divBdr>
        <w:top w:val="none" w:sz="0" w:space="0" w:color="auto"/>
        <w:left w:val="none" w:sz="0" w:space="0" w:color="auto"/>
        <w:bottom w:val="none" w:sz="0" w:space="0" w:color="auto"/>
        <w:right w:val="none" w:sz="0" w:space="0" w:color="auto"/>
      </w:divBdr>
    </w:div>
    <w:div w:id="1872523825">
      <w:bodyDiv w:val="1"/>
      <w:marLeft w:val="0"/>
      <w:marRight w:val="0"/>
      <w:marTop w:val="0"/>
      <w:marBottom w:val="0"/>
      <w:divBdr>
        <w:top w:val="none" w:sz="0" w:space="0" w:color="auto"/>
        <w:left w:val="none" w:sz="0" w:space="0" w:color="auto"/>
        <w:bottom w:val="none" w:sz="0" w:space="0" w:color="auto"/>
        <w:right w:val="none" w:sz="0" w:space="0" w:color="auto"/>
      </w:divBdr>
    </w:div>
    <w:div w:id="1896505914">
      <w:bodyDiv w:val="1"/>
      <w:marLeft w:val="0"/>
      <w:marRight w:val="0"/>
      <w:marTop w:val="0"/>
      <w:marBottom w:val="0"/>
      <w:divBdr>
        <w:top w:val="none" w:sz="0" w:space="0" w:color="auto"/>
        <w:left w:val="none" w:sz="0" w:space="0" w:color="auto"/>
        <w:bottom w:val="none" w:sz="0" w:space="0" w:color="auto"/>
        <w:right w:val="none" w:sz="0" w:space="0" w:color="auto"/>
      </w:divBdr>
    </w:div>
    <w:div w:id="1903516930">
      <w:bodyDiv w:val="1"/>
      <w:marLeft w:val="0"/>
      <w:marRight w:val="0"/>
      <w:marTop w:val="0"/>
      <w:marBottom w:val="0"/>
      <w:divBdr>
        <w:top w:val="none" w:sz="0" w:space="0" w:color="auto"/>
        <w:left w:val="none" w:sz="0" w:space="0" w:color="auto"/>
        <w:bottom w:val="none" w:sz="0" w:space="0" w:color="auto"/>
        <w:right w:val="none" w:sz="0" w:space="0" w:color="auto"/>
      </w:divBdr>
    </w:div>
    <w:div w:id="1911965075">
      <w:bodyDiv w:val="1"/>
      <w:marLeft w:val="0"/>
      <w:marRight w:val="0"/>
      <w:marTop w:val="0"/>
      <w:marBottom w:val="0"/>
      <w:divBdr>
        <w:top w:val="none" w:sz="0" w:space="0" w:color="auto"/>
        <w:left w:val="none" w:sz="0" w:space="0" w:color="auto"/>
        <w:bottom w:val="none" w:sz="0" w:space="0" w:color="auto"/>
        <w:right w:val="none" w:sz="0" w:space="0" w:color="auto"/>
      </w:divBdr>
    </w:div>
    <w:div w:id="1927807511">
      <w:bodyDiv w:val="1"/>
      <w:marLeft w:val="0"/>
      <w:marRight w:val="0"/>
      <w:marTop w:val="0"/>
      <w:marBottom w:val="0"/>
      <w:divBdr>
        <w:top w:val="none" w:sz="0" w:space="0" w:color="auto"/>
        <w:left w:val="none" w:sz="0" w:space="0" w:color="auto"/>
        <w:bottom w:val="none" w:sz="0" w:space="0" w:color="auto"/>
        <w:right w:val="none" w:sz="0" w:space="0" w:color="auto"/>
      </w:divBdr>
    </w:div>
    <w:div w:id="1963921847">
      <w:bodyDiv w:val="1"/>
      <w:marLeft w:val="0"/>
      <w:marRight w:val="0"/>
      <w:marTop w:val="0"/>
      <w:marBottom w:val="0"/>
      <w:divBdr>
        <w:top w:val="none" w:sz="0" w:space="0" w:color="auto"/>
        <w:left w:val="none" w:sz="0" w:space="0" w:color="auto"/>
        <w:bottom w:val="none" w:sz="0" w:space="0" w:color="auto"/>
        <w:right w:val="none" w:sz="0" w:space="0" w:color="auto"/>
      </w:divBdr>
    </w:div>
    <w:div w:id="1989891870">
      <w:bodyDiv w:val="1"/>
      <w:marLeft w:val="0"/>
      <w:marRight w:val="0"/>
      <w:marTop w:val="0"/>
      <w:marBottom w:val="0"/>
      <w:divBdr>
        <w:top w:val="none" w:sz="0" w:space="0" w:color="auto"/>
        <w:left w:val="none" w:sz="0" w:space="0" w:color="auto"/>
        <w:bottom w:val="none" w:sz="0" w:space="0" w:color="auto"/>
        <w:right w:val="none" w:sz="0" w:space="0" w:color="auto"/>
      </w:divBdr>
    </w:div>
    <w:div w:id="2076472407">
      <w:bodyDiv w:val="1"/>
      <w:marLeft w:val="0"/>
      <w:marRight w:val="0"/>
      <w:marTop w:val="0"/>
      <w:marBottom w:val="0"/>
      <w:divBdr>
        <w:top w:val="none" w:sz="0" w:space="0" w:color="auto"/>
        <w:left w:val="none" w:sz="0" w:space="0" w:color="auto"/>
        <w:bottom w:val="none" w:sz="0" w:space="0" w:color="auto"/>
        <w:right w:val="none" w:sz="0" w:space="0" w:color="auto"/>
      </w:divBdr>
    </w:div>
    <w:div w:id="2088766825">
      <w:bodyDiv w:val="1"/>
      <w:marLeft w:val="0"/>
      <w:marRight w:val="0"/>
      <w:marTop w:val="0"/>
      <w:marBottom w:val="0"/>
      <w:divBdr>
        <w:top w:val="none" w:sz="0" w:space="0" w:color="auto"/>
        <w:left w:val="none" w:sz="0" w:space="0" w:color="auto"/>
        <w:bottom w:val="none" w:sz="0" w:space="0" w:color="auto"/>
        <w:right w:val="none" w:sz="0" w:space="0" w:color="auto"/>
      </w:divBdr>
    </w:div>
    <w:div w:id="2123842109">
      <w:bodyDiv w:val="1"/>
      <w:marLeft w:val="0"/>
      <w:marRight w:val="0"/>
      <w:marTop w:val="0"/>
      <w:marBottom w:val="0"/>
      <w:divBdr>
        <w:top w:val="none" w:sz="0" w:space="0" w:color="auto"/>
        <w:left w:val="none" w:sz="0" w:space="0" w:color="auto"/>
        <w:bottom w:val="none" w:sz="0" w:space="0" w:color="auto"/>
        <w:right w:val="none" w:sz="0" w:space="0" w:color="auto"/>
      </w:divBdr>
    </w:div>
    <w:div w:id="2132434956">
      <w:bodyDiv w:val="1"/>
      <w:marLeft w:val="0"/>
      <w:marRight w:val="0"/>
      <w:marTop w:val="0"/>
      <w:marBottom w:val="0"/>
      <w:divBdr>
        <w:top w:val="none" w:sz="0" w:space="0" w:color="auto"/>
        <w:left w:val="none" w:sz="0" w:space="0" w:color="auto"/>
        <w:bottom w:val="none" w:sz="0" w:space="0" w:color="auto"/>
        <w:right w:val="none" w:sz="0" w:space="0" w:color="auto"/>
      </w:divBdr>
    </w:div>
    <w:div w:id="2133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BC5A-A30F-4090-8827-ECA65E73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30</Pages>
  <Words>7021</Words>
  <Characters>40023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Entity resources and planned performance</dc:title>
  <dc:subject>About the department</dc:subject>
  <dc:creator>Australian Government Department of Health and Aged Care</dc:creator>
  <cp:keywords>Budget 2023–24</cp:keywords>
  <dc:description/>
  <cp:lastModifiedBy>McCay, Meryl</cp:lastModifiedBy>
  <cp:revision>176</cp:revision>
  <cp:lastPrinted>2023-05-07T16:19:00Z</cp:lastPrinted>
  <dcterms:created xsi:type="dcterms:W3CDTF">2021-02-16T23:32:00Z</dcterms:created>
  <dcterms:modified xsi:type="dcterms:W3CDTF">2023-05-09T02:30:00Z</dcterms:modified>
</cp:coreProperties>
</file>