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63445" w14:textId="77777777" w:rsidR="00D8358A" w:rsidRPr="003E3A6A" w:rsidRDefault="00D8358A" w:rsidP="00677B39">
      <w:pPr>
        <w:pStyle w:val="Title"/>
        <w:ind w:left="2977"/>
        <w:jc w:val="left"/>
        <w:rPr>
          <w:rFonts w:asciiTheme="minorHAnsi" w:hAnsiTheme="minorHAnsi" w:cstheme="minorHAnsi"/>
          <w:szCs w:val="48"/>
        </w:rPr>
      </w:pPr>
      <w:r w:rsidRPr="003E3A6A">
        <w:rPr>
          <w:rFonts w:asciiTheme="minorHAnsi" w:hAnsiTheme="minorHAnsi" w:cstheme="minorHAnsi"/>
          <w:noProof/>
          <w:color w:val="000000"/>
          <w:szCs w:val="48"/>
        </w:rPr>
        <w:drawing>
          <wp:anchor distT="0" distB="0" distL="114300" distR="114300" simplePos="0" relativeHeight="251659264" behindDoc="1" locked="0" layoutInCell="1" allowOverlap="1" wp14:anchorId="4E1D9D86" wp14:editId="6130F32C">
            <wp:simplePos x="0" y="0"/>
            <wp:positionH relativeFrom="page">
              <wp:align>left</wp:align>
            </wp:positionH>
            <wp:positionV relativeFrom="paragraph">
              <wp:posOffset>-892175</wp:posOffset>
            </wp:positionV>
            <wp:extent cx="2875280" cy="10972800"/>
            <wp:effectExtent l="0" t="0" r="127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rotWithShape="1">
                    <a:blip r:embed="rId11">
                      <a:alphaModFix amt="74000"/>
                      <a:extLst>
                        <a:ext uri="{28A0092B-C50C-407E-A947-70E740481C1C}">
                          <a14:useLocalDpi xmlns:a14="http://schemas.microsoft.com/office/drawing/2010/main" val="0"/>
                        </a:ext>
                      </a:extLst>
                    </a:blip>
                    <a:srcRect r="69144"/>
                    <a:stretch/>
                  </pic:blipFill>
                  <pic:spPr bwMode="auto">
                    <a:xfrm>
                      <a:off x="0" y="0"/>
                      <a:ext cx="2875280" cy="1097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3A6A">
        <w:rPr>
          <w:rFonts w:asciiTheme="minorHAnsi" w:hAnsiTheme="minorHAnsi" w:cstheme="minorHAnsi"/>
          <w:szCs w:val="48"/>
        </w:rPr>
        <w:t>MBS Review Advisory Committee</w:t>
      </w:r>
    </w:p>
    <w:p w14:paraId="1FEAB07A" w14:textId="77777777" w:rsidR="00677B39" w:rsidRPr="003E3A6A" w:rsidRDefault="00677B39" w:rsidP="00677B39">
      <w:pPr>
        <w:rPr>
          <w:sz w:val="48"/>
          <w:szCs w:val="48"/>
        </w:rPr>
      </w:pPr>
    </w:p>
    <w:p w14:paraId="102AAA4F" w14:textId="7A3F8E16" w:rsidR="00D8358A" w:rsidRPr="003E3A6A" w:rsidRDefault="00D8358A" w:rsidP="00677B39">
      <w:pPr>
        <w:pStyle w:val="Title"/>
        <w:ind w:left="2977"/>
        <w:jc w:val="left"/>
        <w:rPr>
          <w:rFonts w:asciiTheme="minorHAnsi" w:hAnsiTheme="minorHAnsi" w:cstheme="minorHAnsi"/>
          <w:szCs w:val="48"/>
        </w:rPr>
      </w:pPr>
      <w:r w:rsidRPr="003E3A6A">
        <w:rPr>
          <w:rFonts w:asciiTheme="minorHAnsi" w:hAnsiTheme="minorHAnsi" w:cstheme="minorHAnsi"/>
          <w:szCs w:val="48"/>
        </w:rPr>
        <w:t xml:space="preserve">Genetic Counselling </w:t>
      </w:r>
    </w:p>
    <w:p w14:paraId="4FD44BCD" w14:textId="77777777" w:rsidR="00D8358A" w:rsidRDefault="00D8358A" w:rsidP="00D8358A">
      <w:pPr>
        <w:pStyle w:val="Subtitle"/>
      </w:pPr>
    </w:p>
    <w:p w14:paraId="1E6CCCAB" w14:textId="77777777" w:rsidR="00D8358A" w:rsidRDefault="00D8358A" w:rsidP="00D8358A">
      <w:pPr>
        <w:pStyle w:val="Subtitle"/>
      </w:pPr>
    </w:p>
    <w:p w14:paraId="4EF483C1" w14:textId="77777777" w:rsidR="00D8358A" w:rsidRDefault="00D8358A" w:rsidP="00D8358A">
      <w:pPr>
        <w:pStyle w:val="Subtitle"/>
      </w:pPr>
    </w:p>
    <w:p w14:paraId="156F4F78" w14:textId="77777777" w:rsidR="00D8358A" w:rsidRDefault="00D8358A" w:rsidP="00D8358A">
      <w:pPr>
        <w:pStyle w:val="Subtitle"/>
      </w:pPr>
    </w:p>
    <w:p w14:paraId="6A486597" w14:textId="77777777" w:rsidR="00D8358A" w:rsidRDefault="00D8358A" w:rsidP="00D8358A">
      <w:pPr>
        <w:pStyle w:val="Subtitle"/>
      </w:pPr>
    </w:p>
    <w:p w14:paraId="766E3821" w14:textId="77777777" w:rsidR="00D8358A" w:rsidRDefault="00D8358A" w:rsidP="00D8358A">
      <w:pPr>
        <w:pStyle w:val="Subtitle"/>
      </w:pPr>
    </w:p>
    <w:p w14:paraId="7D6C47DD" w14:textId="77777777" w:rsidR="00D8358A" w:rsidRDefault="00D8358A" w:rsidP="00D8358A">
      <w:pPr>
        <w:pStyle w:val="Subtitle"/>
      </w:pPr>
    </w:p>
    <w:p w14:paraId="3E0DEF7B" w14:textId="77777777" w:rsidR="00D8358A" w:rsidRDefault="00D8358A" w:rsidP="00D8358A">
      <w:pPr>
        <w:pStyle w:val="Subtitle"/>
      </w:pPr>
    </w:p>
    <w:p w14:paraId="37A927D0" w14:textId="77777777" w:rsidR="00D8358A" w:rsidRDefault="00D8358A" w:rsidP="00D8358A">
      <w:pPr>
        <w:pStyle w:val="Subtitle"/>
      </w:pPr>
    </w:p>
    <w:p w14:paraId="6F692024" w14:textId="77777777" w:rsidR="00D8358A" w:rsidRDefault="00D8358A" w:rsidP="00D8358A">
      <w:pPr>
        <w:pStyle w:val="Subtitle"/>
      </w:pPr>
    </w:p>
    <w:p w14:paraId="1E50D68C" w14:textId="77777777" w:rsidR="00D8358A" w:rsidRDefault="00D8358A" w:rsidP="00D8358A"/>
    <w:p w14:paraId="1E43897C" w14:textId="77777777" w:rsidR="00D8358A" w:rsidRPr="00A40920" w:rsidRDefault="00D8358A" w:rsidP="00D8358A"/>
    <w:p w14:paraId="1FFE1E9C" w14:textId="77777777" w:rsidR="00D8358A" w:rsidRPr="00677B39" w:rsidRDefault="00D8358A" w:rsidP="00677B39">
      <w:pPr>
        <w:pStyle w:val="Subtitle"/>
        <w:ind w:left="2977"/>
        <w:jc w:val="left"/>
        <w:rPr>
          <w:b w:val="0"/>
          <w:bCs/>
        </w:rPr>
      </w:pPr>
      <w:r w:rsidRPr="00677B39">
        <w:rPr>
          <w:b w:val="0"/>
          <w:bCs/>
        </w:rPr>
        <w:t xml:space="preserve">Final Report </w:t>
      </w:r>
    </w:p>
    <w:p w14:paraId="72E901DD" w14:textId="77777777" w:rsidR="00D8358A" w:rsidRPr="00677B39" w:rsidRDefault="00D8358A" w:rsidP="00677B39">
      <w:pPr>
        <w:pStyle w:val="Subtitle"/>
        <w:ind w:left="2977"/>
        <w:jc w:val="left"/>
        <w:rPr>
          <w:b w:val="0"/>
          <w:bCs/>
        </w:rPr>
      </w:pPr>
      <w:r w:rsidRPr="00677B39">
        <w:rPr>
          <w:b w:val="0"/>
          <w:bCs/>
        </w:rPr>
        <w:t>November 2022</w:t>
      </w:r>
    </w:p>
    <w:p w14:paraId="6FF96827" w14:textId="77777777" w:rsidR="00D8358A" w:rsidRPr="00081620" w:rsidRDefault="00D8358A" w:rsidP="00D8358A">
      <w:r w:rsidRPr="00081620">
        <w:rPr>
          <w:noProof/>
        </w:rPr>
        <mc:AlternateContent>
          <mc:Choice Requires="wps">
            <w:drawing>
              <wp:anchor distT="0" distB="0" distL="114300" distR="114300" simplePos="0" relativeHeight="251660288" behindDoc="0" locked="0" layoutInCell="1" allowOverlap="1" wp14:anchorId="2DEDC27E" wp14:editId="154B17A5">
                <wp:simplePos x="0" y="0"/>
                <wp:positionH relativeFrom="margin">
                  <wp:posOffset>3297555</wp:posOffset>
                </wp:positionH>
                <wp:positionV relativeFrom="paragraph">
                  <wp:posOffset>8782050</wp:posOffset>
                </wp:positionV>
                <wp:extent cx="2952750" cy="2813050"/>
                <wp:effectExtent l="0" t="0" r="0" b="6350"/>
                <wp:wrapNone/>
                <wp:docPr id="22" name="Text Box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52750" cy="2813050"/>
                        </a:xfrm>
                        <a:prstGeom prst="rect">
                          <a:avLst/>
                        </a:prstGeom>
                        <a:noFill/>
                        <a:ln>
                          <a:noFill/>
                        </a:ln>
                      </wps:spPr>
                      <wps:txbx>
                        <w:txbxContent>
                          <w:p w14:paraId="1A2E09AF"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8162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November 2022</w:t>
                            </w:r>
                          </w:p>
                          <w:p w14:paraId="73362CF4"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00677731"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1C5451AB"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69CDCFCE"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17AA1364"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72B698F9"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62178AC1"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3C330985"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0D011361"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7D511E77"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2C0ABE35"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332FBE36"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49A0F7FB" w14:textId="77777777" w:rsidR="00D8358A" w:rsidRDefault="00D8358A" w:rsidP="00D8358A">
                            <w:pPr>
                              <w:spacing w:after="6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DC27E" id="_x0000_t202" coordsize="21600,21600" o:spt="202" path="m,l,21600r21600,l21600,xe">
                <v:stroke joinstyle="miter"/>
                <v:path gradientshapeok="t" o:connecttype="rect"/>
              </v:shapetype>
              <v:shape id="Text Box 22" o:spid="_x0000_s1026" type="#_x0000_t202" alt="&quot;&quot;" style="position:absolute;margin-left:259.65pt;margin-top:691.5pt;width:232.5pt;height:22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" filled="f" stroked="f">
                <v:textbox>
                  <w:txbxContent>
                    <w:p w14:paraId="1A2E09AF"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8162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November 2022</w:t>
                      </w:r>
                    </w:p>
                    <w:p w14:paraId="73362CF4"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00677731"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1C5451AB"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69CDCFCE"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17AA1364"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72B698F9"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62178AC1"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3C330985"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0D011361"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7D511E77"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2C0ABE35"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332FBE36" w14:textId="77777777" w:rsidR="00D8358A" w:rsidRPr="00081620" w:rsidRDefault="00D8358A" w:rsidP="00D8358A">
                      <w:pPr>
                        <w:spacing w:after="600"/>
                        <w:rPr>
                          <w:rFonts w:cs="Calibri"/>
                          <w:sz w:val="44"/>
                          <w:szCs w:val="4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49A0F7FB" w14:textId="77777777" w:rsidR="00D8358A" w:rsidRDefault="00D8358A" w:rsidP="00D8358A">
                      <w:pPr>
                        <w:spacing w:after="600"/>
                      </w:pPr>
                    </w:p>
                  </w:txbxContent>
                </v:textbox>
                <w10:wrap anchorx="margin"/>
              </v:shape>
            </w:pict>
          </mc:Fallback>
        </mc:AlternateContent>
      </w:r>
      <w:r w:rsidRPr="00081620">
        <w:br w:type="page"/>
      </w:r>
    </w:p>
    <w:p w14:paraId="5B88AB16" w14:textId="4F1E61C7" w:rsidR="000C499A" w:rsidRDefault="000C499A">
      <w:pPr>
        <w:spacing w:after="0"/>
        <w:rPr>
          <w:rFonts w:asciiTheme="minorHAnsi" w:hAnsiTheme="minorHAnsi" w:cstheme="minorHAnsi"/>
          <w:b/>
          <w:bCs/>
          <w:color w:val="F79646" w:themeColor="accent6"/>
          <w:kern w:val="32"/>
          <w:sz w:val="40"/>
          <w:szCs w:val="32"/>
        </w:rPr>
      </w:pPr>
    </w:p>
    <w:p w14:paraId="5A787036" w14:textId="77777777" w:rsidR="00677B39" w:rsidRPr="00CF7E5C" w:rsidRDefault="00677B39" w:rsidP="00677B39">
      <w:pPr>
        <w:rPr>
          <w:rStyle w:val="Strong"/>
        </w:rPr>
      </w:pPr>
      <w:r w:rsidRPr="00CF7E5C">
        <w:rPr>
          <w:rStyle w:val="Strong"/>
          <w:lang w:eastAsia="en-AU"/>
        </w:rPr>
        <w:t>IMPORTANT NOTES</w:t>
      </w:r>
    </w:p>
    <w:p w14:paraId="5975B756" w14:textId="77777777" w:rsidR="00677B39" w:rsidRDefault="00677B39" w:rsidP="00677B39">
      <w:pPr>
        <w:pStyle w:val="ListNumber"/>
        <w:numPr>
          <w:ilvl w:val="0"/>
          <w:numId w:val="32"/>
        </w:numPr>
        <w:rPr>
          <w:lang w:eastAsia="en-AU"/>
        </w:rPr>
      </w:pPr>
      <w:r>
        <w:rPr>
          <w:lang w:eastAsia="en-AU"/>
        </w:rPr>
        <w:t>This report does not constitute the final position on these items, which is subject to:</w:t>
      </w:r>
    </w:p>
    <w:p w14:paraId="1407316A" w14:textId="77777777" w:rsidR="00677B39" w:rsidRDefault="00677B39" w:rsidP="00677B39">
      <w:pPr>
        <w:pStyle w:val="ListBullet"/>
        <w:numPr>
          <w:ilvl w:val="0"/>
          <w:numId w:val="27"/>
        </w:numPr>
        <w:rPr>
          <w:lang w:eastAsia="en-AU"/>
        </w:rPr>
      </w:pPr>
      <w:r>
        <w:rPr>
          <w:lang w:eastAsia="en-AU"/>
        </w:rPr>
        <w:t>consideration by the Minister for Health and Aged Care, and</w:t>
      </w:r>
    </w:p>
    <w:p w14:paraId="72FF7ACF" w14:textId="77777777" w:rsidR="00677B39" w:rsidRDefault="00677B39" w:rsidP="00677B39">
      <w:pPr>
        <w:pStyle w:val="ListBullet"/>
        <w:numPr>
          <w:ilvl w:val="0"/>
          <w:numId w:val="27"/>
        </w:numPr>
        <w:rPr>
          <w:lang w:eastAsia="en-AU"/>
        </w:rPr>
      </w:pPr>
      <w:r>
        <w:rPr>
          <w:lang w:eastAsia="en-AU"/>
        </w:rPr>
        <w:t>the Government.</w:t>
      </w:r>
    </w:p>
    <w:p w14:paraId="4E174618" w14:textId="77777777" w:rsidR="00677B39" w:rsidRDefault="00677B39" w:rsidP="00677B39">
      <w:pPr>
        <w:pStyle w:val="ListNumber"/>
        <w:numPr>
          <w:ilvl w:val="0"/>
          <w:numId w:val="32"/>
        </w:numPr>
        <w:rPr>
          <w:lang w:eastAsia="en-AU"/>
        </w:rPr>
      </w:pPr>
      <w:r>
        <w:rPr>
          <w:lang w:eastAsia="en-AU"/>
        </w:rPr>
        <w:t xml:space="preserve">Following consultation with stakeholders, the working group developed the views and recommendations in this report for consideration by the Medicare Benefits Schedule Review Advisory Committee (MRAC). </w:t>
      </w:r>
    </w:p>
    <w:p w14:paraId="6DE8D9F6" w14:textId="77777777" w:rsidR="00677B39" w:rsidRDefault="00677B39" w:rsidP="00677B39">
      <w:pPr>
        <w:pStyle w:val="ListNumber"/>
        <w:numPr>
          <w:ilvl w:val="0"/>
          <w:numId w:val="32"/>
        </w:numPr>
        <w:rPr>
          <w:lang w:eastAsia="en-AU"/>
        </w:rPr>
      </w:pPr>
      <w:r>
        <w:rPr>
          <w:lang w:eastAsia="en-AU"/>
        </w:rPr>
        <w:t>Should MRAC have any eliminations, amendments or commentary from the report presented by the working group, they will be captured in boxed comments in the body of the report, as follows:</w:t>
      </w:r>
    </w:p>
    <w:p w14:paraId="18FEAB01" w14:textId="77777777" w:rsidR="00677B39" w:rsidRDefault="00677B39" w:rsidP="00677B39">
      <w:r w:rsidRPr="00CF7E5C">
        <w:t>[Working Group] Recommendation [#] – MRAC advice and rationale</w:t>
      </w:r>
    </w:p>
    <w:p w14:paraId="410E36D2" w14:textId="77777777" w:rsidR="001F0BDE" w:rsidRDefault="001F0BDE">
      <w:pPr>
        <w:spacing w:after="0"/>
        <w:rPr>
          <w:rFonts w:asciiTheme="minorHAnsi" w:hAnsiTheme="minorHAnsi" w:cstheme="minorHAnsi"/>
          <w:b/>
          <w:bCs/>
          <w:color w:val="F79646" w:themeColor="accent6"/>
          <w:kern w:val="32"/>
          <w:sz w:val="40"/>
          <w:szCs w:val="32"/>
        </w:rPr>
      </w:pPr>
      <w:r>
        <w:rPr>
          <w:rFonts w:asciiTheme="minorHAnsi" w:hAnsiTheme="minorHAnsi" w:cstheme="minorHAnsi"/>
        </w:rPr>
        <w:br w:type="page"/>
      </w:r>
    </w:p>
    <w:sdt>
      <w:sdtPr>
        <w:rPr>
          <w:rFonts w:ascii="Calibri" w:eastAsia="Times New Roman" w:hAnsi="Calibri" w:cs="Times New Roman"/>
          <w:color w:val="000000"/>
          <w:sz w:val="22"/>
          <w:szCs w:val="20"/>
          <w:lang w:val="en-AU"/>
        </w:rPr>
        <w:id w:val="-1954698422"/>
        <w:docPartObj>
          <w:docPartGallery w:val="Table of Contents"/>
          <w:docPartUnique/>
        </w:docPartObj>
      </w:sdtPr>
      <w:sdtEndPr>
        <w:rPr>
          <w:b/>
          <w:bCs/>
          <w:noProof/>
        </w:rPr>
      </w:sdtEndPr>
      <w:sdtContent>
        <w:p w14:paraId="6B5D6753" w14:textId="774C5D06" w:rsidR="009B63B5" w:rsidRPr="0045322E" w:rsidRDefault="0045322E">
          <w:pPr>
            <w:pStyle w:val="TOCHeading"/>
            <w:rPr>
              <w:rFonts w:ascii="Calibri Light" w:hAnsi="Calibri Light" w:cs="Calibri Light"/>
              <w:color w:val="E36C0A" w:themeColor="accent6" w:themeShade="BF"/>
            </w:rPr>
          </w:pPr>
          <w:r w:rsidRPr="0045322E">
            <w:rPr>
              <w:rFonts w:ascii="Calibri Light" w:hAnsi="Calibri Light" w:cs="Calibri Light"/>
              <w:b/>
              <w:bCs/>
              <w:color w:val="E36C0A" w:themeColor="accent6" w:themeShade="BF"/>
            </w:rPr>
            <w:t>Contents</w:t>
          </w:r>
        </w:p>
        <w:p w14:paraId="73C8DB8B" w14:textId="75EFDD62" w:rsidR="009B63B5" w:rsidRPr="0045322E" w:rsidRDefault="009B63B5" w:rsidP="0045322E">
          <w:pPr>
            <w:pStyle w:val="TOC1"/>
            <w:spacing w:before="0" w:after="0"/>
            <w:contextualSpacing/>
            <w:rPr>
              <w:rFonts w:asciiTheme="minorHAnsi" w:eastAsiaTheme="minorEastAsia" w:hAnsiTheme="minorHAnsi" w:cstheme="minorBidi"/>
              <w:b w:val="0"/>
              <w:bCs w:val="0"/>
              <w:color w:val="auto"/>
              <w:szCs w:val="22"/>
              <w:lang w:eastAsia="en-AU"/>
            </w:rPr>
          </w:pPr>
          <w:r>
            <w:fldChar w:fldCharType="begin"/>
          </w:r>
          <w:r>
            <w:instrText xml:space="preserve"> TOC \o "1-3" \h \z \u </w:instrText>
          </w:r>
          <w:r>
            <w:fldChar w:fldCharType="separate"/>
          </w:r>
          <w:hyperlink w:anchor="_Toc132627461" w:history="1">
            <w:r w:rsidRPr="0045322E">
              <w:rPr>
                <w:rStyle w:val="Hyperlink"/>
                <w:rFonts w:cstheme="minorHAnsi"/>
                <w:color w:val="auto"/>
              </w:rPr>
              <w:t>Summary</w:t>
            </w:r>
            <w:r w:rsidRPr="0045322E">
              <w:rPr>
                <w:webHidden/>
                <w:color w:val="auto"/>
              </w:rPr>
              <w:tab/>
            </w:r>
            <w:r w:rsidRPr="0045322E">
              <w:rPr>
                <w:webHidden/>
                <w:color w:val="auto"/>
              </w:rPr>
              <w:fldChar w:fldCharType="begin"/>
            </w:r>
            <w:r w:rsidRPr="0045322E">
              <w:rPr>
                <w:webHidden/>
                <w:color w:val="auto"/>
              </w:rPr>
              <w:instrText xml:space="preserve"> PAGEREF _Toc132627461 \h </w:instrText>
            </w:r>
            <w:r w:rsidRPr="0045322E">
              <w:rPr>
                <w:webHidden/>
                <w:color w:val="auto"/>
              </w:rPr>
            </w:r>
            <w:r w:rsidRPr="0045322E">
              <w:rPr>
                <w:webHidden/>
                <w:color w:val="auto"/>
              </w:rPr>
              <w:fldChar w:fldCharType="separate"/>
            </w:r>
            <w:r w:rsidRPr="0045322E">
              <w:rPr>
                <w:webHidden/>
                <w:color w:val="auto"/>
              </w:rPr>
              <w:t>4</w:t>
            </w:r>
            <w:r w:rsidRPr="0045322E">
              <w:rPr>
                <w:webHidden/>
                <w:color w:val="auto"/>
              </w:rPr>
              <w:fldChar w:fldCharType="end"/>
            </w:r>
          </w:hyperlink>
        </w:p>
        <w:p w14:paraId="7B9B62CC" w14:textId="1A490AD6" w:rsidR="009B63B5" w:rsidRPr="0045322E" w:rsidRDefault="007B43D8" w:rsidP="0045322E">
          <w:pPr>
            <w:pStyle w:val="TOC2"/>
            <w:contextualSpacing/>
            <w:rPr>
              <w:rFonts w:asciiTheme="minorHAnsi" w:eastAsiaTheme="minorEastAsia" w:hAnsiTheme="minorHAnsi" w:cstheme="minorBidi"/>
              <w:noProof/>
              <w:szCs w:val="22"/>
              <w:lang w:eastAsia="en-AU"/>
            </w:rPr>
          </w:pPr>
          <w:hyperlink w:anchor="_Toc132627462" w:history="1">
            <w:r w:rsidR="009B63B5" w:rsidRPr="0045322E">
              <w:rPr>
                <w:rStyle w:val="Hyperlink"/>
                <w:noProof/>
                <w:color w:val="auto"/>
              </w:rPr>
              <w:t>Medicare Benefits Schedule Continuous Review</w:t>
            </w:r>
            <w:r w:rsidR="009B63B5" w:rsidRPr="0045322E">
              <w:rPr>
                <w:noProof/>
                <w:webHidden/>
              </w:rPr>
              <w:tab/>
            </w:r>
            <w:r w:rsidR="009B63B5" w:rsidRPr="0045322E">
              <w:rPr>
                <w:noProof/>
                <w:webHidden/>
              </w:rPr>
              <w:fldChar w:fldCharType="begin"/>
            </w:r>
            <w:r w:rsidR="009B63B5" w:rsidRPr="0045322E">
              <w:rPr>
                <w:noProof/>
                <w:webHidden/>
              </w:rPr>
              <w:instrText xml:space="preserve"> PAGEREF _Toc132627462 \h </w:instrText>
            </w:r>
            <w:r w:rsidR="009B63B5" w:rsidRPr="0045322E">
              <w:rPr>
                <w:noProof/>
                <w:webHidden/>
              </w:rPr>
            </w:r>
            <w:r w:rsidR="009B63B5" w:rsidRPr="0045322E">
              <w:rPr>
                <w:noProof/>
                <w:webHidden/>
              </w:rPr>
              <w:fldChar w:fldCharType="separate"/>
            </w:r>
            <w:r w:rsidR="009B63B5" w:rsidRPr="0045322E">
              <w:rPr>
                <w:noProof/>
                <w:webHidden/>
              </w:rPr>
              <w:t>4</w:t>
            </w:r>
            <w:r w:rsidR="009B63B5" w:rsidRPr="0045322E">
              <w:rPr>
                <w:noProof/>
                <w:webHidden/>
              </w:rPr>
              <w:fldChar w:fldCharType="end"/>
            </w:r>
          </w:hyperlink>
        </w:p>
        <w:p w14:paraId="132A1D54" w14:textId="33BD60EA" w:rsidR="009B63B5" w:rsidRPr="0045322E" w:rsidRDefault="007B43D8" w:rsidP="0045322E">
          <w:pPr>
            <w:pStyle w:val="TOC2"/>
            <w:contextualSpacing/>
            <w:rPr>
              <w:rFonts w:asciiTheme="minorHAnsi" w:eastAsiaTheme="minorEastAsia" w:hAnsiTheme="minorHAnsi" w:cstheme="minorBidi"/>
              <w:noProof/>
              <w:szCs w:val="22"/>
              <w:lang w:eastAsia="en-AU"/>
            </w:rPr>
          </w:pPr>
          <w:hyperlink w:anchor="_Toc132627463" w:history="1">
            <w:r w:rsidR="009B63B5" w:rsidRPr="0045322E">
              <w:rPr>
                <w:rStyle w:val="Hyperlink"/>
                <w:noProof/>
                <w:color w:val="auto"/>
              </w:rPr>
              <w:t>GCWG assessment of main issues</w:t>
            </w:r>
            <w:r w:rsidR="009B63B5" w:rsidRPr="0045322E">
              <w:rPr>
                <w:noProof/>
                <w:webHidden/>
              </w:rPr>
              <w:tab/>
            </w:r>
            <w:r w:rsidR="009B63B5" w:rsidRPr="0045322E">
              <w:rPr>
                <w:noProof/>
                <w:webHidden/>
              </w:rPr>
              <w:fldChar w:fldCharType="begin"/>
            </w:r>
            <w:r w:rsidR="009B63B5" w:rsidRPr="0045322E">
              <w:rPr>
                <w:noProof/>
                <w:webHidden/>
              </w:rPr>
              <w:instrText xml:space="preserve"> PAGEREF _Toc132627463 \h </w:instrText>
            </w:r>
            <w:r w:rsidR="009B63B5" w:rsidRPr="0045322E">
              <w:rPr>
                <w:noProof/>
                <w:webHidden/>
              </w:rPr>
            </w:r>
            <w:r w:rsidR="009B63B5" w:rsidRPr="0045322E">
              <w:rPr>
                <w:noProof/>
                <w:webHidden/>
              </w:rPr>
              <w:fldChar w:fldCharType="separate"/>
            </w:r>
            <w:r w:rsidR="009B63B5" w:rsidRPr="0045322E">
              <w:rPr>
                <w:noProof/>
                <w:webHidden/>
              </w:rPr>
              <w:t>4</w:t>
            </w:r>
            <w:r w:rsidR="009B63B5" w:rsidRPr="0045322E">
              <w:rPr>
                <w:noProof/>
                <w:webHidden/>
              </w:rPr>
              <w:fldChar w:fldCharType="end"/>
            </w:r>
          </w:hyperlink>
        </w:p>
        <w:p w14:paraId="51B3E4AC" w14:textId="0C1411A3" w:rsidR="009B63B5" w:rsidRPr="0045322E" w:rsidRDefault="007B43D8" w:rsidP="0045322E">
          <w:pPr>
            <w:pStyle w:val="TOC2"/>
            <w:contextualSpacing/>
            <w:rPr>
              <w:rFonts w:asciiTheme="minorHAnsi" w:eastAsiaTheme="minorEastAsia" w:hAnsiTheme="minorHAnsi" w:cstheme="minorBidi"/>
              <w:noProof/>
              <w:szCs w:val="22"/>
              <w:lang w:eastAsia="en-AU"/>
            </w:rPr>
          </w:pPr>
          <w:hyperlink w:anchor="_Toc132627464" w:history="1">
            <w:r w:rsidR="009B63B5" w:rsidRPr="0045322E">
              <w:rPr>
                <w:rStyle w:val="Hyperlink"/>
                <w:noProof/>
                <w:color w:val="auto"/>
              </w:rPr>
              <w:t>Recommendations and actions</w:t>
            </w:r>
            <w:r w:rsidR="009B63B5" w:rsidRPr="0045322E">
              <w:rPr>
                <w:noProof/>
                <w:webHidden/>
              </w:rPr>
              <w:tab/>
            </w:r>
            <w:r w:rsidR="009B63B5" w:rsidRPr="0045322E">
              <w:rPr>
                <w:noProof/>
                <w:webHidden/>
              </w:rPr>
              <w:fldChar w:fldCharType="begin"/>
            </w:r>
            <w:r w:rsidR="009B63B5" w:rsidRPr="0045322E">
              <w:rPr>
                <w:noProof/>
                <w:webHidden/>
              </w:rPr>
              <w:instrText xml:space="preserve"> PAGEREF _Toc132627464 \h </w:instrText>
            </w:r>
            <w:r w:rsidR="009B63B5" w:rsidRPr="0045322E">
              <w:rPr>
                <w:noProof/>
                <w:webHidden/>
              </w:rPr>
            </w:r>
            <w:r w:rsidR="009B63B5" w:rsidRPr="0045322E">
              <w:rPr>
                <w:noProof/>
                <w:webHidden/>
              </w:rPr>
              <w:fldChar w:fldCharType="separate"/>
            </w:r>
            <w:r w:rsidR="009B63B5" w:rsidRPr="0045322E">
              <w:rPr>
                <w:noProof/>
                <w:webHidden/>
              </w:rPr>
              <w:t>0</w:t>
            </w:r>
            <w:r w:rsidR="009B63B5" w:rsidRPr="0045322E">
              <w:rPr>
                <w:noProof/>
                <w:webHidden/>
              </w:rPr>
              <w:fldChar w:fldCharType="end"/>
            </w:r>
          </w:hyperlink>
        </w:p>
        <w:p w14:paraId="7D588D6C" w14:textId="0FC1AEE2" w:rsidR="009B63B5" w:rsidRPr="0045322E" w:rsidRDefault="007B43D8" w:rsidP="0045322E">
          <w:pPr>
            <w:pStyle w:val="TOC1"/>
            <w:spacing w:before="0" w:after="0"/>
            <w:ind w:left="0" w:firstLine="0"/>
            <w:contextualSpacing/>
            <w:rPr>
              <w:rFonts w:asciiTheme="minorHAnsi" w:eastAsiaTheme="minorEastAsia" w:hAnsiTheme="minorHAnsi" w:cstheme="minorBidi"/>
              <w:b w:val="0"/>
              <w:bCs w:val="0"/>
              <w:color w:val="auto"/>
              <w:szCs w:val="22"/>
              <w:lang w:eastAsia="en-AU"/>
            </w:rPr>
          </w:pPr>
          <w:hyperlink w:anchor="_Toc132627465" w:history="1">
            <w:r w:rsidR="009B63B5" w:rsidRPr="0045322E">
              <w:rPr>
                <w:rStyle w:val="Hyperlink"/>
                <w:rFonts w:cstheme="minorHAnsi"/>
                <w:color w:val="auto"/>
              </w:rPr>
              <w:t>Acronyms</w:t>
            </w:r>
            <w:r w:rsidR="009B63B5" w:rsidRPr="0045322E">
              <w:rPr>
                <w:webHidden/>
                <w:color w:val="auto"/>
              </w:rPr>
              <w:tab/>
            </w:r>
            <w:r w:rsidR="009B63B5" w:rsidRPr="0045322E">
              <w:rPr>
                <w:webHidden/>
                <w:color w:val="auto"/>
              </w:rPr>
              <w:fldChar w:fldCharType="begin"/>
            </w:r>
            <w:r w:rsidR="009B63B5" w:rsidRPr="0045322E">
              <w:rPr>
                <w:webHidden/>
                <w:color w:val="auto"/>
              </w:rPr>
              <w:instrText xml:space="preserve"> PAGEREF _Toc132627465 \h </w:instrText>
            </w:r>
            <w:r w:rsidR="009B63B5" w:rsidRPr="0045322E">
              <w:rPr>
                <w:webHidden/>
                <w:color w:val="auto"/>
              </w:rPr>
            </w:r>
            <w:r w:rsidR="009B63B5" w:rsidRPr="0045322E">
              <w:rPr>
                <w:webHidden/>
                <w:color w:val="auto"/>
              </w:rPr>
              <w:fldChar w:fldCharType="separate"/>
            </w:r>
            <w:r w:rsidR="009B63B5" w:rsidRPr="0045322E">
              <w:rPr>
                <w:webHidden/>
                <w:color w:val="auto"/>
              </w:rPr>
              <w:t>2</w:t>
            </w:r>
            <w:r w:rsidR="009B63B5" w:rsidRPr="0045322E">
              <w:rPr>
                <w:webHidden/>
                <w:color w:val="auto"/>
              </w:rPr>
              <w:fldChar w:fldCharType="end"/>
            </w:r>
          </w:hyperlink>
        </w:p>
        <w:p w14:paraId="49365A80" w14:textId="1592BDD2" w:rsidR="009B63B5" w:rsidRPr="0045322E" w:rsidRDefault="007B43D8" w:rsidP="0045322E">
          <w:pPr>
            <w:pStyle w:val="TOC1"/>
            <w:spacing w:before="0" w:after="0"/>
            <w:contextualSpacing/>
            <w:rPr>
              <w:rFonts w:asciiTheme="minorHAnsi" w:eastAsiaTheme="minorEastAsia" w:hAnsiTheme="minorHAnsi" w:cstheme="minorBidi"/>
              <w:b w:val="0"/>
              <w:bCs w:val="0"/>
              <w:color w:val="auto"/>
              <w:szCs w:val="22"/>
              <w:lang w:eastAsia="en-AU"/>
            </w:rPr>
          </w:pPr>
          <w:hyperlink w:anchor="_Toc132627466" w:history="1">
            <w:r w:rsidR="009B63B5" w:rsidRPr="0045322E">
              <w:rPr>
                <w:rStyle w:val="Hyperlink"/>
                <w:rFonts w:cstheme="minorHAnsi"/>
                <w:color w:val="auto"/>
              </w:rPr>
              <w:t>Preamble</w:t>
            </w:r>
            <w:r w:rsidR="009B63B5" w:rsidRPr="0045322E">
              <w:rPr>
                <w:webHidden/>
                <w:color w:val="auto"/>
              </w:rPr>
              <w:tab/>
            </w:r>
            <w:r w:rsidR="009B63B5" w:rsidRPr="0045322E">
              <w:rPr>
                <w:webHidden/>
                <w:color w:val="auto"/>
              </w:rPr>
              <w:fldChar w:fldCharType="begin"/>
            </w:r>
            <w:r w:rsidR="009B63B5" w:rsidRPr="0045322E">
              <w:rPr>
                <w:webHidden/>
                <w:color w:val="auto"/>
              </w:rPr>
              <w:instrText xml:space="preserve"> PAGEREF _Toc132627466 \h </w:instrText>
            </w:r>
            <w:r w:rsidR="009B63B5" w:rsidRPr="0045322E">
              <w:rPr>
                <w:webHidden/>
                <w:color w:val="auto"/>
              </w:rPr>
            </w:r>
            <w:r w:rsidR="009B63B5" w:rsidRPr="0045322E">
              <w:rPr>
                <w:webHidden/>
                <w:color w:val="auto"/>
              </w:rPr>
              <w:fldChar w:fldCharType="separate"/>
            </w:r>
            <w:r w:rsidR="009B63B5" w:rsidRPr="0045322E">
              <w:rPr>
                <w:webHidden/>
                <w:color w:val="auto"/>
              </w:rPr>
              <w:t>3</w:t>
            </w:r>
            <w:r w:rsidR="009B63B5" w:rsidRPr="0045322E">
              <w:rPr>
                <w:webHidden/>
                <w:color w:val="auto"/>
              </w:rPr>
              <w:fldChar w:fldCharType="end"/>
            </w:r>
          </w:hyperlink>
        </w:p>
        <w:p w14:paraId="453ABA7D" w14:textId="1FEC3931" w:rsidR="009B63B5" w:rsidRPr="0045322E" w:rsidRDefault="007B43D8" w:rsidP="0045322E">
          <w:pPr>
            <w:pStyle w:val="TOC2"/>
            <w:contextualSpacing/>
            <w:rPr>
              <w:rFonts w:asciiTheme="minorHAnsi" w:eastAsiaTheme="minorEastAsia" w:hAnsiTheme="minorHAnsi" w:cstheme="minorBidi"/>
              <w:noProof/>
              <w:szCs w:val="22"/>
              <w:lang w:eastAsia="en-AU"/>
            </w:rPr>
          </w:pPr>
          <w:hyperlink w:anchor="_Toc132627467" w:history="1">
            <w:r w:rsidR="009B63B5" w:rsidRPr="0045322E">
              <w:rPr>
                <w:rStyle w:val="Hyperlink"/>
                <w:rFonts w:cstheme="minorHAnsi"/>
                <w:noProof/>
                <w:color w:val="auto"/>
              </w:rPr>
              <w:t>Medicare Benefits Schedule Continuous Review</w:t>
            </w:r>
            <w:r w:rsidR="009B63B5" w:rsidRPr="0045322E">
              <w:rPr>
                <w:noProof/>
                <w:webHidden/>
              </w:rPr>
              <w:tab/>
            </w:r>
            <w:r w:rsidR="009B63B5" w:rsidRPr="0045322E">
              <w:rPr>
                <w:noProof/>
                <w:webHidden/>
              </w:rPr>
              <w:fldChar w:fldCharType="begin"/>
            </w:r>
            <w:r w:rsidR="009B63B5" w:rsidRPr="0045322E">
              <w:rPr>
                <w:noProof/>
                <w:webHidden/>
              </w:rPr>
              <w:instrText xml:space="preserve"> PAGEREF _Toc132627467 \h </w:instrText>
            </w:r>
            <w:r w:rsidR="009B63B5" w:rsidRPr="0045322E">
              <w:rPr>
                <w:noProof/>
                <w:webHidden/>
              </w:rPr>
            </w:r>
            <w:r w:rsidR="009B63B5" w:rsidRPr="0045322E">
              <w:rPr>
                <w:noProof/>
                <w:webHidden/>
              </w:rPr>
              <w:fldChar w:fldCharType="separate"/>
            </w:r>
            <w:r w:rsidR="009B63B5" w:rsidRPr="0045322E">
              <w:rPr>
                <w:noProof/>
                <w:webHidden/>
              </w:rPr>
              <w:t>3</w:t>
            </w:r>
            <w:r w:rsidR="009B63B5" w:rsidRPr="0045322E">
              <w:rPr>
                <w:noProof/>
                <w:webHidden/>
              </w:rPr>
              <w:fldChar w:fldCharType="end"/>
            </w:r>
          </w:hyperlink>
        </w:p>
        <w:p w14:paraId="79112D04" w14:textId="720CEDDA" w:rsidR="009B63B5" w:rsidRPr="0045322E" w:rsidRDefault="007B43D8" w:rsidP="0045322E">
          <w:pPr>
            <w:pStyle w:val="TOC2"/>
            <w:contextualSpacing/>
            <w:rPr>
              <w:rFonts w:asciiTheme="minorHAnsi" w:eastAsiaTheme="minorEastAsia" w:hAnsiTheme="minorHAnsi" w:cstheme="minorBidi"/>
              <w:noProof/>
              <w:szCs w:val="22"/>
              <w:lang w:eastAsia="en-AU"/>
            </w:rPr>
          </w:pPr>
          <w:hyperlink w:anchor="_Toc132627468" w:history="1">
            <w:r w:rsidR="009B63B5" w:rsidRPr="0045322E">
              <w:rPr>
                <w:rStyle w:val="Hyperlink"/>
                <w:rFonts w:cstheme="minorHAnsi"/>
                <w:noProof/>
                <w:color w:val="auto"/>
              </w:rPr>
              <w:t>Medicare Benefits Schedule Review Advisory Committee</w:t>
            </w:r>
            <w:r w:rsidR="009B63B5" w:rsidRPr="0045322E">
              <w:rPr>
                <w:noProof/>
                <w:webHidden/>
              </w:rPr>
              <w:tab/>
            </w:r>
            <w:r w:rsidR="009B63B5" w:rsidRPr="0045322E">
              <w:rPr>
                <w:noProof/>
                <w:webHidden/>
              </w:rPr>
              <w:fldChar w:fldCharType="begin"/>
            </w:r>
            <w:r w:rsidR="009B63B5" w:rsidRPr="0045322E">
              <w:rPr>
                <w:noProof/>
                <w:webHidden/>
              </w:rPr>
              <w:instrText xml:space="preserve"> PAGEREF _Toc132627468 \h </w:instrText>
            </w:r>
            <w:r w:rsidR="009B63B5" w:rsidRPr="0045322E">
              <w:rPr>
                <w:noProof/>
                <w:webHidden/>
              </w:rPr>
            </w:r>
            <w:r w:rsidR="009B63B5" w:rsidRPr="0045322E">
              <w:rPr>
                <w:noProof/>
                <w:webHidden/>
              </w:rPr>
              <w:fldChar w:fldCharType="separate"/>
            </w:r>
            <w:r w:rsidR="009B63B5" w:rsidRPr="0045322E">
              <w:rPr>
                <w:noProof/>
                <w:webHidden/>
              </w:rPr>
              <w:t>3</w:t>
            </w:r>
            <w:r w:rsidR="009B63B5" w:rsidRPr="0045322E">
              <w:rPr>
                <w:noProof/>
                <w:webHidden/>
              </w:rPr>
              <w:fldChar w:fldCharType="end"/>
            </w:r>
          </w:hyperlink>
        </w:p>
        <w:p w14:paraId="22F8E9F7" w14:textId="349F6198" w:rsidR="009B63B5" w:rsidRPr="0045322E" w:rsidRDefault="007B43D8" w:rsidP="0045322E">
          <w:pPr>
            <w:pStyle w:val="TOC2"/>
            <w:contextualSpacing/>
            <w:rPr>
              <w:rFonts w:asciiTheme="minorHAnsi" w:eastAsiaTheme="minorEastAsia" w:hAnsiTheme="minorHAnsi" w:cstheme="minorBidi"/>
              <w:noProof/>
              <w:szCs w:val="22"/>
              <w:lang w:eastAsia="en-AU"/>
            </w:rPr>
          </w:pPr>
          <w:hyperlink w:anchor="_Toc132627469" w:history="1">
            <w:r w:rsidR="009B63B5" w:rsidRPr="0045322E">
              <w:rPr>
                <w:rStyle w:val="Hyperlink"/>
                <w:rFonts w:cstheme="minorHAnsi"/>
                <w:noProof/>
                <w:color w:val="auto"/>
              </w:rPr>
              <w:t>MBS Continuous Review Guiding Principles</w:t>
            </w:r>
            <w:r w:rsidR="009B63B5" w:rsidRPr="0045322E">
              <w:rPr>
                <w:noProof/>
                <w:webHidden/>
              </w:rPr>
              <w:tab/>
            </w:r>
            <w:r w:rsidR="009B63B5" w:rsidRPr="0045322E">
              <w:rPr>
                <w:noProof/>
                <w:webHidden/>
              </w:rPr>
              <w:fldChar w:fldCharType="begin"/>
            </w:r>
            <w:r w:rsidR="009B63B5" w:rsidRPr="0045322E">
              <w:rPr>
                <w:noProof/>
                <w:webHidden/>
              </w:rPr>
              <w:instrText xml:space="preserve"> PAGEREF _Toc132627469 \h </w:instrText>
            </w:r>
            <w:r w:rsidR="009B63B5" w:rsidRPr="0045322E">
              <w:rPr>
                <w:noProof/>
                <w:webHidden/>
              </w:rPr>
            </w:r>
            <w:r w:rsidR="009B63B5" w:rsidRPr="0045322E">
              <w:rPr>
                <w:noProof/>
                <w:webHidden/>
              </w:rPr>
              <w:fldChar w:fldCharType="separate"/>
            </w:r>
            <w:r w:rsidR="009B63B5" w:rsidRPr="0045322E">
              <w:rPr>
                <w:noProof/>
                <w:webHidden/>
              </w:rPr>
              <w:t>4</w:t>
            </w:r>
            <w:r w:rsidR="009B63B5" w:rsidRPr="0045322E">
              <w:rPr>
                <w:noProof/>
                <w:webHidden/>
              </w:rPr>
              <w:fldChar w:fldCharType="end"/>
            </w:r>
          </w:hyperlink>
        </w:p>
        <w:p w14:paraId="423477C8" w14:textId="0534135F" w:rsidR="009B63B5" w:rsidRPr="0045322E" w:rsidRDefault="007B43D8" w:rsidP="0045322E">
          <w:pPr>
            <w:pStyle w:val="TOC2"/>
            <w:contextualSpacing/>
            <w:rPr>
              <w:rFonts w:asciiTheme="minorHAnsi" w:eastAsiaTheme="minorEastAsia" w:hAnsiTheme="minorHAnsi" w:cstheme="minorBidi"/>
              <w:noProof/>
              <w:szCs w:val="22"/>
              <w:lang w:eastAsia="en-AU"/>
            </w:rPr>
          </w:pPr>
          <w:hyperlink w:anchor="_Toc132627470" w:history="1">
            <w:r w:rsidR="009B63B5" w:rsidRPr="0045322E">
              <w:rPr>
                <w:rStyle w:val="Hyperlink"/>
                <w:rFonts w:cstheme="minorHAnsi"/>
                <w:noProof/>
                <w:color w:val="auto"/>
              </w:rPr>
              <w:t>Government consideration</w:t>
            </w:r>
            <w:r w:rsidR="009B63B5" w:rsidRPr="0045322E">
              <w:rPr>
                <w:noProof/>
                <w:webHidden/>
              </w:rPr>
              <w:tab/>
            </w:r>
            <w:r w:rsidR="009B63B5" w:rsidRPr="0045322E">
              <w:rPr>
                <w:noProof/>
                <w:webHidden/>
              </w:rPr>
              <w:fldChar w:fldCharType="begin"/>
            </w:r>
            <w:r w:rsidR="009B63B5" w:rsidRPr="0045322E">
              <w:rPr>
                <w:noProof/>
                <w:webHidden/>
              </w:rPr>
              <w:instrText xml:space="preserve"> PAGEREF _Toc132627470 \h </w:instrText>
            </w:r>
            <w:r w:rsidR="009B63B5" w:rsidRPr="0045322E">
              <w:rPr>
                <w:noProof/>
                <w:webHidden/>
              </w:rPr>
            </w:r>
            <w:r w:rsidR="009B63B5" w:rsidRPr="0045322E">
              <w:rPr>
                <w:noProof/>
                <w:webHidden/>
              </w:rPr>
              <w:fldChar w:fldCharType="separate"/>
            </w:r>
            <w:r w:rsidR="009B63B5" w:rsidRPr="0045322E">
              <w:rPr>
                <w:noProof/>
                <w:webHidden/>
              </w:rPr>
              <w:t>5</w:t>
            </w:r>
            <w:r w:rsidR="009B63B5" w:rsidRPr="0045322E">
              <w:rPr>
                <w:noProof/>
                <w:webHidden/>
              </w:rPr>
              <w:fldChar w:fldCharType="end"/>
            </w:r>
          </w:hyperlink>
        </w:p>
        <w:p w14:paraId="71E3FF55" w14:textId="5B59FABD" w:rsidR="009B63B5" w:rsidRPr="0045322E" w:rsidRDefault="007B43D8" w:rsidP="0045322E">
          <w:pPr>
            <w:pStyle w:val="TOC1"/>
            <w:spacing w:before="0" w:after="0"/>
            <w:contextualSpacing/>
            <w:rPr>
              <w:rFonts w:asciiTheme="minorHAnsi" w:eastAsiaTheme="minorEastAsia" w:hAnsiTheme="minorHAnsi" w:cstheme="minorBidi"/>
              <w:b w:val="0"/>
              <w:bCs w:val="0"/>
              <w:color w:val="auto"/>
              <w:szCs w:val="22"/>
              <w:lang w:eastAsia="en-AU"/>
            </w:rPr>
          </w:pPr>
          <w:hyperlink w:anchor="_Toc132627471" w:history="1">
            <w:r w:rsidR="009B63B5" w:rsidRPr="0045322E">
              <w:rPr>
                <w:rStyle w:val="Hyperlink"/>
                <w:rFonts w:cstheme="minorHAnsi"/>
                <w:color w:val="auto"/>
              </w:rPr>
              <w:t>Genetic Counselling Working Group</w:t>
            </w:r>
            <w:r w:rsidR="009B63B5" w:rsidRPr="0045322E">
              <w:rPr>
                <w:webHidden/>
                <w:color w:val="auto"/>
              </w:rPr>
              <w:tab/>
            </w:r>
            <w:r w:rsidR="009B63B5" w:rsidRPr="0045322E">
              <w:rPr>
                <w:webHidden/>
                <w:color w:val="auto"/>
              </w:rPr>
              <w:fldChar w:fldCharType="begin"/>
            </w:r>
            <w:r w:rsidR="009B63B5" w:rsidRPr="0045322E">
              <w:rPr>
                <w:webHidden/>
                <w:color w:val="auto"/>
              </w:rPr>
              <w:instrText xml:space="preserve"> PAGEREF _Toc132627471 \h </w:instrText>
            </w:r>
            <w:r w:rsidR="009B63B5" w:rsidRPr="0045322E">
              <w:rPr>
                <w:webHidden/>
                <w:color w:val="auto"/>
              </w:rPr>
            </w:r>
            <w:r w:rsidR="009B63B5" w:rsidRPr="0045322E">
              <w:rPr>
                <w:webHidden/>
                <w:color w:val="auto"/>
              </w:rPr>
              <w:fldChar w:fldCharType="separate"/>
            </w:r>
            <w:r w:rsidR="009B63B5" w:rsidRPr="0045322E">
              <w:rPr>
                <w:webHidden/>
                <w:color w:val="auto"/>
              </w:rPr>
              <w:t>6</w:t>
            </w:r>
            <w:r w:rsidR="009B63B5" w:rsidRPr="0045322E">
              <w:rPr>
                <w:webHidden/>
                <w:color w:val="auto"/>
              </w:rPr>
              <w:fldChar w:fldCharType="end"/>
            </w:r>
          </w:hyperlink>
        </w:p>
        <w:p w14:paraId="52C74B40" w14:textId="2D7A47AE" w:rsidR="009B63B5" w:rsidRPr="0045322E" w:rsidRDefault="007B43D8" w:rsidP="0045322E">
          <w:pPr>
            <w:pStyle w:val="TOC1"/>
            <w:spacing w:before="0" w:after="0"/>
            <w:contextualSpacing/>
            <w:rPr>
              <w:rFonts w:asciiTheme="minorHAnsi" w:eastAsiaTheme="minorEastAsia" w:hAnsiTheme="minorHAnsi" w:cstheme="minorBidi"/>
              <w:b w:val="0"/>
              <w:bCs w:val="0"/>
              <w:color w:val="auto"/>
              <w:szCs w:val="22"/>
              <w:lang w:eastAsia="en-AU"/>
            </w:rPr>
          </w:pPr>
          <w:hyperlink w:anchor="_Toc132627472" w:history="1">
            <w:r w:rsidR="009B63B5" w:rsidRPr="0045322E">
              <w:rPr>
                <w:rStyle w:val="Hyperlink"/>
                <w:rFonts w:cstheme="minorHAnsi"/>
                <w:color w:val="auto"/>
              </w:rPr>
              <w:t>Summary of the Human Genetics Society of Australasia’s proposal</w:t>
            </w:r>
            <w:r w:rsidR="009B63B5" w:rsidRPr="0045322E">
              <w:rPr>
                <w:webHidden/>
                <w:color w:val="auto"/>
              </w:rPr>
              <w:tab/>
            </w:r>
            <w:r w:rsidR="009B63B5" w:rsidRPr="0045322E">
              <w:rPr>
                <w:webHidden/>
                <w:color w:val="auto"/>
              </w:rPr>
              <w:fldChar w:fldCharType="begin"/>
            </w:r>
            <w:r w:rsidR="009B63B5" w:rsidRPr="0045322E">
              <w:rPr>
                <w:webHidden/>
                <w:color w:val="auto"/>
              </w:rPr>
              <w:instrText xml:space="preserve"> PAGEREF _Toc132627472 \h </w:instrText>
            </w:r>
            <w:r w:rsidR="009B63B5" w:rsidRPr="0045322E">
              <w:rPr>
                <w:webHidden/>
                <w:color w:val="auto"/>
              </w:rPr>
            </w:r>
            <w:r w:rsidR="009B63B5" w:rsidRPr="0045322E">
              <w:rPr>
                <w:webHidden/>
                <w:color w:val="auto"/>
              </w:rPr>
              <w:fldChar w:fldCharType="separate"/>
            </w:r>
            <w:r w:rsidR="009B63B5" w:rsidRPr="0045322E">
              <w:rPr>
                <w:webHidden/>
                <w:color w:val="auto"/>
              </w:rPr>
              <w:t>7</w:t>
            </w:r>
            <w:r w:rsidR="009B63B5" w:rsidRPr="0045322E">
              <w:rPr>
                <w:webHidden/>
                <w:color w:val="auto"/>
              </w:rPr>
              <w:fldChar w:fldCharType="end"/>
            </w:r>
          </w:hyperlink>
        </w:p>
        <w:p w14:paraId="429EBB54" w14:textId="48AAB325" w:rsidR="009B63B5" w:rsidRPr="0045322E" w:rsidRDefault="007B43D8" w:rsidP="0045322E">
          <w:pPr>
            <w:pStyle w:val="TOC1"/>
            <w:spacing w:before="0" w:after="0"/>
            <w:contextualSpacing/>
            <w:rPr>
              <w:rFonts w:asciiTheme="minorHAnsi" w:eastAsiaTheme="minorEastAsia" w:hAnsiTheme="minorHAnsi" w:cstheme="minorBidi"/>
              <w:b w:val="0"/>
              <w:bCs w:val="0"/>
              <w:color w:val="auto"/>
              <w:szCs w:val="22"/>
              <w:lang w:eastAsia="en-AU"/>
            </w:rPr>
          </w:pPr>
          <w:hyperlink w:anchor="_Toc132627473" w:history="1">
            <w:r w:rsidR="009B63B5" w:rsidRPr="0045322E">
              <w:rPr>
                <w:rStyle w:val="Hyperlink"/>
                <w:rFonts w:cstheme="minorHAnsi"/>
                <w:color w:val="auto"/>
              </w:rPr>
              <w:t>Consultation and feedback review process</w:t>
            </w:r>
            <w:r w:rsidR="009B63B5" w:rsidRPr="0045322E">
              <w:rPr>
                <w:webHidden/>
                <w:color w:val="auto"/>
              </w:rPr>
              <w:tab/>
            </w:r>
            <w:r w:rsidR="009B63B5" w:rsidRPr="0045322E">
              <w:rPr>
                <w:webHidden/>
                <w:color w:val="auto"/>
              </w:rPr>
              <w:fldChar w:fldCharType="begin"/>
            </w:r>
            <w:r w:rsidR="009B63B5" w:rsidRPr="0045322E">
              <w:rPr>
                <w:webHidden/>
                <w:color w:val="auto"/>
              </w:rPr>
              <w:instrText xml:space="preserve"> PAGEREF _Toc132627473 \h </w:instrText>
            </w:r>
            <w:r w:rsidR="009B63B5" w:rsidRPr="0045322E">
              <w:rPr>
                <w:webHidden/>
                <w:color w:val="auto"/>
              </w:rPr>
            </w:r>
            <w:r w:rsidR="009B63B5" w:rsidRPr="0045322E">
              <w:rPr>
                <w:webHidden/>
                <w:color w:val="auto"/>
              </w:rPr>
              <w:fldChar w:fldCharType="separate"/>
            </w:r>
            <w:r w:rsidR="009B63B5" w:rsidRPr="0045322E">
              <w:rPr>
                <w:webHidden/>
                <w:color w:val="auto"/>
              </w:rPr>
              <w:t>9</w:t>
            </w:r>
            <w:r w:rsidR="009B63B5" w:rsidRPr="0045322E">
              <w:rPr>
                <w:webHidden/>
                <w:color w:val="auto"/>
              </w:rPr>
              <w:fldChar w:fldCharType="end"/>
            </w:r>
          </w:hyperlink>
        </w:p>
        <w:p w14:paraId="5E8560A0" w14:textId="24275F78" w:rsidR="009B63B5" w:rsidRPr="0045322E" w:rsidRDefault="007B43D8" w:rsidP="0045322E">
          <w:pPr>
            <w:pStyle w:val="TOC1"/>
            <w:spacing w:before="0" w:after="0"/>
            <w:contextualSpacing/>
            <w:rPr>
              <w:rFonts w:asciiTheme="minorHAnsi" w:eastAsiaTheme="minorEastAsia" w:hAnsiTheme="minorHAnsi" w:cstheme="minorBidi"/>
              <w:b w:val="0"/>
              <w:bCs w:val="0"/>
              <w:color w:val="auto"/>
              <w:szCs w:val="22"/>
              <w:lang w:eastAsia="en-AU"/>
            </w:rPr>
          </w:pPr>
          <w:hyperlink w:anchor="_Toc132627474" w:history="1">
            <w:r w:rsidR="009B63B5" w:rsidRPr="0045322E">
              <w:rPr>
                <w:rStyle w:val="Hyperlink"/>
                <w:rFonts w:cstheme="minorHAnsi"/>
                <w:color w:val="auto"/>
              </w:rPr>
              <w:t>General response to the proposal</w:t>
            </w:r>
            <w:r w:rsidR="009B63B5" w:rsidRPr="0045322E">
              <w:rPr>
                <w:webHidden/>
                <w:color w:val="auto"/>
              </w:rPr>
              <w:tab/>
            </w:r>
            <w:r w:rsidR="009B63B5" w:rsidRPr="0045322E">
              <w:rPr>
                <w:webHidden/>
                <w:color w:val="auto"/>
              </w:rPr>
              <w:fldChar w:fldCharType="begin"/>
            </w:r>
            <w:r w:rsidR="009B63B5" w:rsidRPr="0045322E">
              <w:rPr>
                <w:webHidden/>
                <w:color w:val="auto"/>
              </w:rPr>
              <w:instrText xml:space="preserve"> PAGEREF _Toc132627474 \h </w:instrText>
            </w:r>
            <w:r w:rsidR="009B63B5" w:rsidRPr="0045322E">
              <w:rPr>
                <w:webHidden/>
                <w:color w:val="auto"/>
              </w:rPr>
            </w:r>
            <w:r w:rsidR="009B63B5" w:rsidRPr="0045322E">
              <w:rPr>
                <w:webHidden/>
                <w:color w:val="auto"/>
              </w:rPr>
              <w:fldChar w:fldCharType="separate"/>
            </w:r>
            <w:r w:rsidR="009B63B5" w:rsidRPr="0045322E">
              <w:rPr>
                <w:webHidden/>
                <w:color w:val="auto"/>
              </w:rPr>
              <w:t>10</w:t>
            </w:r>
            <w:r w:rsidR="009B63B5" w:rsidRPr="0045322E">
              <w:rPr>
                <w:webHidden/>
                <w:color w:val="auto"/>
              </w:rPr>
              <w:fldChar w:fldCharType="end"/>
            </w:r>
          </w:hyperlink>
        </w:p>
        <w:p w14:paraId="3DD8D588" w14:textId="6D6269F8" w:rsidR="009B63B5" w:rsidRPr="0045322E" w:rsidRDefault="007B43D8" w:rsidP="0045322E">
          <w:pPr>
            <w:pStyle w:val="TOC2"/>
            <w:contextualSpacing/>
            <w:rPr>
              <w:rFonts w:asciiTheme="minorHAnsi" w:eastAsiaTheme="minorEastAsia" w:hAnsiTheme="minorHAnsi" w:cstheme="minorBidi"/>
              <w:noProof/>
              <w:szCs w:val="22"/>
              <w:lang w:eastAsia="en-AU"/>
            </w:rPr>
          </w:pPr>
          <w:hyperlink w:anchor="_Toc132627475" w:history="1">
            <w:r w:rsidR="009B63B5" w:rsidRPr="0045322E">
              <w:rPr>
                <w:rStyle w:val="Hyperlink"/>
                <w:rFonts w:cstheme="minorHAnsi"/>
                <w:noProof/>
                <w:color w:val="auto"/>
              </w:rPr>
              <w:t>Population</w:t>
            </w:r>
            <w:r w:rsidR="009B63B5" w:rsidRPr="0045322E">
              <w:rPr>
                <w:noProof/>
                <w:webHidden/>
              </w:rPr>
              <w:tab/>
            </w:r>
            <w:r w:rsidR="009B63B5" w:rsidRPr="0045322E">
              <w:rPr>
                <w:noProof/>
                <w:webHidden/>
              </w:rPr>
              <w:fldChar w:fldCharType="begin"/>
            </w:r>
            <w:r w:rsidR="009B63B5" w:rsidRPr="0045322E">
              <w:rPr>
                <w:noProof/>
                <w:webHidden/>
              </w:rPr>
              <w:instrText xml:space="preserve"> PAGEREF _Toc132627475 \h </w:instrText>
            </w:r>
            <w:r w:rsidR="009B63B5" w:rsidRPr="0045322E">
              <w:rPr>
                <w:noProof/>
                <w:webHidden/>
              </w:rPr>
            </w:r>
            <w:r w:rsidR="009B63B5" w:rsidRPr="0045322E">
              <w:rPr>
                <w:noProof/>
                <w:webHidden/>
              </w:rPr>
              <w:fldChar w:fldCharType="separate"/>
            </w:r>
            <w:r w:rsidR="009B63B5" w:rsidRPr="0045322E">
              <w:rPr>
                <w:noProof/>
                <w:webHidden/>
              </w:rPr>
              <w:t>10</w:t>
            </w:r>
            <w:r w:rsidR="009B63B5" w:rsidRPr="0045322E">
              <w:rPr>
                <w:noProof/>
                <w:webHidden/>
              </w:rPr>
              <w:fldChar w:fldCharType="end"/>
            </w:r>
          </w:hyperlink>
        </w:p>
        <w:p w14:paraId="4284A277" w14:textId="1AD0F559" w:rsidR="009B63B5" w:rsidRPr="0045322E" w:rsidRDefault="007B43D8" w:rsidP="0045322E">
          <w:pPr>
            <w:pStyle w:val="TOC2"/>
            <w:contextualSpacing/>
            <w:rPr>
              <w:rFonts w:asciiTheme="minorHAnsi" w:eastAsiaTheme="minorEastAsia" w:hAnsiTheme="minorHAnsi" w:cstheme="minorBidi"/>
              <w:noProof/>
              <w:szCs w:val="22"/>
              <w:lang w:eastAsia="en-AU"/>
            </w:rPr>
          </w:pPr>
          <w:hyperlink w:anchor="_Toc132627476" w:history="1">
            <w:r w:rsidR="009B63B5" w:rsidRPr="0045322E">
              <w:rPr>
                <w:rStyle w:val="Hyperlink"/>
                <w:rFonts w:cstheme="minorHAnsi"/>
                <w:noProof/>
                <w:color w:val="auto"/>
              </w:rPr>
              <w:t>Intervention</w:t>
            </w:r>
            <w:r w:rsidR="009B63B5" w:rsidRPr="0045322E">
              <w:rPr>
                <w:noProof/>
                <w:webHidden/>
              </w:rPr>
              <w:tab/>
            </w:r>
            <w:r w:rsidR="009B63B5" w:rsidRPr="0045322E">
              <w:rPr>
                <w:noProof/>
                <w:webHidden/>
              </w:rPr>
              <w:fldChar w:fldCharType="begin"/>
            </w:r>
            <w:r w:rsidR="009B63B5" w:rsidRPr="0045322E">
              <w:rPr>
                <w:noProof/>
                <w:webHidden/>
              </w:rPr>
              <w:instrText xml:space="preserve"> PAGEREF _Toc132627476 \h </w:instrText>
            </w:r>
            <w:r w:rsidR="009B63B5" w:rsidRPr="0045322E">
              <w:rPr>
                <w:noProof/>
                <w:webHidden/>
              </w:rPr>
            </w:r>
            <w:r w:rsidR="009B63B5" w:rsidRPr="0045322E">
              <w:rPr>
                <w:noProof/>
                <w:webHidden/>
              </w:rPr>
              <w:fldChar w:fldCharType="separate"/>
            </w:r>
            <w:r w:rsidR="009B63B5" w:rsidRPr="0045322E">
              <w:rPr>
                <w:noProof/>
                <w:webHidden/>
              </w:rPr>
              <w:t>11</w:t>
            </w:r>
            <w:r w:rsidR="009B63B5" w:rsidRPr="0045322E">
              <w:rPr>
                <w:noProof/>
                <w:webHidden/>
              </w:rPr>
              <w:fldChar w:fldCharType="end"/>
            </w:r>
          </w:hyperlink>
        </w:p>
        <w:p w14:paraId="755983D2" w14:textId="58449CDB" w:rsidR="009B63B5" w:rsidRPr="0045322E" w:rsidRDefault="007B43D8" w:rsidP="0045322E">
          <w:pPr>
            <w:pStyle w:val="TOC2"/>
            <w:contextualSpacing/>
            <w:rPr>
              <w:rFonts w:asciiTheme="minorHAnsi" w:eastAsiaTheme="minorEastAsia" w:hAnsiTheme="minorHAnsi" w:cstheme="minorBidi"/>
              <w:noProof/>
              <w:szCs w:val="22"/>
              <w:lang w:eastAsia="en-AU"/>
            </w:rPr>
          </w:pPr>
          <w:hyperlink w:anchor="_Toc132627477" w:history="1">
            <w:r w:rsidR="009B63B5" w:rsidRPr="0045322E">
              <w:rPr>
                <w:rStyle w:val="Hyperlink"/>
                <w:rFonts w:cstheme="minorHAnsi"/>
                <w:noProof/>
                <w:color w:val="auto"/>
              </w:rPr>
              <w:t>Comparators</w:t>
            </w:r>
            <w:r w:rsidR="009B63B5" w:rsidRPr="0045322E">
              <w:rPr>
                <w:noProof/>
                <w:webHidden/>
              </w:rPr>
              <w:tab/>
            </w:r>
            <w:r w:rsidR="009B63B5" w:rsidRPr="0045322E">
              <w:rPr>
                <w:noProof/>
                <w:webHidden/>
              </w:rPr>
              <w:fldChar w:fldCharType="begin"/>
            </w:r>
            <w:r w:rsidR="009B63B5" w:rsidRPr="0045322E">
              <w:rPr>
                <w:noProof/>
                <w:webHidden/>
              </w:rPr>
              <w:instrText xml:space="preserve"> PAGEREF _Toc132627477 \h </w:instrText>
            </w:r>
            <w:r w:rsidR="009B63B5" w:rsidRPr="0045322E">
              <w:rPr>
                <w:noProof/>
                <w:webHidden/>
              </w:rPr>
            </w:r>
            <w:r w:rsidR="009B63B5" w:rsidRPr="0045322E">
              <w:rPr>
                <w:noProof/>
                <w:webHidden/>
              </w:rPr>
              <w:fldChar w:fldCharType="separate"/>
            </w:r>
            <w:r w:rsidR="009B63B5" w:rsidRPr="0045322E">
              <w:rPr>
                <w:noProof/>
                <w:webHidden/>
              </w:rPr>
              <w:t>11</w:t>
            </w:r>
            <w:r w:rsidR="009B63B5" w:rsidRPr="0045322E">
              <w:rPr>
                <w:noProof/>
                <w:webHidden/>
              </w:rPr>
              <w:fldChar w:fldCharType="end"/>
            </w:r>
          </w:hyperlink>
        </w:p>
        <w:p w14:paraId="06231244" w14:textId="59276330" w:rsidR="009B63B5" w:rsidRPr="0045322E" w:rsidRDefault="007B43D8" w:rsidP="0045322E">
          <w:pPr>
            <w:pStyle w:val="TOC2"/>
            <w:contextualSpacing/>
            <w:rPr>
              <w:rFonts w:asciiTheme="minorHAnsi" w:eastAsiaTheme="minorEastAsia" w:hAnsiTheme="minorHAnsi" w:cstheme="minorBidi"/>
              <w:noProof/>
              <w:szCs w:val="22"/>
              <w:lang w:eastAsia="en-AU"/>
            </w:rPr>
          </w:pPr>
          <w:hyperlink w:anchor="_Toc132627478" w:history="1">
            <w:r w:rsidR="009B63B5" w:rsidRPr="0045322E">
              <w:rPr>
                <w:rStyle w:val="Hyperlink"/>
                <w:rFonts w:cstheme="minorHAnsi"/>
                <w:noProof/>
                <w:color w:val="auto"/>
              </w:rPr>
              <w:t>Outcomes</w:t>
            </w:r>
            <w:r w:rsidR="009B63B5" w:rsidRPr="0045322E">
              <w:rPr>
                <w:noProof/>
                <w:webHidden/>
              </w:rPr>
              <w:tab/>
            </w:r>
            <w:r w:rsidR="009B63B5" w:rsidRPr="0045322E">
              <w:rPr>
                <w:noProof/>
                <w:webHidden/>
              </w:rPr>
              <w:fldChar w:fldCharType="begin"/>
            </w:r>
            <w:r w:rsidR="009B63B5" w:rsidRPr="0045322E">
              <w:rPr>
                <w:noProof/>
                <w:webHidden/>
              </w:rPr>
              <w:instrText xml:space="preserve"> PAGEREF _Toc132627478 \h </w:instrText>
            </w:r>
            <w:r w:rsidR="009B63B5" w:rsidRPr="0045322E">
              <w:rPr>
                <w:noProof/>
                <w:webHidden/>
              </w:rPr>
            </w:r>
            <w:r w:rsidR="009B63B5" w:rsidRPr="0045322E">
              <w:rPr>
                <w:noProof/>
                <w:webHidden/>
              </w:rPr>
              <w:fldChar w:fldCharType="separate"/>
            </w:r>
            <w:r w:rsidR="009B63B5" w:rsidRPr="0045322E">
              <w:rPr>
                <w:noProof/>
                <w:webHidden/>
              </w:rPr>
              <w:t>12</w:t>
            </w:r>
            <w:r w:rsidR="009B63B5" w:rsidRPr="0045322E">
              <w:rPr>
                <w:noProof/>
                <w:webHidden/>
              </w:rPr>
              <w:fldChar w:fldCharType="end"/>
            </w:r>
          </w:hyperlink>
        </w:p>
        <w:p w14:paraId="0A8081AA" w14:textId="5F8D1623" w:rsidR="009B63B5" w:rsidRPr="0045322E" w:rsidRDefault="007B43D8" w:rsidP="0045322E">
          <w:pPr>
            <w:pStyle w:val="TOC1"/>
            <w:spacing w:before="0" w:after="0"/>
            <w:contextualSpacing/>
            <w:rPr>
              <w:rFonts w:asciiTheme="minorHAnsi" w:eastAsiaTheme="minorEastAsia" w:hAnsiTheme="minorHAnsi" w:cstheme="minorBidi"/>
              <w:b w:val="0"/>
              <w:bCs w:val="0"/>
              <w:color w:val="auto"/>
              <w:szCs w:val="22"/>
              <w:lang w:eastAsia="en-AU"/>
            </w:rPr>
          </w:pPr>
          <w:hyperlink w:anchor="_Toc132627479" w:history="1">
            <w:r w:rsidR="009B63B5" w:rsidRPr="0045322E">
              <w:rPr>
                <w:rStyle w:val="Hyperlink"/>
                <w:rFonts w:cstheme="minorHAnsi"/>
                <w:color w:val="auto"/>
              </w:rPr>
              <w:t>Assessment of main issues</w:t>
            </w:r>
            <w:r w:rsidR="009B63B5" w:rsidRPr="0045322E">
              <w:rPr>
                <w:webHidden/>
                <w:color w:val="auto"/>
              </w:rPr>
              <w:tab/>
            </w:r>
            <w:r w:rsidR="009B63B5" w:rsidRPr="0045322E">
              <w:rPr>
                <w:webHidden/>
                <w:color w:val="auto"/>
              </w:rPr>
              <w:fldChar w:fldCharType="begin"/>
            </w:r>
            <w:r w:rsidR="009B63B5" w:rsidRPr="0045322E">
              <w:rPr>
                <w:webHidden/>
                <w:color w:val="auto"/>
              </w:rPr>
              <w:instrText xml:space="preserve"> PAGEREF _Toc132627479 \h </w:instrText>
            </w:r>
            <w:r w:rsidR="009B63B5" w:rsidRPr="0045322E">
              <w:rPr>
                <w:webHidden/>
                <w:color w:val="auto"/>
              </w:rPr>
            </w:r>
            <w:r w:rsidR="009B63B5" w:rsidRPr="0045322E">
              <w:rPr>
                <w:webHidden/>
                <w:color w:val="auto"/>
              </w:rPr>
              <w:fldChar w:fldCharType="separate"/>
            </w:r>
            <w:r w:rsidR="009B63B5" w:rsidRPr="0045322E">
              <w:rPr>
                <w:webHidden/>
                <w:color w:val="auto"/>
              </w:rPr>
              <w:t>13</w:t>
            </w:r>
            <w:r w:rsidR="009B63B5" w:rsidRPr="0045322E">
              <w:rPr>
                <w:webHidden/>
                <w:color w:val="auto"/>
              </w:rPr>
              <w:fldChar w:fldCharType="end"/>
            </w:r>
          </w:hyperlink>
        </w:p>
        <w:p w14:paraId="7EFB0AC1" w14:textId="4F244015" w:rsidR="009B63B5" w:rsidRPr="0045322E" w:rsidRDefault="007B43D8" w:rsidP="0045322E">
          <w:pPr>
            <w:pStyle w:val="TOC2"/>
            <w:contextualSpacing/>
            <w:rPr>
              <w:rFonts w:asciiTheme="minorHAnsi" w:eastAsiaTheme="minorEastAsia" w:hAnsiTheme="minorHAnsi" w:cstheme="minorBidi"/>
              <w:noProof/>
              <w:szCs w:val="22"/>
              <w:lang w:eastAsia="en-AU"/>
            </w:rPr>
          </w:pPr>
          <w:hyperlink w:anchor="_Toc132627480" w:history="1">
            <w:r w:rsidR="009B63B5" w:rsidRPr="0045322E">
              <w:rPr>
                <w:rStyle w:val="Hyperlink"/>
                <w:rFonts w:cstheme="minorHAnsi"/>
                <w:noProof/>
                <w:color w:val="auto"/>
              </w:rPr>
              <w:t>Equity of access may decrease, not increase</w:t>
            </w:r>
            <w:r w:rsidR="009B63B5" w:rsidRPr="0045322E">
              <w:rPr>
                <w:noProof/>
                <w:webHidden/>
              </w:rPr>
              <w:tab/>
            </w:r>
            <w:r w:rsidR="009B63B5" w:rsidRPr="0045322E">
              <w:rPr>
                <w:noProof/>
                <w:webHidden/>
              </w:rPr>
              <w:fldChar w:fldCharType="begin"/>
            </w:r>
            <w:r w:rsidR="009B63B5" w:rsidRPr="0045322E">
              <w:rPr>
                <w:noProof/>
                <w:webHidden/>
              </w:rPr>
              <w:instrText xml:space="preserve"> PAGEREF _Toc132627480 \h </w:instrText>
            </w:r>
            <w:r w:rsidR="009B63B5" w:rsidRPr="0045322E">
              <w:rPr>
                <w:noProof/>
                <w:webHidden/>
              </w:rPr>
            </w:r>
            <w:r w:rsidR="009B63B5" w:rsidRPr="0045322E">
              <w:rPr>
                <w:noProof/>
                <w:webHidden/>
              </w:rPr>
              <w:fldChar w:fldCharType="separate"/>
            </w:r>
            <w:r w:rsidR="009B63B5" w:rsidRPr="0045322E">
              <w:rPr>
                <w:noProof/>
                <w:webHidden/>
              </w:rPr>
              <w:t>13</w:t>
            </w:r>
            <w:r w:rsidR="009B63B5" w:rsidRPr="0045322E">
              <w:rPr>
                <w:noProof/>
                <w:webHidden/>
              </w:rPr>
              <w:fldChar w:fldCharType="end"/>
            </w:r>
          </w:hyperlink>
        </w:p>
        <w:p w14:paraId="7FD8908F" w14:textId="2B55372A" w:rsidR="009B63B5" w:rsidRPr="0045322E" w:rsidRDefault="007B43D8" w:rsidP="0045322E">
          <w:pPr>
            <w:pStyle w:val="TOC2"/>
            <w:contextualSpacing/>
            <w:rPr>
              <w:rFonts w:asciiTheme="minorHAnsi" w:eastAsiaTheme="minorEastAsia" w:hAnsiTheme="minorHAnsi" w:cstheme="minorBidi"/>
              <w:noProof/>
              <w:szCs w:val="22"/>
              <w:lang w:eastAsia="en-AU"/>
            </w:rPr>
          </w:pPr>
          <w:hyperlink w:anchor="_Toc132627481" w:history="1">
            <w:r w:rsidR="009B63B5" w:rsidRPr="0045322E">
              <w:rPr>
                <w:rStyle w:val="Hyperlink"/>
                <w:rFonts w:cstheme="minorHAnsi"/>
                <w:noProof/>
                <w:color w:val="auto"/>
              </w:rPr>
              <w:t>Impacts on other aspects of the healthcare system</w:t>
            </w:r>
            <w:r w:rsidR="009B63B5" w:rsidRPr="0045322E">
              <w:rPr>
                <w:noProof/>
                <w:webHidden/>
              </w:rPr>
              <w:tab/>
            </w:r>
            <w:r w:rsidR="009B63B5" w:rsidRPr="0045322E">
              <w:rPr>
                <w:noProof/>
                <w:webHidden/>
              </w:rPr>
              <w:fldChar w:fldCharType="begin"/>
            </w:r>
            <w:r w:rsidR="009B63B5" w:rsidRPr="0045322E">
              <w:rPr>
                <w:noProof/>
                <w:webHidden/>
              </w:rPr>
              <w:instrText xml:space="preserve"> PAGEREF _Toc132627481 \h </w:instrText>
            </w:r>
            <w:r w:rsidR="009B63B5" w:rsidRPr="0045322E">
              <w:rPr>
                <w:noProof/>
                <w:webHidden/>
              </w:rPr>
            </w:r>
            <w:r w:rsidR="009B63B5" w:rsidRPr="0045322E">
              <w:rPr>
                <w:noProof/>
                <w:webHidden/>
              </w:rPr>
              <w:fldChar w:fldCharType="separate"/>
            </w:r>
            <w:r w:rsidR="009B63B5" w:rsidRPr="0045322E">
              <w:rPr>
                <w:noProof/>
                <w:webHidden/>
              </w:rPr>
              <w:t>14</w:t>
            </w:r>
            <w:r w:rsidR="009B63B5" w:rsidRPr="0045322E">
              <w:rPr>
                <w:noProof/>
                <w:webHidden/>
              </w:rPr>
              <w:fldChar w:fldCharType="end"/>
            </w:r>
          </w:hyperlink>
        </w:p>
        <w:p w14:paraId="322EC74B" w14:textId="40370F73" w:rsidR="009B63B5" w:rsidRPr="0045322E" w:rsidRDefault="007B43D8" w:rsidP="0045322E">
          <w:pPr>
            <w:pStyle w:val="TOC3"/>
            <w:contextualSpacing/>
            <w:rPr>
              <w:rFonts w:asciiTheme="minorHAnsi" w:eastAsiaTheme="minorEastAsia" w:hAnsiTheme="minorHAnsi" w:cstheme="minorBidi"/>
              <w:noProof/>
              <w:szCs w:val="22"/>
              <w:lang w:eastAsia="en-AU"/>
            </w:rPr>
          </w:pPr>
          <w:hyperlink w:anchor="_Toc132627482" w:history="1">
            <w:r w:rsidR="009B63B5" w:rsidRPr="0045322E">
              <w:rPr>
                <w:rStyle w:val="Hyperlink"/>
                <w:rFonts w:cstheme="minorHAnsi"/>
                <w:noProof/>
                <w:color w:val="auto"/>
              </w:rPr>
              <w:t>Services shifted from the public to the private sector</w:t>
            </w:r>
            <w:r w:rsidR="009B63B5" w:rsidRPr="0045322E">
              <w:rPr>
                <w:noProof/>
                <w:webHidden/>
              </w:rPr>
              <w:tab/>
            </w:r>
            <w:r w:rsidR="009B63B5" w:rsidRPr="0045322E">
              <w:rPr>
                <w:noProof/>
                <w:webHidden/>
              </w:rPr>
              <w:fldChar w:fldCharType="begin"/>
            </w:r>
            <w:r w:rsidR="009B63B5" w:rsidRPr="0045322E">
              <w:rPr>
                <w:noProof/>
                <w:webHidden/>
              </w:rPr>
              <w:instrText xml:space="preserve"> PAGEREF _Toc132627482 \h </w:instrText>
            </w:r>
            <w:r w:rsidR="009B63B5" w:rsidRPr="0045322E">
              <w:rPr>
                <w:noProof/>
                <w:webHidden/>
              </w:rPr>
            </w:r>
            <w:r w:rsidR="009B63B5" w:rsidRPr="0045322E">
              <w:rPr>
                <w:noProof/>
                <w:webHidden/>
              </w:rPr>
              <w:fldChar w:fldCharType="separate"/>
            </w:r>
            <w:r w:rsidR="009B63B5" w:rsidRPr="0045322E">
              <w:rPr>
                <w:noProof/>
                <w:webHidden/>
              </w:rPr>
              <w:t>14</w:t>
            </w:r>
            <w:r w:rsidR="009B63B5" w:rsidRPr="0045322E">
              <w:rPr>
                <w:noProof/>
                <w:webHidden/>
              </w:rPr>
              <w:fldChar w:fldCharType="end"/>
            </w:r>
          </w:hyperlink>
        </w:p>
        <w:p w14:paraId="47A06023" w14:textId="67CA00BD" w:rsidR="009B63B5" w:rsidRPr="0045322E" w:rsidRDefault="007B43D8" w:rsidP="0045322E">
          <w:pPr>
            <w:pStyle w:val="TOC3"/>
            <w:contextualSpacing/>
            <w:rPr>
              <w:rFonts w:asciiTheme="minorHAnsi" w:eastAsiaTheme="minorEastAsia" w:hAnsiTheme="minorHAnsi" w:cstheme="minorBidi"/>
              <w:noProof/>
              <w:szCs w:val="22"/>
              <w:lang w:eastAsia="en-AU"/>
            </w:rPr>
          </w:pPr>
          <w:hyperlink w:anchor="_Toc132627483" w:history="1">
            <w:r w:rsidR="009B63B5" w:rsidRPr="0045322E">
              <w:rPr>
                <w:rStyle w:val="Hyperlink"/>
                <w:rFonts w:cstheme="minorHAnsi"/>
                <w:noProof/>
                <w:color w:val="auto"/>
              </w:rPr>
              <w:t>Possible disconnect within the healthcare pathway</w:t>
            </w:r>
            <w:r w:rsidR="009B63B5" w:rsidRPr="0045322E">
              <w:rPr>
                <w:noProof/>
                <w:webHidden/>
              </w:rPr>
              <w:tab/>
            </w:r>
            <w:r w:rsidR="009B63B5" w:rsidRPr="0045322E">
              <w:rPr>
                <w:noProof/>
                <w:webHidden/>
              </w:rPr>
              <w:fldChar w:fldCharType="begin"/>
            </w:r>
            <w:r w:rsidR="009B63B5" w:rsidRPr="0045322E">
              <w:rPr>
                <w:noProof/>
                <w:webHidden/>
              </w:rPr>
              <w:instrText xml:space="preserve"> PAGEREF _Toc132627483 \h </w:instrText>
            </w:r>
            <w:r w:rsidR="009B63B5" w:rsidRPr="0045322E">
              <w:rPr>
                <w:noProof/>
                <w:webHidden/>
              </w:rPr>
            </w:r>
            <w:r w:rsidR="009B63B5" w:rsidRPr="0045322E">
              <w:rPr>
                <w:noProof/>
                <w:webHidden/>
              </w:rPr>
              <w:fldChar w:fldCharType="separate"/>
            </w:r>
            <w:r w:rsidR="009B63B5" w:rsidRPr="0045322E">
              <w:rPr>
                <w:noProof/>
                <w:webHidden/>
              </w:rPr>
              <w:t>14</w:t>
            </w:r>
            <w:r w:rsidR="009B63B5" w:rsidRPr="0045322E">
              <w:rPr>
                <w:noProof/>
                <w:webHidden/>
              </w:rPr>
              <w:fldChar w:fldCharType="end"/>
            </w:r>
          </w:hyperlink>
        </w:p>
        <w:p w14:paraId="6E94FB06" w14:textId="2F70D2ED" w:rsidR="009B63B5" w:rsidRPr="0045322E" w:rsidRDefault="007B43D8" w:rsidP="0045322E">
          <w:pPr>
            <w:pStyle w:val="TOC2"/>
            <w:contextualSpacing/>
            <w:rPr>
              <w:rFonts w:asciiTheme="minorHAnsi" w:eastAsiaTheme="minorEastAsia" w:hAnsiTheme="minorHAnsi" w:cstheme="minorBidi"/>
              <w:noProof/>
              <w:szCs w:val="22"/>
              <w:lang w:eastAsia="en-AU"/>
            </w:rPr>
          </w:pPr>
          <w:hyperlink w:anchor="_Toc132627484" w:history="1">
            <w:r w:rsidR="009B63B5" w:rsidRPr="0045322E">
              <w:rPr>
                <w:rStyle w:val="Hyperlink"/>
                <w:rFonts w:cstheme="minorHAnsi"/>
                <w:noProof/>
                <w:color w:val="auto"/>
              </w:rPr>
              <w:t>Low-value genetic counselling</w:t>
            </w:r>
            <w:r w:rsidR="009B63B5" w:rsidRPr="0045322E">
              <w:rPr>
                <w:noProof/>
                <w:webHidden/>
              </w:rPr>
              <w:tab/>
            </w:r>
            <w:r w:rsidR="009B63B5" w:rsidRPr="0045322E">
              <w:rPr>
                <w:noProof/>
                <w:webHidden/>
              </w:rPr>
              <w:fldChar w:fldCharType="begin"/>
            </w:r>
            <w:r w:rsidR="009B63B5" w:rsidRPr="0045322E">
              <w:rPr>
                <w:noProof/>
                <w:webHidden/>
              </w:rPr>
              <w:instrText xml:space="preserve"> PAGEREF _Toc132627484 \h </w:instrText>
            </w:r>
            <w:r w:rsidR="009B63B5" w:rsidRPr="0045322E">
              <w:rPr>
                <w:noProof/>
                <w:webHidden/>
              </w:rPr>
            </w:r>
            <w:r w:rsidR="009B63B5" w:rsidRPr="0045322E">
              <w:rPr>
                <w:noProof/>
                <w:webHidden/>
              </w:rPr>
              <w:fldChar w:fldCharType="separate"/>
            </w:r>
            <w:r w:rsidR="009B63B5" w:rsidRPr="0045322E">
              <w:rPr>
                <w:noProof/>
                <w:webHidden/>
              </w:rPr>
              <w:t>14</w:t>
            </w:r>
            <w:r w:rsidR="009B63B5" w:rsidRPr="0045322E">
              <w:rPr>
                <w:noProof/>
                <w:webHidden/>
              </w:rPr>
              <w:fldChar w:fldCharType="end"/>
            </w:r>
          </w:hyperlink>
        </w:p>
        <w:p w14:paraId="646F0CFD" w14:textId="03F63637" w:rsidR="009B63B5" w:rsidRPr="0045322E" w:rsidRDefault="007B43D8" w:rsidP="0045322E">
          <w:pPr>
            <w:pStyle w:val="TOC2"/>
            <w:contextualSpacing/>
            <w:rPr>
              <w:rFonts w:asciiTheme="minorHAnsi" w:eastAsiaTheme="minorEastAsia" w:hAnsiTheme="minorHAnsi" w:cstheme="minorBidi"/>
              <w:noProof/>
              <w:szCs w:val="22"/>
              <w:lang w:eastAsia="en-AU"/>
            </w:rPr>
          </w:pPr>
          <w:hyperlink w:anchor="_Toc132627485" w:history="1">
            <w:r w:rsidR="009B63B5" w:rsidRPr="0045322E">
              <w:rPr>
                <w:rStyle w:val="Hyperlink"/>
                <w:rFonts w:cstheme="minorHAnsi"/>
                <w:noProof/>
                <w:color w:val="auto"/>
              </w:rPr>
              <w:t>Uncertain financial impact to the MBS</w:t>
            </w:r>
            <w:r w:rsidR="009B63B5" w:rsidRPr="0045322E">
              <w:rPr>
                <w:noProof/>
                <w:webHidden/>
              </w:rPr>
              <w:tab/>
            </w:r>
            <w:r w:rsidR="009B63B5" w:rsidRPr="0045322E">
              <w:rPr>
                <w:noProof/>
                <w:webHidden/>
              </w:rPr>
              <w:fldChar w:fldCharType="begin"/>
            </w:r>
            <w:r w:rsidR="009B63B5" w:rsidRPr="0045322E">
              <w:rPr>
                <w:noProof/>
                <w:webHidden/>
              </w:rPr>
              <w:instrText xml:space="preserve"> PAGEREF _Toc132627485 \h </w:instrText>
            </w:r>
            <w:r w:rsidR="009B63B5" w:rsidRPr="0045322E">
              <w:rPr>
                <w:noProof/>
                <w:webHidden/>
              </w:rPr>
            </w:r>
            <w:r w:rsidR="009B63B5" w:rsidRPr="0045322E">
              <w:rPr>
                <w:noProof/>
                <w:webHidden/>
              </w:rPr>
              <w:fldChar w:fldCharType="separate"/>
            </w:r>
            <w:r w:rsidR="009B63B5" w:rsidRPr="0045322E">
              <w:rPr>
                <w:noProof/>
                <w:webHidden/>
              </w:rPr>
              <w:t>15</w:t>
            </w:r>
            <w:r w:rsidR="009B63B5" w:rsidRPr="0045322E">
              <w:rPr>
                <w:noProof/>
                <w:webHidden/>
              </w:rPr>
              <w:fldChar w:fldCharType="end"/>
            </w:r>
          </w:hyperlink>
        </w:p>
        <w:p w14:paraId="135230D6" w14:textId="6AA2FE97" w:rsidR="009B63B5" w:rsidRPr="0045322E" w:rsidRDefault="007B43D8" w:rsidP="0045322E">
          <w:pPr>
            <w:pStyle w:val="TOC1"/>
            <w:spacing w:before="0" w:after="0"/>
            <w:contextualSpacing/>
            <w:rPr>
              <w:rFonts w:asciiTheme="minorHAnsi" w:eastAsiaTheme="minorEastAsia" w:hAnsiTheme="minorHAnsi" w:cstheme="minorBidi"/>
              <w:b w:val="0"/>
              <w:bCs w:val="0"/>
              <w:color w:val="auto"/>
              <w:szCs w:val="22"/>
              <w:lang w:eastAsia="en-AU"/>
            </w:rPr>
          </w:pPr>
          <w:hyperlink w:anchor="_Toc132627486" w:history="1">
            <w:r w:rsidR="009B63B5" w:rsidRPr="0045322E">
              <w:rPr>
                <w:rStyle w:val="Hyperlink"/>
                <w:rFonts w:cstheme="minorHAnsi"/>
                <w:color w:val="auto"/>
              </w:rPr>
              <w:t>Information gaps and barriers to implementation</w:t>
            </w:r>
            <w:r w:rsidR="009B63B5" w:rsidRPr="0045322E">
              <w:rPr>
                <w:webHidden/>
                <w:color w:val="auto"/>
              </w:rPr>
              <w:tab/>
            </w:r>
            <w:r w:rsidR="009B63B5" w:rsidRPr="0045322E">
              <w:rPr>
                <w:webHidden/>
                <w:color w:val="auto"/>
              </w:rPr>
              <w:fldChar w:fldCharType="begin"/>
            </w:r>
            <w:r w:rsidR="009B63B5" w:rsidRPr="0045322E">
              <w:rPr>
                <w:webHidden/>
                <w:color w:val="auto"/>
              </w:rPr>
              <w:instrText xml:space="preserve"> PAGEREF _Toc132627486 \h </w:instrText>
            </w:r>
            <w:r w:rsidR="009B63B5" w:rsidRPr="0045322E">
              <w:rPr>
                <w:webHidden/>
                <w:color w:val="auto"/>
              </w:rPr>
            </w:r>
            <w:r w:rsidR="009B63B5" w:rsidRPr="0045322E">
              <w:rPr>
                <w:webHidden/>
                <w:color w:val="auto"/>
              </w:rPr>
              <w:fldChar w:fldCharType="separate"/>
            </w:r>
            <w:r w:rsidR="009B63B5" w:rsidRPr="0045322E">
              <w:rPr>
                <w:webHidden/>
                <w:color w:val="auto"/>
              </w:rPr>
              <w:t>16</w:t>
            </w:r>
            <w:r w:rsidR="009B63B5" w:rsidRPr="0045322E">
              <w:rPr>
                <w:webHidden/>
                <w:color w:val="auto"/>
              </w:rPr>
              <w:fldChar w:fldCharType="end"/>
            </w:r>
          </w:hyperlink>
        </w:p>
        <w:p w14:paraId="53283CEF" w14:textId="5205EA3F" w:rsidR="009B63B5" w:rsidRPr="0045322E" w:rsidRDefault="007B43D8" w:rsidP="0045322E">
          <w:pPr>
            <w:pStyle w:val="TOC1"/>
            <w:spacing w:before="0" w:after="0"/>
            <w:contextualSpacing/>
            <w:rPr>
              <w:rFonts w:asciiTheme="minorHAnsi" w:eastAsiaTheme="minorEastAsia" w:hAnsiTheme="minorHAnsi" w:cstheme="minorBidi"/>
              <w:b w:val="0"/>
              <w:bCs w:val="0"/>
              <w:color w:val="auto"/>
              <w:szCs w:val="22"/>
              <w:lang w:eastAsia="en-AU"/>
            </w:rPr>
          </w:pPr>
          <w:hyperlink w:anchor="_Toc132627487" w:history="1">
            <w:r w:rsidR="009B63B5" w:rsidRPr="0045322E">
              <w:rPr>
                <w:rStyle w:val="Hyperlink"/>
                <w:rFonts w:cstheme="minorHAnsi"/>
                <w:color w:val="auto"/>
              </w:rPr>
              <w:t>GCWG consideration</w:t>
            </w:r>
            <w:r w:rsidR="009B63B5" w:rsidRPr="0045322E">
              <w:rPr>
                <w:webHidden/>
                <w:color w:val="auto"/>
              </w:rPr>
              <w:tab/>
            </w:r>
            <w:r w:rsidR="009B63B5" w:rsidRPr="0045322E">
              <w:rPr>
                <w:webHidden/>
                <w:color w:val="auto"/>
              </w:rPr>
              <w:fldChar w:fldCharType="begin"/>
            </w:r>
            <w:r w:rsidR="009B63B5" w:rsidRPr="0045322E">
              <w:rPr>
                <w:webHidden/>
                <w:color w:val="auto"/>
              </w:rPr>
              <w:instrText xml:space="preserve"> PAGEREF _Toc132627487 \h </w:instrText>
            </w:r>
            <w:r w:rsidR="009B63B5" w:rsidRPr="0045322E">
              <w:rPr>
                <w:webHidden/>
                <w:color w:val="auto"/>
              </w:rPr>
            </w:r>
            <w:r w:rsidR="009B63B5" w:rsidRPr="0045322E">
              <w:rPr>
                <w:webHidden/>
                <w:color w:val="auto"/>
              </w:rPr>
              <w:fldChar w:fldCharType="separate"/>
            </w:r>
            <w:r w:rsidR="009B63B5" w:rsidRPr="0045322E">
              <w:rPr>
                <w:webHidden/>
                <w:color w:val="auto"/>
              </w:rPr>
              <w:t>17</w:t>
            </w:r>
            <w:r w:rsidR="009B63B5" w:rsidRPr="0045322E">
              <w:rPr>
                <w:webHidden/>
                <w:color w:val="auto"/>
              </w:rPr>
              <w:fldChar w:fldCharType="end"/>
            </w:r>
          </w:hyperlink>
        </w:p>
        <w:p w14:paraId="49B689B2" w14:textId="4F101885" w:rsidR="009B63B5" w:rsidRDefault="007B43D8" w:rsidP="0045322E">
          <w:pPr>
            <w:pStyle w:val="TOC1"/>
            <w:spacing w:before="0" w:after="0"/>
            <w:contextualSpacing/>
            <w:rPr>
              <w:rFonts w:asciiTheme="minorHAnsi" w:eastAsiaTheme="minorEastAsia" w:hAnsiTheme="minorHAnsi" w:cstheme="minorBidi"/>
              <w:b w:val="0"/>
              <w:bCs w:val="0"/>
              <w:color w:val="auto"/>
              <w:szCs w:val="22"/>
              <w:lang w:eastAsia="en-AU"/>
            </w:rPr>
          </w:pPr>
          <w:hyperlink w:anchor="_Toc132627488" w:history="1">
            <w:r w:rsidR="009B63B5" w:rsidRPr="0045322E">
              <w:rPr>
                <w:rStyle w:val="Hyperlink"/>
                <w:rFonts w:cstheme="minorHAnsi"/>
                <w:color w:val="auto"/>
              </w:rPr>
              <w:t>Recommendations and actions</w:t>
            </w:r>
            <w:r w:rsidR="009B63B5" w:rsidRPr="0045322E">
              <w:rPr>
                <w:webHidden/>
                <w:color w:val="auto"/>
              </w:rPr>
              <w:tab/>
            </w:r>
            <w:r w:rsidR="009B63B5" w:rsidRPr="0045322E">
              <w:rPr>
                <w:webHidden/>
                <w:color w:val="auto"/>
              </w:rPr>
              <w:fldChar w:fldCharType="begin"/>
            </w:r>
            <w:r w:rsidR="009B63B5" w:rsidRPr="0045322E">
              <w:rPr>
                <w:webHidden/>
                <w:color w:val="auto"/>
              </w:rPr>
              <w:instrText xml:space="preserve"> PAGEREF _Toc132627488 \h </w:instrText>
            </w:r>
            <w:r w:rsidR="009B63B5" w:rsidRPr="0045322E">
              <w:rPr>
                <w:webHidden/>
                <w:color w:val="auto"/>
              </w:rPr>
            </w:r>
            <w:r w:rsidR="009B63B5" w:rsidRPr="0045322E">
              <w:rPr>
                <w:webHidden/>
                <w:color w:val="auto"/>
              </w:rPr>
              <w:fldChar w:fldCharType="separate"/>
            </w:r>
            <w:r w:rsidR="009B63B5" w:rsidRPr="0045322E">
              <w:rPr>
                <w:webHidden/>
                <w:color w:val="auto"/>
              </w:rPr>
              <w:t>18</w:t>
            </w:r>
            <w:r w:rsidR="009B63B5" w:rsidRPr="0045322E">
              <w:rPr>
                <w:webHidden/>
                <w:color w:val="auto"/>
              </w:rPr>
              <w:fldChar w:fldCharType="end"/>
            </w:r>
          </w:hyperlink>
        </w:p>
        <w:p w14:paraId="7ACD4894" w14:textId="1DD79231" w:rsidR="009B63B5" w:rsidRDefault="007B43D8" w:rsidP="0045322E">
          <w:pPr>
            <w:pStyle w:val="TOC2"/>
            <w:contextualSpacing/>
            <w:rPr>
              <w:rFonts w:asciiTheme="minorHAnsi" w:eastAsiaTheme="minorEastAsia" w:hAnsiTheme="minorHAnsi" w:cstheme="minorBidi"/>
              <w:noProof/>
              <w:color w:val="auto"/>
              <w:szCs w:val="22"/>
              <w:lang w:eastAsia="en-AU"/>
            </w:rPr>
          </w:pPr>
          <w:hyperlink w:anchor="_Toc132627489" w:history="1">
            <w:r w:rsidR="009B63B5" w:rsidRPr="00021AB7">
              <w:rPr>
                <w:rStyle w:val="Hyperlink"/>
                <w:rFonts w:cstheme="minorHAnsi"/>
                <w:noProof/>
              </w:rPr>
              <w:t>Investigate the funding arrangements with states and territories</w:t>
            </w:r>
            <w:r w:rsidR="009B63B5">
              <w:rPr>
                <w:noProof/>
                <w:webHidden/>
              </w:rPr>
              <w:tab/>
            </w:r>
            <w:r w:rsidR="009B63B5">
              <w:rPr>
                <w:noProof/>
                <w:webHidden/>
              </w:rPr>
              <w:fldChar w:fldCharType="begin"/>
            </w:r>
            <w:r w:rsidR="009B63B5">
              <w:rPr>
                <w:noProof/>
                <w:webHidden/>
              </w:rPr>
              <w:instrText xml:space="preserve"> PAGEREF _Toc132627489 \h </w:instrText>
            </w:r>
            <w:r w:rsidR="009B63B5">
              <w:rPr>
                <w:noProof/>
                <w:webHidden/>
              </w:rPr>
            </w:r>
            <w:r w:rsidR="009B63B5">
              <w:rPr>
                <w:noProof/>
                <w:webHidden/>
              </w:rPr>
              <w:fldChar w:fldCharType="separate"/>
            </w:r>
            <w:r w:rsidR="009B63B5">
              <w:rPr>
                <w:noProof/>
                <w:webHidden/>
              </w:rPr>
              <w:t>18</w:t>
            </w:r>
            <w:r w:rsidR="009B63B5">
              <w:rPr>
                <w:noProof/>
                <w:webHidden/>
              </w:rPr>
              <w:fldChar w:fldCharType="end"/>
            </w:r>
          </w:hyperlink>
        </w:p>
        <w:p w14:paraId="30664A95" w14:textId="102A8A1C" w:rsidR="009B63B5" w:rsidRDefault="007B43D8" w:rsidP="0045322E">
          <w:pPr>
            <w:pStyle w:val="TOC2"/>
            <w:contextualSpacing/>
            <w:rPr>
              <w:rFonts w:asciiTheme="minorHAnsi" w:eastAsiaTheme="minorEastAsia" w:hAnsiTheme="minorHAnsi" w:cstheme="minorBidi"/>
              <w:noProof/>
              <w:color w:val="auto"/>
              <w:szCs w:val="22"/>
              <w:lang w:eastAsia="en-AU"/>
            </w:rPr>
          </w:pPr>
          <w:hyperlink w:anchor="_Toc132627490" w:history="1">
            <w:r w:rsidR="009B63B5" w:rsidRPr="00021AB7">
              <w:rPr>
                <w:rStyle w:val="Hyperlink"/>
                <w:rFonts w:cstheme="minorHAnsi"/>
                <w:noProof/>
              </w:rPr>
              <w:t>Clarify the circumstances when genetic counselling should be reimbursed on the MBS</w:t>
            </w:r>
            <w:r w:rsidR="009B63B5">
              <w:rPr>
                <w:noProof/>
                <w:webHidden/>
              </w:rPr>
              <w:tab/>
            </w:r>
            <w:r w:rsidR="009B63B5">
              <w:rPr>
                <w:noProof/>
                <w:webHidden/>
              </w:rPr>
              <w:fldChar w:fldCharType="begin"/>
            </w:r>
            <w:r w:rsidR="009B63B5">
              <w:rPr>
                <w:noProof/>
                <w:webHidden/>
              </w:rPr>
              <w:instrText xml:space="preserve"> PAGEREF _Toc132627490 \h </w:instrText>
            </w:r>
            <w:r w:rsidR="009B63B5">
              <w:rPr>
                <w:noProof/>
                <w:webHidden/>
              </w:rPr>
            </w:r>
            <w:r w:rsidR="009B63B5">
              <w:rPr>
                <w:noProof/>
                <w:webHidden/>
              </w:rPr>
              <w:fldChar w:fldCharType="separate"/>
            </w:r>
            <w:r w:rsidR="009B63B5">
              <w:rPr>
                <w:noProof/>
                <w:webHidden/>
              </w:rPr>
              <w:t>18</w:t>
            </w:r>
            <w:r w:rsidR="009B63B5">
              <w:rPr>
                <w:noProof/>
                <w:webHidden/>
              </w:rPr>
              <w:fldChar w:fldCharType="end"/>
            </w:r>
          </w:hyperlink>
        </w:p>
        <w:p w14:paraId="5F47F07F" w14:textId="3811F4CC" w:rsidR="009B63B5" w:rsidRDefault="007B43D8" w:rsidP="0045322E">
          <w:pPr>
            <w:pStyle w:val="TOC2"/>
            <w:contextualSpacing/>
            <w:rPr>
              <w:rFonts w:asciiTheme="minorHAnsi" w:eastAsiaTheme="minorEastAsia" w:hAnsiTheme="minorHAnsi" w:cstheme="minorBidi"/>
              <w:noProof/>
              <w:color w:val="auto"/>
              <w:szCs w:val="22"/>
              <w:lang w:eastAsia="en-AU"/>
            </w:rPr>
          </w:pPr>
          <w:hyperlink w:anchor="_Toc132627491" w:history="1">
            <w:r w:rsidR="009B63B5" w:rsidRPr="00021AB7">
              <w:rPr>
                <w:rStyle w:val="Hyperlink"/>
                <w:rFonts w:cstheme="minorHAnsi"/>
                <w:noProof/>
              </w:rPr>
              <w:t>Gather additional evidence that demonstrates how MBS items for genetic counselling would improve health outcomes equitably</w:t>
            </w:r>
            <w:r w:rsidR="009B63B5">
              <w:rPr>
                <w:noProof/>
                <w:webHidden/>
              </w:rPr>
              <w:tab/>
            </w:r>
            <w:r w:rsidR="009B63B5">
              <w:rPr>
                <w:noProof/>
                <w:webHidden/>
              </w:rPr>
              <w:fldChar w:fldCharType="begin"/>
            </w:r>
            <w:r w:rsidR="009B63B5">
              <w:rPr>
                <w:noProof/>
                <w:webHidden/>
              </w:rPr>
              <w:instrText xml:space="preserve"> PAGEREF _Toc132627491 \h </w:instrText>
            </w:r>
            <w:r w:rsidR="009B63B5">
              <w:rPr>
                <w:noProof/>
                <w:webHidden/>
              </w:rPr>
            </w:r>
            <w:r w:rsidR="009B63B5">
              <w:rPr>
                <w:noProof/>
                <w:webHidden/>
              </w:rPr>
              <w:fldChar w:fldCharType="separate"/>
            </w:r>
            <w:r w:rsidR="009B63B5">
              <w:rPr>
                <w:noProof/>
                <w:webHidden/>
              </w:rPr>
              <w:t>19</w:t>
            </w:r>
            <w:r w:rsidR="009B63B5">
              <w:rPr>
                <w:noProof/>
                <w:webHidden/>
              </w:rPr>
              <w:fldChar w:fldCharType="end"/>
            </w:r>
          </w:hyperlink>
        </w:p>
        <w:p w14:paraId="2F7F200F" w14:textId="75AE8265" w:rsidR="00B35DAD" w:rsidRPr="00B35DAD" w:rsidRDefault="009B63B5" w:rsidP="007B43D8">
          <w:pPr>
            <w:spacing w:after="0"/>
            <w:contextualSpacing/>
          </w:pPr>
          <w:r>
            <w:rPr>
              <w:b/>
              <w:bCs/>
              <w:noProof/>
            </w:rPr>
            <w:fldChar w:fldCharType="end"/>
          </w:r>
        </w:p>
      </w:sdtContent>
    </w:sdt>
    <w:p w14:paraId="0ACE2EB6" w14:textId="551F05D6" w:rsidR="00A970EC" w:rsidRPr="00521D11" w:rsidRDefault="00505FB5" w:rsidP="0032543F">
      <w:pPr>
        <w:pStyle w:val="Heading1"/>
        <w:rPr>
          <w:rFonts w:asciiTheme="minorHAnsi" w:hAnsiTheme="minorHAnsi" w:cstheme="minorHAnsi"/>
        </w:rPr>
      </w:pPr>
      <w:bookmarkStart w:id="0" w:name="_Toc117856149"/>
      <w:bookmarkStart w:id="1" w:name="_Toc132209193"/>
      <w:bookmarkStart w:id="2" w:name="_Toc132627461"/>
      <w:r w:rsidRPr="00521D11">
        <w:rPr>
          <w:rFonts w:asciiTheme="minorHAnsi" w:hAnsiTheme="minorHAnsi" w:cstheme="minorHAnsi"/>
        </w:rPr>
        <w:t>Summary</w:t>
      </w:r>
      <w:bookmarkEnd w:id="0"/>
      <w:bookmarkEnd w:id="1"/>
      <w:bookmarkEnd w:id="2"/>
    </w:p>
    <w:p w14:paraId="3421376C" w14:textId="4892924A" w:rsidR="000675C4" w:rsidRDefault="000675C4" w:rsidP="000675C4">
      <w:bookmarkStart w:id="3" w:name="_Toc107835767"/>
      <w:bookmarkStart w:id="4" w:name="_Toc107835834"/>
      <w:bookmarkStart w:id="5" w:name="_Toc107911558"/>
      <w:bookmarkStart w:id="6" w:name="_Toc107920653"/>
      <w:bookmarkStart w:id="7" w:name="_Toc111552634"/>
      <w:bookmarkStart w:id="8" w:name="_Toc111558643"/>
      <w:bookmarkStart w:id="9" w:name="_Toc111561067"/>
      <w:r>
        <w:t xml:space="preserve">Genetic counselling is recognised as an integral part of supporting patients and their biological relatives when under investigation for medical conditions where there is an established genetic risk factor. Currently, most government-funded professional genetic counselling services in Australia are provided by activity-based or block-funded clinical genetics services operating within metropolitan tertiary public hospitals. The </w:t>
      </w:r>
      <w:r w:rsidR="00AA75F8">
        <w:t>proposal</w:t>
      </w:r>
      <w:r>
        <w:t xml:space="preserve"> from the Human Genetics Society of Australasia (HGSA) seeks to increase access to clinical genetic services and professional genetic counselling through the addition of new genetic counselling consultation items on the Medicare Benefits Schedule (MBS). </w:t>
      </w:r>
    </w:p>
    <w:p w14:paraId="0A910681" w14:textId="2B79BA2E" w:rsidR="005E3ABD" w:rsidRPr="003D1ADD" w:rsidRDefault="005E3ABD" w:rsidP="007F3E4A">
      <w:pPr>
        <w:pStyle w:val="Heading2"/>
        <w:rPr>
          <w:color w:val="E36C0A" w:themeColor="accent6" w:themeShade="BF"/>
        </w:rPr>
      </w:pPr>
      <w:bookmarkStart w:id="10" w:name="_Toc132627462"/>
      <w:r w:rsidRPr="003D1ADD">
        <w:rPr>
          <w:color w:val="E36C0A" w:themeColor="accent6" w:themeShade="BF"/>
        </w:rPr>
        <w:t>Medicare Benefits Schedule Continuous Review</w:t>
      </w:r>
      <w:bookmarkStart w:id="11" w:name="_Hlk119572384"/>
      <w:bookmarkEnd w:id="3"/>
      <w:bookmarkEnd w:id="4"/>
      <w:bookmarkEnd w:id="5"/>
      <w:bookmarkEnd w:id="6"/>
      <w:bookmarkEnd w:id="7"/>
      <w:bookmarkEnd w:id="8"/>
      <w:bookmarkEnd w:id="9"/>
      <w:bookmarkEnd w:id="10"/>
    </w:p>
    <w:p w14:paraId="3EF4BBD9" w14:textId="52E5E0F9" w:rsidR="0084106C" w:rsidRPr="00521D11" w:rsidRDefault="0084106C" w:rsidP="0084106C">
      <w:pPr>
        <w:pStyle w:val="NormalBeforeBullet"/>
        <w:rPr>
          <w:rFonts w:asciiTheme="minorHAnsi" w:hAnsiTheme="minorHAnsi" w:cstheme="minorHAnsi"/>
        </w:rPr>
      </w:pPr>
      <w:r w:rsidRPr="00521D11">
        <w:rPr>
          <w:rFonts w:asciiTheme="minorHAnsi" w:hAnsiTheme="minorHAnsi" w:cstheme="minorHAnsi"/>
        </w:rPr>
        <w:t xml:space="preserve">The </w:t>
      </w:r>
      <w:r w:rsidR="00B41F47" w:rsidRPr="00521D11">
        <w:rPr>
          <w:rFonts w:asciiTheme="minorHAnsi" w:hAnsiTheme="minorHAnsi" w:cstheme="minorHAnsi"/>
        </w:rPr>
        <w:t>M</w:t>
      </w:r>
      <w:r w:rsidRPr="00521D11">
        <w:rPr>
          <w:rFonts w:asciiTheme="minorHAnsi" w:hAnsiTheme="minorHAnsi" w:cstheme="minorHAnsi"/>
        </w:rPr>
        <w:t xml:space="preserve">BS Continuous Review </w:t>
      </w:r>
      <w:r w:rsidR="00175F13" w:rsidRPr="00175F13">
        <w:rPr>
          <w:rFonts w:asciiTheme="minorHAnsi" w:hAnsiTheme="minorHAnsi" w:cstheme="minorHAnsi"/>
        </w:rPr>
        <w:t xml:space="preserve">involves the ongoing review of Medicare items and services by </w:t>
      </w:r>
      <w:r w:rsidR="001932C5" w:rsidRPr="00175F13">
        <w:rPr>
          <w:rFonts w:asciiTheme="minorHAnsi" w:hAnsiTheme="minorHAnsi" w:cstheme="minorHAnsi"/>
        </w:rPr>
        <w:t>experts</w:t>
      </w:r>
      <w:r w:rsidR="001932C5">
        <w:rPr>
          <w:rFonts w:asciiTheme="minorHAnsi" w:hAnsiTheme="minorHAnsi" w:cstheme="minorHAnsi"/>
        </w:rPr>
        <w:t xml:space="preserve"> and</w:t>
      </w:r>
      <w:r w:rsidR="00175F13" w:rsidRPr="00175F13">
        <w:rPr>
          <w:rFonts w:asciiTheme="minorHAnsi" w:hAnsiTheme="minorHAnsi" w:cstheme="minorHAnsi"/>
        </w:rPr>
        <w:t xml:space="preserve"> </w:t>
      </w:r>
      <w:r w:rsidRPr="00521D11">
        <w:rPr>
          <w:rFonts w:asciiTheme="minorHAnsi" w:hAnsiTheme="minorHAnsi" w:cstheme="minorHAnsi"/>
        </w:rPr>
        <w:t xml:space="preserve">is supported by the MBS Review Advisory Committee (MRAC). The Committee’s role is to provide independent clinical, professional and consumer advice to Government </w:t>
      </w:r>
      <w:r w:rsidR="00175F13">
        <w:rPr>
          <w:rFonts w:asciiTheme="minorHAnsi" w:hAnsiTheme="minorHAnsi" w:cstheme="minorHAnsi"/>
        </w:rPr>
        <w:t>about</w:t>
      </w:r>
      <w:r w:rsidRPr="00521D11">
        <w:rPr>
          <w:rFonts w:asciiTheme="minorHAnsi" w:hAnsiTheme="minorHAnsi" w:cstheme="minorHAnsi"/>
        </w:rPr>
        <w:t xml:space="preserve">: </w:t>
      </w:r>
    </w:p>
    <w:p w14:paraId="4DD749A0" w14:textId="61B4C396" w:rsidR="0084106C" w:rsidRPr="00521D11" w:rsidRDefault="2615C087" w:rsidP="00CF683B">
      <w:pPr>
        <w:pStyle w:val="Bullet"/>
        <w:rPr>
          <w:rFonts w:asciiTheme="minorHAnsi" w:hAnsiTheme="minorHAnsi" w:cstheme="minorHAnsi"/>
        </w:rPr>
      </w:pPr>
      <w:r w:rsidRPr="00521D11">
        <w:rPr>
          <w:rFonts w:asciiTheme="minorHAnsi" w:hAnsiTheme="minorHAnsi" w:cstheme="minorHAnsi"/>
        </w:rPr>
        <w:t>opportunities to improve patient outcomes in instances where a health technology assessment by the Medical Services Advisory Committee is not appropriate</w:t>
      </w:r>
    </w:p>
    <w:p w14:paraId="57305824" w14:textId="5A06C1F3" w:rsidR="0084106C" w:rsidRPr="00521D11" w:rsidRDefault="2615C087" w:rsidP="00CF683B">
      <w:pPr>
        <w:pStyle w:val="Bullet"/>
        <w:rPr>
          <w:rFonts w:asciiTheme="minorHAnsi" w:hAnsiTheme="minorHAnsi" w:cstheme="minorHAnsi"/>
        </w:rPr>
      </w:pPr>
      <w:r w:rsidRPr="00521D11">
        <w:rPr>
          <w:rFonts w:asciiTheme="minorHAnsi" w:hAnsiTheme="minorHAnsi" w:cstheme="minorHAnsi"/>
        </w:rPr>
        <w:t>the safety and efficacy of existing MBS items</w:t>
      </w:r>
    </w:p>
    <w:p w14:paraId="74B22ED2" w14:textId="298A7E59" w:rsidR="0084106C" w:rsidRPr="00521D11" w:rsidRDefault="2615C087" w:rsidP="00CF683B">
      <w:pPr>
        <w:pStyle w:val="BulletLast"/>
        <w:rPr>
          <w:rFonts w:asciiTheme="minorHAnsi" w:hAnsiTheme="minorHAnsi" w:cstheme="minorHAnsi"/>
        </w:rPr>
      </w:pPr>
      <w:r w:rsidRPr="00521D11">
        <w:rPr>
          <w:rFonts w:asciiTheme="minorHAnsi" w:hAnsiTheme="minorHAnsi" w:cstheme="minorHAnsi"/>
        </w:rPr>
        <w:t xml:space="preserve">implemented changes to the MBS, to monitor benefits and address unintended consequences. </w:t>
      </w:r>
    </w:p>
    <w:p w14:paraId="1266451E" w14:textId="42D76C95" w:rsidR="0084106C" w:rsidRPr="00521D11" w:rsidRDefault="2615C087" w:rsidP="0084106C">
      <w:pPr>
        <w:rPr>
          <w:rFonts w:asciiTheme="minorHAnsi" w:hAnsiTheme="minorHAnsi" w:cstheme="minorHAnsi"/>
        </w:rPr>
      </w:pPr>
      <w:r w:rsidRPr="00521D11">
        <w:rPr>
          <w:rFonts w:asciiTheme="minorHAnsi" w:hAnsiTheme="minorHAnsi" w:cstheme="minorHAnsi"/>
        </w:rPr>
        <w:t xml:space="preserve">The Genetic Counselling Working Group (GCWG) was established as a subgroup of the MRAC to review and advise on the HGSA </w:t>
      </w:r>
      <w:r w:rsidR="00AA75F8">
        <w:rPr>
          <w:rFonts w:asciiTheme="minorHAnsi" w:hAnsiTheme="minorHAnsi" w:cstheme="minorHAnsi"/>
        </w:rPr>
        <w:t>proposal</w:t>
      </w:r>
      <w:r w:rsidRPr="00521D11">
        <w:rPr>
          <w:rFonts w:asciiTheme="minorHAnsi" w:hAnsiTheme="minorHAnsi" w:cstheme="minorHAnsi"/>
        </w:rPr>
        <w:t>.</w:t>
      </w:r>
    </w:p>
    <w:p w14:paraId="456C6EFC" w14:textId="40FC322C" w:rsidR="0084106C" w:rsidRPr="003D1ADD" w:rsidRDefault="00175F13" w:rsidP="007F3E4A">
      <w:pPr>
        <w:pStyle w:val="Heading2"/>
        <w:rPr>
          <w:color w:val="E36C0A" w:themeColor="accent6" w:themeShade="BF"/>
        </w:rPr>
      </w:pPr>
      <w:bookmarkStart w:id="12" w:name="_Toc132627463"/>
      <w:bookmarkEnd w:id="11"/>
      <w:r w:rsidRPr="003D1ADD">
        <w:rPr>
          <w:color w:val="E36C0A" w:themeColor="accent6" w:themeShade="BF"/>
        </w:rPr>
        <w:t xml:space="preserve">GCWG assessment </w:t>
      </w:r>
      <w:r w:rsidR="00982D51" w:rsidRPr="003D1ADD">
        <w:rPr>
          <w:color w:val="E36C0A" w:themeColor="accent6" w:themeShade="BF"/>
        </w:rPr>
        <w:t>of main issues</w:t>
      </w:r>
      <w:bookmarkEnd w:id="12"/>
    </w:p>
    <w:p w14:paraId="3A5F6A48" w14:textId="1338534D" w:rsidR="0084106C" w:rsidRPr="00521D11" w:rsidRDefault="0084106C" w:rsidP="0084106C">
      <w:pPr>
        <w:pStyle w:val="NormalBeforeBullet"/>
        <w:rPr>
          <w:rFonts w:asciiTheme="minorHAnsi" w:hAnsiTheme="minorHAnsi" w:cstheme="minorHAnsi"/>
        </w:rPr>
      </w:pPr>
      <w:r w:rsidRPr="00521D11">
        <w:rPr>
          <w:rFonts w:asciiTheme="minorHAnsi" w:hAnsiTheme="minorHAnsi" w:cstheme="minorHAnsi"/>
        </w:rPr>
        <w:t xml:space="preserve">The GCWG considered the </w:t>
      </w:r>
      <w:r w:rsidR="00AA75F8">
        <w:rPr>
          <w:rFonts w:asciiTheme="minorHAnsi" w:hAnsiTheme="minorHAnsi" w:cstheme="minorHAnsi"/>
        </w:rPr>
        <w:t>proposal</w:t>
      </w:r>
      <w:r w:rsidRPr="00521D11">
        <w:rPr>
          <w:rFonts w:asciiTheme="minorHAnsi" w:hAnsiTheme="minorHAnsi" w:cstheme="minorHAnsi"/>
        </w:rPr>
        <w:t xml:space="preserve"> in line with the PICO framework (population, intervention, comparator, outcomes):</w:t>
      </w:r>
    </w:p>
    <w:p w14:paraId="476E65C2" w14:textId="7F630880" w:rsidR="0084106C" w:rsidRPr="00521D11" w:rsidRDefault="2615C087" w:rsidP="00CF683B">
      <w:pPr>
        <w:pStyle w:val="Bullet"/>
        <w:rPr>
          <w:rFonts w:asciiTheme="minorHAnsi" w:hAnsiTheme="minorHAnsi" w:cstheme="minorHAnsi"/>
        </w:rPr>
      </w:pPr>
      <w:r w:rsidRPr="00521D11">
        <w:rPr>
          <w:rFonts w:asciiTheme="minorHAnsi" w:hAnsiTheme="minorHAnsi" w:cstheme="minorHAnsi"/>
        </w:rPr>
        <w:t>Population: people who require genetic counselling</w:t>
      </w:r>
    </w:p>
    <w:p w14:paraId="154A02ED" w14:textId="4B67D19A" w:rsidR="0084106C" w:rsidRPr="00521D11" w:rsidRDefault="2615C087" w:rsidP="00CF683B">
      <w:pPr>
        <w:pStyle w:val="Bullet"/>
        <w:rPr>
          <w:rFonts w:asciiTheme="minorHAnsi" w:hAnsiTheme="minorHAnsi" w:cstheme="minorHAnsi"/>
        </w:rPr>
      </w:pPr>
      <w:r w:rsidRPr="00521D11">
        <w:rPr>
          <w:rFonts w:asciiTheme="minorHAnsi" w:hAnsiTheme="minorHAnsi" w:cstheme="minorHAnsi"/>
        </w:rPr>
        <w:t xml:space="preserve">Intervention: an MBS item for genetic counselling </w:t>
      </w:r>
    </w:p>
    <w:p w14:paraId="4AD77178" w14:textId="753FD198" w:rsidR="0084106C" w:rsidRPr="00521D11" w:rsidRDefault="2615C087" w:rsidP="00CF683B">
      <w:pPr>
        <w:pStyle w:val="Bullet"/>
        <w:rPr>
          <w:rFonts w:asciiTheme="minorHAnsi" w:hAnsiTheme="minorHAnsi" w:cstheme="minorHAnsi"/>
        </w:rPr>
      </w:pPr>
      <w:r w:rsidRPr="00521D11">
        <w:rPr>
          <w:rFonts w:asciiTheme="minorHAnsi" w:hAnsiTheme="minorHAnsi" w:cstheme="minorHAnsi"/>
        </w:rPr>
        <w:t xml:space="preserve">Comparator: </w:t>
      </w:r>
      <w:r w:rsidR="67903E17" w:rsidRPr="00521D11">
        <w:rPr>
          <w:rFonts w:asciiTheme="minorHAnsi" w:hAnsiTheme="minorHAnsi" w:cstheme="minorHAnsi"/>
        </w:rPr>
        <w:t>public genetics service that offer</w:t>
      </w:r>
      <w:r w:rsidR="7E6FB9E2" w:rsidRPr="00521D11">
        <w:rPr>
          <w:rFonts w:asciiTheme="minorHAnsi" w:hAnsiTheme="minorHAnsi" w:cstheme="minorHAnsi"/>
        </w:rPr>
        <w:t xml:space="preserve"> comprehensive</w:t>
      </w:r>
      <w:r w:rsidR="67903E17" w:rsidRPr="00521D11">
        <w:rPr>
          <w:rFonts w:asciiTheme="minorHAnsi" w:hAnsiTheme="minorHAnsi" w:cstheme="minorHAnsi"/>
        </w:rPr>
        <w:t xml:space="preserve"> testing, diagnosis</w:t>
      </w:r>
      <w:r w:rsidR="003A7021" w:rsidRPr="00521D11">
        <w:rPr>
          <w:rFonts w:asciiTheme="minorHAnsi" w:hAnsiTheme="minorHAnsi" w:cstheme="minorHAnsi"/>
        </w:rPr>
        <w:t>,</w:t>
      </w:r>
      <w:r w:rsidR="67903E17" w:rsidRPr="00521D11">
        <w:rPr>
          <w:rFonts w:asciiTheme="minorHAnsi" w:hAnsiTheme="minorHAnsi" w:cstheme="minorHAnsi"/>
        </w:rPr>
        <w:t xml:space="preserve"> and counselling at, usually, large healthcare centres or hospitals that are funded by states or territories</w:t>
      </w:r>
    </w:p>
    <w:p w14:paraId="4D4D15FA" w14:textId="339BC6C3" w:rsidR="0084106C" w:rsidRPr="00521D11" w:rsidRDefault="2615C087" w:rsidP="00CF683B">
      <w:pPr>
        <w:pStyle w:val="BulletLast"/>
        <w:rPr>
          <w:rFonts w:asciiTheme="minorHAnsi" w:hAnsiTheme="minorHAnsi" w:cstheme="minorHAnsi"/>
        </w:rPr>
      </w:pPr>
      <w:r w:rsidRPr="00521D11">
        <w:rPr>
          <w:rFonts w:asciiTheme="minorHAnsi" w:hAnsiTheme="minorHAnsi" w:cstheme="minorHAnsi"/>
        </w:rPr>
        <w:t xml:space="preserve">Outcomes: unclear and not well </w:t>
      </w:r>
      <w:r w:rsidR="67903E17" w:rsidRPr="00521D11">
        <w:rPr>
          <w:rFonts w:asciiTheme="minorHAnsi" w:hAnsiTheme="minorHAnsi" w:cstheme="minorHAnsi"/>
        </w:rPr>
        <w:t>identified</w:t>
      </w:r>
      <w:r w:rsidRPr="00521D11">
        <w:rPr>
          <w:rFonts w:asciiTheme="minorHAnsi" w:hAnsiTheme="minorHAnsi" w:cstheme="minorHAnsi"/>
        </w:rPr>
        <w:t>.</w:t>
      </w:r>
    </w:p>
    <w:p w14:paraId="00FCA0AD" w14:textId="76ACBED2" w:rsidR="00290DE9" w:rsidRDefault="004A15DA" w:rsidP="00175F13">
      <w:pPr>
        <w:pStyle w:val="NormalBeforeBullet"/>
        <w:rPr>
          <w:rFonts w:asciiTheme="minorHAnsi" w:hAnsiTheme="minorHAnsi" w:cstheme="minorHAnsi"/>
        </w:rPr>
      </w:pPr>
      <w:r w:rsidRPr="00521D11">
        <w:rPr>
          <w:rFonts w:asciiTheme="minorHAnsi" w:hAnsiTheme="minorHAnsi" w:cstheme="minorHAnsi"/>
        </w:rPr>
        <w:t>After reviewing the</w:t>
      </w:r>
      <w:r w:rsidR="00AA75F8">
        <w:rPr>
          <w:rFonts w:asciiTheme="minorHAnsi" w:hAnsiTheme="minorHAnsi" w:cstheme="minorHAnsi"/>
        </w:rPr>
        <w:t xml:space="preserve"> proposal</w:t>
      </w:r>
      <w:r w:rsidR="00166CFC" w:rsidRPr="00521D11">
        <w:rPr>
          <w:rFonts w:asciiTheme="minorHAnsi" w:hAnsiTheme="minorHAnsi" w:cstheme="minorHAnsi"/>
        </w:rPr>
        <w:t xml:space="preserve"> </w:t>
      </w:r>
      <w:r w:rsidRPr="00521D11">
        <w:rPr>
          <w:rFonts w:asciiTheme="minorHAnsi" w:hAnsiTheme="minorHAnsi" w:cstheme="minorHAnsi"/>
        </w:rPr>
        <w:t>and through committee meetings, t</w:t>
      </w:r>
      <w:r w:rsidR="00982D51" w:rsidRPr="00521D11">
        <w:rPr>
          <w:rFonts w:asciiTheme="minorHAnsi" w:hAnsiTheme="minorHAnsi" w:cstheme="minorHAnsi"/>
        </w:rPr>
        <w:t xml:space="preserve">he GCWG </w:t>
      </w:r>
      <w:r w:rsidR="007E052D" w:rsidRPr="00521D11">
        <w:rPr>
          <w:rFonts w:asciiTheme="minorHAnsi" w:hAnsiTheme="minorHAnsi" w:cstheme="minorHAnsi"/>
        </w:rPr>
        <w:t>considered that</w:t>
      </w:r>
      <w:r w:rsidR="00175F13" w:rsidRPr="00521D11">
        <w:rPr>
          <w:rFonts w:asciiTheme="minorHAnsi" w:hAnsiTheme="minorHAnsi" w:cstheme="minorHAnsi"/>
        </w:rPr>
        <w:t xml:space="preserve"> the evidence presented indicated a need for increased access to genetic counselling services. The current limited availability of qualified genetic counsellors is a contributor to long waiting times for patients in public clinics (reported as being one week for pregnant women, four weeks for urgent matters and up to nine months </w:t>
      </w:r>
      <w:r w:rsidR="00290DE9">
        <w:rPr>
          <w:rFonts w:asciiTheme="minorHAnsi" w:hAnsiTheme="minorHAnsi" w:cstheme="minorHAnsi"/>
        </w:rPr>
        <w:t>f</w:t>
      </w:r>
      <w:r w:rsidR="00175F13" w:rsidRPr="00521D11">
        <w:rPr>
          <w:rFonts w:asciiTheme="minorHAnsi" w:hAnsiTheme="minorHAnsi" w:cstheme="minorHAnsi"/>
        </w:rPr>
        <w:t>or</w:t>
      </w:r>
      <w:r w:rsidR="00290DE9">
        <w:rPr>
          <w:rFonts w:asciiTheme="minorHAnsi" w:hAnsiTheme="minorHAnsi" w:cstheme="minorHAnsi"/>
        </w:rPr>
        <w:t xml:space="preserve"> n</w:t>
      </w:r>
      <w:r w:rsidR="00175F13" w:rsidRPr="00521D11">
        <w:rPr>
          <w:rFonts w:asciiTheme="minorHAnsi" w:hAnsiTheme="minorHAnsi" w:cstheme="minorHAnsi"/>
        </w:rPr>
        <w:t>on-urgent matters). These are anticipated to increase even further as the availability of genetic testing expands.</w:t>
      </w:r>
    </w:p>
    <w:p w14:paraId="1BC8DFD8" w14:textId="77777777" w:rsidR="00290DE9" w:rsidRDefault="00290DE9" w:rsidP="00175F13">
      <w:pPr>
        <w:pStyle w:val="NormalBeforeBullet"/>
        <w:rPr>
          <w:rFonts w:asciiTheme="minorHAnsi" w:hAnsiTheme="minorHAnsi" w:cstheme="minorHAnsi"/>
        </w:rPr>
        <w:sectPr w:rsidR="00290DE9" w:rsidSect="00A570B7">
          <w:footerReference w:type="default" r:id="rId12"/>
          <w:footerReference w:type="first" r:id="rId13"/>
          <w:footnotePr>
            <w:numRestart w:val="eachSect"/>
          </w:footnotePr>
          <w:pgSz w:w="11906" w:h="16838" w:code="9"/>
          <w:pgMar w:top="1440" w:right="2007" w:bottom="1440" w:left="2007" w:header="578" w:footer="476" w:gutter="0"/>
          <w:pgNumType w:start="0"/>
          <w:cols w:space="720"/>
          <w:titlePg/>
          <w:docGrid w:linePitch="326"/>
        </w:sectPr>
      </w:pPr>
    </w:p>
    <w:p w14:paraId="455A5B95" w14:textId="19ACF893" w:rsidR="00175F13" w:rsidRPr="00521D11" w:rsidRDefault="00175F13" w:rsidP="00175F13">
      <w:pPr>
        <w:pStyle w:val="NormalBeforeBullet"/>
        <w:rPr>
          <w:rFonts w:asciiTheme="minorHAnsi" w:hAnsiTheme="minorHAnsi" w:cstheme="minorHAnsi"/>
        </w:rPr>
      </w:pPr>
      <w:r w:rsidRPr="00521D11">
        <w:rPr>
          <w:rFonts w:asciiTheme="minorHAnsi" w:hAnsiTheme="minorHAnsi" w:cstheme="minorHAnsi"/>
        </w:rPr>
        <w:lastRenderedPageBreak/>
        <w:t>However:</w:t>
      </w:r>
    </w:p>
    <w:p w14:paraId="3678358D" w14:textId="425006C5" w:rsidR="00175F13" w:rsidRPr="00521D11" w:rsidRDefault="00175F13" w:rsidP="00175F13">
      <w:pPr>
        <w:pStyle w:val="Bullet"/>
        <w:rPr>
          <w:rFonts w:asciiTheme="minorHAnsi" w:hAnsiTheme="minorHAnsi" w:cstheme="minorHAnsi"/>
        </w:rPr>
      </w:pPr>
      <w:r w:rsidRPr="00521D11">
        <w:rPr>
          <w:rFonts w:asciiTheme="minorHAnsi" w:hAnsiTheme="minorHAnsi" w:cstheme="minorHAnsi"/>
        </w:rPr>
        <w:t xml:space="preserve">The </w:t>
      </w:r>
      <w:r w:rsidR="00AA75F8">
        <w:rPr>
          <w:rFonts w:asciiTheme="minorHAnsi" w:hAnsiTheme="minorHAnsi" w:cstheme="minorHAnsi"/>
        </w:rPr>
        <w:t>proposal’s</w:t>
      </w:r>
      <w:r w:rsidRPr="00521D11">
        <w:rPr>
          <w:rFonts w:asciiTheme="minorHAnsi" w:hAnsiTheme="minorHAnsi" w:cstheme="minorHAnsi"/>
        </w:rPr>
        <w:t xml:space="preserve"> population was not well defined. </w:t>
      </w:r>
      <w:r>
        <w:rPr>
          <w:rFonts w:asciiTheme="minorHAnsi" w:hAnsiTheme="minorHAnsi" w:cstheme="minorHAnsi"/>
        </w:rPr>
        <w:t>The GCWG</w:t>
      </w:r>
      <w:r w:rsidRPr="00521D11">
        <w:rPr>
          <w:rFonts w:asciiTheme="minorHAnsi" w:hAnsiTheme="minorHAnsi" w:cstheme="minorHAnsi"/>
        </w:rPr>
        <w:t xml:space="preserve"> noted that identifying a priority population that would most benefit from genetic counselling would strengthen the </w:t>
      </w:r>
      <w:r w:rsidR="00AA75F8">
        <w:rPr>
          <w:rFonts w:asciiTheme="minorHAnsi" w:hAnsiTheme="minorHAnsi" w:cstheme="minorHAnsi"/>
        </w:rPr>
        <w:t>proposal.</w:t>
      </w:r>
      <w:r w:rsidRPr="00521D11">
        <w:rPr>
          <w:rFonts w:asciiTheme="minorHAnsi" w:hAnsiTheme="minorHAnsi" w:cstheme="minorHAnsi"/>
        </w:rPr>
        <w:t xml:space="preserve"> This would require expert input from genetic counsellors, clinical geneticists, and other specialists. It may also be beneficial to link potential genetic counselling MBS items to the existing </w:t>
      </w:r>
      <w:r w:rsidR="00AE1955">
        <w:rPr>
          <w:rFonts w:asciiTheme="minorHAnsi" w:hAnsiTheme="minorHAnsi" w:cstheme="minorHAnsi"/>
        </w:rPr>
        <w:t>eighteen</w:t>
      </w:r>
      <w:r w:rsidRPr="00521D11">
        <w:rPr>
          <w:rFonts w:asciiTheme="minorHAnsi" w:hAnsiTheme="minorHAnsi" w:cstheme="minorHAnsi"/>
        </w:rPr>
        <w:t> MBS items that recommend genetic counselling in their accompanying explanatory notes, noting that a review of these items could first be undertaken to ensure they represent current best practice and high value care for patients.</w:t>
      </w:r>
    </w:p>
    <w:p w14:paraId="6B52D4E9" w14:textId="2B0FAC89" w:rsidR="000675C4" w:rsidRDefault="00175F13" w:rsidP="000675C4">
      <w:pPr>
        <w:pStyle w:val="Bullet"/>
      </w:pPr>
      <w:r w:rsidRPr="00175F13">
        <w:rPr>
          <w:rFonts w:asciiTheme="minorHAnsi" w:hAnsiTheme="minorHAnsi" w:cstheme="minorHAnsi"/>
        </w:rPr>
        <w:t xml:space="preserve">The proposed model is based on a human resource–intensive activity and it is difficult to envisage how it can be provided without significant costs to the patient, which is not the case with the current public model. </w:t>
      </w:r>
      <w:r w:rsidR="000675C4">
        <w:t>The GCWG noted that listing genetic counselling MBS items may not improve access for patients and families who may not be able to afford out-of-pocket costs associated with private services.</w:t>
      </w:r>
    </w:p>
    <w:p w14:paraId="12A16116" w14:textId="77777777" w:rsidR="00175F13" w:rsidRPr="00521D11" w:rsidRDefault="00175F13" w:rsidP="000675C4">
      <w:pPr>
        <w:pStyle w:val="Bullet"/>
        <w:rPr>
          <w:rFonts w:asciiTheme="minorHAnsi" w:hAnsiTheme="minorHAnsi" w:cstheme="minorHAnsi"/>
        </w:rPr>
      </w:pPr>
      <w:r w:rsidRPr="00521D11">
        <w:rPr>
          <w:rFonts w:asciiTheme="minorHAnsi" w:hAnsiTheme="minorHAnsi" w:cstheme="minorHAnsi"/>
        </w:rPr>
        <w:t xml:space="preserve">Creating MBS items may incentivise the establishment of private genetic counselling clinics, leading to fewer available genetic counsellors in the public sector and driving inequity of access. This may then risk a disconnect between private clinics who choose to operate outside of current healthcare referral patterns and processes, and primary health care and specialists. </w:t>
      </w:r>
    </w:p>
    <w:p w14:paraId="0E6F65A6" w14:textId="2A2C52AE" w:rsidR="000675C4" w:rsidRDefault="000675C4" w:rsidP="000675C4">
      <w:pPr>
        <w:pStyle w:val="Bullet"/>
      </w:pPr>
      <w:r w:rsidRPr="007E052D">
        <w:t>A multidisciplinary team</w:t>
      </w:r>
      <w:r>
        <w:t>–</w:t>
      </w:r>
      <w:r w:rsidRPr="007E052D">
        <w:t xml:space="preserve"> (MDT</w:t>
      </w:r>
      <w:r>
        <w:noBreakHyphen/>
      </w:r>
      <w:r w:rsidRPr="007E052D">
        <w:t xml:space="preserve">) based approach </w:t>
      </w:r>
      <w:r>
        <w:t>is a more preferred model to ensure safe and effective</w:t>
      </w:r>
      <w:r w:rsidRPr="007E052D">
        <w:t xml:space="preserve"> transition of patients between care.</w:t>
      </w:r>
      <w:r>
        <w:t xml:space="preserve"> However, an MDT model was not presented in the HGSA</w:t>
      </w:r>
      <w:r w:rsidR="00AA75F8">
        <w:t xml:space="preserve"> proposal</w:t>
      </w:r>
      <w:r>
        <w:t>.</w:t>
      </w:r>
      <w:r w:rsidR="001932C5">
        <w:t xml:space="preserve"> It was also noted that there is a paucity of geneticists in the private sector to adequately support an MDT model.</w:t>
      </w:r>
    </w:p>
    <w:p w14:paraId="700D285E" w14:textId="57F8D886" w:rsidR="00175F13" w:rsidRPr="00521D11" w:rsidRDefault="00175F13" w:rsidP="00175F13">
      <w:pPr>
        <w:pStyle w:val="BulletLast"/>
        <w:rPr>
          <w:rFonts w:asciiTheme="minorHAnsi" w:hAnsiTheme="minorHAnsi" w:cstheme="minorHAnsi"/>
        </w:rPr>
      </w:pPr>
      <w:r w:rsidRPr="00521D11">
        <w:rPr>
          <w:rFonts w:asciiTheme="minorHAnsi" w:hAnsiTheme="minorHAnsi" w:cstheme="minorHAnsi"/>
        </w:rPr>
        <w:t xml:space="preserve">The </w:t>
      </w:r>
      <w:r w:rsidR="00AA75F8">
        <w:rPr>
          <w:rFonts w:asciiTheme="minorHAnsi" w:hAnsiTheme="minorHAnsi" w:cstheme="minorHAnsi"/>
        </w:rPr>
        <w:t>proposal</w:t>
      </w:r>
      <w:r w:rsidRPr="00521D11">
        <w:rPr>
          <w:rFonts w:asciiTheme="minorHAnsi" w:hAnsiTheme="minorHAnsi" w:cstheme="minorHAnsi"/>
        </w:rPr>
        <w:t xml:space="preserve"> did not distinguish between genetic counselling for prognostic versus predictive testing and did not define ‘complex’ genetic counselling.</w:t>
      </w:r>
    </w:p>
    <w:p w14:paraId="0790C63B" w14:textId="5CC69744" w:rsidR="007E052D" w:rsidRPr="00521D11" w:rsidRDefault="4F2FC5D1" w:rsidP="00CF683B">
      <w:pPr>
        <w:pStyle w:val="Bullet"/>
        <w:rPr>
          <w:rFonts w:asciiTheme="minorHAnsi" w:hAnsiTheme="minorHAnsi" w:cstheme="minorHAnsi"/>
        </w:rPr>
      </w:pPr>
      <w:r w:rsidRPr="00521D11">
        <w:rPr>
          <w:rFonts w:asciiTheme="minorHAnsi" w:hAnsiTheme="minorHAnsi" w:cstheme="minorHAnsi"/>
        </w:rPr>
        <w:t xml:space="preserve">If MBS items were created, genetic counselling may end up being provided as an add-on service, potentially involving inappropriate </w:t>
      </w:r>
      <w:proofErr w:type="gramStart"/>
      <w:r w:rsidRPr="00521D11">
        <w:rPr>
          <w:rFonts w:asciiTheme="minorHAnsi" w:hAnsiTheme="minorHAnsi" w:cstheme="minorHAnsi"/>
        </w:rPr>
        <w:t>referrals</w:t>
      </w:r>
      <w:proofErr w:type="gramEnd"/>
      <w:r w:rsidRPr="00521D11">
        <w:rPr>
          <w:rFonts w:asciiTheme="minorHAnsi" w:hAnsiTheme="minorHAnsi" w:cstheme="minorHAnsi"/>
        </w:rPr>
        <w:t xml:space="preserve"> and leading to </w:t>
      </w:r>
      <w:r w:rsidR="48335E62" w:rsidRPr="00521D11">
        <w:rPr>
          <w:rFonts w:asciiTheme="minorHAnsi" w:hAnsiTheme="minorHAnsi" w:cstheme="minorHAnsi"/>
        </w:rPr>
        <w:t>‘</w:t>
      </w:r>
      <w:r w:rsidRPr="00521D11">
        <w:rPr>
          <w:rFonts w:asciiTheme="minorHAnsi" w:hAnsiTheme="minorHAnsi" w:cstheme="minorHAnsi"/>
        </w:rPr>
        <w:t>low-value</w:t>
      </w:r>
      <w:r w:rsidR="48335E62" w:rsidRPr="00521D11">
        <w:rPr>
          <w:rFonts w:asciiTheme="minorHAnsi" w:hAnsiTheme="minorHAnsi" w:cstheme="minorHAnsi"/>
        </w:rPr>
        <w:t>’</w:t>
      </w:r>
      <w:r w:rsidRPr="00521D11">
        <w:rPr>
          <w:rFonts w:asciiTheme="minorHAnsi" w:hAnsiTheme="minorHAnsi" w:cstheme="minorHAnsi"/>
        </w:rPr>
        <w:t xml:space="preserve"> counselling, where the patient does not receive any additional valuable advice beyond </w:t>
      </w:r>
      <w:r w:rsidR="13B77A2B" w:rsidRPr="00521D11">
        <w:rPr>
          <w:rFonts w:asciiTheme="minorHAnsi" w:hAnsiTheme="minorHAnsi" w:cstheme="minorHAnsi"/>
        </w:rPr>
        <w:t>w</w:t>
      </w:r>
      <w:r w:rsidRPr="00521D11">
        <w:rPr>
          <w:rFonts w:asciiTheme="minorHAnsi" w:hAnsiTheme="minorHAnsi" w:cstheme="minorHAnsi"/>
        </w:rPr>
        <w:t xml:space="preserve">hat they could have received from a </w:t>
      </w:r>
      <w:r w:rsidR="63FA7E35" w:rsidRPr="00521D11">
        <w:rPr>
          <w:rFonts w:asciiTheme="minorHAnsi" w:hAnsiTheme="minorHAnsi" w:cstheme="minorHAnsi"/>
        </w:rPr>
        <w:t>general practitioner (</w:t>
      </w:r>
      <w:r w:rsidRPr="00521D11">
        <w:rPr>
          <w:rFonts w:asciiTheme="minorHAnsi" w:hAnsiTheme="minorHAnsi" w:cstheme="minorHAnsi"/>
        </w:rPr>
        <w:t>GP</w:t>
      </w:r>
      <w:r w:rsidR="63FA7E35" w:rsidRPr="00521D11">
        <w:rPr>
          <w:rFonts w:asciiTheme="minorHAnsi" w:hAnsiTheme="minorHAnsi" w:cstheme="minorHAnsi"/>
        </w:rPr>
        <w:t>)</w:t>
      </w:r>
      <w:r w:rsidRPr="00521D11">
        <w:rPr>
          <w:rFonts w:asciiTheme="minorHAnsi" w:hAnsiTheme="minorHAnsi" w:cstheme="minorHAnsi"/>
        </w:rPr>
        <w:t xml:space="preserve"> or </w:t>
      </w:r>
      <w:r w:rsidR="63FA7E35" w:rsidRPr="00521D11">
        <w:rPr>
          <w:rFonts w:asciiTheme="minorHAnsi" w:hAnsiTheme="minorHAnsi" w:cstheme="minorHAnsi"/>
        </w:rPr>
        <w:t xml:space="preserve">non-GP </w:t>
      </w:r>
      <w:r w:rsidRPr="00521D11">
        <w:rPr>
          <w:rFonts w:asciiTheme="minorHAnsi" w:hAnsiTheme="minorHAnsi" w:cstheme="minorHAnsi"/>
        </w:rPr>
        <w:t>specialist.</w:t>
      </w:r>
    </w:p>
    <w:p w14:paraId="00A118F4" w14:textId="7E8F8E37" w:rsidR="000B4ECF" w:rsidRPr="00521D11" w:rsidRDefault="713DBB54" w:rsidP="00CF683B">
      <w:pPr>
        <w:pStyle w:val="Bullet"/>
        <w:rPr>
          <w:rFonts w:asciiTheme="minorHAnsi" w:hAnsiTheme="minorHAnsi" w:cstheme="minorHAnsi"/>
        </w:rPr>
      </w:pPr>
      <w:r w:rsidRPr="00521D11">
        <w:rPr>
          <w:rFonts w:asciiTheme="minorHAnsi" w:hAnsiTheme="minorHAnsi" w:cstheme="minorHAnsi"/>
        </w:rPr>
        <w:t xml:space="preserve">The financial impact to the MBS </w:t>
      </w:r>
      <w:r w:rsidR="13B77A2B" w:rsidRPr="00521D11">
        <w:rPr>
          <w:rFonts w:asciiTheme="minorHAnsi" w:hAnsiTheme="minorHAnsi" w:cstheme="minorHAnsi"/>
        </w:rPr>
        <w:t>i</w:t>
      </w:r>
      <w:r w:rsidRPr="00521D11">
        <w:rPr>
          <w:rFonts w:asciiTheme="minorHAnsi" w:hAnsiTheme="minorHAnsi" w:cstheme="minorHAnsi"/>
        </w:rPr>
        <w:t>s highly uncertain.</w:t>
      </w:r>
    </w:p>
    <w:p w14:paraId="5A664348" w14:textId="55B33083" w:rsidR="000B4ECF" w:rsidRPr="00521D11" w:rsidRDefault="713DBB54" w:rsidP="000675C4">
      <w:pPr>
        <w:pStyle w:val="Bullet"/>
      </w:pPr>
      <w:r w:rsidRPr="00521D11">
        <w:t xml:space="preserve">There is a shortage of genetic counsellors and waiting times are </w:t>
      </w:r>
      <w:r w:rsidR="48335E62" w:rsidRPr="00521D11">
        <w:t>‘</w:t>
      </w:r>
      <w:r w:rsidRPr="00521D11">
        <w:t>long</w:t>
      </w:r>
      <w:r w:rsidR="48335E62" w:rsidRPr="00521D11">
        <w:t>’</w:t>
      </w:r>
      <w:r w:rsidRPr="00521D11">
        <w:t>, but there are no data available to show the length of waiting times and to what extent having an MBS item will alleviate these problems. There are also no data to predict how the demand for genetic counselling will increase over time.</w:t>
      </w:r>
    </w:p>
    <w:p w14:paraId="0C0CD55E" w14:textId="77777777" w:rsidR="000675C4" w:rsidRDefault="000675C4" w:rsidP="000675C4">
      <w:pPr>
        <w:pStyle w:val="BulletLast"/>
      </w:pPr>
      <w:r>
        <w:t>More targeted funding of current public sector models could be considered to address unmet need and reduce waiting times.</w:t>
      </w:r>
    </w:p>
    <w:p w14:paraId="5766416A" w14:textId="38F78A93" w:rsidR="00667784" w:rsidRPr="003D1ADD" w:rsidRDefault="00667784" w:rsidP="007F3E4A">
      <w:pPr>
        <w:pStyle w:val="Heading2"/>
        <w:rPr>
          <w:color w:val="E36C0A" w:themeColor="accent6" w:themeShade="BF"/>
        </w:rPr>
      </w:pPr>
      <w:bookmarkStart w:id="13" w:name="_Toc132627464"/>
      <w:r w:rsidRPr="003D1ADD">
        <w:rPr>
          <w:color w:val="E36C0A" w:themeColor="accent6" w:themeShade="BF"/>
        </w:rPr>
        <w:t>Recommendation</w:t>
      </w:r>
      <w:r w:rsidR="00364638" w:rsidRPr="003D1ADD">
        <w:rPr>
          <w:color w:val="E36C0A" w:themeColor="accent6" w:themeShade="BF"/>
        </w:rPr>
        <w:t>s</w:t>
      </w:r>
      <w:r w:rsidR="00DC22A0" w:rsidRPr="003D1ADD">
        <w:rPr>
          <w:color w:val="E36C0A" w:themeColor="accent6" w:themeShade="BF"/>
        </w:rPr>
        <w:t xml:space="preserve"> and actions</w:t>
      </w:r>
      <w:bookmarkEnd w:id="13"/>
    </w:p>
    <w:p w14:paraId="478CE715" w14:textId="6C4D974B" w:rsidR="00CC462F" w:rsidRPr="00521D11" w:rsidRDefault="00C21A24" w:rsidP="00C21A24">
      <w:pPr>
        <w:rPr>
          <w:rFonts w:asciiTheme="minorHAnsi" w:hAnsiTheme="minorHAnsi" w:cstheme="minorHAnsi"/>
        </w:rPr>
      </w:pPr>
      <w:r w:rsidRPr="00521D11">
        <w:rPr>
          <w:rFonts w:asciiTheme="minorHAnsi" w:hAnsiTheme="minorHAnsi" w:cstheme="minorHAnsi"/>
        </w:rPr>
        <w:t>The GCWG consider</w:t>
      </w:r>
      <w:r w:rsidR="00AE1955">
        <w:rPr>
          <w:rFonts w:asciiTheme="minorHAnsi" w:hAnsiTheme="minorHAnsi" w:cstheme="minorHAnsi"/>
        </w:rPr>
        <w:t>ed</w:t>
      </w:r>
      <w:r w:rsidRPr="00521D11">
        <w:rPr>
          <w:rFonts w:asciiTheme="minorHAnsi" w:hAnsiTheme="minorHAnsi" w:cstheme="minorHAnsi"/>
        </w:rPr>
        <w:t xml:space="preserve"> that </w:t>
      </w:r>
      <w:r w:rsidR="0035533B" w:rsidRPr="00521D11">
        <w:rPr>
          <w:rFonts w:asciiTheme="minorHAnsi" w:hAnsiTheme="minorHAnsi" w:cstheme="minorHAnsi"/>
        </w:rPr>
        <w:t xml:space="preserve">agreement </w:t>
      </w:r>
      <w:r w:rsidR="00887C56" w:rsidRPr="00521D11">
        <w:rPr>
          <w:rFonts w:asciiTheme="minorHAnsi" w:hAnsiTheme="minorHAnsi" w:cstheme="minorHAnsi"/>
        </w:rPr>
        <w:t xml:space="preserve">to create new MBS items and subsequent </w:t>
      </w:r>
      <w:r w:rsidRPr="00521D11">
        <w:rPr>
          <w:rFonts w:asciiTheme="minorHAnsi" w:hAnsiTheme="minorHAnsi" w:cstheme="minorHAnsi"/>
        </w:rPr>
        <w:t>implement</w:t>
      </w:r>
      <w:r w:rsidR="0035533B" w:rsidRPr="00521D11">
        <w:rPr>
          <w:rFonts w:asciiTheme="minorHAnsi" w:hAnsiTheme="minorHAnsi" w:cstheme="minorHAnsi"/>
        </w:rPr>
        <w:t xml:space="preserve">ation of </w:t>
      </w:r>
      <w:r w:rsidRPr="00521D11">
        <w:rPr>
          <w:rFonts w:asciiTheme="minorHAnsi" w:hAnsiTheme="minorHAnsi" w:cstheme="minorHAnsi"/>
        </w:rPr>
        <w:t>MBS items requires a more strategic approach that involve</w:t>
      </w:r>
      <w:r w:rsidR="00DC22A0" w:rsidRPr="00521D11">
        <w:rPr>
          <w:rFonts w:asciiTheme="minorHAnsi" w:hAnsiTheme="minorHAnsi" w:cstheme="minorHAnsi"/>
        </w:rPr>
        <w:t>s</w:t>
      </w:r>
      <w:r w:rsidRPr="00521D11">
        <w:rPr>
          <w:rFonts w:asciiTheme="minorHAnsi" w:hAnsiTheme="minorHAnsi" w:cstheme="minorHAnsi"/>
        </w:rPr>
        <w:t xml:space="preserve"> whole-of-system thinking. </w:t>
      </w:r>
      <w:r w:rsidR="00CC462F" w:rsidRPr="00521D11">
        <w:rPr>
          <w:rFonts w:asciiTheme="minorHAnsi" w:hAnsiTheme="minorHAnsi" w:cstheme="minorHAnsi"/>
        </w:rPr>
        <w:t xml:space="preserve">The original HGSA </w:t>
      </w:r>
      <w:r w:rsidR="00AA75F8">
        <w:rPr>
          <w:rFonts w:asciiTheme="minorHAnsi" w:hAnsiTheme="minorHAnsi" w:cstheme="minorHAnsi"/>
        </w:rPr>
        <w:t>proposal</w:t>
      </w:r>
      <w:r w:rsidR="00CC462F" w:rsidRPr="00521D11">
        <w:rPr>
          <w:rFonts w:asciiTheme="minorHAnsi" w:hAnsiTheme="minorHAnsi" w:cstheme="minorHAnsi"/>
        </w:rPr>
        <w:t xml:space="preserve"> did not provide this level of detail for implementation.</w:t>
      </w:r>
    </w:p>
    <w:p w14:paraId="0633D728" w14:textId="12628DDA" w:rsidR="00C21A24" w:rsidRPr="00521D11" w:rsidRDefault="00F62802" w:rsidP="00C21A24">
      <w:pPr>
        <w:rPr>
          <w:rFonts w:asciiTheme="minorHAnsi" w:hAnsiTheme="minorHAnsi" w:cstheme="minorHAnsi"/>
        </w:rPr>
      </w:pPr>
      <w:r w:rsidRPr="00521D11">
        <w:rPr>
          <w:rFonts w:asciiTheme="minorHAnsi" w:hAnsiTheme="minorHAnsi" w:cstheme="minorHAnsi"/>
        </w:rPr>
        <w:t xml:space="preserve">Therefore, </w:t>
      </w:r>
      <w:r w:rsidR="00B35DAD">
        <w:rPr>
          <w:rFonts w:asciiTheme="minorHAnsi" w:hAnsiTheme="minorHAnsi" w:cstheme="minorHAnsi"/>
        </w:rPr>
        <w:t xml:space="preserve">the GCWG does not support </w:t>
      </w:r>
      <w:r w:rsidRPr="00521D11">
        <w:rPr>
          <w:rFonts w:asciiTheme="minorHAnsi" w:hAnsiTheme="minorHAnsi" w:cstheme="minorHAnsi"/>
        </w:rPr>
        <w:t>the HGSA</w:t>
      </w:r>
      <w:r w:rsidR="00B35DAD">
        <w:rPr>
          <w:rFonts w:asciiTheme="minorHAnsi" w:hAnsiTheme="minorHAnsi" w:cstheme="minorHAnsi"/>
        </w:rPr>
        <w:t>’s</w:t>
      </w:r>
      <w:r w:rsidRPr="00521D11">
        <w:rPr>
          <w:rFonts w:asciiTheme="minorHAnsi" w:hAnsiTheme="minorHAnsi" w:cstheme="minorHAnsi"/>
        </w:rPr>
        <w:t xml:space="preserve"> proposal for new MBS items for genetic counselling </w:t>
      </w:r>
      <w:proofErr w:type="gramStart"/>
      <w:r w:rsidR="00CC462F" w:rsidRPr="00521D11">
        <w:rPr>
          <w:rFonts w:asciiTheme="minorHAnsi" w:hAnsiTheme="minorHAnsi" w:cstheme="minorHAnsi"/>
        </w:rPr>
        <w:t>at this time</w:t>
      </w:r>
      <w:proofErr w:type="gramEnd"/>
      <w:r w:rsidR="00CC462F" w:rsidRPr="00521D11">
        <w:rPr>
          <w:rFonts w:asciiTheme="minorHAnsi" w:hAnsiTheme="minorHAnsi" w:cstheme="minorHAnsi"/>
        </w:rPr>
        <w:t>.</w:t>
      </w:r>
    </w:p>
    <w:p w14:paraId="0DD1D075" w14:textId="77B2027E" w:rsidR="00C21A24" w:rsidRPr="00521D11" w:rsidRDefault="00CC462F" w:rsidP="00F92FFC">
      <w:pPr>
        <w:pStyle w:val="NormalBeforeBullet"/>
        <w:rPr>
          <w:rFonts w:asciiTheme="minorHAnsi" w:hAnsiTheme="minorHAnsi" w:cstheme="minorHAnsi"/>
        </w:rPr>
      </w:pPr>
      <w:r w:rsidRPr="00521D11">
        <w:rPr>
          <w:rFonts w:asciiTheme="minorHAnsi" w:hAnsiTheme="minorHAnsi" w:cstheme="minorHAnsi"/>
        </w:rPr>
        <w:lastRenderedPageBreak/>
        <w:t>T</w:t>
      </w:r>
      <w:r w:rsidR="00C21A24" w:rsidRPr="00521D11">
        <w:rPr>
          <w:rFonts w:asciiTheme="minorHAnsi" w:hAnsiTheme="minorHAnsi" w:cstheme="minorHAnsi"/>
        </w:rPr>
        <w:t>he GCWG recommend</w:t>
      </w:r>
      <w:r w:rsidR="00AE1955">
        <w:rPr>
          <w:rFonts w:asciiTheme="minorHAnsi" w:hAnsiTheme="minorHAnsi" w:cstheme="minorHAnsi"/>
        </w:rPr>
        <w:t>s</w:t>
      </w:r>
      <w:r w:rsidR="00C21A24" w:rsidRPr="00521D11">
        <w:rPr>
          <w:rFonts w:asciiTheme="minorHAnsi" w:hAnsiTheme="minorHAnsi" w:cstheme="minorHAnsi"/>
        </w:rPr>
        <w:t xml:space="preserve"> that a more strategic approach be pursued </w:t>
      </w:r>
      <w:r w:rsidRPr="00521D11">
        <w:rPr>
          <w:rFonts w:asciiTheme="minorHAnsi" w:hAnsiTheme="minorHAnsi" w:cstheme="minorHAnsi"/>
        </w:rPr>
        <w:t xml:space="preserve">prior to </w:t>
      </w:r>
      <w:r w:rsidR="00C21A24" w:rsidRPr="00521D11">
        <w:rPr>
          <w:rFonts w:asciiTheme="minorHAnsi" w:hAnsiTheme="minorHAnsi" w:cstheme="minorHAnsi"/>
        </w:rPr>
        <w:t xml:space="preserve">the creation of MBS items for genetic counselling. </w:t>
      </w:r>
      <w:r w:rsidRPr="00521D11">
        <w:rPr>
          <w:rFonts w:asciiTheme="minorHAnsi" w:hAnsiTheme="minorHAnsi" w:cstheme="minorHAnsi"/>
        </w:rPr>
        <w:t xml:space="preserve">This </w:t>
      </w:r>
      <w:r w:rsidR="00C21A24" w:rsidRPr="00521D11">
        <w:rPr>
          <w:rFonts w:asciiTheme="minorHAnsi" w:hAnsiTheme="minorHAnsi" w:cstheme="minorHAnsi"/>
        </w:rPr>
        <w:t xml:space="preserve">approach may include, but </w:t>
      </w:r>
      <w:r w:rsidRPr="00521D11">
        <w:rPr>
          <w:rFonts w:asciiTheme="minorHAnsi" w:hAnsiTheme="minorHAnsi" w:cstheme="minorHAnsi"/>
        </w:rPr>
        <w:t>is</w:t>
      </w:r>
      <w:r w:rsidR="00C21A24" w:rsidRPr="00521D11">
        <w:rPr>
          <w:rFonts w:asciiTheme="minorHAnsi" w:hAnsiTheme="minorHAnsi" w:cstheme="minorHAnsi"/>
        </w:rPr>
        <w:t xml:space="preserve"> not limited to, the following actions:</w:t>
      </w:r>
    </w:p>
    <w:p w14:paraId="5261A721" w14:textId="3DB0CEB4" w:rsidR="00C21A24" w:rsidRPr="00521D11" w:rsidRDefault="00912DB5" w:rsidP="00103665">
      <w:pPr>
        <w:pStyle w:val="ListParagraph"/>
        <w:numPr>
          <w:ilvl w:val="0"/>
          <w:numId w:val="49"/>
        </w:numPr>
      </w:pPr>
      <w:r w:rsidRPr="00521D11">
        <w:t>i</w:t>
      </w:r>
      <w:r w:rsidR="00C21A24" w:rsidRPr="00521D11">
        <w:t>nvestigate</w:t>
      </w:r>
      <w:r w:rsidRPr="00521D11">
        <w:t xml:space="preserve"> f</w:t>
      </w:r>
      <w:r w:rsidR="00E06568" w:rsidRPr="00521D11">
        <w:t xml:space="preserve">urther </w:t>
      </w:r>
      <w:r w:rsidR="00C21A24" w:rsidRPr="00521D11">
        <w:t>the</w:t>
      </w:r>
      <w:r w:rsidR="001932C5">
        <w:t xml:space="preserve"> opportunities to revise the</w:t>
      </w:r>
      <w:r w:rsidR="00C21A24" w:rsidRPr="00521D11">
        <w:t xml:space="preserve"> funding arrangements </w:t>
      </w:r>
      <w:r w:rsidR="00E06568" w:rsidRPr="00521D11">
        <w:t xml:space="preserve">for genetic counselling services between the Commonwealth and </w:t>
      </w:r>
      <w:r w:rsidR="00C21A24" w:rsidRPr="00521D11">
        <w:t>states and territories</w:t>
      </w:r>
      <w:r w:rsidR="001932C5">
        <w:t>.</w:t>
      </w:r>
    </w:p>
    <w:p w14:paraId="2761BF3E" w14:textId="648D2BA4" w:rsidR="00D132C4" w:rsidRPr="00521D11" w:rsidRDefault="00D132C4" w:rsidP="00103665">
      <w:pPr>
        <w:pStyle w:val="ListParagraph"/>
        <w:numPr>
          <w:ilvl w:val="0"/>
          <w:numId w:val="49"/>
        </w:numPr>
      </w:pPr>
      <w:r w:rsidRPr="00521D11">
        <w:t>clarify the circumstances when genetic counselling should be reimbursed on the MBS</w:t>
      </w:r>
    </w:p>
    <w:p w14:paraId="15A3ADDF" w14:textId="60A39B74" w:rsidR="0084106C" w:rsidRPr="007B43D8" w:rsidRDefault="00D132C4" w:rsidP="0084106C">
      <w:pPr>
        <w:pStyle w:val="ListParagraph"/>
        <w:numPr>
          <w:ilvl w:val="0"/>
          <w:numId w:val="49"/>
        </w:numPr>
      </w:pPr>
      <w:r w:rsidRPr="00521D11">
        <w:t>g</w:t>
      </w:r>
      <w:r w:rsidR="00C21A24" w:rsidRPr="00521D11">
        <w:t xml:space="preserve">ather additional evidence that demonstrates how </w:t>
      </w:r>
      <w:r w:rsidR="007835CD" w:rsidRPr="00521D11">
        <w:t>MBS items</w:t>
      </w:r>
      <w:r w:rsidR="00E3406E" w:rsidRPr="00521D11">
        <w:t xml:space="preserve"> for genetic counselling</w:t>
      </w:r>
      <w:r w:rsidR="001932C5">
        <w:t xml:space="preserve"> c</w:t>
      </w:r>
      <w:r w:rsidR="007835CD" w:rsidRPr="00521D11">
        <w:t>ould improve health outcomes</w:t>
      </w:r>
      <w:r w:rsidR="00B35DAD">
        <w:t xml:space="preserve"> equitably</w:t>
      </w:r>
      <w:r w:rsidR="007835CD" w:rsidRPr="00521D11">
        <w:t>.</w:t>
      </w:r>
    </w:p>
    <w:p w14:paraId="014593D2" w14:textId="7DD1EE3A" w:rsidR="00816618" w:rsidRPr="003D1ADD" w:rsidRDefault="00860A4C" w:rsidP="00CF683B">
      <w:pPr>
        <w:pStyle w:val="Heading1"/>
        <w:rPr>
          <w:rFonts w:asciiTheme="minorHAnsi" w:hAnsiTheme="minorHAnsi" w:cstheme="minorHAnsi"/>
        </w:rPr>
      </w:pPr>
      <w:bookmarkStart w:id="14" w:name="_Toc117856150"/>
      <w:bookmarkStart w:id="15" w:name="_Toc132209194"/>
      <w:bookmarkStart w:id="16" w:name="_Toc132627465"/>
      <w:r w:rsidRPr="003D1ADD">
        <w:rPr>
          <w:rFonts w:asciiTheme="minorHAnsi" w:hAnsiTheme="minorHAnsi" w:cstheme="minorHAnsi"/>
        </w:rPr>
        <w:lastRenderedPageBreak/>
        <w:t>A</w:t>
      </w:r>
      <w:r w:rsidR="00816618" w:rsidRPr="003D1ADD">
        <w:rPr>
          <w:rFonts w:asciiTheme="minorHAnsi" w:hAnsiTheme="minorHAnsi" w:cstheme="minorHAnsi"/>
        </w:rPr>
        <w:t>cronyms</w:t>
      </w:r>
      <w:bookmarkEnd w:id="14"/>
      <w:bookmarkEnd w:id="15"/>
      <w:bookmarkEnd w:id="16"/>
    </w:p>
    <w:p w14:paraId="00D96FB0" w14:textId="77777777" w:rsidR="003C565C" w:rsidRPr="00521D11" w:rsidRDefault="003C565C" w:rsidP="003C565C">
      <w:pPr>
        <w:rPr>
          <w:rFonts w:asciiTheme="minorHAnsi" w:hAnsiTheme="minorHAnsi" w:cstheme="minorHAnsi"/>
        </w:rPr>
      </w:pPr>
      <w:r w:rsidRPr="00521D11">
        <w:rPr>
          <w:rFonts w:asciiTheme="minorHAnsi" w:hAnsiTheme="minorHAnsi" w:cstheme="minorHAnsi"/>
        </w:rPr>
        <w:t>GCWG</w:t>
      </w:r>
      <w:r w:rsidRPr="00521D11">
        <w:rPr>
          <w:rFonts w:asciiTheme="minorHAnsi" w:hAnsiTheme="minorHAnsi" w:cstheme="minorHAnsi"/>
        </w:rPr>
        <w:tab/>
      </w:r>
      <w:r w:rsidRPr="00521D11">
        <w:rPr>
          <w:rFonts w:asciiTheme="minorHAnsi" w:hAnsiTheme="minorHAnsi" w:cstheme="minorHAnsi"/>
        </w:rPr>
        <w:tab/>
        <w:t>Genetic Counselling Working Group</w:t>
      </w:r>
    </w:p>
    <w:p w14:paraId="309E5388" w14:textId="71A0993B" w:rsidR="003C565C" w:rsidRPr="00521D11" w:rsidRDefault="003C565C" w:rsidP="003C565C">
      <w:pPr>
        <w:rPr>
          <w:rFonts w:asciiTheme="minorHAnsi" w:hAnsiTheme="minorHAnsi" w:cstheme="minorHAnsi"/>
        </w:rPr>
      </w:pPr>
      <w:r w:rsidRPr="00521D11">
        <w:rPr>
          <w:rFonts w:asciiTheme="minorHAnsi" w:hAnsiTheme="minorHAnsi" w:cstheme="minorHAnsi"/>
        </w:rPr>
        <w:t>GP</w:t>
      </w:r>
      <w:r w:rsidRPr="00521D11">
        <w:rPr>
          <w:rFonts w:asciiTheme="minorHAnsi" w:hAnsiTheme="minorHAnsi" w:cstheme="minorHAnsi"/>
        </w:rPr>
        <w:tab/>
      </w:r>
      <w:r w:rsidRPr="00521D11">
        <w:rPr>
          <w:rFonts w:asciiTheme="minorHAnsi" w:hAnsiTheme="minorHAnsi" w:cstheme="minorHAnsi"/>
        </w:rPr>
        <w:tab/>
      </w:r>
      <w:r w:rsidR="007B66F4" w:rsidRPr="00521D11">
        <w:rPr>
          <w:rFonts w:asciiTheme="minorHAnsi" w:hAnsiTheme="minorHAnsi" w:cstheme="minorHAnsi"/>
        </w:rPr>
        <w:t>g</w:t>
      </w:r>
      <w:r w:rsidRPr="00521D11">
        <w:rPr>
          <w:rFonts w:asciiTheme="minorHAnsi" w:hAnsiTheme="minorHAnsi" w:cstheme="minorHAnsi"/>
        </w:rPr>
        <w:t>eneral practitioner</w:t>
      </w:r>
    </w:p>
    <w:p w14:paraId="44F762C5" w14:textId="0CD64183" w:rsidR="003C565C" w:rsidRPr="00521D11" w:rsidRDefault="003C565C" w:rsidP="003C565C">
      <w:pPr>
        <w:rPr>
          <w:rFonts w:asciiTheme="minorHAnsi" w:hAnsiTheme="minorHAnsi" w:cstheme="minorHAnsi"/>
        </w:rPr>
      </w:pPr>
      <w:r w:rsidRPr="00521D11">
        <w:rPr>
          <w:rFonts w:asciiTheme="minorHAnsi" w:hAnsiTheme="minorHAnsi" w:cstheme="minorHAnsi"/>
        </w:rPr>
        <w:t>HGSA</w:t>
      </w:r>
      <w:r w:rsidRPr="00521D11">
        <w:rPr>
          <w:rFonts w:asciiTheme="minorHAnsi" w:hAnsiTheme="minorHAnsi" w:cstheme="minorHAnsi"/>
        </w:rPr>
        <w:tab/>
      </w:r>
      <w:r w:rsidRPr="00521D11">
        <w:rPr>
          <w:rFonts w:asciiTheme="minorHAnsi" w:hAnsiTheme="minorHAnsi" w:cstheme="minorHAnsi"/>
        </w:rPr>
        <w:tab/>
        <w:t>Human Genetics Society of Australasia</w:t>
      </w:r>
    </w:p>
    <w:p w14:paraId="129C01F4" w14:textId="081D2D98" w:rsidR="005F0A3F" w:rsidRPr="00521D11" w:rsidRDefault="005F0A3F" w:rsidP="003C565C">
      <w:pPr>
        <w:rPr>
          <w:rFonts w:asciiTheme="minorHAnsi" w:hAnsiTheme="minorHAnsi" w:cstheme="minorHAnsi"/>
        </w:rPr>
      </w:pPr>
      <w:r w:rsidRPr="00521D11">
        <w:rPr>
          <w:rFonts w:asciiTheme="minorHAnsi" w:hAnsiTheme="minorHAnsi" w:cstheme="minorHAnsi"/>
        </w:rPr>
        <w:t>IT</w:t>
      </w:r>
      <w:r w:rsidRPr="00521D11">
        <w:rPr>
          <w:rFonts w:asciiTheme="minorHAnsi" w:hAnsiTheme="minorHAnsi" w:cstheme="minorHAnsi"/>
        </w:rPr>
        <w:tab/>
      </w:r>
      <w:r w:rsidRPr="00521D11">
        <w:rPr>
          <w:rFonts w:asciiTheme="minorHAnsi" w:hAnsiTheme="minorHAnsi" w:cstheme="minorHAnsi"/>
        </w:rPr>
        <w:tab/>
        <w:t>information technology</w:t>
      </w:r>
    </w:p>
    <w:p w14:paraId="61950727" w14:textId="11F29641" w:rsidR="003C565C" w:rsidRPr="00521D11" w:rsidRDefault="003C565C" w:rsidP="003C565C">
      <w:pPr>
        <w:rPr>
          <w:rFonts w:asciiTheme="minorHAnsi" w:hAnsiTheme="minorHAnsi" w:cstheme="minorHAnsi"/>
        </w:rPr>
      </w:pPr>
      <w:r w:rsidRPr="00521D11">
        <w:rPr>
          <w:rFonts w:asciiTheme="minorHAnsi" w:hAnsiTheme="minorHAnsi" w:cstheme="minorHAnsi"/>
        </w:rPr>
        <w:t>MBS</w:t>
      </w:r>
      <w:r w:rsidRPr="00521D11">
        <w:rPr>
          <w:rFonts w:asciiTheme="minorHAnsi" w:hAnsiTheme="minorHAnsi" w:cstheme="minorHAnsi"/>
        </w:rPr>
        <w:tab/>
      </w:r>
      <w:r w:rsidRPr="00521D11">
        <w:rPr>
          <w:rFonts w:asciiTheme="minorHAnsi" w:hAnsiTheme="minorHAnsi" w:cstheme="minorHAnsi"/>
        </w:rPr>
        <w:tab/>
        <w:t>Medicare Benefits Schedule</w:t>
      </w:r>
    </w:p>
    <w:p w14:paraId="227AFAC8" w14:textId="0CD960F6" w:rsidR="005F0A3F" w:rsidRPr="00521D11" w:rsidRDefault="005F0A3F" w:rsidP="003C565C">
      <w:pPr>
        <w:rPr>
          <w:rFonts w:asciiTheme="minorHAnsi" w:hAnsiTheme="minorHAnsi" w:cstheme="minorHAnsi"/>
        </w:rPr>
      </w:pPr>
      <w:r w:rsidRPr="00521D11">
        <w:rPr>
          <w:rFonts w:asciiTheme="minorHAnsi" w:hAnsiTheme="minorHAnsi" w:cstheme="minorHAnsi"/>
        </w:rPr>
        <w:t>MDT</w:t>
      </w:r>
      <w:r w:rsidRPr="00521D11">
        <w:rPr>
          <w:rFonts w:asciiTheme="minorHAnsi" w:hAnsiTheme="minorHAnsi" w:cstheme="minorHAnsi"/>
        </w:rPr>
        <w:tab/>
      </w:r>
      <w:r w:rsidRPr="00521D11">
        <w:rPr>
          <w:rFonts w:asciiTheme="minorHAnsi" w:hAnsiTheme="minorHAnsi" w:cstheme="minorHAnsi"/>
        </w:rPr>
        <w:tab/>
        <w:t>multidisciplinary team</w:t>
      </w:r>
    </w:p>
    <w:p w14:paraId="2D4054C3" w14:textId="77777777" w:rsidR="003C565C" w:rsidRPr="00521D11" w:rsidRDefault="003C565C" w:rsidP="003C565C">
      <w:pPr>
        <w:rPr>
          <w:rFonts w:asciiTheme="minorHAnsi" w:hAnsiTheme="minorHAnsi" w:cstheme="minorHAnsi"/>
        </w:rPr>
      </w:pPr>
      <w:r w:rsidRPr="00521D11">
        <w:rPr>
          <w:rFonts w:asciiTheme="minorHAnsi" w:hAnsiTheme="minorHAnsi" w:cstheme="minorHAnsi"/>
        </w:rPr>
        <w:t>MRAC</w:t>
      </w:r>
      <w:r w:rsidRPr="00521D11">
        <w:rPr>
          <w:rFonts w:asciiTheme="minorHAnsi" w:hAnsiTheme="minorHAnsi" w:cstheme="minorHAnsi"/>
        </w:rPr>
        <w:tab/>
      </w:r>
      <w:r w:rsidRPr="00521D11">
        <w:rPr>
          <w:rFonts w:asciiTheme="minorHAnsi" w:hAnsiTheme="minorHAnsi" w:cstheme="minorHAnsi"/>
        </w:rPr>
        <w:tab/>
        <w:t>MBS Review Advisory Committee</w:t>
      </w:r>
    </w:p>
    <w:p w14:paraId="55D94F5E" w14:textId="755FBD1E" w:rsidR="005F0A3F" w:rsidRPr="00521D11" w:rsidRDefault="005F0A3F" w:rsidP="003C565C">
      <w:pPr>
        <w:rPr>
          <w:rFonts w:asciiTheme="minorHAnsi" w:hAnsiTheme="minorHAnsi" w:cstheme="minorHAnsi"/>
        </w:rPr>
      </w:pPr>
      <w:r w:rsidRPr="00521D11">
        <w:rPr>
          <w:rFonts w:asciiTheme="minorHAnsi" w:hAnsiTheme="minorHAnsi" w:cstheme="minorHAnsi"/>
        </w:rPr>
        <w:t>PICO</w:t>
      </w:r>
      <w:r w:rsidRPr="00521D11">
        <w:rPr>
          <w:rFonts w:asciiTheme="minorHAnsi" w:hAnsiTheme="minorHAnsi" w:cstheme="minorHAnsi"/>
        </w:rPr>
        <w:tab/>
      </w:r>
      <w:r w:rsidRPr="00521D11">
        <w:rPr>
          <w:rFonts w:asciiTheme="minorHAnsi" w:hAnsiTheme="minorHAnsi" w:cstheme="minorHAnsi"/>
        </w:rPr>
        <w:tab/>
        <w:t>population, intervention, comparator, outcomes</w:t>
      </w:r>
    </w:p>
    <w:p w14:paraId="5717C7B1" w14:textId="46A0F429" w:rsidR="00505FB5" w:rsidRPr="003D1ADD" w:rsidRDefault="00505FB5" w:rsidP="00CF683B">
      <w:pPr>
        <w:pStyle w:val="Heading1"/>
        <w:rPr>
          <w:rFonts w:asciiTheme="minorHAnsi" w:hAnsiTheme="minorHAnsi" w:cstheme="minorHAnsi"/>
        </w:rPr>
      </w:pPr>
      <w:bookmarkStart w:id="17" w:name="_Toc117856151"/>
      <w:bookmarkStart w:id="18" w:name="_Toc132209195"/>
      <w:bookmarkStart w:id="19" w:name="_Toc132627466"/>
      <w:r w:rsidRPr="003D1ADD">
        <w:rPr>
          <w:rFonts w:asciiTheme="minorHAnsi" w:hAnsiTheme="minorHAnsi" w:cstheme="minorHAnsi"/>
        </w:rPr>
        <w:lastRenderedPageBreak/>
        <w:t>Preamble</w:t>
      </w:r>
      <w:bookmarkEnd w:id="17"/>
      <w:bookmarkEnd w:id="18"/>
      <w:bookmarkEnd w:id="19"/>
    </w:p>
    <w:p w14:paraId="5866CAA9" w14:textId="44B0D94C" w:rsidR="00641C75" w:rsidRPr="003D1ADD" w:rsidRDefault="00641C75" w:rsidP="00CF683B">
      <w:pPr>
        <w:pStyle w:val="Heading2"/>
        <w:rPr>
          <w:rFonts w:asciiTheme="minorHAnsi" w:hAnsiTheme="minorHAnsi" w:cstheme="minorHAnsi"/>
          <w:color w:val="E36C0A" w:themeColor="accent6" w:themeShade="BF"/>
        </w:rPr>
      </w:pPr>
      <w:bookmarkStart w:id="20" w:name="_Toc117856152"/>
      <w:bookmarkStart w:id="21" w:name="_Toc132209196"/>
      <w:bookmarkStart w:id="22" w:name="_Toc132627467"/>
      <w:r w:rsidRPr="003D1ADD">
        <w:rPr>
          <w:rFonts w:asciiTheme="minorHAnsi" w:hAnsiTheme="minorHAnsi" w:cstheme="minorHAnsi"/>
          <w:color w:val="E36C0A" w:themeColor="accent6" w:themeShade="BF"/>
        </w:rPr>
        <w:t>Medicare Benefits Schedule Continuous Review</w:t>
      </w:r>
      <w:bookmarkEnd w:id="20"/>
      <w:bookmarkEnd w:id="21"/>
      <w:bookmarkEnd w:id="22"/>
    </w:p>
    <w:p w14:paraId="7A7987BD" w14:textId="7CD2BE8F" w:rsidR="00641C75" w:rsidRPr="00521D11" w:rsidRDefault="00641C75" w:rsidP="0071767C">
      <w:r w:rsidRPr="00521D11">
        <w:t>The Medicare Benefits Schedule (MBS) is a list of health professional services (items) that the Australian Government subsidises</w:t>
      </w:r>
      <w:r w:rsidR="00A9000F">
        <w:t xml:space="preserve"> for health consumers</w:t>
      </w:r>
      <w:r w:rsidRPr="00521D11">
        <w:t>. MBS items provide patient benefits for a wide range of health services including consultations, diagnostic tests</w:t>
      </w:r>
      <w:r w:rsidR="00286B3D" w:rsidRPr="00521D11">
        <w:t>, therap</w:t>
      </w:r>
      <w:r w:rsidR="00A9000F">
        <w:t>ies</w:t>
      </w:r>
      <w:r w:rsidR="00286B3D" w:rsidRPr="00521D11">
        <w:t>,</w:t>
      </w:r>
      <w:r w:rsidRPr="00521D11">
        <w:t xml:space="preserve"> and operations.</w:t>
      </w:r>
    </w:p>
    <w:p w14:paraId="23594F67" w14:textId="596DA732" w:rsidR="00641C75" w:rsidRPr="00521D11" w:rsidRDefault="00641C75" w:rsidP="00CF683B">
      <w:pPr>
        <w:rPr>
          <w:rFonts w:asciiTheme="minorHAnsi" w:hAnsiTheme="minorHAnsi" w:cstheme="minorHAnsi"/>
        </w:rPr>
      </w:pPr>
      <w:r w:rsidRPr="00521D11">
        <w:rPr>
          <w:rFonts w:asciiTheme="minorHAnsi" w:hAnsiTheme="minorHAnsi" w:cstheme="minorHAnsi"/>
        </w:rPr>
        <w:t>The MBS Continuous Review builds on the work of the MBS Review Taskforce</w:t>
      </w:r>
      <w:r w:rsidR="00A9000F">
        <w:rPr>
          <w:rFonts w:asciiTheme="minorHAnsi" w:hAnsiTheme="minorHAnsi" w:cstheme="minorHAnsi"/>
        </w:rPr>
        <w:t xml:space="preserve"> (the Taskforce)</w:t>
      </w:r>
      <w:r w:rsidR="00F92FFC" w:rsidRPr="00521D11">
        <w:rPr>
          <w:rFonts w:asciiTheme="minorHAnsi" w:hAnsiTheme="minorHAnsi" w:cstheme="minorHAnsi"/>
        </w:rPr>
        <w:t>.</w:t>
      </w:r>
      <w:r w:rsidRPr="00521D11">
        <w:rPr>
          <w:rFonts w:asciiTheme="minorHAnsi" w:hAnsiTheme="minorHAnsi" w:cstheme="minorHAnsi"/>
        </w:rPr>
        <w:t xml:space="preserve"> </w:t>
      </w:r>
      <w:r w:rsidR="00F92FFC" w:rsidRPr="00521D11">
        <w:rPr>
          <w:rFonts w:asciiTheme="minorHAnsi" w:hAnsiTheme="minorHAnsi" w:cstheme="minorHAnsi"/>
        </w:rPr>
        <w:t>F</w:t>
      </w:r>
      <w:r w:rsidRPr="00521D11">
        <w:rPr>
          <w:rFonts w:asciiTheme="minorHAnsi" w:hAnsiTheme="minorHAnsi" w:cstheme="minorHAnsi"/>
        </w:rPr>
        <w:t>rom 2015 to 2020</w:t>
      </w:r>
      <w:r w:rsidR="00F92FFC" w:rsidRPr="00521D11">
        <w:rPr>
          <w:rFonts w:asciiTheme="minorHAnsi" w:hAnsiTheme="minorHAnsi" w:cstheme="minorHAnsi"/>
        </w:rPr>
        <w:t>, the Taskforce</w:t>
      </w:r>
      <w:r w:rsidRPr="00521D11">
        <w:rPr>
          <w:rFonts w:asciiTheme="minorHAnsi" w:hAnsiTheme="minorHAnsi" w:cstheme="minorHAnsi"/>
        </w:rPr>
        <w:t xml:space="preserve"> provided the first extensive, line</w:t>
      </w:r>
      <w:r w:rsidR="00F92FFC" w:rsidRPr="00521D11">
        <w:rPr>
          <w:rFonts w:asciiTheme="minorHAnsi" w:hAnsiTheme="minorHAnsi" w:cstheme="minorHAnsi"/>
        </w:rPr>
        <w:t>-</w:t>
      </w:r>
      <w:r w:rsidRPr="00521D11">
        <w:rPr>
          <w:rFonts w:asciiTheme="minorHAnsi" w:hAnsiTheme="minorHAnsi" w:cstheme="minorHAnsi"/>
        </w:rPr>
        <w:t>by</w:t>
      </w:r>
      <w:r w:rsidR="00F92FFC" w:rsidRPr="00521D11">
        <w:rPr>
          <w:rFonts w:asciiTheme="minorHAnsi" w:hAnsiTheme="minorHAnsi" w:cstheme="minorHAnsi"/>
        </w:rPr>
        <w:t>-</w:t>
      </w:r>
      <w:r w:rsidRPr="00521D11">
        <w:rPr>
          <w:rFonts w:asciiTheme="minorHAnsi" w:hAnsiTheme="minorHAnsi" w:cstheme="minorHAnsi"/>
        </w:rPr>
        <w:t xml:space="preserve">line review of the MBS since its inception in 1984. </w:t>
      </w:r>
    </w:p>
    <w:p w14:paraId="3447F211" w14:textId="77777777" w:rsidR="00641C75" w:rsidRPr="00521D11" w:rsidRDefault="00641C75" w:rsidP="00CF683B">
      <w:pPr>
        <w:rPr>
          <w:rFonts w:asciiTheme="minorHAnsi" w:hAnsiTheme="minorHAnsi" w:cstheme="minorHAnsi"/>
        </w:rPr>
      </w:pPr>
      <w:r w:rsidRPr="00521D11">
        <w:rPr>
          <w:rFonts w:asciiTheme="minorHAnsi" w:hAnsiTheme="minorHAnsi" w:cstheme="minorHAnsi"/>
        </w:rPr>
        <w:t>In October 2020, the Australian Government committed to establishing a continuous review framework for the MBS, consistent with recommendations from the MBS Review Taskforce Final Report.</w:t>
      </w:r>
    </w:p>
    <w:p w14:paraId="7E84F31C" w14:textId="110E689D" w:rsidR="00420CB5" w:rsidRPr="00521D11" w:rsidRDefault="00420CB5" w:rsidP="00CF683B">
      <w:pPr>
        <w:rPr>
          <w:rFonts w:asciiTheme="minorHAnsi" w:hAnsiTheme="minorHAnsi" w:cstheme="minorHAnsi"/>
        </w:rPr>
      </w:pPr>
      <w:r w:rsidRPr="00521D11">
        <w:rPr>
          <w:rFonts w:asciiTheme="minorHAnsi" w:hAnsiTheme="minorHAnsi" w:cstheme="minorHAnsi"/>
        </w:rPr>
        <w:t>Established in 2021, the MBS Continuous Review allows for ongoing rigorous and comprehensive reviews of Medicare items and services by experts, on a continuous basis, to ensure that the MBS works for patients and supports health professionals to provide high</w:t>
      </w:r>
      <w:r w:rsidR="00F92FFC" w:rsidRPr="00521D11">
        <w:rPr>
          <w:rFonts w:asciiTheme="minorHAnsi" w:hAnsiTheme="minorHAnsi" w:cstheme="minorHAnsi"/>
        </w:rPr>
        <w:t>-</w:t>
      </w:r>
      <w:r w:rsidRPr="00521D11">
        <w:rPr>
          <w:rFonts w:asciiTheme="minorHAnsi" w:hAnsiTheme="minorHAnsi" w:cstheme="minorHAnsi"/>
        </w:rPr>
        <w:t>quality care.</w:t>
      </w:r>
      <w:r w:rsidRPr="00521D11" w:rsidDel="00C64F7E">
        <w:rPr>
          <w:rFonts w:asciiTheme="minorHAnsi" w:hAnsiTheme="minorHAnsi" w:cstheme="minorHAnsi"/>
        </w:rPr>
        <w:t xml:space="preserve"> </w:t>
      </w:r>
    </w:p>
    <w:p w14:paraId="716C1590" w14:textId="7E5CA836" w:rsidR="00641C75" w:rsidRPr="003D1ADD" w:rsidRDefault="00641C75" w:rsidP="00CF683B">
      <w:pPr>
        <w:pStyle w:val="Heading2"/>
        <w:rPr>
          <w:rFonts w:asciiTheme="minorHAnsi" w:hAnsiTheme="minorHAnsi" w:cstheme="minorHAnsi"/>
          <w:color w:val="E36C0A" w:themeColor="accent6" w:themeShade="BF"/>
        </w:rPr>
      </w:pPr>
      <w:bookmarkStart w:id="23" w:name="_Toc117856153"/>
      <w:bookmarkStart w:id="24" w:name="_Toc132209197"/>
      <w:bookmarkStart w:id="25" w:name="_Toc132627468"/>
      <w:r w:rsidRPr="003D1ADD">
        <w:rPr>
          <w:rFonts w:asciiTheme="minorHAnsi" w:hAnsiTheme="minorHAnsi" w:cstheme="minorHAnsi"/>
          <w:color w:val="E36C0A" w:themeColor="accent6" w:themeShade="BF"/>
        </w:rPr>
        <w:t>Medicare Benefits Schedule Review Advisory Committee</w:t>
      </w:r>
      <w:bookmarkEnd w:id="23"/>
      <w:bookmarkEnd w:id="24"/>
      <w:bookmarkEnd w:id="25"/>
    </w:p>
    <w:p w14:paraId="0BB5E4FD" w14:textId="66FAD3D0" w:rsidR="00E70F50" w:rsidRPr="00521D11" w:rsidRDefault="00641C75" w:rsidP="00843ABA">
      <w:pPr>
        <w:pStyle w:val="NormalBeforeBullet"/>
        <w:rPr>
          <w:rFonts w:asciiTheme="minorHAnsi" w:hAnsiTheme="minorHAnsi" w:cstheme="minorHAnsi"/>
        </w:rPr>
      </w:pPr>
      <w:r w:rsidRPr="00521D11">
        <w:rPr>
          <w:rFonts w:asciiTheme="minorHAnsi" w:hAnsiTheme="minorHAnsi" w:cstheme="minorHAnsi"/>
        </w:rPr>
        <w:t xml:space="preserve">The MBS Continuous Review is </w:t>
      </w:r>
      <w:r w:rsidR="00E70F50" w:rsidRPr="00521D11">
        <w:rPr>
          <w:rFonts w:asciiTheme="minorHAnsi" w:hAnsiTheme="minorHAnsi" w:cstheme="minorHAnsi"/>
        </w:rPr>
        <w:t xml:space="preserve">supported </w:t>
      </w:r>
      <w:r w:rsidRPr="00521D11">
        <w:rPr>
          <w:rFonts w:asciiTheme="minorHAnsi" w:hAnsiTheme="minorHAnsi" w:cstheme="minorHAnsi"/>
        </w:rPr>
        <w:t>by the MBS Review Advisory Committee (MRAC). The Committee’s role is to provide</w:t>
      </w:r>
      <w:r w:rsidR="00E70F50" w:rsidRPr="00521D11">
        <w:rPr>
          <w:rFonts w:asciiTheme="minorHAnsi" w:hAnsiTheme="minorHAnsi" w:cstheme="minorHAnsi"/>
        </w:rPr>
        <w:t xml:space="preserve"> independent</w:t>
      </w:r>
      <w:r w:rsidR="00E344BF" w:rsidRPr="00521D11">
        <w:rPr>
          <w:rFonts w:asciiTheme="minorHAnsi" w:hAnsiTheme="minorHAnsi" w:cstheme="minorHAnsi"/>
        </w:rPr>
        <w:t xml:space="preserve"> clinical, professional and consumer</w:t>
      </w:r>
      <w:r w:rsidRPr="00521D11">
        <w:rPr>
          <w:rFonts w:asciiTheme="minorHAnsi" w:hAnsiTheme="minorHAnsi" w:cstheme="minorHAnsi"/>
        </w:rPr>
        <w:t xml:space="preserve"> advice to Government on</w:t>
      </w:r>
      <w:r w:rsidR="00E70F50" w:rsidRPr="00521D11">
        <w:rPr>
          <w:rFonts w:asciiTheme="minorHAnsi" w:hAnsiTheme="minorHAnsi" w:cstheme="minorHAnsi"/>
        </w:rPr>
        <w:t>:</w:t>
      </w:r>
      <w:r w:rsidRPr="00521D11">
        <w:rPr>
          <w:rFonts w:asciiTheme="minorHAnsi" w:hAnsiTheme="minorHAnsi" w:cstheme="minorHAnsi"/>
        </w:rPr>
        <w:t xml:space="preserve"> </w:t>
      </w:r>
    </w:p>
    <w:p w14:paraId="071657BF" w14:textId="4686D06B" w:rsidR="00E70F50" w:rsidRPr="00521D11" w:rsidRDefault="68799394" w:rsidP="00CF683B">
      <w:pPr>
        <w:pStyle w:val="Bullet"/>
        <w:rPr>
          <w:rFonts w:asciiTheme="minorHAnsi" w:hAnsiTheme="minorHAnsi" w:cstheme="minorHAnsi"/>
        </w:rPr>
      </w:pPr>
      <w:r w:rsidRPr="00521D11">
        <w:rPr>
          <w:rFonts w:asciiTheme="minorHAnsi" w:hAnsiTheme="minorHAnsi" w:cstheme="minorHAnsi"/>
        </w:rPr>
        <w:t xml:space="preserve">opportunities to improve patient outcomes in instances where a health technology assessment </w:t>
      </w:r>
      <w:r w:rsidR="58C175FD" w:rsidRPr="00521D11">
        <w:rPr>
          <w:rFonts w:asciiTheme="minorHAnsi" w:hAnsiTheme="minorHAnsi" w:cstheme="minorHAnsi"/>
        </w:rPr>
        <w:t>by</w:t>
      </w:r>
      <w:r w:rsidRPr="00521D11">
        <w:rPr>
          <w:rFonts w:asciiTheme="minorHAnsi" w:hAnsiTheme="minorHAnsi" w:cstheme="minorHAnsi"/>
        </w:rPr>
        <w:t xml:space="preserve"> the M</w:t>
      </w:r>
      <w:r w:rsidR="58C175FD" w:rsidRPr="00521D11">
        <w:rPr>
          <w:rFonts w:asciiTheme="minorHAnsi" w:hAnsiTheme="minorHAnsi" w:cstheme="minorHAnsi"/>
        </w:rPr>
        <w:t xml:space="preserve">edical </w:t>
      </w:r>
      <w:r w:rsidRPr="00521D11">
        <w:rPr>
          <w:rFonts w:asciiTheme="minorHAnsi" w:hAnsiTheme="minorHAnsi" w:cstheme="minorHAnsi"/>
        </w:rPr>
        <w:t>S</w:t>
      </w:r>
      <w:r w:rsidR="58C175FD" w:rsidRPr="00521D11">
        <w:rPr>
          <w:rFonts w:asciiTheme="minorHAnsi" w:hAnsiTheme="minorHAnsi" w:cstheme="minorHAnsi"/>
        </w:rPr>
        <w:t xml:space="preserve">ervices </w:t>
      </w:r>
      <w:r w:rsidRPr="00521D11">
        <w:rPr>
          <w:rFonts w:asciiTheme="minorHAnsi" w:hAnsiTheme="minorHAnsi" w:cstheme="minorHAnsi"/>
        </w:rPr>
        <w:t>A</w:t>
      </w:r>
      <w:r w:rsidR="58C175FD" w:rsidRPr="00521D11">
        <w:rPr>
          <w:rFonts w:asciiTheme="minorHAnsi" w:hAnsiTheme="minorHAnsi" w:cstheme="minorHAnsi"/>
        </w:rPr>
        <w:t xml:space="preserve">dvisory </w:t>
      </w:r>
      <w:r w:rsidRPr="00521D11">
        <w:rPr>
          <w:rFonts w:asciiTheme="minorHAnsi" w:hAnsiTheme="minorHAnsi" w:cstheme="minorHAnsi"/>
        </w:rPr>
        <w:t>C</w:t>
      </w:r>
      <w:r w:rsidR="58C175FD" w:rsidRPr="00521D11">
        <w:rPr>
          <w:rFonts w:asciiTheme="minorHAnsi" w:hAnsiTheme="minorHAnsi" w:cstheme="minorHAnsi"/>
        </w:rPr>
        <w:t>ommittee</w:t>
      </w:r>
      <w:r w:rsidRPr="00521D11">
        <w:rPr>
          <w:rFonts w:asciiTheme="minorHAnsi" w:hAnsiTheme="minorHAnsi" w:cstheme="minorHAnsi"/>
        </w:rPr>
        <w:t xml:space="preserve"> is not appropriate</w:t>
      </w:r>
    </w:p>
    <w:p w14:paraId="15F0A75B" w14:textId="561A2D64" w:rsidR="00E344BF" w:rsidRPr="00521D11" w:rsidRDefault="58C175FD" w:rsidP="00CF683B">
      <w:pPr>
        <w:pStyle w:val="Bullet"/>
        <w:rPr>
          <w:rFonts w:asciiTheme="minorHAnsi" w:hAnsiTheme="minorHAnsi" w:cstheme="minorHAnsi"/>
        </w:rPr>
      </w:pPr>
      <w:r w:rsidRPr="00521D11">
        <w:rPr>
          <w:rFonts w:asciiTheme="minorHAnsi" w:hAnsiTheme="minorHAnsi" w:cstheme="minorHAnsi"/>
        </w:rPr>
        <w:t xml:space="preserve">the </w:t>
      </w:r>
      <w:r w:rsidR="68799394" w:rsidRPr="00521D11">
        <w:rPr>
          <w:rFonts w:asciiTheme="minorHAnsi" w:hAnsiTheme="minorHAnsi" w:cstheme="minorHAnsi"/>
        </w:rPr>
        <w:t>safety</w:t>
      </w:r>
      <w:r w:rsidR="48ECFECB" w:rsidRPr="00521D11">
        <w:rPr>
          <w:rFonts w:asciiTheme="minorHAnsi" w:hAnsiTheme="minorHAnsi" w:cstheme="minorHAnsi"/>
        </w:rPr>
        <w:t xml:space="preserve"> and</w:t>
      </w:r>
      <w:r w:rsidR="68799394" w:rsidRPr="00521D11">
        <w:rPr>
          <w:rFonts w:asciiTheme="minorHAnsi" w:hAnsiTheme="minorHAnsi" w:cstheme="minorHAnsi"/>
        </w:rPr>
        <w:t xml:space="preserve"> efficacy of existing</w:t>
      </w:r>
      <w:r w:rsidRPr="00521D11">
        <w:rPr>
          <w:rFonts w:asciiTheme="minorHAnsi" w:hAnsiTheme="minorHAnsi" w:cstheme="minorHAnsi"/>
        </w:rPr>
        <w:t xml:space="preserve"> MBS</w:t>
      </w:r>
      <w:r w:rsidR="68799394" w:rsidRPr="00521D11">
        <w:rPr>
          <w:rFonts w:asciiTheme="minorHAnsi" w:hAnsiTheme="minorHAnsi" w:cstheme="minorHAnsi"/>
        </w:rPr>
        <w:t xml:space="preserve"> items</w:t>
      </w:r>
    </w:p>
    <w:p w14:paraId="373B17EB" w14:textId="77777777" w:rsidR="00A9000F" w:rsidRDefault="68799394" w:rsidP="00A9000F">
      <w:pPr>
        <w:pStyle w:val="BulletLast"/>
        <w:numPr>
          <w:ilvl w:val="0"/>
          <w:numId w:val="0"/>
        </w:numPr>
        <w:rPr>
          <w:rFonts w:asciiTheme="minorHAnsi" w:hAnsiTheme="minorHAnsi" w:cstheme="minorHAnsi"/>
        </w:rPr>
      </w:pPr>
      <w:r w:rsidRPr="00A9000F">
        <w:rPr>
          <w:rFonts w:asciiTheme="minorHAnsi" w:hAnsiTheme="minorHAnsi" w:cstheme="minorHAnsi"/>
        </w:rPr>
        <w:t>implemen</w:t>
      </w:r>
      <w:r w:rsidR="58C175FD" w:rsidRPr="00A9000F">
        <w:rPr>
          <w:rFonts w:asciiTheme="minorHAnsi" w:hAnsiTheme="minorHAnsi" w:cstheme="minorHAnsi"/>
        </w:rPr>
        <w:t>ted</w:t>
      </w:r>
      <w:r w:rsidRPr="00A9000F">
        <w:rPr>
          <w:rFonts w:asciiTheme="minorHAnsi" w:hAnsiTheme="minorHAnsi" w:cstheme="minorHAnsi"/>
        </w:rPr>
        <w:t xml:space="preserve"> changes to the MBS</w:t>
      </w:r>
      <w:r w:rsidR="58C175FD" w:rsidRPr="00A9000F">
        <w:rPr>
          <w:rFonts w:asciiTheme="minorHAnsi" w:hAnsiTheme="minorHAnsi" w:cstheme="minorHAnsi"/>
        </w:rPr>
        <w:t>,</w:t>
      </w:r>
      <w:r w:rsidRPr="00A9000F">
        <w:rPr>
          <w:rFonts w:asciiTheme="minorHAnsi" w:hAnsiTheme="minorHAnsi" w:cstheme="minorHAnsi"/>
        </w:rPr>
        <w:t xml:space="preserve"> to </w:t>
      </w:r>
      <w:r w:rsidR="58C175FD" w:rsidRPr="00A9000F">
        <w:rPr>
          <w:rFonts w:asciiTheme="minorHAnsi" w:hAnsiTheme="minorHAnsi" w:cstheme="minorHAnsi"/>
        </w:rPr>
        <w:t xml:space="preserve">monitor </w:t>
      </w:r>
      <w:r w:rsidRPr="00A9000F">
        <w:rPr>
          <w:rFonts w:asciiTheme="minorHAnsi" w:hAnsiTheme="minorHAnsi" w:cstheme="minorHAnsi"/>
        </w:rPr>
        <w:t xml:space="preserve">benefits and </w:t>
      </w:r>
      <w:r w:rsidR="58C175FD" w:rsidRPr="00A9000F">
        <w:rPr>
          <w:rFonts w:asciiTheme="minorHAnsi" w:hAnsiTheme="minorHAnsi" w:cstheme="minorHAnsi"/>
        </w:rPr>
        <w:t>address</w:t>
      </w:r>
      <w:r w:rsidRPr="00A9000F">
        <w:rPr>
          <w:rFonts w:asciiTheme="minorHAnsi" w:hAnsiTheme="minorHAnsi" w:cstheme="minorHAnsi"/>
        </w:rPr>
        <w:t xml:space="preserve"> </w:t>
      </w:r>
      <w:r w:rsidR="58C175FD" w:rsidRPr="00A9000F">
        <w:rPr>
          <w:rFonts w:asciiTheme="minorHAnsi" w:hAnsiTheme="minorHAnsi" w:cstheme="minorHAnsi"/>
        </w:rPr>
        <w:t>unintended</w:t>
      </w:r>
      <w:r w:rsidRPr="00A9000F">
        <w:rPr>
          <w:rFonts w:asciiTheme="minorHAnsi" w:hAnsiTheme="minorHAnsi" w:cstheme="minorHAnsi"/>
        </w:rPr>
        <w:t xml:space="preserve"> consequences</w:t>
      </w:r>
      <w:r w:rsidR="3957C37F" w:rsidRPr="00A9000F">
        <w:rPr>
          <w:rFonts w:asciiTheme="minorHAnsi" w:hAnsiTheme="minorHAnsi" w:cstheme="minorHAnsi"/>
        </w:rPr>
        <w:t xml:space="preserve">. </w:t>
      </w:r>
    </w:p>
    <w:p w14:paraId="651FC447" w14:textId="7A71A2B3" w:rsidR="00641C75" w:rsidRPr="00521D11" w:rsidRDefault="00641C75" w:rsidP="00A9000F">
      <w:pPr>
        <w:pStyle w:val="BulletLast"/>
        <w:numPr>
          <w:ilvl w:val="0"/>
          <w:numId w:val="0"/>
        </w:numPr>
        <w:rPr>
          <w:rFonts w:asciiTheme="minorHAnsi" w:hAnsiTheme="minorHAnsi" w:cstheme="minorHAnsi"/>
        </w:rPr>
      </w:pPr>
      <w:r w:rsidRPr="00521D11">
        <w:rPr>
          <w:rFonts w:asciiTheme="minorHAnsi" w:hAnsiTheme="minorHAnsi" w:cstheme="minorHAnsi"/>
        </w:rPr>
        <w:t>MRAC comprise</w:t>
      </w:r>
      <w:r w:rsidR="00843ABA" w:rsidRPr="00521D11">
        <w:rPr>
          <w:rFonts w:asciiTheme="minorHAnsi" w:hAnsiTheme="minorHAnsi" w:cstheme="minorHAnsi"/>
        </w:rPr>
        <w:t>s</w:t>
      </w:r>
      <w:r w:rsidRPr="00521D11">
        <w:rPr>
          <w:rFonts w:asciiTheme="minorHAnsi" w:hAnsiTheme="minorHAnsi" w:cstheme="minorHAnsi"/>
        </w:rPr>
        <w:t xml:space="preserve"> practising clinicians, academics, health system experts and consumer</w:t>
      </w:r>
      <w:r w:rsidR="00A9000F">
        <w:rPr>
          <w:rFonts w:asciiTheme="minorHAnsi" w:hAnsiTheme="minorHAnsi" w:cstheme="minorHAnsi"/>
        </w:rPr>
        <w:t xml:space="preserve"> representatives</w:t>
      </w:r>
      <w:r w:rsidRPr="00521D11">
        <w:rPr>
          <w:rFonts w:asciiTheme="minorHAnsi" w:hAnsiTheme="minorHAnsi" w:cstheme="minorHAnsi"/>
        </w:rPr>
        <w:t xml:space="preserve">. </w:t>
      </w:r>
      <w:r w:rsidR="00A9000F">
        <w:rPr>
          <w:rFonts w:asciiTheme="minorHAnsi" w:hAnsiTheme="minorHAnsi" w:cstheme="minorHAnsi"/>
        </w:rPr>
        <w:t>The c</w:t>
      </w:r>
      <w:r w:rsidR="005F0A3F" w:rsidRPr="00521D11">
        <w:rPr>
          <w:rFonts w:asciiTheme="minorHAnsi" w:hAnsiTheme="minorHAnsi" w:cstheme="minorHAnsi"/>
        </w:rPr>
        <w:t>urrent MRAC</w:t>
      </w:r>
      <w:r w:rsidR="00127E64" w:rsidRPr="00521D11">
        <w:rPr>
          <w:rFonts w:asciiTheme="minorHAnsi" w:hAnsiTheme="minorHAnsi" w:cstheme="minorHAnsi"/>
        </w:rPr>
        <w:t xml:space="preserve"> </w:t>
      </w:r>
      <w:r w:rsidRPr="00521D11">
        <w:rPr>
          <w:rFonts w:asciiTheme="minorHAnsi" w:hAnsiTheme="minorHAnsi" w:cstheme="minorHAnsi"/>
        </w:rPr>
        <w:t>member</w:t>
      </w:r>
      <w:r w:rsidR="00A9000F">
        <w:rPr>
          <w:rFonts w:asciiTheme="minorHAnsi" w:hAnsiTheme="minorHAnsi" w:cstheme="minorHAnsi"/>
        </w:rPr>
        <w:t>ship is</w:t>
      </w:r>
      <w:r w:rsidR="00CF683B" w:rsidRPr="00521D11">
        <w:rPr>
          <w:rFonts w:asciiTheme="minorHAnsi" w:hAnsiTheme="minorHAnsi" w:cstheme="minorHAnsi"/>
        </w:rPr>
        <w:t xml:space="preserve"> </w:t>
      </w:r>
      <w:r w:rsidR="00127E64" w:rsidRPr="00521D11">
        <w:rPr>
          <w:rFonts w:asciiTheme="minorHAnsi" w:hAnsiTheme="minorHAnsi" w:cstheme="minorHAnsi"/>
        </w:rPr>
        <w:t xml:space="preserve">listed </w:t>
      </w:r>
      <w:r w:rsidR="00CF683B" w:rsidRPr="00521D11">
        <w:rPr>
          <w:rFonts w:asciiTheme="minorHAnsi" w:hAnsiTheme="minorHAnsi" w:cstheme="minorHAnsi"/>
        </w:rPr>
        <w:t>in Table 1.</w:t>
      </w:r>
    </w:p>
    <w:p w14:paraId="4585EDBC" w14:textId="56FC90BE" w:rsidR="00CF683B" w:rsidRPr="00521D11" w:rsidRDefault="00CF683B" w:rsidP="00CF683B">
      <w:pPr>
        <w:pStyle w:val="TableTitle"/>
        <w:rPr>
          <w:rFonts w:asciiTheme="minorHAnsi" w:hAnsiTheme="minorHAnsi" w:cstheme="minorHAnsi"/>
        </w:rPr>
      </w:pPr>
      <w:bookmarkStart w:id="26" w:name="_Hlk119573641"/>
      <w:r w:rsidRPr="00521D11">
        <w:rPr>
          <w:rFonts w:asciiTheme="minorHAnsi" w:hAnsiTheme="minorHAnsi" w:cstheme="minorHAnsi"/>
        </w:rPr>
        <w:lastRenderedPageBreak/>
        <w:t>Table 1</w:t>
      </w:r>
      <w:r w:rsidRPr="00521D11">
        <w:rPr>
          <w:rFonts w:asciiTheme="minorHAnsi" w:hAnsiTheme="minorHAnsi" w:cstheme="minorHAnsi"/>
        </w:rPr>
        <w:t> </w:t>
      </w:r>
      <w:r w:rsidRPr="00521D11">
        <w:rPr>
          <w:rFonts w:asciiTheme="minorHAnsi" w:hAnsiTheme="minorHAnsi" w:cstheme="minorHAnsi"/>
        </w:rPr>
        <w:t>MBS Review Advisory Committee</w:t>
      </w:r>
      <w:r w:rsidR="005F0A3F" w:rsidRPr="00521D11">
        <w:rPr>
          <w:rFonts w:asciiTheme="minorHAnsi" w:hAnsiTheme="minorHAnsi" w:cstheme="minorHAnsi"/>
        </w:rPr>
        <w:t xml:space="preserve"> members, November 2022</w:t>
      </w:r>
    </w:p>
    <w:tbl>
      <w:tblPr>
        <w:tblStyle w:val="GridTable4-Accent61"/>
        <w:tblW w:w="0" w:type="auto"/>
        <w:tblLook w:val="04A0" w:firstRow="1" w:lastRow="0" w:firstColumn="1" w:lastColumn="0" w:noHBand="0" w:noVBand="1"/>
      </w:tblPr>
      <w:tblGrid>
        <w:gridCol w:w="3941"/>
        <w:gridCol w:w="3941"/>
      </w:tblGrid>
      <w:tr w:rsidR="00A9000F" w:rsidRPr="00081620" w14:paraId="148B4F49" w14:textId="77777777" w:rsidTr="009B4A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6FAA0645" w14:textId="77777777" w:rsidR="00A9000F" w:rsidRPr="00081620" w:rsidRDefault="00A9000F" w:rsidP="00A9000F">
            <w:pPr>
              <w:keepNext/>
              <w:spacing w:before="60" w:after="60" w:line="259" w:lineRule="auto"/>
              <w:rPr>
                <w:rFonts w:cs="Calibri"/>
                <w:sz w:val="21"/>
                <w:szCs w:val="21"/>
              </w:rPr>
            </w:pPr>
            <w:r w:rsidRPr="00081620">
              <w:rPr>
                <w:rFonts w:cs="Calibri"/>
                <w:sz w:val="21"/>
                <w:szCs w:val="21"/>
              </w:rPr>
              <w:t>Member</w:t>
            </w:r>
          </w:p>
        </w:tc>
        <w:tc>
          <w:tcPr>
            <w:tcW w:w="3941" w:type="dxa"/>
          </w:tcPr>
          <w:p w14:paraId="68BF78D4" w14:textId="77777777" w:rsidR="00A9000F" w:rsidRPr="00081620" w:rsidRDefault="00A9000F" w:rsidP="007D523C">
            <w:pPr>
              <w:keepNext/>
              <w:spacing w:before="60" w:after="60" w:line="259" w:lineRule="auto"/>
              <w:cnfStyle w:val="100000000000" w:firstRow="1" w:lastRow="0" w:firstColumn="0" w:lastColumn="0" w:oddVBand="0" w:evenVBand="0" w:oddHBand="0" w:evenHBand="0" w:firstRowFirstColumn="0" w:firstRowLastColumn="0" w:lastRowFirstColumn="0" w:lastRowLastColumn="0"/>
              <w:rPr>
                <w:rFonts w:cs="Calibri"/>
                <w:sz w:val="21"/>
                <w:szCs w:val="21"/>
              </w:rPr>
            </w:pPr>
            <w:r w:rsidRPr="00081620">
              <w:rPr>
                <w:rFonts w:cs="Calibri"/>
                <w:sz w:val="21"/>
                <w:szCs w:val="21"/>
              </w:rPr>
              <w:t>Speciality</w:t>
            </w:r>
          </w:p>
        </w:tc>
      </w:tr>
      <w:tr w:rsidR="00A9000F" w:rsidRPr="00081620" w14:paraId="2D6F87FB" w14:textId="77777777" w:rsidTr="009B4A8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941" w:type="dxa"/>
          </w:tcPr>
          <w:p w14:paraId="3F6D5712" w14:textId="77777777" w:rsidR="00A9000F" w:rsidRPr="00081620" w:rsidRDefault="00A9000F" w:rsidP="009B4A8E">
            <w:pPr>
              <w:keepNext/>
              <w:spacing w:before="60" w:after="60"/>
              <w:rPr>
                <w:rFonts w:cs="Calibri"/>
                <w:sz w:val="21"/>
                <w:szCs w:val="21"/>
              </w:rPr>
            </w:pPr>
            <w:r w:rsidRPr="00081620">
              <w:rPr>
                <w:rFonts w:cs="Calibri"/>
                <w:sz w:val="21"/>
                <w:szCs w:val="21"/>
              </w:rPr>
              <w:t>Conjoint Professor Anne Duggan (Chair)</w:t>
            </w:r>
          </w:p>
        </w:tc>
        <w:tc>
          <w:tcPr>
            <w:tcW w:w="3941" w:type="dxa"/>
          </w:tcPr>
          <w:p w14:paraId="60B2262D" w14:textId="77777777" w:rsidR="00A9000F" w:rsidRPr="00081620" w:rsidRDefault="00A9000F" w:rsidP="007D523C">
            <w:pPr>
              <w:keepNext/>
              <w:spacing w:before="60" w:after="60" w:line="259" w:lineRule="auto"/>
              <w:cnfStyle w:val="000000100000" w:firstRow="0" w:lastRow="0" w:firstColumn="0" w:lastColumn="0" w:oddVBand="0" w:evenVBand="0" w:oddHBand="1" w:evenHBand="0" w:firstRowFirstColumn="0" w:firstRowLastColumn="0" w:lastRowFirstColumn="0" w:lastRowLastColumn="0"/>
              <w:rPr>
                <w:rFonts w:cs="Calibri"/>
                <w:sz w:val="21"/>
                <w:szCs w:val="21"/>
              </w:rPr>
            </w:pPr>
            <w:r w:rsidRPr="00081620">
              <w:rPr>
                <w:rFonts w:cs="Calibri"/>
                <w:sz w:val="21"/>
                <w:szCs w:val="21"/>
              </w:rPr>
              <w:t>Policy and Clinical Advisor / Gastroenterology</w:t>
            </w:r>
          </w:p>
        </w:tc>
      </w:tr>
      <w:tr w:rsidR="00A9000F" w:rsidRPr="00081620" w14:paraId="0A3105FD" w14:textId="77777777" w:rsidTr="009B4A8E">
        <w:tc>
          <w:tcPr>
            <w:cnfStyle w:val="001000000000" w:firstRow="0" w:lastRow="0" w:firstColumn="1" w:lastColumn="0" w:oddVBand="0" w:evenVBand="0" w:oddHBand="0" w:evenHBand="0" w:firstRowFirstColumn="0" w:firstRowLastColumn="0" w:lastRowFirstColumn="0" w:lastRowLastColumn="0"/>
            <w:tcW w:w="3941" w:type="dxa"/>
          </w:tcPr>
          <w:p w14:paraId="2AC076C9" w14:textId="77777777" w:rsidR="00A9000F" w:rsidRPr="00081620" w:rsidRDefault="00A9000F" w:rsidP="009B4A8E">
            <w:pPr>
              <w:keepNext/>
              <w:spacing w:before="60" w:after="60"/>
              <w:rPr>
                <w:rFonts w:cs="Calibri"/>
                <w:sz w:val="21"/>
                <w:szCs w:val="21"/>
              </w:rPr>
            </w:pPr>
            <w:r w:rsidRPr="00081620">
              <w:rPr>
                <w:rFonts w:cs="Calibri"/>
                <w:sz w:val="21"/>
                <w:szCs w:val="21"/>
              </w:rPr>
              <w:t>Ms Jo Watson (Deputy Chair)</w:t>
            </w:r>
          </w:p>
        </w:tc>
        <w:tc>
          <w:tcPr>
            <w:tcW w:w="3941" w:type="dxa"/>
          </w:tcPr>
          <w:p w14:paraId="3499C540" w14:textId="77777777" w:rsidR="00A9000F" w:rsidRPr="00081620" w:rsidRDefault="00A9000F" w:rsidP="007D523C">
            <w:pPr>
              <w:keepNext/>
              <w:spacing w:before="60" w:after="60" w:line="259" w:lineRule="auto"/>
              <w:cnfStyle w:val="000000000000" w:firstRow="0" w:lastRow="0" w:firstColumn="0" w:lastColumn="0" w:oddVBand="0" w:evenVBand="0" w:oddHBand="0" w:evenHBand="0" w:firstRowFirstColumn="0" w:firstRowLastColumn="0" w:lastRowFirstColumn="0" w:lastRowLastColumn="0"/>
              <w:rPr>
                <w:rFonts w:cs="Calibri"/>
                <w:sz w:val="21"/>
                <w:szCs w:val="21"/>
              </w:rPr>
            </w:pPr>
            <w:r w:rsidRPr="00081620">
              <w:rPr>
                <w:rFonts w:cs="Calibri"/>
                <w:sz w:val="21"/>
                <w:szCs w:val="21"/>
              </w:rPr>
              <w:t>Consumer Representative</w:t>
            </w:r>
          </w:p>
        </w:tc>
      </w:tr>
      <w:tr w:rsidR="00A9000F" w:rsidRPr="00081620" w14:paraId="4B398898" w14:textId="77777777" w:rsidTr="009B4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15BF774E" w14:textId="77777777" w:rsidR="00A9000F" w:rsidRPr="00081620" w:rsidRDefault="00A9000F" w:rsidP="009B4A8E">
            <w:pPr>
              <w:keepNext/>
              <w:spacing w:before="60" w:after="60"/>
              <w:rPr>
                <w:rFonts w:cs="Calibri"/>
                <w:sz w:val="21"/>
                <w:szCs w:val="21"/>
              </w:rPr>
            </w:pPr>
            <w:r w:rsidRPr="00081620">
              <w:rPr>
                <w:rFonts w:cs="Calibri"/>
                <w:sz w:val="21"/>
                <w:szCs w:val="21"/>
              </w:rPr>
              <w:t>Dr Jason Agostino</w:t>
            </w:r>
          </w:p>
        </w:tc>
        <w:tc>
          <w:tcPr>
            <w:tcW w:w="3941" w:type="dxa"/>
          </w:tcPr>
          <w:p w14:paraId="6D50AE3F" w14:textId="77777777" w:rsidR="00A9000F" w:rsidRPr="00081620" w:rsidRDefault="00A9000F" w:rsidP="007D523C">
            <w:pPr>
              <w:keepNext/>
              <w:spacing w:before="60" w:after="60" w:line="259" w:lineRule="auto"/>
              <w:cnfStyle w:val="000000100000" w:firstRow="0" w:lastRow="0" w:firstColumn="0" w:lastColumn="0" w:oddVBand="0" w:evenVBand="0" w:oddHBand="1" w:evenHBand="0" w:firstRowFirstColumn="0" w:firstRowLastColumn="0" w:lastRowFirstColumn="0" w:lastRowLastColumn="0"/>
              <w:rPr>
                <w:rFonts w:cs="Calibri"/>
                <w:sz w:val="21"/>
                <w:szCs w:val="21"/>
              </w:rPr>
            </w:pPr>
            <w:r w:rsidRPr="00081620">
              <w:rPr>
                <w:rFonts w:cs="Calibri"/>
                <w:sz w:val="21"/>
                <w:szCs w:val="21"/>
              </w:rPr>
              <w:t>Indigenous Health</w:t>
            </w:r>
          </w:p>
        </w:tc>
      </w:tr>
      <w:tr w:rsidR="00A9000F" w:rsidRPr="00081620" w14:paraId="6678F4AC" w14:textId="77777777" w:rsidTr="009B4A8E">
        <w:tc>
          <w:tcPr>
            <w:cnfStyle w:val="001000000000" w:firstRow="0" w:lastRow="0" w:firstColumn="1" w:lastColumn="0" w:oddVBand="0" w:evenVBand="0" w:oddHBand="0" w:evenHBand="0" w:firstRowFirstColumn="0" w:firstRowLastColumn="0" w:lastRowFirstColumn="0" w:lastRowLastColumn="0"/>
            <w:tcW w:w="3941" w:type="dxa"/>
          </w:tcPr>
          <w:p w14:paraId="793A03A9" w14:textId="77777777" w:rsidR="00A9000F" w:rsidRPr="00081620" w:rsidRDefault="00A9000F" w:rsidP="009B4A8E">
            <w:pPr>
              <w:keepNext/>
              <w:spacing w:before="60" w:after="60"/>
              <w:rPr>
                <w:rFonts w:cs="Calibri"/>
                <w:sz w:val="21"/>
                <w:szCs w:val="21"/>
              </w:rPr>
            </w:pPr>
            <w:r w:rsidRPr="00081620">
              <w:rPr>
                <w:rFonts w:cs="Calibri"/>
                <w:sz w:val="21"/>
                <w:szCs w:val="21"/>
              </w:rPr>
              <w:t>Dr Matt Andrews</w:t>
            </w:r>
          </w:p>
        </w:tc>
        <w:tc>
          <w:tcPr>
            <w:tcW w:w="3941" w:type="dxa"/>
          </w:tcPr>
          <w:p w14:paraId="41AB5F6F" w14:textId="77777777" w:rsidR="00A9000F" w:rsidRPr="00081620" w:rsidRDefault="00A9000F" w:rsidP="007D523C">
            <w:pPr>
              <w:keepNext/>
              <w:spacing w:before="60" w:after="60" w:line="259" w:lineRule="auto"/>
              <w:cnfStyle w:val="000000000000" w:firstRow="0" w:lastRow="0" w:firstColumn="0" w:lastColumn="0" w:oddVBand="0" w:evenVBand="0" w:oddHBand="0" w:evenHBand="0" w:firstRowFirstColumn="0" w:firstRowLastColumn="0" w:lastRowFirstColumn="0" w:lastRowLastColumn="0"/>
              <w:rPr>
                <w:rFonts w:cs="Calibri"/>
                <w:sz w:val="21"/>
                <w:szCs w:val="21"/>
              </w:rPr>
            </w:pPr>
            <w:r w:rsidRPr="00081620">
              <w:rPr>
                <w:rFonts w:cs="Calibri"/>
                <w:sz w:val="21"/>
                <w:szCs w:val="21"/>
              </w:rPr>
              <w:t>Radiology</w:t>
            </w:r>
          </w:p>
        </w:tc>
      </w:tr>
      <w:tr w:rsidR="00A9000F" w:rsidRPr="00081620" w14:paraId="57C52B08" w14:textId="77777777" w:rsidTr="009B4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494F5209" w14:textId="77777777" w:rsidR="00A9000F" w:rsidRPr="00081620" w:rsidRDefault="00A9000F" w:rsidP="009B4A8E">
            <w:pPr>
              <w:keepNext/>
              <w:spacing w:before="60" w:after="60"/>
              <w:rPr>
                <w:rFonts w:cs="Calibri"/>
                <w:sz w:val="21"/>
                <w:szCs w:val="21"/>
              </w:rPr>
            </w:pPr>
            <w:r w:rsidRPr="00081620">
              <w:rPr>
                <w:rFonts w:cs="Calibri"/>
                <w:sz w:val="21"/>
                <w:szCs w:val="21"/>
              </w:rPr>
              <w:t>Professor John Atherton</w:t>
            </w:r>
          </w:p>
        </w:tc>
        <w:tc>
          <w:tcPr>
            <w:tcW w:w="3941" w:type="dxa"/>
          </w:tcPr>
          <w:p w14:paraId="030AFE29" w14:textId="77777777" w:rsidR="00A9000F" w:rsidRPr="00081620" w:rsidRDefault="00A9000F" w:rsidP="007D523C">
            <w:pPr>
              <w:keepNext/>
              <w:spacing w:before="60" w:after="60" w:line="259" w:lineRule="auto"/>
              <w:cnfStyle w:val="000000100000" w:firstRow="0" w:lastRow="0" w:firstColumn="0" w:lastColumn="0" w:oddVBand="0" w:evenVBand="0" w:oddHBand="1" w:evenHBand="0" w:firstRowFirstColumn="0" w:firstRowLastColumn="0" w:lastRowFirstColumn="0" w:lastRowLastColumn="0"/>
              <w:rPr>
                <w:rFonts w:cs="Calibri"/>
                <w:sz w:val="21"/>
                <w:szCs w:val="21"/>
              </w:rPr>
            </w:pPr>
            <w:r w:rsidRPr="00081620">
              <w:rPr>
                <w:rFonts w:cs="Calibri"/>
                <w:sz w:val="21"/>
                <w:szCs w:val="21"/>
              </w:rPr>
              <w:t>Cardiology</w:t>
            </w:r>
          </w:p>
        </w:tc>
      </w:tr>
      <w:tr w:rsidR="00A9000F" w:rsidRPr="00081620" w14:paraId="39E17605" w14:textId="77777777" w:rsidTr="009B4A8E">
        <w:tc>
          <w:tcPr>
            <w:cnfStyle w:val="001000000000" w:firstRow="0" w:lastRow="0" w:firstColumn="1" w:lastColumn="0" w:oddVBand="0" w:evenVBand="0" w:oddHBand="0" w:evenHBand="0" w:firstRowFirstColumn="0" w:firstRowLastColumn="0" w:lastRowFirstColumn="0" w:lastRowLastColumn="0"/>
            <w:tcW w:w="3941" w:type="dxa"/>
          </w:tcPr>
          <w:p w14:paraId="4210BE54" w14:textId="77777777" w:rsidR="00A9000F" w:rsidRPr="00081620" w:rsidRDefault="00A9000F" w:rsidP="009B4A8E">
            <w:pPr>
              <w:keepNext/>
              <w:spacing w:before="60" w:after="60"/>
              <w:rPr>
                <w:rFonts w:cs="Calibri"/>
                <w:sz w:val="21"/>
                <w:szCs w:val="21"/>
              </w:rPr>
            </w:pPr>
            <w:r w:rsidRPr="00081620">
              <w:rPr>
                <w:rFonts w:cs="Calibri"/>
                <w:sz w:val="21"/>
                <w:szCs w:val="21"/>
              </w:rPr>
              <w:t>Professor Wendy Brown</w:t>
            </w:r>
          </w:p>
        </w:tc>
        <w:tc>
          <w:tcPr>
            <w:tcW w:w="3941" w:type="dxa"/>
          </w:tcPr>
          <w:p w14:paraId="176286FE" w14:textId="77777777" w:rsidR="00A9000F" w:rsidRPr="00081620" w:rsidRDefault="00A9000F" w:rsidP="007D523C">
            <w:pPr>
              <w:keepNext/>
              <w:spacing w:before="60" w:after="60" w:line="259" w:lineRule="auto"/>
              <w:cnfStyle w:val="000000000000" w:firstRow="0" w:lastRow="0" w:firstColumn="0" w:lastColumn="0" w:oddVBand="0" w:evenVBand="0" w:oddHBand="0" w:evenHBand="0" w:firstRowFirstColumn="0" w:firstRowLastColumn="0" w:lastRowFirstColumn="0" w:lastRowLastColumn="0"/>
              <w:rPr>
                <w:rFonts w:cs="Calibri"/>
                <w:sz w:val="21"/>
                <w:szCs w:val="21"/>
              </w:rPr>
            </w:pPr>
            <w:r w:rsidRPr="00081620">
              <w:rPr>
                <w:rFonts w:cs="Calibri"/>
                <w:sz w:val="21"/>
                <w:szCs w:val="21"/>
              </w:rPr>
              <w:t>General Surgeon – Upper Gastrointestinal and Bariatric Surgery</w:t>
            </w:r>
          </w:p>
        </w:tc>
      </w:tr>
      <w:tr w:rsidR="00A9000F" w:rsidRPr="00081620" w14:paraId="15B04FE9" w14:textId="77777777" w:rsidTr="009B4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19797D0E" w14:textId="77777777" w:rsidR="00A9000F" w:rsidRPr="00081620" w:rsidRDefault="00A9000F" w:rsidP="009B4A8E">
            <w:pPr>
              <w:keepNext/>
              <w:spacing w:before="60" w:after="60"/>
              <w:rPr>
                <w:rFonts w:cs="Calibri"/>
                <w:sz w:val="21"/>
                <w:szCs w:val="21"/>
              </w:rPr>
            </w:pPr>
            <w:r w:rsidRPr="00081620">
              <w:rPr>
                <w:rFonts w:cs="Calibri"/>
                <w:sz w:val="21"/>
                <w:szCs w:val="21"/>
              </w:rPr>
              <w:t xml:space="preserve">Professor Adam </w:t>
            </w:r>
            <w:proofErr w:type="spellStart"/>
            <w:r w:rsidRPr="00081620">
              <w:rPr>
                <w:rFonts w:cs="Calibri"/>
                <w:sz w:val="21"/>
                <w:szCs w:val="21"/>
              </w:rPr>
              <w:t>Elshaug</w:t>
            </w:r>
            <w:proofErr w:type="spellEnd"/>
          </w:p>
        </w:tc>
        <w:tc>
          <w:tcPr>
            <w:tcW w:w="3941" w:type="dxa"/>
          </w:tcPr>
          <w:p w14:paraId="64BF3064" w14:textId="77777777" w:rsidR="00A9000F" w:rsidRPr="00081620" w:rsidRDefault="00A9000F" w:rsidP="007D523C">
            <w:pPr>
              <w:keepNext/>
              <w:spacing w:before="60" w:after="60" w:line="259" w:lineRule="auto"/>
              <w:cnfStyle w:val="000000100000" w:firstRow="0" w:lastRow="0" w:firstColumn="0" w:lastColumn="0" w:oddVBand="0" w:evenVBand="0" w:oddHBand="1" w:evenHBand="0" w:firstRowFirstColumn="0" w:firstRowLastColumn="0" w:lastRowFirstColumn="0" w:lastRowLastColumn="0"/>
              <w:rPr>
                <w:rFonts w:cs="Calibri"/>
                <w:sz w:val="21"/>
                <w:szCs w:val="21"/>
              </w:rPr>
            </w:pPr>
            <w:r w:rsidRPr="00081620">
              <w:rPr>
                <w:rFonts w:cs="Calibri"/>
                <w:sz w:val="21"/>
                <w:szCs w:val="21"/>
              </w:rPr>
              <w:t>Health Services / Systems Research</w:t>
            </w:r>
          </w:p>
        </w:tc>
      </w:tr>
      <w:tr w:rsidR="00A9000F" w:rsidRPr="00081620" w14:paraId="7FA1ECCC" w14:textId="77777777" w:rsidTr="009B4A8E">
        <w:tc>
          <w:tcPr>
            <w:cnfStyle w:val="001000000000" w:firstRow="0" w:lastRow="0" w:firstColumn="1" w:lastColumn="0" w:oddVBand="0" w:evenVBand="0" w:oddHBand="0" w:evenHBand="0" w:firstRowFirstColumn="0" w:firstRowLastColumn="0" w:lastRowFirstColumn="0" w:lastRowLastColumn="0"/>
            <w:tcW w:w="3941" w:type="dxa"/>
          </w:tcPr>
          <w:p w14:paraId="27F6607B" w14:textId="77777777" w:rsidR="00A9000F" w:rsidRPr="00081620" w:rsidRDefault="00A9000F" w:rsidP="009B4A8E">
            <w:pPr>
              <w:keepNext/>
              <w:spacing w:before="60" w:after="60"/>
              <w:rPr>
                <w:rFonts w:cs="Calibri"/>
                <w:sz w:val="21"/>
                <w:szCs w:val="21"/>
              </w:rPr>
            </w:pPr>
            <w:r w:rsidRPr="00081620">
              <w:rPr>
                <w:rFonts w:cs="Calibri"/>
                <w:sz w:val="21"/>
                <w:szCs w:val="21"/>
              </w:rPr>
              <w:t xml:space="preserve">Ms Margaret </w:t>
            </w:r>
            <w:proofErr w:type="spellStart"/>
            <w:r w:rsidRPr="00081620">
              <w:rPr>
                <w:rFonts w:cs="Calibri"/>
                <w:sz w:val="21"/>
                <w:szCs w:val="21"/>
              </w:rPr>
              <w:t>Foulds</w:t>
            </w:r>
            <w:proofErr w:type="spellEnd"/>
          </w:p>
        </w:tc>
        <w:tc>
          <w:tcPr>
            <w:tcW w:w="3941" w:type="dxa"/>
          </w:tcPr>
          <w:p w14:paraId="31E0296C" w14:textId="77777777" w:rsidR="00A9000F" w:rsidRPr="00081620" w:rsidRDefault="00A9000F" w:rsidP="007D523C">
            <w:pPr>
              <w:keepNext/>
              <w:spacing w:before="60" w:after="60" w:line="259" w:lineRule="auto"/>
              <w:cnfStyle w:val="000000000000" w:firstRow="0" w:lastRow="0" w:firstColumn="0" w:lastColumn="0" w:oddVBand="0" w:evenVBand="0" w:oddHBand="0" w:evenHBand="0" w:firstRowFirstColumn="0" w:firstRowLastColumn="0" w:lastRowFirstColumn="0" w:lastRowLastColumn="0"/>
              <w:rPr>
                <w:rFonts w:cs="Calibri"/>
                <w:sz w:val="21"/>
                <w:szCs w:val="21"/>
              </w:rPr>
            </w:pPr>
            <w:r w:rsidRPr="00081620">
              <w:rPr>
                <w:rFonts w:cs="Calibri"/>
                <w:sz w:val="21"/>
                <w:szCs w:val="21"/>
              </w:rPr>
              <w:t>Psychology</w:t>
            </w:r>
          </w:p>
        </w:tc>
      </w:tr>
      <w:tr w:rsidR="00A9000F" w:rsidRPr="00081620" w14:paraId="3BF04666" w14:textId="77777777" w:rsidTr="009B4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020642C7" w14:textId="77777777" w:rsidR="00A9000F" w:rsidRPr="00081620" w:rsidRDefault="00A9000F" w:rsidP="009B4A8E">
            <w:pPr>
              <w:keepNext/>
              <w:spacing w:before="60" w:after="60"/>
              <w:rPr>
                <w:rFonts w:cs="Calibri"/>
                <w:sz w:val="21"/>
                <w:szCs w:val="21"/>
              </w:rPr>
            </w:pPr>
            <w:r w:rsidRPr="00081620">
              <w:rPr>
                <w:rFonts w:cs="Calibri"/>
                <w:sz w:val="21"/>
                <w:szCs w:val="21"/>
              </w:rPr>
              <w:t>Associate Professor Sally Green</w:t>
            </w:r>
          </w:p>
        </w:tc>
        <w:tc>
          <w:tcPr>
            <w:tcW w:w="3941" w:type="dxa"/>
          </w:tcPr>
          <w:p w14:paraId="453C78BA" w14:textId="77777777" w:rsidR="00A9000F" w:rsidRPr="00081620" w:rsidRDefault="00A9000F" w:rsidP="007D523C">
            <w:pPr>
              <w:keepNext/>
              <w:spacing w:before="60" w:after="60" w:line="259" w:lineRule="auto"/>
              <w:cnfStyle w:val="000000100000" w:firstRow="0" w:lastRow="0" w:firstColumn="0" w:lastColumn="0" w:oddVBand="0" w:evenVBand="0" w:oddHBand="1" w:evenHBand="0" w:firstRowFirstColumn="0" w:firstRowLastColumn="0" w:lastRowFirstColumn="0" w:lastRowLastColumn="0"/>
              <w:rPr>
                <w:rFonts w:cs="Calibri"/>
                <w:sz w:val="21"/>
                <w:szCs w:val="21"/>
              </w:rPr>
            </w:pPr>
            <w:r w:rsidRPr="00081620">
              <w:rPr>
                <w:rFonts w:cs="Calibri"/>
                <w:sz w:val="21"/>
                <w:szCs w:val="21"/>
              </w:rPr>
              <w:t>Health Services / Systems Research</w:t>
            </w:r>
          </w:p>
        </w:tc>
      </w:tr>
      <w:tr w:rsidR="00A9000F" w:rsidRPr="00081620" w14:paraId="20A2C948" w14:textId="77777777" w:rsidTr="009B4A8E">
        <w:tc>
          <w:tcPr>
            <w:cnfStyle w:val="001000000000" w:firstRow="0" w:lastRow="0" w:firstColumn="1" w:lastColumn="0" w:oddVBand="0" w:evenVBand="0" w:oddHBand="0" w:evenHBand="0" w:firstRowFirstColumn="0" w:firstRowLastColumn="0" w:lastRowFirstColumn="0" w:lastRowLastColumn="0"/>
            <w:tcW w:w="3941" w:type="dxa"/>
          </w:tcPr>
          <w:p w14:paraId="0BC984D5" w14:textId="77777777" w:rsidR="00A9000F" w:rsidRPr="00081620" w:rsidRDefault="00A9000F" w:rsidP="009B4A8E">
            <w:pPr>
              <w:keepNext/>
              <w:spacing w:before="60" w:after="60"/>
              <w:rPr>
                <w:rFonts w:cs="Calibri"/>
                <w:sz w:val="21"/>
                <w:szCs w:val="21"/>
              </w:rPr>
            </w:pPr>
            <w:r w:rsidRPr="00081620">
              <w:rPr>
                <w:rFonts w:cs="Calibri"/>
                <w:sz w:val="21"/>
                <w:szCs w:val="21"/>
              </w:rPr>
              <w:t>Dr Chris Helms</w:t>
            </w:r>
          </w:p>
        </w:tc>
        <w:tc>
          <w:tcPr>
            <w:tcW w:w="3941" w:type="dxa"/>
          </w:tcPr>
          <w:p w14:paraId="4CF9A7AF" w14:textId="77777777" w:rsidR="00A9000F" w:rsidRPr="00081620" w:rsidRDefault="00A9000F" w:rsidP="007D523C">
            <w:pPr>
              <w:keepNext/>
              <w:spacing w:before="60" w:after="60" w:line="259" w:lineRule="auto"/>
              <w:cnfStyle w:val="000000000000" w:firstRow="0" w:lastRow="0" w:firstColumn="0" w:lastColumn="0" w:oddVBand="0" w:evenVBand="0" w:oddHBand="0" w:evenHBand="0" w:firstRowFirstColumn="0" w:firstRowLastColumn="0" w:lastRowFirstColumn="0" w:lastRowLastColumn="0"/>
              <w:rPr>
                <w:rFonts w:cs="Calibri"/>
                <w:sz w:val="21"/>
                <w:szCs w:val="21"/>
              </w:rPr>
            </w:pPr>
            <w:r w:rsidRPr="00081620">
              <w:rPr>
                <w:rFonts w:cs="Calibri"/>
                <w:sz w:val="21"/>
                <w:szCs w:val="21"/>
              </w:rPr>
              <w:t>Nurse Practitioner</w:t>
            </w:r>
          </w:p>
        </w:tc>
      </w:tr>
      <w:tr w:rsidR="00A9000F" w:rsidRPr="00081620" w14:paraId="65B53112" w14:textId="77777777" w:rsidTr="009B4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2010876E" w14:textId="77777777" w:rsidR="00A9000F" w:rsidRPr="00081620" w:rsidRDefault="00A9000F" w:rsidP="009B4A8E">
            <w:pPr>
              <w:keepNext/>
              <w:spacing w:before="60" w:after="60"/>
              <w:rPr>
                <w:rFonts w:cs="Calibri"/>
                <w:sz w:val="21"/>
                <w:szCs w:val="21"/>
              </w:rPr>
            </w:pPr>
            <w:r w:rsidRPr="00081620">
              <w:rPr>
                <w:rFonts w:cs="Calibri"/>
                <w:sz w:val="21"/>
                <w:szCs w:val="21"/>
              </w:rPr>
              <w:t>Professor Harriet Hiscock</w:t>
            </w:r>
          </w:p>
        </w:tc>
        <w:tc>
          <w:tcPr>
            <w:tcW w:w="3941" w:type="dxa"/>
          </w:tcPr>
          <w:p w14:paraId="35284A3F" w14:textId="77777777" w:rsidR="00A9000F" w:rsidRPr="00081620" w:rsidRDefault="00A9000F" w:rsidP="007D523C">
            <w:pPr>
              <w:keepNext/>
              <w:spacing w:before="60" w:after="60" w:line="259" w:lineRule="auto"/>
              <w:cnfStyle w:val="000000100000" w:firstRow="0" w:lastRow="0" w:firstColumn="0" w:lastColumn="0" w:oddVBand="0" w:evenVBand="0" w:oddHBand="1" w:evenHBand="0" w:firstRowFirstColumn="0" w:firstRowLastColumn="0" w:lastRowFirstColumn="0" w:lastRowLastColumn="0"/>
              <w:rPr>
                <w:rFonts w:cs="Calibri"/>
                <w:sz w:val="21"/>
                <w:szCs w:val="21"/>
              </w:rPr>
            </w:pPr>
            <w:r w:rsidRPr="00081620">
              <w:rPr>
                <w:rFonts w:cs="Calibri"/>
                <w:sz w:val="21"/>
                <w:szCs w:val="21"/>
              </w:rPr>
              <w:t>Paediatrics</w:t>
            </w:r>
          </w:p>
        </w:tc>
      </w:tr>
      <w:tr w:rsidR="00A9000F" w:rsidRPr="00081620" w14:paraId="32409712" w14:textId="77777777" w:rsidTr="009B4A8E">
        <w:tc>
          <w:tcPr>
            <w:cnfStyle w:val="001000000000" w:firstRow="0" w:lastRow="0" w:firstColumn="1" w:lastColumn="0" w:oddVBand="0" w:evenVBand="0" w:oddHBand="0" w:evenHBand="0" w:firstRowFirstColumn="0" w:firstRowLastColumn="0" w:lastRowFirstColumn="0" w:lastRowLastColumn="0"/>
            <w:tcW w:w="3941" w:type="dxa"/>
          </w:tcPr>
          <w:p w14:paraId="732865BD" w14:textId="77777777" w:rsidR="00A9000F" w:rsidRPr="00081620" w:rsidRDefault="00A9000F" w:rsidP="009B4A8E">
            <w:pPr>
              <w:keepNext/>
              <w:spacing w:before="60" w:after="60"/>
              <w:rPr>
                <w:rFonts w:cs="Calibri"/>
                <w:sz w:val="21"/>
                <w:szCs w:val="21"/>
              </w:rPr>
            </w:pPr>
            <w:r w:rsidRPr="00081620">
              <w:rPr>
                <w:rFonts w:cs="Calibri"/>
                <w:sz w:val="21"/>
                <w:szCs w:val="21"/>
              </w:rPr>
              <w:t>Professor Anthony Lawler</w:t>
            </w:r>
          </w:p>
        </w:tc>
        <w:tc>
          <w:tcPr>
            <w:tcW w:w="3941" w:type="dxa"/>
          </w:tcPr>
          <w:p w14:paraId="6FD3FA92" w14:textId="77777777" w:rsidR="00A9000F" w:rsidRPr="00081620" w:rsidRDefault="00A9000F" w:rsidP="007D523C">
            <w:pPr>
              <w:keepNext/>
              <w:spacing w:before="60" w:after="60" w:line="259" w:lineRule="auto"/>
              <w:cnfStyle w:val="000000000000" w:firstRow="0" w:lastRow="0" w:firstColumn="0" w:lastColumn="0" w:oddVBand="0" w:evenVBand="0" w:oddHBand="0" w:evenHBand="0" w:firstRowFirstColumn="0" w:firstRowLastColumn="0" w:lastRowFirstColumn="0" w:lastRowLastColumn="0"/>
              <w:rPr>
                <w:rFonts w:cs="Calibri"/>
                <w:sz w:val="21"/>
                <w:szCs w:val="21"/>
              </w:rPr>
            </w:pPr>
            <w:r w:rsidRPr="00081620">
              <w:rPr>
                <w:rFonts w:cs="Calibri"/>
                <w:sz w:val="21"/>
                <w:szCs w:val="21"/>
              </w:rPr>
              <w:t>Health Services Administration / Emergency Medicine</w:t>
            </w:r>
          </w:p>
        </w:tc>
      </w:tr>
      <w:tr w:rsidR="00A9000F" w:rsidRPr="00081620" w14:paraId="17C3C99D" w14:textId="77777777" w:rsidTr="009B4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72F053E5" w14:textId="77777777" w:rsidR="00A9000F" w:rsidRPr="00081620" w:rsidRDefault="00A9000F" w:rsidP="009B4A8E">
            <w:pPr>
              <w:keepNext/>
              <w:spacing w:before="60" w:after="60"/>
              <w:rPr>
                <w:rFonts w:cs="Calibri"/>
                <w:sz w:val="21"/>
                <w:szCs w:val="21"/>
              </w:rPr>
            </w:pPr>
            <w:r w:rsidRPr="00081620">
              <w:rPr>
                <w:rFonts w:cs="Calibri"/>
                <w:sz w:val="21"/>
                <w:szCs w:val="21"/>
              </w:rPr>
              <w:t>Ms Alison Marcus</w:t>
            </w:r>
          </w:p>
        </w:tc>
        <w:tc>
          <w:tcPr>
            <w:tcW w:w="3941" w:type="dxa"/>
          </w:tcPr>
          <w:p w14:paraId="08CF678A" w14:textId="77777777" w:rsidR="00A9000F" w:rsidRPr="00081620" w:rsidRDefault="00A9000F" w:rsidP="007D523C">
            <w:pPr>
              <w:keepNext/>
              <w:spacing w:before="60" w:after="60" w:line="259" w:lineRule="auto"/>
              <w:cnfStyle w:val="000000100000" w:firstRow="0" w:lastRow="0" w:firstColumn="0" w:lastColumn="0" w:oddVBand="0" w:evenVBand="0" w:oddHBand="1" w:evenHBand="0" w:firstRowFirstColumn="0" w:firstRowLastColumn="0" w:lastRowFirstColumn="0" w:lastRowLastColumn="0"/>
              <w:rPr>
                <w:rFonts w:cs="Calibri"/>
                <w:sz w:val="21"/>
                <w:szCs w:val="21"/>
              </w:rPr>
            </w:pPr>
            <w:r w:rsidRPr="00081620">
              <w:rPr>
                <w:rFonts w:cs="Calibri"/>
                <w:sz w:val="21"/>
                <w:szCs w:val="21"/>
              </w:rPr>
              <w:t>Consumer Representative</w:t>
            </w:r>
          </w:p>
        </w:tc>
      </w:tr>
      <w:tr w:rsidR="00A9000F" w:rsidRPr="00081620" w14:paraId="3581928A" w14:textId="77777777" w:rsidTr="009B4A8E">
        <w:tc>
          <w:tcPr>
            <w:cnfStyle w:val="001000000000" w:firstRow="0" w:lastRow="0" w:firstColumn="1" w:lastColumn="0" w:oddVBand="0" w:evenVBand="0" w:oddHBand="0" w:evenHBand="0" w:firstRowFirstColumn="0" w:firstRowLastColumn="0" w:lastRowFirstColumn="0" w:lastRowLastColumn="0"/>
            <w:tcW w:w="3941" w:type="dxa"/>
          </w:tcPr>
          <w:p w14:paraId="4D1A5384" w14:textId="77777777" w:rsidR="00A9000F" w:rsidRPr="00081620" w:rsidRDefault="00A9000F" w:rsidP="009B4A8E">
            <w:pPr>
              <w:keepNext/>
              <w:spacing w:before="60" w:after="60"/>
              <w:rPr>
                <w:rFonts w:cs="Calibri"/>
                <w:sz w:val="21"/>
                <w:szCs w:val="21"/>
              </w:rPr>
            </w:pPr>
            <w:r w:rsidRPr="00081620">
              <w:rPr>
                <w:rFonts w:cs="Calibri"/>
                <w:sz w:val="21"/>
                <w:szCs w:val="21"/>
              </w:rPr>
              <w:t>Associate Professor Elizabeth Marles</w:t>
            </w:r>
          </w:p>
        </w:tc>
        <w:tc>
          <w:tcPr>
            <w:tcW w:w="3941" w:type="dxa"/>
          </w:tcPr>
          <w:p w14:paraId="0602D3BC" w14:textId="77777777" w:rsidR="00A9000F" w:rsidRPr="00081620" w:rsidRDefault="00A9000F" w:rsidP="007D523C">
            <w:pPr>
              <w:keepNext/>
              <w:spacing w:before="60" w:after="60" w:line="259" w:lineRule="auto"/>
              <w:cnfStyle w:val="000000000000" w:firstRow="0" w:lastRow="0" w:firstColumn="0" w:lastColumn="0" w:oddVBand="0" w:evenVBand="0" w:oddHBand="0" w:evenHBand="0" w:firstRowFirstColumn="0" w:firstRowLastColumn="0" w:lastRowFirstColumn="0" w:lastRowLastColumn="0"/>
              <w:rPr>
                <w:rFonts w:cs="Calibri"/>
                <w:sz w:val="21"/>
                <w:szCs w:val="21"/>
              </w:rPr>
            </w:pPr>
            <w:r w:rsidRPr="00081620">
              <w:rPr>
                <w:rFonts w:cs="Calibri"/>
                <w:sz w:val="21"/>
                <w:szCs w:val="21"/>
              </w:rPr>
              <w:t>General Practice / Indigenous Health</w:t>
            </w:r>
          </w:p>
        </w:tc>
      </w:tr>
      <w:tr w:rsidR="00A9000F" w:rsidRPr="00081620" w14:paraId="75FEBD4C" w14:textId="77777777" w:rsidTr="009B4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46DF774C" w14:textId="77777777" w:rsidR="00A9000F" w:rsidRPr="00081620" w:rsidRDefault="00A9000F" w:rsidP="009B4A8E">
            <w:pPr>
              <w:keepNext/>
              <w:spacing w:before="60" w:after="60"/>
              <w:rPr>
                <w:rFonts w:cs="Calibri"/>
                <w:sz w:val="21"/>
                <w:szCs w:val="21"/>
              </w:rPr>
            </w:pPr>
            <w:r w:rsidRPr="00081620">
              <w:rPr>
                <w:rFonts w:cs="Calibri"/>
                <w:sz w:val="21"/>
                <w:szCs w:val="21"/>
              </w:rPr>
              <w:t xml:space="preserve">Dr Sue </w:t>
            </w:r>
            <w:proofErr w:type="spellStart"/>
            <w:r w:rsidRPr="00081620">
              <w:rPr>
                <w:rFonts w:cs="Calibri"/>
                <w:sz w:val="21"/>
                <w:szCs w:val="21"/>
              </w:rPr>
              <w:t>Masel</w:t>
            </w:r>
            <w:proofErr w:type="spellEnd"/>
          </w:p>
        </w:tc>
        <w:tc>
          <w:tcPr>
            <w:tcW w:w="3941" w:type="dxa"/>
          </w:tcPr>
          <w:p w14:paraId="05F07D2C" w14:textId="77777777" w:rsidR="00A9000F" w:rsidRPr="00081620" w:rsidRDefault="00A9000F" w:rsidP="007D523C">
            <w:pPr>
              <w:keepNext/>
              <w:spacing w:before="60" w:after="60" w:line="259" w:lineRule="auto"/>
              <w:cnfStyle w:val="000000100000" w:firstRow="0" w:lastRow="0" w:firstColumn="0" w:lastColumn="0" w:oddVBand="0" w:evenVBand="0" w:oddHBand="1" w:evenHBand="0" w:firstRowFirstColumn="0" w:firstRowLastColumn="0" w:lastRowFirstColumn="0" w:lastRowLastColumn="0"/>
              <w:rPr>
                <w:rFonts w:cs="Calibri"/>
                <w:sz w:val="21"/>
                <w:szCs w:val="21"/>
              </w:rPr>
            </w:pPr>
            <w:r w:rsidRPr="00081620">
              <w:rPr>
                <w:rFonts w:cs="Calibri"/>
                <w:sz w:val="21"/>
                <w:szCs w:val="21"/>
              </w:rPr>
              <w:t>Rural General Practice</w:t>
            </w:r>
          </w:p>
        </w:tc>
      </w:tr>
      <w:tr w:rsidR="00A9000F" w:rsidRPr="00081620" w14:paraId="6B91E9D4" w14:textId="77777777" w:rsidTr="009B4A8E">
        <w:tc>
          <w:tcPr>
            <w:cnfStyle w:val="001000000000" w:firstRow="0" w:lastRow="0" w:firstColumn="1" w:lastColumn="0" w:oddVBand="0" w:evenVBand="0" w:oddHBand="0" w:evenHBand="0" w:firstRowFirstColumn="0" w:firstRowLastColumn="0" w:lastRowFirstColumn="0" w:lastRowLastColumn="0"/>
            <w:tcW w:w="3941" w:type="dxa"/>
          </w:tcPr>
          <w:p w14:paraId="48B11547" w14:textId="77777777" w:rsidR="00A9000F" w:rsidRPr="00081620" w:rsidRDefault="00A9000F" w:rsidP="009B4A8E">
            <w:pPr>
              <w:keepNext/>
              <w:spacing w:before="60" w:after="60"/>
              <w:rPr>
                <w:rFonts w:cs="Calibri"/>
                <w:sz w:val="21"/>
                <w:szCs w:val="21"/>
              </w:rPr>
            </w:pPr>
            <w:r w:rsidRPr="00081620">
              <w:rPr>
                <w:rFonts w:cs="Calibri"/>
                <w:sz w:val="21"/>
                <w:szCs w:val="21"/>
              </w:rPr>
              <w:t>Professor Christobel Saunders</w:t>
            </w:r>
          </w:p>
        </w:tc>
        <w:tc>
          <w:tcPr>
            <w:tcW w:w="3941" w:type="dxa"/>
          </w:tcPr>
          <w:p w14:paraId="4C8A2A9F" w14:textId="77777777" w:rsidR="00A9000F" w:rsidRPr="00081620" w:rsidRDefault="00A9000F" w:rsidP="007D523C">
            <w:pPr>
              <w:keepNext/>
              <w:spacing w:before="60" w:after="60" w:line="259" w:lineRule="auto"/>
              <w:cnfStyle w:val="000000000000" w:firstRow="0" w:lastRow="0" w:firstColumn="0" w:lastColumn="0" w:oddVBand="0" w:evenVBand="0" w:oddHBand="0" w:evenHBand="0" w:firstRowFirstColumn="0" w:firstRowLastColumn="0" w:lastRowFirstColumn="0" w:lastRowLastColumn="0"/>
              <w:rPr>
                <w:rFonts w:cs="Calibri"/>
                <w:sz w:val="21"/>
                <w:szCs w:val="21"/>
              </w:rPr>
            </w:pPr>
            <w:r w:rsidRPr="00081620">
              <w:rPr>
                <w:rFonts w:cs="Calibri"/>
                <w:sz w:val="21"/>
                <w:szCs w:val="21"/>
              </w:rPr>
              <w:t>General Surgeon – Breast Cancer and Reconstructive Surgery</w:t>
            </w:r>
          </w:p>
        </w:tc>
      </w:tr>
      <w:tr w:rsidR="00A9000F" w:rsidRPr="00081620" w14:paraId="2933F9DE" w14:textId="77777777" w:rsidTr="009B4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57C46293" w14:textId="77777777" w:rsidR="00A9000F" w:rsidRPr="00081620" w:rsidRDefault="00A9000F" w:rsidP="009B4A8E">
            <w:pPr>
              <w:keepNext/>
              <w:spacing w:before="60" w:after="60"/>
              <w:rPr>
                <w:rFonts w:cs="Calibri"/>
                <w:sz w:val="21"/>
                <w:szCs w:val="21"/>
              </w:rPr>
            </w:pPr>
            <w:r w:rsidRPr="00081620">
              <w:rPr>
                <w:rFonts w:cs="Calibri"/>
                <w:sz w:val="21"/>
                <w:szCs w:val="21"/>
              </w:rPr>
              <w:t xml:space="preserve">Associate Professor Ken </w:t>
            </w:r>
            <w:proofErr w:type="spellStart"/>
            <w:r w:rsidRPr="00081620">
              <w:rPr>
                <w:rFonts w:cs="Calibri"/>
                <w:sz w:val="21"/>
                <w:szCs w:val="21"/>
              </w:rPr>
              <w:t>Sikaris</w:t>
            </w:r>
            <w:proofErr w:type="spellEnd"/>
          </w:p>
        </w:tc>
        <w:tc>
          <w:tcPr>
            <w:tcW w:w="3941" w:type="dxa"/>
          </w:tcPr>
          <w:p w14:paraId="24068549" w14:textId="77777777" w:rsidR="00A9000F" w:rsidRPr="00081620" w:rsidRDefault="00A9000F" w:rsidP="007D523C">
            <w:pPr>
              <w:keepNext/>
              <w:spacing w:before="60" w:after="60" w:line="259" w:lineRule="auto"/>
              <w:cnfStyle w:val="000000100000" w:firstRow="0" w:lastRow="0" w:firstColumn="0" w:lastColumn="0" w:oddVBand="0" w:evenVBand="0" w:oddHBand="1" w:evenHBand="0" w:firstRowFirstColumn="0" w:firstRowLastColumn="0" w:lastRowFirstColumn="0" w:lastRowLastColumn="0"/>
              <w:rPr>
                <w:rFonts w:cs="Calibri"/>
                <w:sz w:val="21"/>
                <w:szCs w:val="21"/>
              </w:rPr>
            </w:pPr>
            <w:r w:rsidRPr="00081620">
              <w:rPr>
                <w:rFonts w:cs="Calibri"/>
                <w:sz w:val="21"/>
                <w:szCs w:val="21"/>
              </w:rPr>
              <w:t>Pathology</w:t>
            </w:r>
          </w:p>
        </w:tc>
      </w:tr>
      <w:tr w:rsidR="00A9000F" w:rsidRPr="00081620" w14:paraId="742599C2" w14:textId="77777777" w:rsidTr="009B4A8E">
        <w:tc>
          <w:tcPr>
            <w:cnfStyle w:val="001000000000" w:firstRow="0" w:lastRow="0" w:firstColumn="1" w:lastColumn="0" w:oddVBand="0" w:evenVBand="0" w:oddHBand="0" w:evenHBand="0" w:firstRowFirstColumn="0" w:firstRowLastColumn="0" w:lastRowFirstColumn="0" w:lastRowLastColumn="0"/>
            <w:tcW w:w="3941" w:type="dxa"/>
          </w:tcPr>
          <w:p w14:paraId="4A0583E7" w14:textId="77777777" w:rsidR="00A9000F" w:rsidRPr="00081620" w:rsidRDefault="00A9000F" w:rsidP="009B4A8E">
            <w:pPr>
              <w:keepNext/>
              <w:spacing w:before="60" w:after="60"/>
              <w:rPr>
                <w:rFonts w:cs="Calibri"/>
                <w:sz w:val="21"/>
                <w:szCs w:val="21"/>
              </w:rPr>
            </w:pPr>
            <w:r w:rsidRPr="00081620">
              <w:rPr>
                <w:rFonts w:cs="Calibri"/>
                <w:sz w:val="21"/>
                <w:szCs w:val="21"/>
              </w:rPr>
              <w:t>Ms Robyn Stephen</w:t>
            </w:r>
          </w:p>
        </w:tc>
        <w:tc>
          <w:tcPr>
            <w:tcW w:w="3941" w:type="dxa"/>
          </w:tcPr>
          <w:p w14:paraId="50A20EFB" w14:textId="77777777" w:rsidR="00A9000F" w:rsidRPr="00081620" w:rsidRDefault="00A9000F" w:rsidP="007D523C">
            <w:pPr>
              <w:keepNext/>
              <w:spacing w:before="60" w:after="60" w:line="259" w:lineRule="auto"/>
              <w:cnfStyle w:val="000000000000" w:firstRow="0" w:lastRow="0" w:firstColumn="0" w:lastColumn="0" w:oddVBand="0" w:evenVBand="0" w:oddHBand="0" w:evenHBand="0" w:firstRowFirstColumn="0" w:firstRowLastColumn="0" w:lastRowFirstColumn="0" w:lastRowLastColumn="0"/>
              <w:rPr>
                <w:rFonts w:cs="Calibri"/>
                <w:sz w:val="21"/>
                <w:szCs w:val="21"/>
              </w:rPr>
            </w:pPr>
            <w:r w:rsidRPr="00081620">
              <w:rPr>
                <w:rFonts w:cs="Calibri"/>
                <w:sz w:val="21"/>
                <w:szCs w:val="21"/>
              </w:rPr>
              <w:t>Paediatric Speech Pathology</w:t>
            </w:r>
          </w:p>
        </w:tc>
      </w:tr>
      <w:tr w:rsidR="00A9000F" w:rsidRPr="00081620" w14:paraId="25B4EF31" w14:textId="77777777" w:rsidTr="009B4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1" w:type="dxa"/>
          </w:tcPr>
          <w:p w14:paraId="61889ADD" w14:textId="77777777" w:rsidR="00A9000F" w:rsidRPr="00081620" w:rsidRDefault="00A9000F" w:rsidP="009B4A8E">
            <w:pPr>
              <w:keepNext/>
              <w:spacing w:before="60" w:after="60"/>
              <w:rPr>
                <w:rFonts w:cs="Calibri"/>
                <w:sz w:val="21"/>
                <w:szCs w:val="21"/>
              </w:rPr>
            </w:pPr>
            <w:r w:rsidRPr="00081620">
              <w:rPr>
                <w:rFonts w:cs="Calibri"/>
                <w:sz w:val="21"/>
                <w:szCs w:val="21"/>
              </w:rPr>
              <w:t>Associate Professor Angus Turner</w:t>
            </w:r>
          </w:p>
        </w:tc>
        <w:tc>
          <w:tcPr>
            <w:tcW w:w="3941" w:type="dxa"/>
          </w:tcPr>
          <w:p w14:paraId="50AA05FF" w14:textId="77777777" w:rsidR="00A9000F" w:rsidRPr="00081620" w:rsidRDefault="00A9000F" w:rsidP="007D523C">
            <w:pPr>
              <w:keepNext/>
              <w:spacing w:before="60" w:after="60" w:line="259" w:lineRule="auto"/>
              <w:cnfStyle w:val="000000100000" w:firstRow="0" w:lastRow="0" w:firstColumn="0" w:lastColumn="0" w:oddVBand="0" w:evenVBand="0" w:oddHBand="1" w:evenHBand="0" w:firstRowFirstColumn="0" w:firstRowLastColumn="0" w:lastRowFirstColumn="0" w:lastRowLastColumn="0"/>
              <w:rPr>
                <w:rFonts w:cs="Calibri"/>
                <w:sz w:val="21"/>
                <w:szCs w:val="21"/>
              </w:rPr>
            </w:pPr>
            <w:r w:rsidRPr="00081620">
              <w:rPr>
                <w:rFonts w:cs="Calibri"/>
                <w:sz w:val="21"/>
                <w:szCs w:val="21"/>
              </w:rPr>
              <w:t>Ophthalmology / Rural and Remote Medicine</w:t>
            </w:r>
          </w:p>
        </w:tc>
      </w:tr>
      <w:tr w:rsidR="00A9000F" w:rsidRPr="00081620" w14:paraId="4DF84817" w14:textId="77777777" w:rsidTr="009B4A8E">
        <w:tc>
          <w:tcPr>
            <w:cnfStyle w:val="001000000000" w:firstRow="0" w:lastRow="0" w:firstColumn="1" w:lastColumn="0" w:oddVBand="0" w:evenVBand="0" w:oddHBand="0" w:evenHBand="0" w:firstRowFirstColumn="0" w:firstRowLastColumn="0" w:lastRowFirstColumn="0" w:lastRowLastColumn="0"/>
            <w:tcW w:w="3941" w:type="dxa"/>
          </w:tcPr>
          <w:p w14:paraId="2948DF54" w14:textId="77777777" w:rsidR="00A9000F" w:rsidRPr="00081620" w:rsidRDefault="00A9000F" w:rsidP="009B4A8E">
            <w:pPr>
              <w:keepNext/>
              <w:spacing w:before="60" w:after="60"/>
              <w:rPr>
                <w:rFonts w:cs="Calibri"/>
                <w:sz w:val="21"/>
                <w:szCs w:val="21"/>
              </w:rPr>
            </w:pPr>
            <w:r w:rsidRPr="00081620">
              <w:rPr>
                <w:rFonts w:cs="Calibri"/>
                <w:sz w:val="21"/>
                <w:szCs w:val="21"/>
              </w:rPr>
              <w:t xml:space="preserve">Professor </w:t>
            </w:r>
            <w:r w:rsidRPr="00081620">
              <w:rPr>
                <w:rFonts w:cs="Calibri"/>
                <w:sz w:val="21"/>
                <w:szCs w:val="21"/>
                <w:lang w:eastAsia="en-AU"/>
              </w:rPr>
              <w:t>Christopher</w:t>
            </w:r>
            <w:r w:rsidRPr="00081620">
              <w:rPr>
                <w:rFonts w:cs="Calibri"/>
                <w:sz w:val="21"/>
                <w:szCs w:val="21"/>
              </w:rPr>
              <w:t xml:space="preserve"> </w:t>
            </w:r>
            <w:proofErr w:type="spellStart"/>
            <w:r w:rsidRPr="00081620">
              <w:rPr>
                <w:rFonts w:cs="Calibri"/>
                <w:sz w:val="21"/>
                <w:szCs w:val="21"/>
              </w:rPr>
              <w:t>Vertullo</w:t>
            </w:r>
            <w:proofErr w:type="spellEnd"/>
          </w:p>
        </w:tc>
        <w:tc>
          <w:tcPr>
            <w:tcW w:w="3941" w:type="dxa"/>
          </w:tcPr>
          <w:p w14:paraId="6BAC59A7" w14:textId="77777777" w:rsidR="00A9000F" w:rsidRPr="00081620" w:rsidRDefault="00A9000F" w:rsidP="007D523C">
            <w:pPr>
              <w:keepNext/>
              <w:spacing w:before="60" w:after="60" w:line="259" w:lineRule="auto"/>
              <w:cnfStyle w:val="000000000000" w:firstRow="0" w:lastRow="0" w:firstColumn="0" w:lastColumn="0" w:oddVBand="0" w:evenVBand="0" w:oddHBand="0" w:evenHBand="0" w:firstRowFirstColumn="0" w:firstRowLastColumn="0" w:lastRowFirstColumn="0" w:lastRowLastColumn="0"/>
              <w:rPr>
                <w:rFonts w:cs="Calibri"/>
                <w:sz w:val="21"/>
                <w:szCs w:val="21"/>
              </w:rPr>
            </w:pPr>
            <w:r w:rsidRPr="00081620">
              <w:rPr>
                <w:rFonts w:cs="Calibri"/>
                <w:sz w:val="21"/>
                <w:szCs w:val="21"/>
              </w:rPr>
              <w:t>Orthopaedic Surgery</w:t>
            </w:r>
          </w:p>
        </w:tc>
      </w:tr>
    </w:tbl>
    <w:p w14:paraId="269F3B04" w14:textId="73606E54" w:rsidR="00641C75" w:rsidRPr="003D1ADD" w:rsidRDefault="00641C75" w:rsidP="00CF683B">
      <w:pPr>
        <w:pStyle w:val="Heading2"/>
        <w:rPr>
          <w:rFonts w:asciiTheme="minorHAnsi" w:hAnsiTheme="minorHAnsi" w:cstheme="minorHAnsi"/>
          <w:color w:val="E36C0A" w:themeColor="accent6" w:themeShade="BF"/>
        </w:rPr>
      </w:pPr>
      <w:bookmarkStart w:id="27" w:name="_Toc117856154"/>
      <w:bookmarkStart w:id="28" w:name="_Toc132209198"/>
      <w:bookmarkStart w:id="29" w:name="_Toc132627469"/>
      <w:bookmarkEnd w:id="26"/>
      <w:r w:rsidRPr="003D1ADD">
        <w:rPr>
          <w:rFonts w:asciiTheme="minorHAnsi" w:hAnsiTheme="minorHAnsi" w:cstheme="minorHAnsi"/>
          <w:color w:val="E36C0A" w:themeColor="accent6" w:themeShade="BF"/>
        </w:rPr>
        <w:t>MBS Continuous Review Guiding Principles</w:t>
      </w:r>
      <w:bookmarkStart w:id="30" w:name="_Hlk106181993"/>
      <w:bookmarkEnd w:id="27"/>
      <w:bookmarkEnd w:id="28"/>
      <w:bookmarkEnd w:id="29"/>
    </w:p>
    <w:p w14:paraId="45A7C66B" w14:textId="77777777" w:rsidR="00641C75" w:rsidRPr="00521D11" w:rsidRDefault="00641C75" w:rsidP="00843ABA">
      <w:pPr>
        <w:pStyle w:val="NormalBeforeBullet"/>
        <w:rPr>
          <w:rFonts w:asciiTheme="minorHAnsi" w:hAnsiTheme="minorHAnsi" w:cstheme="minorHAnsi"/>
        </w:rPr>
      </w:pPr>
      <w:bookmarkStart w:id="31" w:name="_Hlk119931348"/>
      <w:bookmarkEnd w:id="30"/>
      <w:r w:rsidRPr="00521D11">
        <w:rPr>
          <w:rFonts w:asciiTheme="minorHAnsi" w:hAnsiTheme="minorHAnsi" w:cstheme="minorHAnsi"/>
        </w:rPr>
        <w:t>The following principles guide the deliberations and recommendations of the MBS Continuous Review:</w:t>
      </w:r>
    </w:p>
    <w:p w14:paraId="5073D907" w14:textId="77777777" w:rsidR="00641C75" w:rsidRPr="00521D11" w:rsidRDefault="00641C75" w:rsidP="000F37DF">
      <w:pPr>
        <w:numPr>
          <w:ilvl w:val="0"/>
          <w:numId w:val="13"/>
        </w:numPr>
        <w:spacing w:after="120"/>
        <w:rPr>
          <w:rFonts w:asciiTheme="minorHAnsi" w:hAnsiTheme="minorHAnsi" w:cstheme="minorHAnsi"/>
        </w:rPr>
      </w:pPr>
      <w:r w:rsidRPr="00521D11">
        <w:rPr>
          <w:rFonts w:asciiTheme="minorHAnsi" w:hAnsiTheme="minorHAnsi" w:cstheme="minorHAnsi"/>
        </w:rPr>
        <w:t>The MBS:</w:t>
      </w:r>
    </w:p>
    <w:p w14:paraId="0759B970" w14:textId="0828D066" w:rsidR="00641C75" w:rsidRPr="00521D11" w:rsidRDefault="00A9000F" w:rsidP="00CF683B">
      <w:pPr>
        <w:pStyle w:val="BulletBeforeDash"/>
        <w:rPr>
          <w:rFonts w:asciiTheme="minorHAnsi" w:hAnsiTheme="minorHAnsi" w:cstheme="minorHAnsi"/>
        </w:rPr>
      </w:pPr>
      <w:r>
        <w:rPr>
          <w:rFonts w:asciiTheme="minorHAnsi" w:hAnsiTheme="minorHAnsi" w:cstheme="minorHAnsi"/>
        </w:rPr>
        <w:t>i</w:t>
      </w:r>
      <w:r w:rsidR="00641C75" w:rsidRPr="00521D11">
        <w:rPr>
          <w:rFonts w:asciiTheme="minorHAnsi" w:hAnsiTheme="minorHAnsi" w:cstheme="minorHAnsi"/>
        </w:rPr>
        <w:t>s structured to support coordinated care through the health system by:</w:t>
      </w:r>
    </w:p>
    <w:p w14:paraId="182BB3A3" w14:textId="77777777" w:rsidR="00641C75" w:rsidRPr="00521D11" w:rsidRDefault="00641C75" w:rsidP="00CF683B">
      <w:pPr>
        <w:pStyle w:val="Dash"/>
        <w:rPr>
          <w:rFonts w:asciiTheme="minorHAnsi" w:hAnsiTheme="minorHAnsi" w:cstheme="minorHAnsi"/>
        </w:rPr>
      </w:pPr>
      <w:r w:rsidRPr="00521D11">
        <w:rPr>
          <w:rFonts w:asciiTheme="minorHAnsi" w:hAnsiTheme="minorHAnsi" w:cstheme="minorHAnsi"/>
        </w:rPr>
        <w:t>recognising the central role of General Practice in coordinating care; and</w:t>
      </w:r>
    </w:p>
    <w:p w14:paraId="5F9745A9" w14:textId="77777777" w:rsidR="00641C75" w:rsidRPr="00521D11" w:rsidRDefault="00641C75" w:rsidP="00CF683B">
      <w:pPr>
        <w:pStyle w:val="DashLast"/>
        <w:rPr>
          <w:rFonts w:asciiTheme="minorHAnsi" w:hAnsiTheme="minorHAnsi" w:cstheme="minorHAnsi"/>
        </w:rPr>
      </w:pPr>
      <w:r w:rsidRPr="00521D11">
        <w:rPr>
          <w:rFonts w:asciiTheme="minorHAnsi" w:hAnsiTheme="minorHAnsi" w:cstheme="minorHAnsi"/>
        </w:rPr>
        <w:t>facilitating communication through General Practice to enable holistic coordinated care.</w:t>
      </w:r>
    </w:p>
    <w:p w14:paraId="49584F3E" w14:textId="536944EF" w:rsidR="00641C75" w:rsidRPr="00521D11" w:rsidRDefault="00A9000F" w:rsidP="00CF683B">
      <w:pPr>
        <w:pStyle w:val="BulletBeforeDash"/>
        <w:rPr>
          <w:rFonts w:asciiTheme="minorHAnsi" w:hAnsiTheme="minorHAnsi" w:cstheme="minorHAnsi"/>
        </w:rPr>
      </w:pPr>
      <w:r>
        <w:rPr>
          <w:rFonts w:asciiTheme="minorHAnsi" w:hAnsiTheme="minorHAnsi" w:cstheme="minorHAnsi"/>
        </w:rPr>
        <w:t>i</w:t>
      </w:r>
      <w:r w:rsidR="00641C75" w:rsidRPr="00521D11">
        <w:rPr>
          <w:rFonts w:asciiTheme="minorHAnsi" w:hAnsiTheme="minorHAnsi" w:cstheme="minorHAnsi"/>
        </w:rPr>
        <w:t>s designed to provide sustainable, high value, evidence-based and appropriate care to the Australian community.</w:t>
      </w:r>
    </w:p>
    <w:p w14:paraId="5BE4D81C" w14:textId="77777777" w:rsidR="00641C75" w:rsidRPr="00521D11" w:rsidRDefault="00641C75" w:rsidP="00CF683B">
      <w:pPr>
        <w:pStyle w:val="DashLast"/>
        <w:rPr>
          <w:rFonts w:asciiTheme="minorHAnsi" w:hAnsiTheme="minorHAnsi" w:cstheme="minorHAnsi"/>
        </w:rPr>
      </w:pPr>
      <w:r w:rsidRPr="00521D11">
        <w:rPr>
          <w:rFonts w:asciiTheme="minorHAnsi" w:hAnsiTheme="minorHAnsi" w:cstheme="minorHAnsi"/>
        </w:rPr>
        <w:lastRenderedPageBreak/>
        <w:t>Item descriptors and explanatory notes are designed to ensure clarity, consistency, and appropriate use by health professionals.</w:t>
      </w:r>
    </w:p>
    <w:p w14:paraId="75439B29" w14:textId="15FB848F" w:rsidR="00641C75" w:rsidRPr="00521D11" w:rsidRDefault="00A9000F" w:rsidP="00CF683B">
      <w:pPr>
        <w:pStyle w:val="Bullet"/>
        <w:rPr>
          <w:rFonts w:asciiTheme="minorHAnsi" w:hAnsiTheme="minorHAnsi" w:cstheme="minorHAnsi"/>
        </w:rPr>
      </w:pPr>
      <w:r>
        <w:rPr>
          <w:rFonts w:asciiTheme="minorHAnsi" w:hAnsiTheme="minorHAnsi" w:cstheme="minorHAnsi"/>
        </w:rPr>
        <w:t>p</w:t>
      </w:r>
      <w:r w:rsidR="00641C75" w:rsidRPr="00521D11">
        <w:rPr>
          <w:rFonts w:asciiTheme="minorHAnsi" w:hAnsiTheme="minorHAnsi" w:cstheme="minorHAnsi"/>
        </w:rPr>
        <w:t>romotes equity according to patient need.</w:t>
      </w:r>
    </w:p>
    <w:p w14:paraId="3DA470CD" w14:textId="7AA4B6BC" w:rsidR="00641C75" w:rsidRPr="00521D11" w:rsidRDefault="00A9000F" w:rsidP="00CF683B">
      <w:pPr>
        <w:pStyle w:val="Bullet"/>
        <w:rPr>
          <w:rFonts w:asciiTheme="minorHAnsi" w:hAnsiTheme="minorHAnsi" w:cstheme="minorHAnsi"/>
        </w:rPr>
      </w:pPr>
      <w:r>
        <w:rPr>
          <w:rFonts w:asciiTheme="minorHAnsi" w:hAnsiTheme="minorHAnsi" w:cstheme="minorHAnsi"/>
        </w:rPr>
        <w:t>e</w:t>
      </w:r>
      <w:r w:rsidR="00641C75" w:rsidRPr="00521D11">
        <w:rPr>
          <w:rFonts w:asciiTheme="minorHAnsi" w:hAnsiTheme="minorHAnsi" w:cstheme="minorHAnsi"/>
        </w:rPr>
        <w:t>nsures accountability to the patient and to the Australian community (taxpayer).</w:t>
      </w:r>
    </w:p>
    <w:p w14:paraId="68883A84" w14:textId="446DAC56" w:rsidR="00641C75" w:rsidRPr="00521D11" w:rsidRDefault="00A9000F" w:rsidP="00CF683B">
      <w:pPr>
        <w:pStyle w:val="Bullet"/>
        <w:rPr>
          <w:rFonts w:asciiTheme="minorHAnsi" w:hAnsiTheme="minorHAnsi" w:cstheme="minorHAnsi"/>
        </w:rPr>
      </w:pPr>
      <w:r>
        <w:rPr>
          <w:rFonts w:asciiTheme="minorHAnsi" w:hAnsiTheme="minorHAnsi" w:cstheme="minorHAnsi"/>
        </w:rPr>
        <w:t>i</w:t>
      </w:r>
      <w:r w:rsidR="00641C75" w:rsidRPr="00521D11">
        <w:rPr>
          <w:rFonts w:asciiTheme="minorHAnsi" w:hAnsiTheme="minorHAnsi" w:cstheme="minorHAnsi"/>
        </w:rPr>
        <w:t>s continuously evaluated and revised to provide high value health care to the Australian community.</w:t>
      </w:r>
    </w:p>
    <w:p w14:paraId="3EDAA90F" w14:textId="77777777" w:rsidR="00641C75" w:rsidRPr="00521D11" w:rsidRDefault="00641C75" w:rsidP="000F37DF">
      <w:pPr>
        <w:numPr>
          <w:ilvl w:val="0"/>
          <w:numId w:val="13"/>
        </w:numPr>
        <w:spacing w:after="120"/>
        <w:ind w:hanging="357"/>
        <w:rPr>
          <w:rFonts w:asciiTheme="minorHAnsi" w:hAnsiTheme="minorHAnsi" w:cstheme="minorHAnsi"/>
        </w:rPr>
      </w:pPr>
      <w:r w:rsidRPr="00521D11">
        <w:rPr>
          <w:rFonts w:asciiTheme="minorHAnsi" w:hAnsiTheme="minorHAnsi" w:cstheme="minorHAnsi"/>
        </w:rPr>
        <w:t>Service providers of the MBS:</w:t>
      </w:r>
    </w:p>
    <w:p w14:paraId="65947213" w14:textId="7A55FCA2" w:rsidR="00641C75" w:rsidRPr="00521D11" w:rsidRDefault="00A9000F" w:rsidP="00CF683B">
      <w:pPr>
        <w:pStyle w:val="Bullet"/>
        <w:rPr>
          <w:rFonts w:asciiTheme="minorHAnsi" w:hAnsiTheme="minorHAnsi" w:cstheme="minorHAnsi"/>
        </w:rPr>
      </w:pPr>
      <w:r>
        <w:rPr>
          <w:rFonts w:asciiTheme="minorHAnsi" w:hAnsiTheme="minorHAnsi" w:cstheme="minorHAnsi"/>
        </w:rPr>
        <w:t>u</w:t>
      </w:r>
      <w:r w:rsidR="00641C75" w:rsidRPr="00521D11">
        <w:rPr>
          <w:rFonts w:asciiTheme="minorHAnsi" w:hAnsiTheme="minorHAnsi" w:cstheme="minorHAnsi"/>
        </w:rPr>
        <w:t>nderstand the purpose and requirements of the MBS.</w:t>
      </w:r>
    </w:p>
    <w:p w14:paraId="0AE923A3" w14:textId="0E2E00C4" w:rsidR="00641C75" w:rsidRPr="00521D11" w:rsidRDefault="00A9000F" w:rsidP="00CF683B">
      <w:pPr>
        <w:pStyle w:val="Bullet"/>
        <w:rPr>
          <w:rFonts w:asciiTheme="minorHAnsi" w:hAnsiTheme="minorHAnsi" w:cstheme="minorHAnsi"/>
        </w:rPr>
      </w:pPr>
      <w:r>
        <w:rPr>
          <w:rFonts w:asciiTheme="minorHAnsi" w:hAnsiTheme="minorHAnsi" w:cstheme="minorHAnsi"/>
        </w:rPr>
        <w:t>u</w:t>
      </w:r>
      <w:r w:rsidR="00641C75" w:rsidRPr="00521D11">
        <w:rPr>
          <w:rFonts w:asciiTheme="minorHAnsi" w:hAnsiTheme="minorHAnsi" w:cstheme="minorHAnsi"/>
        </w:rPr>
        <w:t>tilise the MBS for evidence-based car</w:t>
      </w:r>
      <w:r w:rsidR="008E012B" w:rsidRPr="00521D11">
        <w:rPr>
          <w:rFonts w:asciiTheme="minorHAnsi" w:hAnsiTheme="minorHAnsi" w:cstheme="minorHAnsi"/>
        </w:rPr>
        <w:t>e.</w:t>
      </w:r>
    </w:p>
    <w:p w14:paraId="2D08EACC" w14:textId="502B0F87" w:rsidR="00641C75" w:rsidRPr="00521D11" w:rsidRDefault="00A9000F" w:rsidP="00CF683B">
      <w:pPr>
        <w:pStyle w:val="Bullet"/>
        <w:rPr>
          <w:rFonts w:asciiTheme="minorHAnsi" w:hAnsiTheme="minorHAnsi" w:cstheme="minorHAnsi"/>
        </w:rPr>
      </w:pPr>
      <w:r>
        <w:rPr>
          <w:rFonts w:asciiTheme="minorHAnsi" w:hAnsiTheme="minorHAnsi" w:cstheme="minorHAnsi"/>
        </w:rPr>
        <w:t>e</w:t>
      </w:r>
      <w:r w:rsidR="00641C75" w:rsidRPr="00521D11">
        <w:rPr>
          <w:rFonts w:asciiTheme="minorHAnsi" w:hAnsiTheme="minorHAnsi" w:cstheme="minorHAnsi"/>
        </w:rPr>
        <w:t>nsure patients are informed of the benefits, risks, and harms of services and are engaged through shared decision making.</w:t>
      </w:r>
    </w:p>
    <w:p w14:paraId="4A2471FF" w14:textId="4F11F7FC" w:rsidR="00641C75" w:rsidRPr="00521D11" w:rsidRDefault="00A9000F" w:rsidP="00CF683B">
      <w:pPr>
        <w:pStyle w:val="Bullet"/>
        <w:rPr>
          <w:rFonts w:asciiTheme="minorHAnsi" w:hAnsiTheme="minorHAnsi" w:cstheme="minorHAnsi"/>
        </w:rPr>
      </w:pPr>
      <w:r>
        <w:rPr>
          <w:rFonts w:asciiTheme="minorHAnsi" w:hAnsiTheme="minorHAnsi" w:cstheme="minorHAnsi"/>
        </w:rPr>
        <w:t>u</w:t>
      </w:r>
      <w:r w:rsidR="00641C75" w:rsidRPr="00521D11">
        <w:rPr>
          <w:rFonts w:asciiTheme="minorHAnsi" w:hAnsiTheme="minorHAnsi" w:cstheme="minorHAnsi"/>
        </w:rPr>
        <w:t>tilise decision support tools, Patient Reported Outcome and Experience Measures where available and appropriate.</w:t>
      </w:r>
    </w:p>
    <w:p w14:paraId="7BC29DC2" w14:textId="21C9B98F" w:rsidR="00641C75" w:rsidRPr="00521D11" w:rsidRDefault="00A9000F" w:rsidP="007C1A0A">
      <w:pPr>
        <w:pStyle w:val="NormalBeforeBullet"/>
        <w:numPr>
          <w:ilvl w:val="0"/>
          <w:numId w:val="13"/>
        </w:numPr>
        <w:rPr>
          <w:rFonts w:asciiTheme="minorHAnsi" w:hAnsiTheme="minorHAnsi" w:cstheme="minorHAnsi"/>
        </w:rPr>
      </w:pPr>
      <w:r>
        <w:rPr>
          <w:rFonts w:asciiTheme="minorHAnsi" w:hAnsiTheme="minorHAnsi" w:cstheme="minorHAnsi"/>
        </w:rPr>
        <w:t>c</w:t>
      </w:r>
      <w:r w:rsidR="00641C75" w:rsidRPr="00521D11">
        <w:rPr>
          <w:rFonts w:asciiTheme="minorHAnsi" w:hAnsiTheme="minorHAnsi" w:cstheme="minorHAnsi"/>
        </w:rPr>
        <w:t>onsumers of the MBS:</w:t>
      </w:r>
    </w:p>
    <w:p w14:paraId="742B245E" w14:textId="08C9E6F0" w:rsidR="00641C75" w:rsidRPr="00521D11" w:rsidRDefault="00A9000F" w:rsidP="00CF683B">
      <w:pPr>
        <w:pStyle w:val="Bullet"/>
        <w:rPr>
          <w:rFonts w:asciiTheme="minorHAnsi" w:hAnsiTheme="minorHAnsi" w:cstheme="minorHAnsi"/>
        </w:rPr>
      </w:pPr>
      <w:r>
        <w:rPr>
          <w:rFonts w:asciiTheme="minorHAnsi" w:hAnsiTheme="minorHAnsi" w:cstheme="minorHAnsi"/>
        </w:rPr>
        <w:t>a</w:t>
      </w:r>
      <w:r w:rsidR="00641C75" w:rsidRPr="00521D11">
        <w:rPr>
          <w:rFonts w:asciiTheme="minorHAnsi" w:hAnsiTheme="minorHAnsi" w:cstheme="minorHAnsi"/>
        </w:rPr>
        <w:t>re encouraged to become partners in their own care to the extent they choose.</w:t>
      </w:r>
    </w:p>
    <w:p w14:paraId="35A06C78" w14:textId="459A1576" w:rsidR="004C2A47" w:rsidRPr="00521D11" w:rsidRDefault="00A9000F" w:rsidP="00CF683B">
      <w:pPr>
        <w:pStyle w:val="BulletLast"/>
        <w:rPr>
          <w:rFonts w:asciiTheme="minorHAnsi" w:hAnsiTheme="minorHAnsi" w:cstheme="minorHAnsi"/>
        </w:rPr>
      </w:pPr>
      <w:r>
        <w:rPr>
          <w:rFonts w:asciiTheme="minorHAnsi" w:hAnsiTheme="minorHAnsi" w:cstheme="minorHAnsi"/>
        </w:rPr>
        <w:t>a</w:t>
      </w:r>
      <w:r w:rsidR="00641C75" w:rsidRPr="00521D11">
        <w:rPr>
          <w:rFonts w:asciiTheme="minorHAnsi" w:hAnsiTheme="minorHAnsi" w:cstheme="minorHAnsi"/>
        </w:rPr>
        <w:t>re encouraged to participate in MBS reviews so patient health care needs can be prioritised in design and implementation of MBS items.</w:t>
      </w:r>
    </w:p>
    <w:p w14:paraId="0F55CC2C" w14:textId="0882EB9B" w:rsidR="006234F5" w:rsidRPr="00521D11" w:rsidRDefault="006C770F" w:rsidP="006234F5">
      <w:pPr>
        <w:spacing w:after="120"/>
        <w:rPr>
          <w:rFonts w:asciiTheme="minorHAnsi" w:hAnsiTheme="minorHAnsi" w:cstheme="minorHAnsi"/>
          <w:color w:val="auto"/>
        </w:rPr>
      </w:pPr>
      <w:bookmarkStart w:id="32" w:name="_Hlk119931145"/>
      <w:bookmarkEnd w:id="31"/>
      <w:r>
        <w:rPr>
          <w:rFonts w:asciiTheme="minorHAnsi" w:hAnsiTheme="minorHAnsi" w:cstheme="minorHAnsi"/>
        </w:rPr>
        <w:t xml:space="preserve">The </w:t>
      </w:r>
      <w:r w:rsidR="005F0A3F" w:rsidRPr="00521D11">
        <w:rPr>
          <w:rFonts w:asciiTheme="minorHAnsi" w:hAnsiTheme="minorHAnsi" w:cstheme="minorHAnsi"/>
        </w:rPr>
        <w:t>MRAC and its working group</w:t>
      </w:r>
      <w:r w:rsidR="00F92FFC" w:rsidRPr="00521D11">
        <w:rPr>
          <w:rFonts w:asciiTheme="minorHAnsi" w:hAnsiTheme="minorHAnsi" w:cstheme="minorHAnsi"/>
        </w:rPr>
        <w:t>s</w:t>
      </w:r>
      <w:r w:rsidR="005F0A3F" w:rsidRPr="00521D11">
        <w:rPr>
          <w:rFonts w:asciiTheme="minorHAnsi" w:hAnsiTheme="minorHAnsi" w:cstheme="minorHAnsi"/>
        </w:rPr>
        <w:t xml:space="preserve"> </w:t>
      </w:r>
      <w:r w:rsidR="006234F5" w:rsidRPr="00521D11">
        <w:rPr>
          <w:rFonts w:asciiTheme="minorHAnsi" w:hAnsiTheme="minorHAnsi" w:cstheme="minorHAnsi"/>
        </w:rPr>
        <w:t xml:space="preserve">recognise that General Practice is a </w:t>
      </w:r>
      <w:proofErr w:type="gramStart"/>
      <w:r w:rsidR="006234F5" w:rsidRPr="00521D11">
        <w:rPr>
          <w:rFonts w:asciiTheme="minorHAnsi" w:hAnsiTheme="minorHAnsi" w:cstheme="minorHAnsi"/>
        </w:rPr>
        <w:t>specialty in its own right</w:t>
      </w:r>
      <w:proofErr w:type="gramEnd"/>
      <w:r w:rsidR="006234F5" w:rsidRPr="00521D11">
        <w:rPr>
          <w:rFonts w:asciiTheme="minorHAnsi" w:hAnsiTheme="minorHAnsi" w:cstheme="minorHAnsi"/>
        </w:rPr>
        <w:t xml:space="preserve">. Usage of the term </w:t>
      </w:r>
      <w:r w:rsidR="00E327A9" w:rsidRPr="00521D11">
        <w:rPr>
          <w:rFonts w:asciiTheme="minorHAnsi" w:hAnsiTheme="minorHAnsi" w:cstheme="minorHAnsi"/>
        </w:rPr>
        <w:t>‘</w:t>
      </w:r>
      <w:r w:rsidR="006234F5" w:rsidRPr="00521D11">
        <w:rPr>
          <w:rFonts w:asciiTheme="minorHAnsi" w:hAnsiTheme="minorHAnsi" w:cstheme="minorHAnsi"/>
        </w:rPr>
        <w:t>General Practice</w:t>
      </w:r>
      <w:r w:rsidR="00E327A9" w:rsidRPr="00521D11">
        <w:rPr>
          <w:rFonts w:asciiTheme="minorHAnsi" w:hAnsiTheme="minorHAnsi" w:cstheme="minorHAnsi"/>
        </w:rPr>
        <w:t>’</w:t>
      </w:r>
      <w:r w:rsidR="006234F5" w:rsidRPr="00521D11">
        <w:rPr>
          <w:rFonts w:asciiTheme="minorHAnsi" w:hAnsiTheme="minorHAnsi" w:cstheme="minorHAnsi"/>
        </w:rPr>
        <w:t xml:space="preserve"> both within this report and in the </w:t>
      </w:r>
      <w:proofErr w:type="gramStart"/>
      <w:r w:rsidR="006234F5" w:rsidRPr="00521D11">
        <w:rPr>
          <w:rFonts w:asciiTheme="minorHAnsi" w:hAnsiTheme="minorHAnsi" w:cstheme="minorHAnsi"/>
        </w:rPr>
        <w:t>MBS</w:t>
      </w:r>
      <w:proofErr w:type="gramEnd"/>
      <w:r w:rsidR="006234F5" w:rsidRPr="00521D11">
        <w:rPr>
          <w:rFonts w:asciiTheme="minorHAnsi" w:hAnsiTheme="minorHAnsi" w:cstheme="minorHAnsi"/>
        </w:rPr>
        <w:t xml:space="preserve"> itself does not imply that it is not a specialty.</w:t>
      </w:r>
    </w:p>
    <w:p w14:paraId="6CF67F2B" w14:textId="77777777" w:rsidR="00A9000F" w:rsidRPr="00641C75" w:rsidRDefault="00A9000F" w:rsidP="00A9000F">
      <w:pPr>
        <w:spacing w:after="120"/>
      </w:pPr>
      <w:bookmarkStart w:id="33" w:name="_Toc117856155"/>
      <w:bookmarkEnd w:id="32"/>
      <w:r>
        <w:t>The MRAC</w:t>
      </w:r>
      <w:r w:rsidRPr="004C2A47">
        <w:t xml:space="preserve"> note</w:t>
      </w:r>
      <w:r>
        <w:t>s</w:t>
      </w:r>
      <w:r w:rsidRPr="004C2A47">
        <w:t xml:space="preserve"> that the MBS </w:t>
      </w:r>
      <w:r>
        <w:t>i</w:t>
      </w:r>
      <w:r w:rsidRPr="004C2A47">
        <w:t>s one of several available approaches to fund</w:t>
      </w:r>
      <w:r>
        <w:t>ing health</w:t>
      </w:r>
      <w:r w:rsidRPr="004C2A47">
        <w:t xml:space="preserve"> services</w:t>
      </w:r>
      <w:r>
        <w:t>. The MRAC and its working groups apply a whole-of-healthcare-system approach to its reviews.</w:t>
      </w:r>
    </w:p>
    <w:p w14:paraId="2DEC5748" w14:textId="1519E77B" w:rsidR="00641C75" w:rsidRPr="003D1ADD" w:rsidRDefault="00641C75" w:rsidP="00CF683B">
      <w:pPr>
        <w:pStyle w:val="Heading2"/>
        <w:rPr>
          <w:rFonts w:asciiTheme="minorHAnsi" w:hAnsiTheme="minorHAnsi" w:cstheme="minorHAnsi"/>
          <w:color w:val="E36C0A" w:themeColor="accent6" w:themeShade="BF"/>
        </w:rPr>
      </w:pPr>
      <w:bookmarkStart w:id="34" w:name="_Toc132209199"/>
      <w:bookmarkStart w:id="35" w:name="_Toc132627470"/>
      <w:r w:rsidRPr="003D1ADD">
        <w:rPr>
          <w:rFonts w:asciiTheme="minorHAnsi" w:hAnsiTheme="minorHAnsi" w:cstheme="minorHAnsi"/>
          <w:color w:val="E36C0A" w:themeColor="accent6" w:themeShade="BF"/>
        </w:rPr>
        <w:t>Government consideration</w:t>
      </w:r>
      <w:bookmarkEnd w:id="33"/>
      <w:bookmarkEnd w:id="34"/>
      <w:bookmarkEnd w:id="35"/>
    </w:p>
    <w:p w14:paraId="5EDD3AA6" w14:textId="650D4386" w:rsidR="00641C75" w:rsidRPr="00521D11" w:rsidRDefault="00641C75" w:rsidP="005222C6">
      <w:pPr>
        <w:pStyle w:val="NormalBeforeBullet"/>
        <w:rPr>
          <w:rFonts w:asciiTheme="minorHAnsi" w:hAnsiTheme="minorHAnsi" w:cstheme="minorHAnsi"/>
        </w:rPr>
      </w:pPr>
      <w:r w:rsidRPr="00521D11">
        <w:rPr>
          <w:rFonts w:asciiTheme="minorHAnsi" w:hAnsiTheme="minorHAnsi" w:cstheme="minorHAnsi"/>
        </w:rPr>
        <w:t xml:space="preserve">If the Australian Government agrees to the implementation of recommendations, </w:t>
      </w:r>
      <w:r w:rsidR="007876B9" w:rsidRPr="00521D11">
        <w:rPr>
          <w:rFonts w:asciiTheme="minorHAnsi" w:hAnsiTheme="minorHAnsi" w:cstheme="minorHAnsi"/>
        </w:rPr>
        <w:t xml:space="preserve">this </w:t>
      </w:r>
      <w:r w:rsidRPr="00521D11">
        <w:rPr>
          <w:rFonts w:asciiTheme="minorHAnsi" w:hAnsiTheme="minorHAnsi" w:cstheme="minorHAnsi"/>
        </w:rPr>
        <w:t>will be communicated through Government</w:t>
      </w:r>
      <w:r w:rsidR="00717864" w:rsidRPr="00521D11">
        <w:rPr>
          <w:rFonts w:asciiTheme="minorHAnsi" w:hAnsiTheme="minorHAnsi" w:cstheme="minorHAnsi"/>
        </w:rPr>
        <w:t xml:space="preserve"> announcement</w:t>
      </w:r>
      <w:r w:rsidRPr="00521D11">
        <w:rPr>
          <w:rFonts w:asciiTheme="minorHAnsi" w:hAnsiTheme="minorHAnsi" w:cstheme="minorHAnsi"/>
        </w:rPr>
        <w:t>.</w:t>
      </w:r>
    </w:p>
    <w:p w14:paraId="285A486F" w14:textId="2B17FFDD" w:rsidR="00641C75" w:rsidRPr="00521D11" w:rsidRDefault="00641C75" w:rsidP="00641C75">
      <w:pPr>
        <w:rPr>
          <w:rFonts w:asciiTheme="minorHAnsi" w:hAnsiTheme="minorHAnsi" w:cstheme="minorHAnsi"/>
        </w:rPr>
      </w:pPr>
      <w:r w:rsidRPr="00521D11">
        <w:rPr>
          <w:rFonts w:asciiTheme="minorHAnsi" w:hAnsiTheme="minorHAnsi" w:cstheme="minorHAnsi"/>
        </w:rPr>
        <w:t xml:space="preserve">Information will also be made available on the Department of Health </w:t>
      </w:r>
      <w:r w:rsidR="00CD1605" w:rsidRPr="00521D11">
        <w:rPr>
          <w:rFonts w:asciiTheme="minorHAnsi" w:hAnsiTheme="minorHAnsi" w:cstheme="minorHAnsi"/>
        </w:rPr>
        <w:t xml:space="preserve">and Aged Care </w:t>
      </w:r>
      <w:r w:rsidRPr="00521D11">
        <w:rPr>
          <w:rFonts w:asciiTheme="minorHAnsi" w:hAnsiTheme="minorHAnsi" w:cstheme="minorHAnsi"/>
        </w:rPr>
        <w:t xml:space="preserve">website, including MBS </w:t>
      </w:r>
      <w:r w:rsidR="001C2C8A" w:rsidRPr="00521D11">
        <w:rPr>
          <w:rFonts w:asciiTheme="minorHAnsi" w:hAnsiTheme="minorHAnsi" w:cstheme="minorHAnsi"/>
        </w:rPr>
        <w:t>O</w:t>
      </w:r>
      <w:r w:rsidRPr="00521D11">
        <w:rPr>
          <w:rFonts w:asciiTheme="minorHAnsi" w:hAnsiTheme="minorHAnsi" w:cstheme="minorHAnsi"/>
        </w:rPr>
        <w:t>nline</w:t>
      </w:r>
      <w:r w:rsidR="005F0A3F" w:rsidRPr="00521D11">
        <w:rPr>
          <w:rFonts w:asciiTheme="minorHAnsi" w:hAnsiTheme="minorHAnsi" w:cstheme="minorHAnsi"/>
        </w:rPr>
        <w:t>,</w:t>
      </w:r>
      <w:r w:rsidRPr="00521D11">
        <w:rPr>
          <w:rFonts w:asciiTheme="minorHAnsi" w:hAnsiTheme="minorHAnsi" w:cstheme="minorHAnsi"/>
        </w:rPr>
        <w:t xml:space="preserve"> and departmental newsletters.</w:t>
      </w:r>
    </w:p>
    <w:p w14:paraId="116C65A8" w14:textId="4C993101" w:rsidR="00E60ACC" w:rsidRPr="003D1ADD" w:rsidRDefault="00E60ACC" w:rsidP="00E60ACC">
      <w:pPr>
        <w:pStyle w:val="Heading1"/>
        <w:rPr>
          <w:rFonts w:asciiTheme="minorHAnsi" w:hAnsiTheme="minorHAnsi" w:cstheme="minorHAnsi"/>
        </w:rPr>
      </w:pPr>
      <w:bookmarkStart w:id="36" w:name="_Toc132209200"/>
      <w:bookmarkStart w:id="37" w:name="_Toc132627471"/>
      <w:r w:rsidRPr="003D1ADD">
        <w:rPr>
          <w:rFonts w:asciiTheme="minorHAnsi" w:hAnsiTheme="minorHAnsi" w:cstheme="minorHAnsi"/>
        </w:rPr>
        <w:lastRenderedPageBreak/>
        <w:t>Genetic Counselling Working Group</w:t>
      </w:r>
      <w:bookmarkStart w:id="38" w:name="_Toc117856156"/>
      <w:bookmarkEnd w:id="36"/>
      <w:bookmarkEnd w:id="37"/>
      <w:r w:rsidRPr="003D1ADD">
        <w:rPr>
          <w:rFonts w:asciiTheme="minorHAnsi" w:hAnsiTheme="minorHAnsi" w:cstheme="minorHAnsi"/>
        </w:rPr>
        <w:t xml:space="preserve"> </w:t>
      </w:r>
    </w:p>
    <w:p w14:paraId="0684A272" w14:textId="29FF2797" w:rsidR="00E60ACC" w:rsidRPr="00521D11" w:rsidRDefault="00E60ACC" w:rsidP="005222C6">
      <w:pPr>
        <w:pStyle w:val="NormalBeforeBullet"/>
        <w:rPr>
          <w:rFonts w:asciiTheme="minorHAnsi" w:hAnsiTheme="minorHAnsi" w:cstheme="minorHAnsi"/>
        </w:rPr>
      </w:pPr>
      <w:r w:rsidRPr="00521D11">
        <w:rPr>
          <w:rFonts w:asciiTheme="minorHAnsi" w:hAnsiTheme="minorHAnsi" w:cstheme="minorHAnsi"/>
        </w:rPr>
        <w:t xml:space="preserve">The Genetic Counselling Working Group (GCWG) was established as a subgroup of the MRAC to review and advise the Committee on the Human Genetics Society of Australasia (HGSA) </w:t>
      </w:r>
      <w:r w:rsidR="00AA75F8">
        <w:rPr>
          <w:rFonts w:asciiTheme="minorHAnsi" w:hAnsiTheme="minorHAnsi" w:cstheme="minorHAnsi"/>
        </w:rPr>
        <w:t xml:space="preserve">proposal </w:t>
      </w:r>
      <w:r w:rsidR="00F23314" w:rsidRPr="00521D11">
        <w:rPr>
          <w:rFonts w:asciiTheme="minorHAnsi" w:hAnsiTheme="minorHAnsi" w:cstheme="minorHAnsi"/>
        </w:rPr>
        <w:t>s</w:t>
      </w:r>
      <w:r w:rsidRPr="00521D11">
        <w:rPr>
          <w:rFonts w:asciiTheme="minorHAnsi" w:hAnsiTheme="minorHAnsi" w:cstheme="minorHAnsi"/>
        </w:rPr>
        <w:t>eek</w:t>
      </w:r>
      <w:r w:rsidR="00F23314" w:rsidRPr="00521D11">
        <w:rPr>
          <w:rFonts w:asciiTheme="minorHAnsi" w:hAnsiTheme="minorHAnsi" w:cstheme="minorHAnsi"/>
        </w:rPr>
        <w:t>ing</w:t>
      </w:r>
      <w:r w:rsidRPr="00521D11">
        <w:rPr>
          <w:rFonts w:asciiTheme="minorHAnsi" w:hAnsiTheme="minorHAnsi" w:cstheme="minorHAnsi"/>
        </w:rPr>
        <w:t xml:space="preserve"> to address the current and increasing need for professional genetic counselling services</w:t>
      </w:r>
      <w:r w:rsidR="005222C6">
        <w:rPr>
          <w:rFonts w:asciiTheme="minorHAnsi" w:hAnsiTheme="minorHAnsi" w:cstheme="minorHAnsi"/>
        </w:rPr>
        <w:t>.</w:t>
      </w:r>
    </w:p>
    <w:p w14:paraId="29589CAC" w14:textId="2F10727F" w:rsidR="00E60ACC" w:rsidRPr="00521D11" w:rsidRDefault="00E60ACC" w:rsidP="00E60ACC">
      <w:pPr>
        <w:pStyle w:val="NormalBeforeBullet"/>
        <w:rPr>
          <w:rFonts w:asciiTheme="minorHAnsi" w:hAnsiTheme="minorHAnsi" w:cstheme="minorHAnsi"/>
        </w:rPr>
      </w:pPr>
      <w:r w:rsidRPr="00521D11">
        <w:rPr>
          <w:rFonts w:asciiTheme="minorHAnsi" w:hAnsiTheme="minorHAnsi" w:cstheme="minorHAnsi"/>
        </w:rPr>
        <w:t xml:space="preserve">To help consider the </w:t>
      </w:r>
      <w:r w:rsidR="00AA75F8">
        <w:rPr>
          <w:rFonts w:asciiTheme="minorHAnsi" w:hAnsiTheme="minorHAnsi" w:cstheme="minorHAnsi"/>
        </w:rPr>
        <w:t>proposal</w:t>
      </w:r>
      <w:r w:rsidRPr="00521D11">
        <w:rPr>
          <w:rFonts w:asciiTheme="minorHAnsi" w:hAnsiTheme="minorHAnsi" w:cstheme="minorHAnsi"/>
        </w:rPr>
        <w:t>, the GCWG invited presentations from the HGSA and from health professionals working in public and private settings.</w:t>
      </w:r>
    </w:p>
    <w:p w14:paraId="477F413C" w14:textId="77777777" w:rsidR="00E60ACC" w:rsidRPr="00521D11" w:rsidRDefault="00E60ACC" w:rsidP="00E60ACC">
      <w:pPr>
        <w:pStyle w:val="NormalBeforeBullet"/>
        <w:rPr>
          <w:rFonts w:asciiTheme="minorHAnsi" w:hAnsiTheme="minorHAnsi" w:cstheme="minorHAnsi"/>
        </w:rPr>
      </w:pPr>
      <w:r w:rsidRPr="00521D11">
        <w:rPr>
          <w:rFonts w:asciiTheme="minorHAnsi" w:hAnsiTheme="minorHAnsi" w:cstheme="minorHAnsi"/>
        </w:rPr>
        <w:t xml:space="preserve">The GCWG met on five occasions: Friday 25 March 2022, Wednesday 27 April 2022, Tuesday 14 June 2022, Tuesday 26 July </w:t>
      </w:r>
      <w:proofErr w:type="gramStart"/>
      <w:r w:rsidRPr="00521D11">
        <w:rPr>
          <w:rFonts w:asciiTheme="minorHAnsi" w:hAnsiTheme="minorHAnsi" w:cstheme="minorHAnsi"/>
        </w:rPr>
        <w:t>2022</w:t>
      </w:r>
      <w:proofErr w:type="gramEnd"/>
      <w:r w:rsidRPr="00521D11">
        <w:rPr>
          <w:rFonts w:asciiTheme="minorHAnsi" w:hAnsiTheme="minorHAnsi" w:cstheme="minorHAnsi"/>
        </w:rPr>
        <w:t xml:space="preserve"> and Tuesday 25 October 2022. </w:t>
      </w:r>
    </w:p>
    <w:p w14:paraId="048C2AA0" w14:textId="03E85609" w:rsidR="00955597" w:rsidRPr="003D1ADD" w:rsidRDefault="00955597" w:rsidP="000550A6">
      <w:pPr>
        <w:pStyle w:val="Heading1"/>
        <w:ind w:left="0" w:firstLine="0"/>
        <w:rPr>
          <w:rFonts w:asciiTheme="minorHAnsi" w:hAnsiTheme="minorHAnsi" w:cstheme="minorHAnsi"/>
        </w:rPr>
      </w:pPr>
      <w:bookmarkStart w:id="39" w:name="_Toc132209201"/>
      <w:bookmarkStart w:id="40" w:name="_Toc132627472"/>
      <w:r w:rsidRPr="003D1ADD">
        <w:rPr>
          <w:rFonts w:asciiTheme="minorHAnsi" w:hAnsiTheme="minorHAnsi" w:cstheme="minorHAnsi"/>
        </w:rPr>
        <w:lastRenderedPageBreak/>
        <w:t xml:space="preserve">Summary of </w:t>
      </w:r>
      <w:r w:rsidR="00F610DF" w:rsidRPr="003D1ADD">
        <w:rPr>
          <w:rFonts w:asciiTheme="minorHAnsi" w:hAnsiTheme="minorHAnsi" w:cstheme="minorHAnsi"/>
        </w:rPr>
        <w:t xml:space="preserve">the Human Genetics Society of Australasia’s </w:t>
      </w:r>
      <w:bookmarkEnd w:id="38"/>
      <w:r w:rsidR="00AA75F8" w:rsidRPr="003D1ADD">
        <w:rPr>
          <w:rFonts w:asciiTheme="minorHAnsi" w:hAnsiTheme="minorHAnsi" w:cstheme="minorHAnsi"/>
        </w:rPr>
        <w:t>proposal</w:t>
      </w:r>
      <w:bookmarkEnd w:id="39"/>
      <w:bookmarkEnd w:id="40"/>
    </w:p>
    <w:p w14:paraId="3632CD5B" w14:textId="17BF188B" w:rsidR="0095225C" w:rsidRPr="00521D11" w:rsidRDefault="0095225C" w:rsidP="0095225C">
      <w:pPr>
        <w:pStyle w:val="NormalBeforeBullet"/>
        <w:rPr>
          <w:rFonts w:asciiTheme="minorHAnsi" w:hAnsiTheme="minorHAnsi" w:cstheme="minorHAnsi"/>
          <w:lang w:val="en-GB"/>
        </w:rPr>
      </w:pPr>
      <w:r w:rsidRPr="00521D11">
        <w:rPr>
          <w:rFonts w:asciiTheme="minorHAnsi" w:hAnsiTheme="minorHAnsi" w:cstheme="minorHAnsi"/>
          <w:lang w:val="en-GB"/>
        </w:rPr>
        <w:t xml:space="preserve">Genetic counselling is a communication process to help people and their families understand, make decisions about, and adapt to their genetic health risks. The definition of genetic counselling developed by the Genetic </w:t>
      </w:r>
      <w:r w:rsidR="00AA2DFC" w:rsidRPr="00521D11">
        <w:rPr>
          <w:rFonts w:asciiTheme="minorHAnsi" w:hAnsiTheme="minorHAnsi" w:cstheme="minorHAnsi"/>
          <w:lang w:val="en-GB"/>
        </w:rPr>
        <w:t>Counselling</w:t>
      </w:r>
      <w:r w:rsidRPr="00521D11">
        <w:rPr>
          <w:rFonts w:asciiTheme="minorHAnsi" w:hAnsiTheme="minorHAnsi" w:cstheme="minorHAnsi"/>
          <w:lang w:val="en-GB"/>
        </w:rPr>
        <w:t xml:space="preserve"> Definition Task Force of the National Society of Genetic </w:t>
      </w:r>
      <w:r w:rsidR="00AA2DFC" w:rsidRPr="00521D11">
        <w:rPr>
          <w:rFonts w:asciiTheme="minorHAnsi" w:hAnsiTheme="minorHAnsi" w:cstheme="minorHAnsi"/>
          <w:lang w:val="en-GB"/>
        </w:rPr>
        <w:t>Counsellors</w:t>
      </w:r>
      <w:r w:rsidR="00F4335D" w:rsidRPr="00521D11">
        <w:rPr>
          <w:rFonts w:asciiTheme="minorHAnsi" w:hAnsiTheme="minorHAnsi" w:cstheme="minorHAnsi"/>
          <w:lang w:val="en-GB"/>
        </w:rPr>
        <w:t xml:space="preserve"> in the United States</w:t>
      </w:r>
      <w:r w:rsidRPr="00521D11">
        <w:rPr>
          <w:rFonts w:asciiTheme="minorHAnsi" w:hAnsiTheme="minorHAnsi" w:cstheme="minorHAnsi"/>
          <w:lang w:val="en-GB"/>
        </w:rPr>
        <w:t xml:space="preserve"> outlines that genetic counselling is the process of helping people understand and adapt to the medical, psychological</w:t>
      </w:r>
      <w:r w:rsidR="003471B7" w:rsidRPr="00521D11">
        <w:rPr>
          <w:rFonts w:asciiTheme="minorHAnsi" w:hAnsiTheme="minorHAnsi" w:cstheme="minorHAnsi"/>
          <w:lang w:val="en-GB"/>
        </w:rPr>
        <w:t>,</w:t>
      </w:r>
      <w:r w:rsidRPr="00521D11">
        <w:rPr>
          <w:rFonts w:asciiTheme="minorHAnsi" w:hAnsiTheme="minorHAnsi" w:cstheme="minorHAnsi"/>
          <w:lang w:val="en-GB"/>
        </w:rPr>
        <w:t xml:space="preserve"> and familial implications of genetic contributions to disease. This process integrates the following:</w:t>
      </w:r>
    </w:p>
    <w:p w14:paraId="55FCEBEE" w14:textId="3BDB0D15" w:rsidR="0095225C" w:rsidRPr="00521D11" w:rsidRDefault="0095225C" w:rsidP="00CF683B">
      <w:pPr>
        <w:pStyle w:val="Bullet"/>
        <w:rPr>
          <w:rFonts w:asciiTheme="minorHAnsi" w:hAnsiTheme="minorHAnsi" w:cstheme="minorHAnsi"/>
          <w:lang w:val="en-GB"/>
        </w:rPr>
      </w:pPr>
      <w:r w:rsidRPr="00521D11">
        <w:rPr>
          <w:rFonts w:asciiTheme="minorHAnsi" w:hAnsiTheme="minorHAnsi" w:cstheme="minorHAnsi"/>
          <w:lang w:val="en-GB"/>
        </w:rPr>
        <w:t xml:space="preserve">interpretation of family and medical </w:t>
      </w:r>
      <w:r w:rsidRPr="00521D11">
        <w:rPr>
          <w:rFonts w:asciiTheme="minorHAnsi" w:hAnsiTheme="minorHAnsi" w:cstheme="minorHAnsi"/>
        </w:rPr>
        <w:t>histories</w:t>
      </w:r>
      <w:r w:rsidRPr="00521D11">
        <w:rPr>
          <w:rFonts w:asciiTheme="minorHAnsi" w:hAnsiTheme="minorHAnsi" w:cstheme="minorHAnsi"/>
          <w:lang w:val="en-GB"/>
        </w:rPr>
        <w:t xml:space="preserve"> to assess the chance of disease occurrence or recurrence</w:t>
      </w:r>
    </w:p>
    <w:p w14:paraId="62F3FB6D" w14:textId="511CB456" w:rsidR="0095225C" w:rsidRPr="00521D11" w:rsidRDefault="0095225C" w:rsidP="00CF683B">
      <w:pPr>
        <w:pStyle w:val="Bullet"/>
        <w:rPr>
          <w:rFonts w:asciiTheme="minorHAnsi" w:hAnsiTheme="minorHAnsi" w:cstheme="minorHAnsi"/>
          <w:lang w:val="en-GB"/>
        </w:rPr>
      </w:pPr>
      <w:r w:rsidRPr="00521D11">
        <w:rPr>
          <w:rFonts w:asciiTheme="minorHAnsi" w:hAnsiTheme="minorHAnsi" w:cstheme="minorHAnsi"/>
          <w:lang w:val="en-GB"/>
        </w:rPr>
        <w:t>education about inheritance, testing, management, prevention, resources</w:t>
      </w:r>
      <w:r w:rsidR="003471B7" w:rsidRPr="00521D11">
        <w:rPr>
          <w:rFonts w:asciiTheme="minorHAnsi" w:hAnsiTheme="minorHAnsi" w:cstheme="minorHAnsi"/>
          <w:lang w:val="en-GB"/>
        </w:rPr>
        <w:t>,</w:t>
      </w:r>
      <w:r w:rsidRPr="00521D11">
        <w:rPr>
          <w:rFonts w:asciiTheme="minorHAnsi" w:hAnsiTheme="minorHAnsi" w:cstheme="minorHAnsi"/>
          <w:lang w:val="en-GB"/>
        </w:rPr>
        <w:t xml:space="preserve"> and research</w:t>
      </w:r>
    </w:p>
    <w:p w14:paraId="0A3D7B50" w14:textId="38F3ED49" w:rsidR="0095225C" w:rsidRPr="00521D11" w:rsidRDefault="0095225C" w:rsidP="00CF683B">
      <w:pPr>
        <w:pStyle w:val="BulletLast"/>
        <w:rPr>
          <w:rFonts w:asciiTheme="minorHAnsi" w:hAnsiTheme="minorHAnsi" w:cstheme="minorHAnsi"/>
        </w:rPr>
      </w:pPr>
      <w:r w:rsidRPr="00521D11">
        <w:rPr>
          <w:rFonts w:asciiTheme="minorHAnsi" w:hAnsiTheme="minorHAnsi" w:cstheme="minorHAnsi"/>
          <w:lang w:val="en-GB"/>
        </w:rPr>
        <w:t>counselling to promote informed choices and adaptation to the risk or condition.</w:t>
      </w:r>
    </w:p>
    <w:p w14:paraId="7F2FA01A" w14:textId="73015E47" w:rsidR="00955597" w:rsidRPr="00521D11" w:rsidRDefault="00955597" w:rsidP="004A0629">
      <w:pPr>
        <w:rPr>
          <w:rFonts w:asciiTheme="minorHAnsi" w:hAnsiTheme="minorHAnsi" w:cstheme="minorHAnsi"/>
        </w:rPr>
      </w:pPr>
      <w:r w:rsidRPr="00521D11">
        <w:rPr>
          <w:rFonts w:asciiTheme="minorHAnsi" w:hAnsiTheme="minorHAnsi" w:cstheme="minorHAnsi"/>
        </w:rPr>
        <w:t>Genetic counselling is recognised as an integral part of supporting patients and their biological relatives when under investigation for medical conditions where there is an established genetic risk factor.</w:t>
      </w:r>
    </w:p>
    <w:p w14:paraId="3B35CF7A" w14:textId="4B1405EB" w:rsidR="00955597" w:rsidRPr="00521D11" w:rsidRDefault="005F0A3F" w:rsidP="00955597">
      <w:pPr>
        <w:rPr>
          <w:rFonts w:asciiTheme="minorHAnsi" w:hAnsiTheme="minorHAnsi" w:cstheme="minorHAnsi"/>
        </w:rPr>
      </w:pPr>
      <w:r w:rsidRPr="00521D11">
        <w:rPr>
          <w:rFonts w:asciiTheme="minorHAnsi" w:hAnsiTheme="minorHAnsi" w:cstheme="minorHAnsi"/>
        </w:rPr>
        <w:t>Most</w:t>
      </w:r>
      <w:r w:rsidR="00955597" w:rsidRPr="00521D11">
        <w:rPr>
          <w:rFonts w:asciiTheme="minorHAnsi" w:hAnsiTheme="minorHAnsi" w:cstheme="minorHAnsi"/>
        </w:rPr>
        <w:t xml:space="preserve"> government</w:t>
      </w:r>
      <w:r w:rsidR="00F610DF" w:rsidRPr="00521D11">
        <w:rPr>
          <w:rFonts w:asciiTheme="minorHAnsi" w:hAnsiTheme="minorHAnsi" w:cstheme="minorHAnsi"/>
        </w:rPr>
        <w:t>-</w:t>
      </w:r>
      <w:r w:rsidR="00955597" w:rsidRPr="00521D11">
        <w:rPr>
          <w:rFonts w:asciiTheme="minorHAnsi" w:hAnsiTheme="minorHAnsi" w:cstheme="minorHAnsi"/>
        </w:rPr>
        <w:t>funded professional genetic counselling services are provided by activity-based or block</w:t>
      </w:r>
      <w:r w:rsidR="00F610DF" w:rsidRPr="00521D11">
        <w:rPr>
          <w:rFonts w:asciiTheme="minorHAnsi" w:hAnsiTheme="minorHAnsi" w:cstheme="minorHAnsi"/>
        </w:rPr>
        <w:t>-</w:t>
      </w:r>
      <w:r w:rsidR="00955597" w:rsidRPr="00521D11">
        <w:rPr>
          <w:rFonts w:asciiTheme="minorHAnsi" w:hAnsiTheme="minorHAnsi" w:cstheme="minorHAnsi"/>
        </w:rPr>
        <w:t>funded clinical genetics services operating within metropolitan tertiary public hospitals. These services are unable to meet current demand</w:t>
      </w:r>
      <w:r w:rsidR="00F610DF" w:rsidRPr="00521D11">
        <w:rPr>
          <w:rFonts w:asciiTheme="minorHAnsi" w:hAnsiTheme="minorHAnsi" w:cstheme="minorHAnsi"/>
        </w:rPr>
        <w:t>,</w:t>
      </w:r>
      <w:r w:rsidR="00955597" w:rsidRPr="00521D11">
        <w:rPr>
          <w:rFonts w:asciiTheme="minorHAnsi" w:hAnsiTheme="minorHAnsi" w:cstheme="minorHAnsi"/>
        </w:rPr>
        <w:t xml:space="preserve"> resulting in increasing waitlists and barriers to accessing clinical genetic services and professional genetic counselling in the public setting.</w:t>
      </w:r>
    </w:p>
    <w:p w14:paraId="37D07F3B" w14:textId="28293063" w:rsidR="00955597" w:rsidRPr="00521D11" w:rsidRDefault="00955597" w:rsidP="002C5983">
      <w:pPr>
        <w:rPr>
          <w:rFonts w:asciiTheme="minorHAnsi" w:hAnsiTheme="minorHAnsi" w:cstheme="minorHAnsi"/>
        </w:rPr>
      </w:pPr>
      <w:r w:rsidRPr="00521D11">
        <w:rPr>
          <w:rFonts w:asciiTheme="minorHAnsi" w:hAnsiTheme="minorHAnsi" w:cstheme="minorHAnsi"/>
        </w:rPr>
        <w:t>With the role of genetic testing in clinical practice</w:t>
      </w:r>
      <w:r w:rsidR="00F610DF" w:rsidRPr="00521D11">
        <w:rPr>
          <w:rFonts w:asciiTheme="minorHAnsi" w:hAnsiTheme="minorHAnsi" w:cstheme="minorHAnsi"/>
        </w:rPr>
        <w:t xml:space="preserve"> increasing,</w:t>
      </w:r>
      <w:r w:rsidRPr="00521D11">
        <w:rPr>
          <w:rFonts w:asciiTheme="minorHAnsi" w:hAnsiTheme="minorHAnsi" w:cstheme="minorHAnsi"/>
        </w:rPr>
        <w:t xml:space="preserve"> </w:t>
      </w:r>
      <w:r w:rsidR="00F610DF" w:rsidRPr="00521D11">
        <w:rPr>
          <w:rFonts w:asciiTheme="minorHAnsi" w:hAnsiTheme="minorHAnsi" w:cstheme="minorHAnsi"/>
        </w:rPr>
        <w:t xml:space="preserve">mainstream primary care and specialist healthcare providers are bearing </w:t>
      </w:r>
      <w:r w:rsidRPr="00521D11">
        <w:rPr>
          <w:rFonts w:asciiTheme="minorHAnsi" w:hAnsiTheme="minorHAnsi" w:cstheme="minorHAnsi"/>
        </w:rPr>
        <w:t xml:space="preserve">the responsibility for facilitating genetic testing and providing genetic counselling. </w:t>
      </w:r>
      <w:r w:rsidR="002C5983" w:rsidRPr="00521D11">
        <w:rPr>
          <w:rFonts w:asciiTheme="minorHAnsi" w:hAnsiTheme="minorHAnsi" w:cstheme="minorHAnsi"/>
        </w:rPr>
        <w:t xml:space="preserve">The lack of referral opportunities for patients to receive reimbursed professional genetic counselling outside of activity-based or block funded clinical genetics services does not support the needs of patients and their managing clinicians where genetic testing is being considered by a mainstream primary care </w:t>
      </w:r>
      <w:r w:rsidR="007779E4" w:rsidRPr="00521D11">
        <w:rPr>
          <w:rFonts w:asciiTheme="minorHAnsi" w:hAnsiTheme="minorHAnsi" w:cstheme="minorHAnsi"/>
        </w:rPr>
        <w:t xml:space="preserve">or </w:t>
      </w:r>
      <w:r w:rsidR="002C5983" w:rsidRPr="00521D11">
        <w:rPr>
          <w:rFonts w:asciiTheme="minorHAnsi" w:hAnsiTheme="minorHAnsi" w:cstheme="minorHAnsi"/>
        </w:rPr>
        <w:t>speciality medical practitioner.</w:t>
      </w:r>
    </w:p>
    <w:p w14:paraId="648F91C8" w14:textId="25796756" w:rsidR="00955597" w:rsidRPr="00521D11" w:rsidRDefault="00E23203" w:rsidP="00955597">
      <w:pPr>
        <w:rPr>
          <w:rFonts w:asciiTheme="minorHAnsi" w:hAnsiTheme="minorHAnsi" w:cstheme="minorHAnsi"/>
        </w:rPr>
      </w:pPr>
      <w:r w:rsidRPr="00521D11">
        <w:rPr>
          <w:rFonts w:asciiTheme="minorHAnsi" w:hAnsiTheme="minorHAnsi" w:cstheme="minorHAnsi"/>
        </w:rPr>
        <w:t>The</w:t>
      </w:r>
      <w:r w:rsidR="003471B7" w:rsidRPr="00521D11">
        <w:rPr>
          <w:rFonts w:asciiTheme="minorHAnsi" w:hAnsiTheme="minorHAnsi" w:cstheme="minorHAnsi"/>
        </w:rPr>
        <w:t xml:space="preserve"> </w:t>
      </w:r>
      <w:r w:rsidR="00AA75F8">
        <w:rPr>
          <w:rFonts w:asciiTheme="minorHAnsi" w:hAnsiTheme="minorHAnsi" w:cstheme="minorHAnsi"/>
        </w:rPr>
        <w:t>proposal</w:t>
      </w:r>
      <w:r w:rsidR="003471B7" w:rsidRPr="00521D11">
        <w:rPr>
          <w:rFonts w:asciiTheme="minorHAnsi" w:hAnsiTheme="minorHAnsi" w:cstheme="minorHAnsi"/>
        </w:rPr>
        <w:t xml:space="preserve"> from the</w:t>
      </w:r>
      <w:r w:rsidRPr="00521D11">
        <w:rPr>
          <w:rFonts w:asciiTheme="minorHAnsi" w:hAnsiTheme="minorHAnsi" w:cstheme="minorHAnsi"/>
        </w:rPr>
        <w:t xml:space="preserve"> H</w:t>
      </w:r>
      <w:r w:rsidR="003471B7" w:rsidRPr="00521D11">
        <w:rPr>
          <w:rFonts w:asciiTheme="minorHAnsi" w:hAnsiTheme="minorHAnsi" w:cstheme="minorHAnsi"/>
        </w:rPr>
        <w:t xml:space="preserve">uman </w:t>
      </w:r>
      <w:r w:rsidRPr="00521D11">
        <w:rPr>
          <w:rFonts w:asciiTheme="minorHAnsi" w:hAnsiTheme="minorHAnsi" w:cstheme="minorHAnsi"/>
        </w:rPr>
        <w:t>G</w:t>
      </w:r>
      <w:r w:rsidR="003471B7" w:rsidRPr="00521D11">
        <w:rPr>
          <w:rFonts w:asciiTheme="minorHAnsi" w:hAnsiTheme="minorHAnsi" w:cstheme="minorHAnsi"/>
        </w:rPr>
        <w:t xml:space="preserve">enetics </w:t>
      </w:r>
      <w:r w:rsidRPr="00521D11">
        <w:rPr>
          <w:rFonts w:asciiTheme="minorHAnsi" w:hAnsiTheme="minorHAnsi" w:cstheme="minorHAnsi"/>
        </w:rPr>
        <w:t>S</w:t>
      </w:r>
      <w:r w:rsidR="003471B7" w:rsidRPr="00521D11">
        <w:rPr>
          <w:rFonts w:asciiTheme="minorHAnsi" w:hAnsiTheme="minorHAnsi" w:cstheme="minorHAnsi"/>
        </w:rPr>
        <w:t xml:space="preserve">ociety of </w:t>
      </w:r>
      <w:r w:rsidRPr="00521D11">
        <w:rPr>
          <w:rFonts w:asciiTheme="minorHAnsi" w:hAnsiTheme="minorHAnsi" w:cstheme="minorHAnsi"/>
        </w:rPr>
        <w:t>A</w:t>
      </w:r>
      <w:r w:rsidR="003471B7" w:rsidRPr="00521D11">
        <w:rPr>
          <w:rFonts w:asciiTheme="minorHAnsi" w:hAnsiTheme="minorHAnsi" w:cstheme="minorHAnsi"/>
        </w:rPr>
        <w:t>ustralasia (HGSA)</w:t>
      </w:r>
      <w:r w:rsidRPr="00521D11">
        <w:rPr>
          <w:rFonts w:asciiTheme="minorHAnsi" w:hAnsiTheme="minorHAnsi" w:cstheme="minorHAnsi"/>
        </w:rPr>
        <w:t xml:space="preserve"> </w:t>
      </w:r>
      <w:r w:rsidR="00F610DF" w:rsidRPr="00521D11">
        <w:rPr>
          <w:rFonts w:asciiTheme="minorHAnsi" w:hAnsiTheme="minorHAnsi" w:cstheme="minorHAnsi"/>
        </w:rPr>
        <w:t xml:space="preserve">seeks to </w:t>
      </w:r>
      <w:r w:rsidR="00955597" w:rsidRPr="00521D11">
        <w:rPr>
          <w:rFonts w:asciiTheme="minorHAnsi" w:hAnsiTheme="minorHAnsi" w:cstheme="minorHAnsi"/>
        </w:rPr>
        <w:t xml:space="preserve">address the current and increasing need for professional genetic counselling services. The proposed item descriptor for genetic counselling consultations and associated MBS fee </w:t>
      </w:r>
      <w:r w:rsidR="00F92FFC" w:rsidRPr="00521D11">
        <w:rPr>
          <w:rFonts w:asciiTheme="minorHAnsi" w:hAnsiTheme="minorHAnsi" w:cstheme="minorHAnsi"/>
        </w:rPr>
        <w:t>are in Table 2</w:t>
      </w:r>
      <w:r w:rsidR="00F610DF" w:rsidRPr="00521D11">
        <w:rPr>
          <w:rFonts w:asciiTheme="minorHAnsi" w:hAnsiTheme="minorHAnsi" w:cstheme="minorHAnsi"/>
        </w:rPr>
        <w:t>.</w:t>
      </w:r>
    </w:p>
    <w:p w14:paraId="6E38AAA6" w14:textId="10E399EE" w:rsidR="00F92FFC" w:rsidRPr="00521D11" w:rsidRDefault="00F92FFC" w:rsidP="00F92FFC">
      <w:pPr>
        <w:pStyle w:val="TableTitle"/>
        <w:rPr>
          <w:rFonts w:asciiTheme="minorHAnsi" w:hAnsiTheme="minorHAnsi" w:cstheme="minorHAnsi"/>
        </w:rPr>
      </w:pPr>
      <w:r w:rsidRPr="00521D11">
        <w:rPr>
          <w:rFonts w:asciiTheme="minorHAnsi" w:hAnsiTheme="minorHAnsi" w:cstheme="minorHAnsi"/>
        </w:rPr>
        <w:lastRenderedPageBreak/>
        <w:t>Table 2</w:t>
      </w:r>
      <w:r w:rsidRPr="00521D11">
        <w:rPr>
          <w:rFonts w:asciiTheme="minorHAnsi" w:hAnsiTheme="minorHAnsi" w:cstheme="minorHAnsi"/>
        </w:rPr>
        <w:t> </w:t>
      </w:r>
      <w:r w:rsidRPr="00521D11">
        <w:rPr>
          <w:rFonts w:asciiTheme="minorHAnsi" w:hAnsiTheme="minorHAnsi" w:cstheme="minorHAnsi"/>
        </w:rPr>
        <w:t>Proposed MBS item for genetic counselling</w:t>
      </w:r>
    </w:p>
    <w:tbl>
      <w:tblPr>
        <w:tblStyle w:val="TableGrid"/>
        <w:tblW w:w="0" w:type="auto"/>
        <w:tblLook w:val="04A0" w:firstRow="1" w:lastRow="0" w:firstColumn="1" w:lastColumn="0" w:noHBand="0" w:noVBand="1"/>
      </w:tblPr>
      <w:tblGrid>
        <w:gridCol w:w="7882"/>
      </w:tblGrid>
      <w:tr w:rsidR="00DA386F" w:rsidRPr="00DA386F" w14:paraId="5CF76892" w14:textId="77777777" w:rsidTr="00C07FD0">
        <w:trPr>
          <w:trHeight w:val="469"/>
        </w:trPr>
        <w:tc>
          <w:tcPr>
            <w:tcW w:w="9242" w:type="dxa"/>
          </w:tcPr>
          <w:p w14:paraId="746B8C6F" w14:textId="6F7E7914" w:rsidR="00C07FD0" w:rsidRPr="00DA386F" w:rsidRDefault="00C07FD0" w:rsidP="00DA386F">
            <w:pPr>
              <w:pStyle w:val="TableHeading"/>
              <w:rPr>
                <w:rFonts w:asciiTheme="minorHAnsi" w:hAnsiTheme="minorHAnsi" w:cstheme="minorHAnsi"/>
                <w:b/>
                <w:bCs w:val="0"/>
                <w:color w:val="F79646" w:themeColor="accent6"/>
              </w:rPr>
            </w:pPr>
            <w:r w:rsidRPr="003D1ADD">
              <w:rPr>
                <w:rFonts w:asciiTheme="minorHAnsi" w:hAnsiTheme="minorHAnsi" w:cstheme="minorHAnsi"/>
                <w:b/>
                <w:bCs w:val="0"/>
                <w:color w:val="auto"/>
              </w:rPr>
              <w:t>Category 1, Group AXX</w:t>
            </w:r>
          </w:p>
        </w:tc>
      </w:tr>
      <w:tr w:rsidR="00C07FD0" w:rsidRPr="00BC3CC0" w14:paraId="5FB81DA5" w14:textId="77777777" w:rsidTr="00C07FD0">
        <w:tc>
          <w:tcPr>
            <w:tcW w:w="9242" w:type="dxa"/>
          </w:tcPr>
          <w:p w14:paraId="239EBFD9" w14:textId="47FAB764" w:rsidR="00755398" w:rsidRPr="00755398" w:rsidRDefault="00755398" w:rsidP="00755398">
            <w:pPr>
              <w:pStyle w:val="TableText"/>
              <w:rPr>
                <w:lang w:val="en-GB" w:eastAsia="en-AU"/>
              </w:rPr>
            </w:pPr>
            <w:r w:rsidRPr="00755398">
              <w:rPr>
                <w:lang w:val="en-GB" w:eastAsia="en-AU"/>
              </w:rPr>
              <w:t>Professional attendance by a genetic counsellor in the consulting rooms or health service of the genetic</w:t>
            </w:r>
            <w:r>
              <w:rPr>
                <w:lang w:val="en-GB" w:eastAsia="en-AU"/>
              </w:rPr>
              <w:t xml:space="preserve"> </w:t>
            </w:r>
            <w:r w:rsidRPr="00755398">
              <w:rPr>
                <w:lang w:val="en-GB" w:eastAsia="en-AU"/>
              </w:rPr>
              <w:t>counsellor or by video conference or by telephone following referral of the patient to the genetic counsellor</w:t>
            </w:r>
            <w:r>
              <w:rPr>
                <w:lang w:val="en-GB" w:eastAsia="en-AU"/>
              </w:rPr>
              <w:t xml:space="preserve"> </w:t>
            </w:r>
            <w:r w:rsidRPr="00755398">
              <w:rPr>
                <w:lang w:val="en-GB" w:eastAsia="en-AU"/>
              </w:rPr>
              <w:t>by a medical practitioner OR is a professional attendance for a biological relative of a patient confirmed as</w:t>
            </w:r>
            <w:r>
              <w:rPr>
                <w:lang w:val="en-GB" w:eastAsia="en-AU"/>
              </w:rPr>
              <w:t xml:space="preserve"> </w:t>
            </w:r>
            <w:r w:rsidRPr="00755398">
              <w:rPr>
                <w:lang w:val="en-GB" w:eastAsia="en-AU"/>
              </w:rPr>
              <w:t>harbouring a pathogenic variant responsible for a heritable medical condition, if the attendance is</w:t>
            </w:r>
            <w:r>
              <w:rPr>
                <w:lang w:val="en-GB" w:eastAsia="en-AU"/>
              </w:rPr>
              <w:t xml:space="preserve"> </w:t>
            </w:r>
            <w:r w:rsidRPr="00755398">
              <w:rPr>
                <w:lang w:val="en-GB" w:eastAsia="en-AU"/>
              </w:rPr>
              <w:t>undertaken:</w:t>
            </w:r>
          </w:p>
          <w:p w14:paraId="5D09D108" w14:textId="3E5B541A" w:rsidR="00755398" w:rsidRPr="00755398" w:rsidRDefault="00755398" w:rsidP="00755398">
            <w:pPr>
              <w:pStyle w:val="TableText"/>
              <w:rPr>
                <w:lang w:val="en-GB" w:eastAsia="en-AU"/>
              </w:rPr>
            </w:pPr>
            <w:r w:rsidRPr="00755398">
              <w:rPr>
                <w:lang w:val="en-GB" w:eastAsia="en-AU"/>
              </w:rPr>
              <w:t>(a) when a genetic/genomic medical condition has been diagnosed or is suspected in a patient or</w:t>
            </w:r>
            <w:r>
              <w:rPr>
                <w:lang w:val="en-GB" w:eastAsia="en-AU"/>
              </w:rPr>
              <w:t xml:space="preserve"> </w:t>
            </w:r>
            <w:r w:rsidRPr="00755398">
              <w:rPr>
                <w:lang w:val="en-GB" w:eastAsia="en-AU"/>
              </w:rPr>
              <w:t>their biological relative; and/or</w:t>
            </w:r>
          </w:p>
          <w:p w14:paraId="5CA5158B" w14:textId="77777777" w:rsidR="00755398" w:rsidRPr="00755398" w:rsidRDefault="00755398" w:rsidP="00755398">
            <w:pPr>
              <w:pStyle w:val="TableText"/>
              <w:rPr>
                <w:lang w:val="en-GB" w:eastAsia="en-AU"/>
              </w:rPr>
            </w:pPr>
            <w:r w:rsidRPr="00755398">
              <w:rPr>
                <w:lang w:val="en-GB" w:eastAsia="en-AU"/>
              </w:rPr>
              <w:t>(b) when genetic/genomic testing in a patient or their biological relatives is being considered; or</w:t>
            </w:r>
          </w:p>
          <w:p w14:paraId="404B1C46" w14:textId="78C7B5A4" w:rsidR="00755398" w:rsidRPr="00755398" w:rsidRDefault="00755398" w:rsidP="00755398">
            <w:pPr>
              <w:pStyle w:val="TableText"/>
              <w:rPr>
                <w:lang w:val="en-GB" w:eastAsia="en-AU"/>
              </w:rPr>
            </w:pPr>
            <w:r w:rsidRPr="00755398">
              <w:rPr>
                <w:lang w:val="en-GB" w:eastAsia="en-AU"/>
              </w:rPr>
              <w:t>(c) to deliver and/or discuss the result of genetic/genomic testing in a patient or their biological</w:t>
            </w:r>
            <w:r>
              <w:rPr>
                <w:lang w:val="en-GB" w:eastAsia="en-AU"/>
              </w:rPr>
              <w:t xml:space="preserve"> </w:t>
            </w:r>
            <w:r w:rsidRPr="00755398">
              <w:rPr>
                <w:lang w:val="en-GB" w:eastAsia="en-AU"/>
              </w:rPr>
              <w:t>relatives; and</w:t>
            </w:r>
          </w:p>
          <w:p w14:paraId="3DF82A87" w14:textId="59E3A77E" w:rsidR="00755398" w:rsidRPr="00755398" w:rsidRDefault="00755398" w:rsidP="00755398">
            <w:pPr>
              <w:pStyle w:val="TableText"/>
              <w:rPr>
                <w:lang w:val="en-GB" w:eastAsia="en-AU"/>
              </w:rPr>
            </w:pPr>
            <w:r w:rsidRPr="00755398">
              <w:rPr>
                <w:lang w:val="en-GB" w:eastAsia="en-AU"/>
              </w:rPr>
              <w:t>(d) includes an assessment of patient or family medical history to determine risk of genetic medical</w:t>
            </w:r>
            <w:r>
              <w:rPr>
                <w:lang w:val="en-GB" w:eastAsia="en-AU"/>
              </w:rPr>
              <w:t xml:space="preserve"> </w:t>
            </w:r>
            <w:r w:rsidRPr="00755398">
              <w:rPr>
                <w:lang w:val="en-GB" w:eastAsia="en-AU"/>
              </w:rPr>
              <w:t>conditions; and</w:t>
            </w:r>
          </w:p>
          <w:p w14:paraId="16281534" w14:textId="6A84C60F" w:rsidR="00755398" w:rsidRPr="00755398" w:rsidRDefault="00755398" w:rsidP="00755398">
            <w:pPr>
              <w:pStyle w:val="TableText"/>
              <w:rPr>
                <w:lang w:val="en-GB" w:eastAsia="en-AU"/>
              </w:rPr>
            </w:pPr>
            <w:r w:rsidRPr="00755398">
              <w:rPr>
                <w:lang w:val="en-GB" w:eastAsia="en-AU"/>
              </w:rPr>
              <w:t>(e) includes an assessment of eligibility for genetic testing and advice about how to access testing;</w:t>
            </w:r>
            <w:r>
              <w:rPr>
                <w:lang w:val="en-GB" w:eastAsia="en-AU"/>
              </w:rPr>
              <w:t xml:space="preserve"> </w:t>
            </w:r>
            <w:r w:rsidRPr="00755398">
              <w:rPr>
                <w:lang w:val="en-GB" w:eastAsia="en-AU"/>
              </w:rPr>
              <w:t>and</w:t>
            </w:r>
          </w:p>
          <w:p w14:paraId="278D048B" w14:textId="124F75AF" w:rsidR="00755398" w:rsidRPr="00755398" w:rsidRDefault="00755398" w:rsidP="00755398">
            <w:pPr>
              <w:pStyle w:val="TableText"/>
              <w:rPr>
                <w:lang w:val="en-GB" w:eastAsia="en-AU"/>
              </w:rPr>
            </w:pPr>
            <w:r w:rsidRPr="00755398">
              <w:rPr>
                <w:lang w:val="en-GB" w:eastAsia="en-AU"/>
              </w:rPr>
              <w:t>(f) includes discussion and facilitates understanding of the features, natural history, means of</w:t>
            </w:r>
            <w:r>
              <w:rPr>
                <w:lang w:val="en-GB" w:eastAsia="en-AU"/>
              </w:rPr>
              <w:t xml:space="preserve"> </w:t>
            </w:r>
            <w:r w:rsidRPr="00755398">
              <w:rPr>
                <w:lang w:val="en-GB" w:eastAsia="en-AU"/>
              </w:rPr>
              <w:t>diagnosis, and inheritance pattern of genetic medical conditions; and</w:t>
            </w:r>
          </w:p>
          <w:p w14:paraId="67F40350" w14:textId="77777777" w:rsidR="00755398" w:rsidRPr="00755398" w:rsidRDefault="00755398" w:rsidP="00755398">
            <w:pPr>
              <w:pStyle w:val="TableText"/>
              <w:rPr>
                <w:lang w:val="en-GB" w:eastAsia="en-AU"/>
              </w:rPr>
            </w:pPr>
            <w:r w:rsidRPr="00755398">
              <w:rPr>
                <w:lang w:val="en-GB" w:eastAsia="en-AU"/>
              </w:rPr>
              <w:t>(g) includes non-directive counselling; and</w:t>
            </w:r>
          </w:p>
          <w:p w14:paraId="17300475" w14:textId="77777777" w:rsidR="00755398" w:rsidRPr="00755398" w:rsidRDefault="00755398" w:rsidP="00755398">
            <w:pPr>
              <w:pStyle w:val="TableText"/>
              <w:rPr>
                <w:lang w:val="en-GB" w:eastAsia="en-AU"/>
              </w:rPr>
            </w:pPr>
            <w:r w:rsidRPr="00755398">
              <w:rPr>
                <w:lang w:val="en-GB" w:eastAsia="en-AU"/>
              </w:rPr>
              <w:t>(h) where relevant and appropriate:</w:t>
            </w:r>
          </w:p>
          <w:p w14:paraId="2827C1AA" w14:textId="77777777" w:rsidR="00755398" w:rsidRPr="00755398" w:rsidRDefault="00755398" w:rsidP="00755398">
            <w:pPr>
              <w:pStyle w:val="TableText"/>
              <w:ind w:left="720"/>
              <w:rPr>
                <w:lang w:val="en-GB" w:eastAsia="en-AU"/>
              </w:rPr>
            </w:pPr>
            <w:proofErr w:type="spellStart"/>
            <w:r w:rsidRPr="00755398">
              <w:rPr>
                <w:lang w:val="en-GB" w:eastAsia="en-AU"/>
              </w:rPr>
              <w:t>i</w:t>
            </w:r>
            <w:proofErr w:type="spellEnd"/>
            <w:r w:rsidRPr="00755398">
              <w:rPr>
                <w:lang w:val="en-GB" w:eastAsia="en-AU"/>
              </w:rPr>
              <w:t>. facilitates consideration and collection of informed consent for genetic/genomic tests</w:t>
            </w:r>
          </w:p>
          <w:p w14:paraId="183D6356" w14:textId="77777777" w:rsidR="00755398" w:rsidRPr="00755398" w:rsidRDefault="00755398" w:rsidP="00755398">
            <w:pPr>
              <w:pStyle w:val="TableText"/>
              <w:ind w:left="720"/>
              <w:rPr>
                <w:lang w:val="en-GB" w:eastAsia="en-AU"/>
              </w:rPr>
            </w:pPr>
            <w:r w:rsidRPr="00755398">
              <w:rPr>
                <w:lang w:val="en-GB" w:eastAsia="en-AU"/>
              </w:rPr>
              <w:t>and other diagnostic studies for the genetic medical condition under investigation; and</w:t>
            </w:r>
          </w:p>
          <w:p w14:paraId="0618A626" w14:textId="77777777" w:rsidR="00755398" w:rsidRPr="00755398" w:rsidRDefault="00755398" w:rsidP="00755398">
            <w:pPr>
              <w:pStyle w:val="TableText"/>
              <w:ind w:left="720"/>
              <w:rPr>
                <w:lang w:val="en-GB" w:eastAsia="en-AU"/>
              </w:rPr>
            </w:pPr>
            <w:r w:rsidRPr="00755398">
              <w:rPr>
                <w:lang w:val="en-GB" w:eastAsia="en-AU"/>
              </w:rPr>
              <w:t>ii. facilitates adaptation to the results of genetic/genomic testing; and</w:t>
            </w:r>
          </w:p>
          <w:p w14:paraId="3FA6409D" w14:textId="66ABBDE9" w:rsidR="00C07FD0" w:rsidRPr="00755398" w:rsidRDefault="00755398" w:rsidP="00755398">
            <w:pPr>
              <w:pStyle w:val="TableText"/>
              <w:ind w:left="720"/>
              <w:rPr>
                <w:rFonts w:asciiTheme="minorHAnsi" w:hAnsiTheme="minorHAnsi" w:cstheme="minorHAnsi"/>
              </w:rPr>
            </w:pPr>
            <w:r w:rsidRPr="00755398">
              <w:rPr>
                <w:lang w:val="en-GB" w:eastAsia="en-AU"/>
              </w:rPr>
              <w:t>iii. includes discussion of risk management strategies, treatments, and reproductive options for the genetic medical condition</w:t>
            </w:r>
            <w:r w:rsidR="00C07FD0" w:rsidRPr="00755398">
              <w:rPr>
                <w:rFonts w:asciiTheme="minorHAnsi" w:hAnsiTheme="minorHAnsi" w:cstheme="minorHAnsi"/>
              </w:rPr>
              <w:t>.</w:t>
            </w:r>
          </w:p>
          <w:p w14:paraId="6809934F" w14:textId="77777777" w:rsidR="00C07FD0" w:rsidRPr="00755398" w:rsidRDefault="00C07FD0" w:rsidP="00755398">
            <w:pPr>
              <w:pStyle w:val="TableText"/>
              <w:rPr>
                <w:rFonts w:asciiTheme="minorHAnsi" w:hAnsiTheme="minorHAnsi" w:cstheme="minorHAnsi"/>
              </w:rPr>
            </w:pPr>
            <w:r w:rsidRPr="00755398">
              <w:rPr>
                <w:rFonts w:asciiTheme="minorHAnsi" w:hAnsiTheme="minorHAnsi" w:cstheme="minorHAnsi"/>
              </w:rPr>
              <w:t>(See explanatory note)</w:t>
            </w:r>
          </w:p>
          <w:p w14:paraId="1A7398C2" w14:textId="07D855E5" w:rsidR="00C07FD0" w:rsidRPr="00755398" w:rsidRDefault="00C07FD0" w:rsidP="00755398">
            <w:pPr>
              <w:pStyle w:val="TableText"/>
              <w:rPr>
                <w:rFonts w:asciiTheme="minorHAnsi" w:hAnsiTheme="minorHAnsi" w:cstheme="minorHAnsi"/>
              </w:rPr>
            </w:pPr>
            <w:r w:rsidRPr="00755398">
              <w:rPr>
                <w:rFonts w:asciiTheme="minorHAnsi" w:hAnsiTheme="minorHAnsi" w:cstheme="minorHAnsi"/>
              </w:rPr>
              <w:t>Fee: $236.82 Benefit: 75% = $177.61 85% = $201.29</w:t>
            </w:r>
          </w:p>
        </w:tc>
      </w:tr>
    </w:tbl>
    <w:p w14:paraId="74BA7A27" w14:textId="77777777" w:rsidR="004A1063" w:rsidRPr="00521D11" w:rsidRDefault="004A1063" w:rsidP="005525FB">
      <w:pPr>
        <w:rPr>
          <w:rFonts w:asciiTheme="minorHAnsi" w:hAnsiTheme="minorHAnsi" w:cstheme="minorHAnsi"/>
        </w:rPr>
      </w:pPr>
    </w:p>
    <w:p w14:paraId="3EE53929" w14:textId="6404FEE5" w:rsidR="0042732C" w:rsidRPr="00521D11" w:rsidRDefault="00E23203" w:rsidP="00521D11">
      <w:pPr>
        <w:rPr>
          <w:rFonts w:asciiTheme="minorHAnsi" w:hAnsiTheme="minorHAnsi" w:cstheme="minorHAnsi"/>
        </w:rPr>
      </w:pPr>
      <w:r w:rsidRPr="00521D11">
        <w:rPr>
          <w:rFonts w:asciiTheme="minorHAnsi" w:hAnsiTheme="minorHAnsi" w:cstheme="minorHAnsi"/>
        </w:rPr>
        <w:t>The</w:t>
      </w:r>
      <w:r w:rsidR="00166CFC" w:rsidRPr="00521D11">
        <w:rPr>
          <w:rFonts w:asciiTheme="minorHAnsi" w:hAnsiTheme="minorHAnsi" w:cstheme="minorHAnsi"/>
        </w:rPr>
        <w:t xml:space="preserve"> </w:t>
      </w:r>
      <w:r w:rsidR="00AA75F8">
        <w:rPr>
          <w:rFonts w:asciiTheme="minorHAnsi" w:hAnsiTheme="minorHAnsi" w:cstheme="minorHAnsi"/>
        </w:rPr>
        <w:t>proposal</w:t>
      </w:r>
      <w:r w:rsidR="000C4A99" w:rsidRPr="00521D11">
        <w:rPr>
          <w:rFonts w:asciiTheme="minorHAnsi" w:hAnsiTheme="minorHAnsi" w:cstheme="minorHAnsi"/>
        </w:rPr>
        <w:t xml:space="preserve"> also</w:t>
      </w:r>
      <w:r w:rsidRPr="00521D11">
        <w:rPr>
          <w:rFonts w:asciiTheme="minorHAnsi" w:hAnsiTheme="minorHAnsi" w:cstheme="minorHAnsi"/>
        </w:rPr>
        <w:t xml:space="preserve"> </w:t>
      </w:r>
      <w:r w:rsidR="00AA75F8" w:rsidRPr="00521D11">
        <w:rPr>
          <w:rFonts w:asciiTheme="minorHAnsi" w:hAnsiTheme="minorHAnsi" w:cstheme="minorHAnsi"/>
        </w:rPr>
        <w:t>recommends</w:t>
      </w:r>
      <w:r w:rsidR="005525FB" w:rsidRPr="00521D11">
        <w:rPr>
          <w:rFonts w:asciiTheme="minorHAnsi" w:hAnsiTheme="minorHAnsi" w:cstheme="minorHAnsi"/>
        </w:rPr>
        <w:t xml:space="preserve"> MBS item numbers for telehealth consulting by genetic counsellors, and genetic counsellors’ participation on a multidisciplinary team case conference.</w:t>
      </w:r>
    </w:p>
    <w:p w14:paraId="23B204A3" w14:textId="0693272E" w:rsidR="0042732C" w:rsidRPr="003D1ADD" w:rsidRDefault="0042732C" w:rsidP="0042732C">
      <w:pPr>
        <w:pStyle w:val="Heading1"/>
        <w:rPr>
          <w:rFonts w:asciiTheme="minorHAnsi" w:hAnsiTheme="minorHAnsi" w:cstheme="minorHAnsi"/>
        </w:rPr>
      </w:pPr>
      <w:bookmarkStart w:id="41" w:name="_Toc132209202"/>
      <w:bookmarkStart w:id="42" w:name="_Toc132627473"/>
      <w:r w:rsidRPr="003D1ADD">
        <w:rPr>
          <w:rFonts w:asciiTheme="minorHAnsi" w:hAnsiTheme="minorHAnsi" w:cstheme="minorHAnsi"/>
        </w:rPr>
        <w:lastRenderedPageBreak/>
        <w:t>Consultation and feedback review process</w:t>
      </w:r>
      <w:bookmarkEnd w:id="41"/>
      <w:bookmarkEnd w:id="42"/>
    </w:p>
    <w:p w14:paraId="7F68A027" w14:textId="1F48532B" w:rsidR="0042732C" w:rsidRPr="00521D11" w:rsidRDefault="0042732C" w:rsidP="0042732C">
      <w:pPr>
        <w:rPr>
          <w:rFonts w:asciiTheme="minorHAnsi" w:hAnsiTheme="minorHAnsi" w:cstheme="minorHAnsi"/>
        </w:rPr>
      </w:pPr>
      <w:r w:rsidRPr="00521D11">
        <w:rPr>
          <w:rFonts w:asciiTheme="minorHAnsi" w:hAnsiTheme="minorHAnsi" w:cstheme="minorHAnsi"/>
        </w:rPr>
        <w:t xml:space="preserve">Consultation with relevant and interested organisations, peak bodies, and consumers is considered essential in the formulation of advice to government on recommended changes to MBS items. </w:t>
      </w:r>
      <w:r w:rsidR="006C770F">
        <w:rPr>
          <w:rFonts w:asciiTheme="minorHAnsi" w:hAnsiTheme="minorHAnsi" w:cstheme="minorHAnsi"/>
        </w:rPr>
        <w:t xml:space="preserve">The </w:t>
      </w:r>
      <w:r w:rsidRPr="00521D11">
        <w:rPr>
          <w:rFonts w:asciiTheme="minorHAnsi" w:hAnsiTheme="minorHAnsi" w:cstheme="minorHAnsi"/>
        </w:rPr>
        <w:t>MRAC and its working groups seek feedback on their understanding of the existing model of care and issues of consideration, with particular emphasis on any (</w:t>
      </w:r>
      <w:proofErr w:type="gramStart"/>
      <w:r w:rsidRPr="00521D11">
        <w:rPr>
          <w:rFonts w:asciiTheme="minorHAnsi" w:hAnsiTheme="minorHAnsi" w:cstheme="minorHAnsi"/>
        </w:rPr>
        <w:t>as yet</w:t>
      </w:r>
      <w:proofErr w:type="gramEnd"/>
      <w:r w:rsidRPr="00521D11">
        <w:rPr>
          <w:rFonts w:asciiTheme="minorHAnsi" w:hAnsiTheme="minorHAnsi" w:cstheme="minorHAnsi"/>
        </w:rPr>
        <w:t>) unidentified consequences that may result from proposed change</w:t>
      </w:r>
      <w:r w:rsidR="00860A4C">
        <w:rPr>
          <w:rFonts w:asciiTheme="minorHAnsi" w:hAnsiTheme="minorHAnsi" w:cstheme="minorHAnsi"/>
        </w:rPr>
        <w:t>s</w:t>
      </w:r>
      <w:r w:rsidRPr="00521D11">
        <w:rPr>
          <w:rFonts w:asciiTheme="minorHAnsi" w:hAnsiTheme="minorHAnsi" w:cstheme="minorHAnsi"/>
        </w:rPr>
        <w:t xml:space="preserve">.  </w:t>
      </w:r>
    </w:p>
    <w:p w14:paraId="6BD4E82F" w14:textId="77777777" w:rsidR="0042732C" w:rsidRPr="00521D11" w:rsidRDefault="0042732C" w:rsidP="0042732C">
      <w:pPr>
        <w:rPr>
          <w:rFonts w:asciiTheme="minorHAnsi" w:hAnsiTheme="minorHAnsi" w:cstheme="minorHAnsi"/>
        </w:rPr>
      </w:pPr>
      <w:r w:rsidRPr="00521D11">
        <w:rPr>
          <w:rFonts w:asciiTheme="minorHAnsi" w:hAnsiTheme="minorHAnsi" w:cstheme="minorHAnsi"/>
        </w:rPr>
        <w:t>All feedback provided via consultation processes is considered.</w:t>
      </w:r>
    </w:p>
    <w:p w14:paraId="61DC4231" w14:textId="77777777" w:rsidR="0042732C" w:rsidRPr="003D1ADD" w:rsidRDefault="0042732C" w:rsidP="0042732C">
      <w:pPr>
        <w:pStyle w:val="Heading2a"/>
        <w:rPr>
          <w:rFonts w:asciiTheme="minorHAnsi" w:hAnsiTheme="minorHAnsi" w:cstheme="minorHAnsi"/>
          <w:color w:val="E36C0A" w:themeColor="accent6" w:themeShade="BF"/>
        </w:rPr>
      </w:pPr>
      <w:r w:rsidRPr="003D1ADD">
        <w:rPr>
          <w:rFonts w:asciiTheme="minorHAnsi" w:hAnsiTheme="minorHAnsi" w:cstheme="minorHAnsi"/>
          <w:color w:val="E36C0A" w:themeColor="accent6" w:themeShade="BF"/>
        </w:rPr>
        <w:t>Targeted consultation</w:t>
      </w:r>
    </w:p>
    <w:p w14:paraId="646AD29A" w14:textId="1082D1CA" w:rsidR="00A06673" w:rsidRDefault="003C5105" w:rsidP="00A06673">
      <w:pPr>
        <w:rPr>
          <w:rFonts w:asciiTheme="minorHAnsi" w:hAnsiTheme="minorHAnsi" w:cstheme="minorHAnsi"/>
        </w:rPr>
      </w:pPr>
      <w:r>
        <w:rPr>
          <w:rFonts w:asciiTheme="minorHAnsi" w:hAnsiTheme="minorHAnsi" w:cstheme="minorHAnsi"/>
        </w:rPr>
        <w:t>Sixty-seven</w:t>
      </w:r>
      <w:r w:rsidRPr="00521D11">
        <w:rPr>
          <w:rFonts w:asciiTheme="minorHAnsi" w:hAnsiTheme="minorHAnsi" w:cstheme="minorHAnsi"/>
        </w:rPr>
        <w:t xml:space="preserve"> </w:t>
      </w:r>
      <w:r w:rsidR="001E445A" w:rsidRPr="00521D11">
        <w:rPr>
          <w:rFonts w:asciiTheme="minorHAnsi" w:hAnsiTheme="minorHAnsi" w:cstheme="minorHAnsi"/>
        </w:rPr>
        <w:t>relevant stakeholder</w:t>
      </w:r>
      <w:r w:rsidR="00775620" w:rsidRPr="00521D11">
        <w:rPr>
          <w:rFonts w:asciiTheme="minorHAnsi" w:hAnsiTheme="minorHAnsi" w:cstheme="minorHAnsi"/>
        </w:rPr>
        <w:t>s</w:t>
      </w:r>
      <w:r w:rsidR="001E445A" w:rsidRPr="00521D11">
        <w:rPr>
          <w:rFonts w:asciiTheme="minorHAnsi" w:hAnsiTheme="minorHAnsi" w:cstheme="minorHAnsi"/>
        </w:rPr>
        <w:t xml:space="preserve"> were approached to provide </w:t>
      </w:r>
      <w:r w:rsidR="00486382" w:rsidRPr="00521D11">
        <w:rPr>
          <w:rFonts w:asciiTheme="minorHAnsi" w:hAnsiTheme="minorHAnsi" w:cstheme="minorHAnsi"/>
        </w:rPr>
        <w:t xml:space="preserve">feedback on the </w:t>
      </w:r>
      <w:r w:rsidR="00A06673" w:rsidRPr="00521D11">
        <w:rPr>
          <w:rFonts w:asciiTheme="minorHAnsi" w:hAnsiTheme="minorHAnsi" w:cstheme="minorHAnsi"/>
        </w:rPr>
        <w:t>GCWG findings report</w:t>
      </w:r>
      <w:r w:rsidR="00486382" w:rsidRPr="00521D11">
        <w:rPr>
          <w:rFonts w:asciiTheme="minorHAnsi" w:hAnsiTheme="minorHAnsi" w:cstheme="minorHAnsi"/>
        </w:rPr>
        <w:t xml:space="preserve">, during a </w:t>
      </w:r>
      <w:r w:rsidR="005127BD" w:rsidRPr="00BC3CC0">
        <w:rPr>
          <w:rFonts w:asciiTheme="minorHAnsi" w:hAnsiTheme="minorHAnsi" w:cstheme="minorHAnsi"/>
        </w:rPr>
        <w:t>four-week</w:t>
      </w:r>
      <w:r w:rsidR="00D32569" w:rsidRPr="00521D11">
        <w:rPr>
          <w:rFonts w:asciiTheme="minorHAnsi" w:hAnsiTheme="minorHAnsi" w:cstheme="minorHAnsi"/>
        </w:rPr>
        <w:t xml:space="preserve"> </w:t>
      </w:r>
      <w:r w:rsidR="00A06673" w:rsidRPr="00521D11">
        <w:rPr>
          <w:rFonts w:asciiTheme="minorHAnsi" w:hAnsiTheme="minorHAnsi" w:cstheme="minorHAnsi"/>
        </w:rPr>
        <w:t>targeted consultation</w:t>
      </w:r>
      <w:r w:rsidR="00D32569" w:rsidRPr="00521D11">
        <w:rPr>
          <w:rFonts w:asciiTheme="minorHAnsi" w:hAnsiTheme="minorHAnsi" w:cstheme="minorHAnsi"/>
        </w:rPr>
        <w:t xml:space="preserve"> process</w:t>
      </w:r>
      <w:r w:rsidR="002B0820" w:rsidRPr="00521D11">
        <w:rPr>
          <w:rFonts w:asciiTheme="minorHAnsi" w:hAnsiTheme="minorHAnsi" w:cstheme="minorHAnsi"/>
        </w:rPr>
        <w:t xml:space="preserve"> closing </w:t>
      </w:r>
      <w:r w:rsidR="00775620" w:rsidRPr="00521D11">
        <w:rPr>
          <w:rFonts w:asciiTheme="minorHAnsi" w:hAnsiTheme="minorHAnsi" w:cstheme="minorHAnsi"/>
        </w:rPr>
        <w:t>15 July 2022</w:t>
      </w:r>
      <w:r w:rsidR="002B0820" w:rsidRPr="00521D11">
        <w:rPr>
          <w:rFonts w:asciiTheme="minorHAnsi" w:hAnsiTheme="minorHAnsi" w:cstheme="minorHAnsi"/>
        </w:rPr>
        <w:t>.</w:t>
      </w:r>
      <w:r w:rsidR="00D32569" w:rsidRPr="00521D11">
        <w:rPr>
          <w:rFonts w:asciiTheme="minorHAnsi" w:hAnsiTheme="minorHAnsi" w:cstheme="minorHAnsi"/>
        </w:rPr>
        <w:t xml:space="preserve"> </w:t>
      </w:r>
      <w:r w:rsidR="00A06673" w:rsidRPr="00521D11">
        <w:rPr>
          <w:rFonts w:asciiTheme="minorHAnsi" w:hAnsiTheme="minorHAnsi" w:cstheme="minorHAnsi"/>
        </w:rPr>
        <w:t xml:space="preserve"> The GCWG considered all feedback </w:t>
      </w:r>
      <w:r w:rsidR="002B0820" w:rsidRPr="00521D11">
        <w:rPr>
          <w:rFonts w:asciiTheme="minorHAnsi" w:hAnsiTheme="minorHAnsi" w:cstheme="minorHAnsi"/>
        </w:rPr>
        <w:t xml:space="preserve">received </w:t>
      </w:r>
      <w:r w:rsidR="00A06673" w:rsidRPr="00521D11">
        <w:rPr>
          <w:rFonts w:asciiTheme="minorHAnsi" w:hAnsiTheme="minorHAnsi" w:cstheme="minorHAnsi"/>
        </w:rPr>
        <w:t>at its fourth meeting on 26 July 2022 and amended the report as necessary.</w:t>
      </w:r>
    </w:p>
    <w:p w14:paraId="54C818A7" w14:textId="4C204BF0" w:rsidR="00860A4C" w:rsidRPr="00521D11" w:rsidRDefault="00860A4C" w:rsidP="00860A4C">
      <w:pPr>
        <w:rPr>
          <w:rFonts w:asciiTheme="minorHAnsi" w:hAnsiTheme="minorHAnsi" w:cstheme="minorHAnsi"/>
        </w:rPr>
      </w:pPr>
      <w:r>
        <w:rPr>
          <w:rFonts w:asciiTheme="minorHAnsi" w:hAnsiTheme="minorHAnsi" w:cstheme="minorHAnsi"/>
        </w:rPr>
        <w:t>T</w:t>
      </w:r>
      <w:r w:rsidRPr="00521D11">
        <w:rPr>
          <w:rFonts w:asciiTheme="minorHAnsi" w:hAnsiTheme="minorHAnsi" w:cstheme="minorHAnsi"/>
        </w:rPr>
        <w:t>he GCWG final draft report was presented to</w:t>
      </w:r>
      <w:r>
        <w:rPr>
          <w:rFonts w:asciiTheme="minorHAnsi" w:hAnsiTheme="minorHAnsi" w:cstheme="minorHAnsi"/>
        </w:rPr>
        <w:t xml:space="preserve"> the</w:t>
      </w:r>
      <w:r w:rsidRPr="00521D11">
        <w:rPr>
          <w:rFonts w:asciiTheme="minorHAnsi" w:hAnsiTheme="minorHAnsi" w:cstheme="minorHAnsi"/>
        </w:rPr>
        <w:t xml:space="preserve"> MRAC at its meeting on 5 August 2022. </w:t>
      </w:r>
      <w:r>
        <w:rPr>
          <w:rFonts w:asciiTheme="minorHAnsi" w:hAnsiTheme="minorHAnsi" w:cstheme="minorHAnsi"/>
        </w:rPr>
        <w:t xml:space="preserve">The </w:t>
      </w:r>
      <w:r w:rsidRPr="00521D11">
        <w:rPr>
          <w:rFonts w:asciiTheme="minorHAnsi" w:hAnsiTheme="minorHAnsi" w:cstheme="minorHAnsi"/>
        </w:rPr>
        <w:t>MRAC provided further comments and endorsed the report for public consultation.</w:t>
      </w:r>
    </w:p>
    <w:p w14:paraId="711E518F" w14:textId="77777777" w:rsidR="00A06673" w:rsidRPr="003D1ADD" w:rsidRDefault="00A06673" w:rsidP="00A06673">
      <w:pPr>
        <w:pStyle w:val="Heading2a"/>
        <w:rPr>
          <w:rFonts w:asciiTheme="minorHAnsi" w:hAnsiTheme="minorHAnsi" w:cstheme="minorHAnsi"/>
          <w:color w:val="E36C0A" w:themeColor="accent6" w:themeShade="BF"/>
        </w:rPr>
      </w:pPr>
      <w:r w:rsidRPr="003D1ADD">
        <w:rPr>
          <w:rFonts w:asciiTheme="minorHAnsi" w:hAnsiTheme="minorHAnsi" w:cstheme="minorHAnsi"/>
          <w:color w:val="E36C0A" w:themeColor="accent6" w:themeShade="BF"/>
        </w:rPr>
        <w:t>Public consultation</w:t>
      </w:r>
    </w:p>
    <w:p w14:paraId="2ADCD1EA" w14:textId="77777777" w:rsidR="00F76A14" w:rsidRPr="00521D11" w:rsidRDefault="00F76A14" w:rsidP="00F76A14">
      <w:pPr>
        <w:rPr>
          <w:rFonts w:asciiTheme="minorHAnsi" w:hAnsiTheme="minorHAnsi" w:cstheme="minorHAnsi"/>
        </w:rPr>
      </w:pPr>
      <w:r w:rsidRPr="00521D11">
        <w:rPr>
          <w:rFonts w:asciiTheme="minorHAnsi" w:hAnsiTheme="minorHAnsi" w:cstheme="minorHAnsi"/>
        </w:rPr>
        <w:t>The GCWG draft final report was published on the Department of Health and Aged Care Consultation Hub for a six-week public consultation between 26 August 2022 and 7 October 2022.</w:t>
      </w:r>
    </w:p>
    <w:p w14:paraId="746DD36C" w14:textId="77777777" w:rsidR="00F76A14" w:rsidRPr="00521D11" w:rsidRDefault="00F76A14" w:rsidP="00F76A14">
      <w:pPr>
        <w:rPr>
          <w:rFonts w:asciiTheme="minorHAnsi" w:hAnsiTheme="minorHAnsi" w:cstheme="minorHAnsi"/>
        </w:rPr>
      </w:pPr>
      <w:r w:rsidRPr="00521D11">
        <w:rPr>
          <w:rFonts w:asciiTheme="minorHAnsi" w:hAnsiTheme="minorHAnsi" w:cstheme="minorHAnsi"/>
        </w:rPr>
        <w:t>The primary objective of this process was to test the robustness of the GCWG’s findings and recommendation.</w:t>
      </w:r>
    </w:p>
    <w:p w14:paraId="3454D923" w14:textId="1534B949" w:rsidR="00F76A14" w:rsidRPr="00521D11" w:rsidRDefault="00F76A14" w:rsidP="00F76A14">
      <w:pPr>
        <w:rPr>
          <w:rFonts w:asciiTheme="minorHAnsi" w:hAnsiTheme="minorHAnsi" w:cstheme="minorHAnsi"/>
        </w:rPr>
      </w:pPr>
      <w:r w:rsidRPr="00521D11">
        <w:rPr>
          <w:rFonts w:asciiTheme="minorHAnsi" w:hAnsiTheme="minorHAnsi" w:cstheme="minorHAnsi"/>
        </w:rPr>
        <w:t xml:space="preserve">A total of </w:t>
      </w:r>
      <w:r w:rsidR="009712CA">
        <w:rPr>
          <w:rFonts w:asciiTheme="minorHAnsi" w:hAnsiTheme="minorHAnsi" w:cstheme="minorHAnsi"/>
        </w:rPr>
        <w:t>forty</w:t>
      </w:r>
      <w:r w:rsidRPr="00521D11">
        <w:rPr>
          <w:rFonts w:asciiTheme="minorHAnsi" w:hAnsiTheme="minorHAnsi" w:cstheme="minorHAnsi"/>
        </w:rPr>
        <w:t xml:space="preserve"> submissions </w:t>
      </w:r>
      <w:r w:rsidR="00BD2B2C" w:rsidRPr="00521D11">
        <w:rPr>
          <w:rFonts w:asciiTheme="minorHAnsi" w:hAnsiTheme="minorHAnsi" w:cstheme="minorHAnsi"/>
        </w:rPr>
        <w:t>was</w:t>
      </w:r>
      <w:r w:rsidRPr="00521D11">
        <w:rPr>
          <w:rFonts w:asciiTheme="minorHAnsi" w:hAnsiTheme="minorHAnsi" w:cstheme="minorHAnsi"/>
        </w:rPr>
        <w:t xml:space="preserve"> received during this period. Submissions were received from relevant peak bodies and their individual members.</w:t>
      </w:r>
    </w:p>
    <w:p w14:paraId="6678E8FA" w14:textId="6C850F15" w:rsidR="0042732C" w:rsidRPr="00521D11" w:rsidRDefault="00F76A14" w:rsidP="007B43D8">
      <w:pPr>
        <w:rPr>
          <w:rFonts w:asciiTheme="minorHAnsi" w:hAnsiTheme="minorHAnsi" w:cstheme="minorHAnsi"/>
        </w:rPr>
      </w:pPr>
      <w:r w:rsidRPr="00521D11">
        <w:rPr>
          <w:rFonts w:asciiTheme="minorHAnsi" w:hAnsiTheme="minorHAnsi" w:cstheme="minorHAnsi"/>
        </w:rPr>
        <w:t>The GCWG considered all feedback at its fourth meeting on</w:t>
      </w:r>
      <w:r w:rsidR="00001B3A">
        <w:rPr>
          <w:rFonts w:asciiTheme="minorHAnsi" w:hAnsiTheme="minorHAnsi" w:cstheme="minorHAnsi"/>
        </w:rPr>
        <w:t xml:space="preserve"> 25</w:t>
      </w:r>
      <w:r w:rsidRPr="00521D11">
        <w:rPr>
          <w:rFonts w:asciiTheme="minorHAnsi" w:hAnsiTheme="minorHAnsi" w:cstheme="minorHAnsi"/>
        </w:rPr>
        <w:t xml:space="preserve"> October 2022 and made its final recommendation. </w:t>
      </w:r>
    </w:p>
    <w:p w14:paraId="173F5698" w14:textId="53693D36" w:rsidR="0062233B" w:rsidRPr="003D1ADD" w:rsidRDefault="00442D90" w:rsidP="00AC030B">
      <w:pPr>
        <w:pStyle w:val="Heading1"/>
        <w:rPr>
          <w:rFonts w:asciiTheme="minorHAnsi" w:hAnsiTheme="minorHAnsi" w:cstheme="minorHAnsi"/>
        </w:rPr>
      </w:pPr>
      <w:bookmarkStart w:id="43" w:name="_Toc117856158"/>
      <w:bookmarkStart w:id="44" w:name="_Toc132209203"/>
      <w:bookmarkStart w:id="45" w:name="_Toc132627474"/>
      <w:r w:rsidRPr="003D1ADD">
        <w:rPr>
          <w:rFonts w:asciiTheme="minorHAnsi" w:hAnsiTheme="minorHAnsi" w:cstheme="minorHAnsi"/>
        </w:rPr>
        <w:lastRenderedPageBreak/>
        <w:t xml:space="preserve">General response to the </w:t>
      </w:r>
      <w:bookmarkEnd w:id="43"/>
      <w:r w:rsidR="00AA75F8" w:rsidRPr="003D1ADD">
        <w:rPr>
          <w:rFonts w:asciiTheme="minorHAnsi" w:hAnsiTheme="minorHAnsi" w:cstheme="minorHAnsi"/>
        </w:rPr>
        <w:t>proposal</w:t>
      </w:r>
      <w:bookmarkEnd w:id="44"/>
      <w:bookmarkEnd w:id="45"/>
    </w:p>
    <w:p w14:paraId="358B3393" w14:textId="2652108C" w:rsidR="00A970EC" w:rsidRPr="00521D11" w:rsidRDefault="0062233B" w:rsidP="0062233B">
      <w:pPr>
        <w:rPr>
          <w:rFonts w:asciiTheme="minorHAnsi" w:hAnsiTheme="minorHAnsi" w:cstheme="minorHAnsi"/>
        </w:rPr>
      </w:pPr>
      <w:r w:rsidRPr="00521D11">
        <w:rPr>
          <w:rFonts w:asciiTheme="minorHAnsi" w:hAnsiTheme="minorHAnsi" w:cstheme="minorHAnsi"/>
        </w:rPr>
        <w:t xml:space="preserve">The GCWG </w:t>
      </w:r>
      <w:r w:rsidR="00A970EC" w:rsidRPr="00521D11">
        <w:rPr>
          <w:rFonts w:asciiTheme="minorHAnsi" w:hAnsiTheme="minorHAnsi" w:cstheme="minorHAnsi"/>
        </w:rPr>
        <w:t xml:space="preserve">considered the </w:t>
      </w:r>
      <w:r w:rsidR="00DC5B16" w:rsidRPr="00521D11">
        <w:rPr>
          <w:rFonts w:asciiTheme="minorHAnsi" w:hAnsiTheme="minorHAnsi" w:cstheme="minorHAnsi"/>
        </w:rPr>
        <w:t>HGSA</w:t>
      </w:r>
      <w:r w:rsidR="00AA75F8">
        <w:rPr>
          <w:rFonts w:asciiTheme="minorHAnsi" w:hAnsiTheme="minorHAnsi" w:cstheme="minorHAnsi"/>
        </w:rPr>
        <w:t xml:space="preserve"> proposal</w:t>
      </w:r>
      <w:r w:rsidR="00A970EC" w:rsidRPr="00521D11">
        <w:rPr>
          <w:rFonts w:asciiTheme="minorHAnsi" w:hAnsiTheme="minorHAnsi" w:cstheme="minorHAnsi"/>
        </w:rPr>
        <w:t xml:space="preserve"> in line with the PICO framework (population, intervention, comparator, outcome</w:t>
      </w:r>
      <w:r w:rsidR="00D96B78" w:rsidRPr="00521D11">
        <w:rPr>
          <w:rFonts w:asciiTheme="minorHAnsi" w:hAnsiTheme="minorHAnsi" w:cstheme="minorHAnsi"/>
        </w:rPr>
        <w:t>s</w:t>
      </w:r>
      <w:r w:rsidR="00A970EC" w:rsidRPr="00521D11">
        <w:rPr>
          <w:rFonts w:asciiTheme="minorHAnsi" w:hAnsiTheme="minorHAnsi" w:cstheme="minorHAnsi"/>
        </w:rPr>
        <w:t>).</w:t>
      </w:r>
    </w:p>
    <w:p w14:paraId="494D35A8" w14:textId="3751C2AE" w:rsidR="00A970EC" w:rsidRPr="003D1ADD" w:rsidRDefault="00A970EC" w:rsidP="00A970EC">
      <w:pPr>
        <w:pStyle w:val="Heading2"/>
        <w:rPr>
          <w:rFonts w:asciiTheme="minorHAnsi" w:hAnsiTheme="minorHAnsi" w:cstheme="minorHAnsi"/>
          <w:color w:val="E36C0A" w:themeColor="accent6" w:themeShade="BF"/>
        </w:rPr>
      </w:pPr>
      <w:bookmarkStart w:id="46" w:name="_Toc117856159"/>
      <w:bookmarkStart w:id="47" w:name="_Toc132209204"/>
      <w:bookmarkStart w:id="48" w:name="_Toc132627475"/>
      <w:r w:rsidRPr="003D1ADD">
        <w:rPr>
          <w:rFonts w:asciiTheme="minorHAnsi" w:hAnsiTheme="minorHAnsi" w:cstheme="minorHAnsi"/>
          <w:color w:val="E36C0A" w:themeColor="accent6" w:themeShade="BF"/>
        </w:rPr>
        <w:t>Population</w:t>
      </w:r>
      <w:bookmarkEnd w:id="46"/>
      <w:bookmarkEnd w:id="47"/>
      <w:bookmarkEnd w:id="48"/>
    </w:p>
    <w:p w14:paraId="7998E6A7" w14:textId="22B4D39A" w:rsidR="00F62886" w:rsidRPr="00521D11" w:rsidRDefault="00A970EC" w:rsidP="0062233B">
      <w:pPr>
        <w:rPr>
          <w:rFonts w:asciiTheme="minorHAnsi" w:hAnsiTheme="minorHAnsi" w:cstheme="minorHAnsi"/>
        </w:rPr>
      </w:pPr>
      <w:r w:rsidRPr="00521D11">
        <w:rPr>
          <w:rFonts w:asciiTheme="minorHAnsi" w:hAnsiTheme="minorHAnsi" w:cstheme="minorHAnsi"/>
        </w:rPr>
        <w:t xml:space="preserve">The GCWG </w:t>
      </w:r>
      <w:r w:rsidR="0062233B" w:rsidRPr="00521D11">
        <w:rPr>
          <w:rFonts w:asciiTheme="minorHAnsi" w:hAnsiTheme="minorHAnsi" w:cstheme="minorHAnsi"/>
        </w:rPr>
        <w:t>agreed that</w:t>
      </w:r>
      <w:r w:rsidR="00D30A67" w:rsidRPr="00521D11">
        <w:rPr>
          <w:rFonts w:asciiTheme="minorHAnsi" w:hAnsiTheme="minorHAnsi" w:cstheme="minorHAnsi"/>
        </w:rPr>
        <w:t xml:space="preserve"> the evidence presented indicated a need </w:t>
      </w:r>
      <w:r w:rsidR="00F35222" w:rsidRPr="00521D11">
        <w:rPr>
          <w:rFonts w:asciiTheme="minorHAnsi" w:hAnsiTheme="minorHAnsi" w:cstheme="minorHAnsi"/>
        </w:rPr>
        <w:t>for increased access to genetic counselling</w:t>
      </w:r>
      <w:r w:rsidR="00D30A67" w:rsidRPr="00521D11">
        <w:rPr>
          <w:rFonts w:asciiTheme="minorHAnsi" w:hAnsiTheme="minorHAnsi" w:cstheme="minorHAnsi"/>
        </w:rPr>
        <w:t xml:space="preserve"> services</w:t>
      </w:r>
      <w:r w:rsidR="0062233B" w:rsidRPr="00521D11">
        <w:rPr>
          <w:rFonts w:asciiTheme="minorHAnsi" w:hAnsiTheme="minorHAnsi" w:cstheme="minorHAnsi"/>
        </w:rPr>
        <w:t xml:space="preserve">. The current limited availability of qualified genetic counsellors is </w:t>
      </w:r>
      <w:r w:rsidR="00D30A67" w:rsidRPr="00521D11">
        <w:rPr>
          <w:rFonts w:asciiTheme="minorHAnsi" w:hAnsiTheme="minorHAnsi" w:cstheme="minorHAnsi"/>
        </w:rPr>
        <w:t xml:space="preserve">a contributor to </w:t>
      </w:r>
      <w:r w:rsidR="0062233B" w:rsidRPr="00521D11">
        <w:rPr>
          <w:rFonts w:asciiTheme="minorHAnsi" w:hAnsiTheme="minorHAnsi" w:cstheme="minorHAnsi"/>
        </w:rPr>
        <w:t>long waiting time</w:t>
      </w:r>
      <w:r w:rsidR="00D30A67" w:rsidRPr="00521D11">
        <w:rPr>
          <w:rFonts w:asciiTheme="minorHAnsi" w:hAnsiTheme="minorHAnsi" w:cstheme="minorHAnsi"/>
        </w:rPr>
        <w:t>s</w:t>
      </w:r>
      <w:r w:rsidR="0062233B" w:rsidRPr="00521D11">
        <w:rPr>
          <w:rFonts w:asciiTheme="minorHAnsi" w:hAnsiTheme="minorHAnsi" w:cstheme="minorHAnsi"/>
        </w:rPr>
        <w:t xml:space="preserve"> for patients</w:t>
      </w:r>
      <w:r w:rsidR="00F35222" w:rsidRPr="00521D11">
        <w:rPr>
          <w:rFonts w:asciiTheme="minorHAnsi" w:hAnsiTheme="minorHAnsi" w:cstheme="minorHAnsi"/>
        </w:rPr>
        <w:t xml:space="preserve"> (reported as being </w:t>
      </w:r>
      <w:r w:rsidR="0058055F" w:rsidRPr="00521D11">
        <w:rPr>
          <w:rFonts w:asciiTheme="minorHAnsi" w:hAnsiTheme="minorHAnsi" w:cstheme="minorHAnsi"/>
        </w:rPr>
        <w:t>one</w:t>
      </w:r>
      <w:r w:rsidR="00EC30DF" w:rsidRPr="00521D11">
        <w:rPr>
          <w:rFonts w:asciiTheme="minorHAnsi" w:hAnsiTheme="minorHAnsi" w:cstheme="minorHAnsi"/>
        </w:rPr>
        <w:t xml:space="preserve"> week for pregnant women, </w:t>
      </w:r>
      <w:r w:rsidR="0058055F" w:rsidRPr="00521D11">
        <w:rPr>
          <w:rFonts w:asciiTheme="minorHAnsi" w:hAnsiTheme="minorHAnsi" w:cstheme="minorHAnsi"/>
        </w:rPr>
        <w:t>four</w:t>
      </w:r>
      <w:r w:rsidR="00EC30DF" w:rsidRPr="00521D11">
        <w:rPr>
          <w:rFonts w:asciiTheme="minorHAnsi" w:hAnsiTheme="minorHAnsi" w:cstheme="minorHAnsi"/>
        </w:rPr>
        <w:t xml:space="preserve"> weeks for urgent matters, and </w:t>
      </w:r>
      <w:r w:rsidR="00F35222" w:rsidRPr="00521D11">
        <w:rPr>
          <w:rFonts w:asciiTheme="minorHAnsi" w:hAnsiTheme="minorHAnsi" w:cstheme="minorHAnsi"/>
        </w:rPr>
        <w:t xml:space="preserve">up to </w:t>
      </w:r>
      <w:r w:rsidR="0058055F" w:rsidRPr="00521D11">
        <w:rPr>
          <w:rFonts w:asciiTheme="minorHAnsi" w:hAnsiTheme="minorHAnsi" w:cstheme="minorHAnsi"/>
        </w:rPr>
        <w:t>nine</w:t>
      </w:r>
      <w:r w:rsidR="00F35222" w:rsidRPr="00521D11">
        <w:rPr>
          <w:rFonts w:asciiTheme="minorHAnsi" w:hAnsiTheme="minorHAnsi" w:cstheme="minorHAnsi"/>
        </w:rPr>
        <w:t> months for non-urgent matters)</w:t>
      </w:r>
      <w:r w:rsidR="00D53D9A" w:rsidRPr="00521D11">
        <w:rPr>
          <w:rFonts w:asciiTheme="minorHAnsi" w:hAnsiTheme="minorHAnsi" w:cstheme="minorHAnsi"/>
        </w:rPr>
        <w:t xml:space="preserve"> in public clinics</w:t>
      </w:r>
      <w:r w:rsidR="00F35222" w:rsidRPr="00521D11">
        <w:rPr>
          <w:rFonts w:asciiTheme="minorHAnsi" w:hAnsiTheme="minorHAnsi" w:cstheme="minorHAnsi"/>
        </w:rPr>
        <w:t>, which</w:t>
      </w:r>
      <w:r w:rsidR="0062233B" w:rsidRPr="00521D11">
        <w:rPr>
          <w:rFonts w:asciiTheme="minorHAnsi" w:hAnsiTheme="minorHAnsi" w:cstheme="minorHAnsi"/>
        </w:rPr>
        <w:t xml:space="preserve"> are anticipated to increase even further as the availability of genetic testing expands.</w:t>
      </w:r>
      <w:r w:rsidR="00F35222" w:rsidRPr="00521D11">
        <w:rPr>
          <w:rFonts w:asciiTheme="minorHAnsi" w:hAnsiTheme="minorHAnsi" w:cstheme="minorHAnsi"/>
        </w:rPr>
        <w:t xml:space="preserve"> </w:t>
      </w:r>
    </w:p>
    <w:p w14:paraId="78A487DD" w14:textId="7CAAB377" w:rsidR="00AB75E4" w:rsidRPr="00521D11" w:rsidRDefault="00AB75E4" w:rsidP="0062233B">
      <w:pPr>
        <w:rPr>
          <w:rFonts w:asciiTheme="minorHAnsi" w:hAnsiTheme="minorHAnsi" w:cstheme="minorHAnsi"/>
        </w:rPr>
      </w:pPr>
      <w:r w:rsidRPr="00521D11">
        <w:rPr>
          <w:rFonts w:asciiTheme="minorHAnsi" w:hAnsiTheme="minorHAnsi" w:cstheme="minorHAnsi"/>
        </w:rPr>
        <w:t>Patients are currently triaged according to need and the service is provided in conjunction with a geneticist when required</w:t>
      </w:r>
      <w:r w:rsidR="00954E8E" w:rsidRPr="00521D11">
        <w:rPr>
          <w:rFonts w:asciiTheme="minorHAnsi" w:hAnsiTheme="minorHAnsi" w:cstheme="minorHAnsi"/>
        </w:rPr>
        <w:t>,</w:t>
      </w:r>
      <w:r w:rsidRPr="00521D11">
        <w:rPr>
          <w:rFonts w:asciiTheme="minorHAnsi" w:hAnsiTheme="minorHAnsi" w:cstheme="minorHAnsi"/>
        </w:rPr>
        <w:t xml:space="preserve"> to enable test ordering at the time of consultation. Most state and territory services are large and provide access to a range of subspecialist geneticists and genetic counsellors. These services are usually for a large geographical population </w:t>
      </w:r>
      <w:r w:rsidR="00127CB5" w:rsidRPr="00521D11">
        <w:rPr>
          <w:rFonts w:asciiTheme="minorHAnsi" w:hAnsiTheme="minorHAnsi" w:cstheme="minorHAnsi"/>
        </w:rPr>
        <w:t>and</w:t>
      </w:r>
      <w:r w:rsidRPr="00521D11">
        <w:rPr>
          <w:rFonts w:asciiTheme="minorHAnsi" w:hAnsiTheme="minorHAnsi" w:cstheme="minorHAnsi"/>
        </w:rPr>
        <w:t xml:space="preserve"> provide outreach either physically or via telehealth. Services are based within hospital or health districts and may provide consultative services to other departments and inpatients (</w:t>
      </w:r>
      <w:proofErr w:type="gramStart"/>
      <w:r w:rsidR="008E4589" w:rsidRPr="00521D11">
        <w:rPr>
          <w:rFonts w:asciiTheme="minorHAnsi" w:hAnsiTheme="minorHAnsi" w:cstheme="minorHAnsi"/>
        </w:rPr>
        <w:t>e.g.</w:t>
      </w:r>
      <w:proofErr w:type="gramEnd"/>
      <w:r w:rsidR="00F4335D" w:rsidRPr="00521D11">
        <w:rPr>
          <w:rFonts w:asciiTheme="minorHAnsi" w:hAnsiTheme="minorHAnsi" w:cstheme="minorHAnsi"/>
        </w:rPr>
        <w:t> </w:t>
      </w:r>
      <w:r w:rsidRPr="00521D11">
        <w:rPr>
          <w:rFonts w:asciiTheme="minorHAnsi" w:hAnsiTheme="minorHAnsi" w:cstheme="minorHAnsi"/>
        </w:rPr>
        <w:t xml:space="preserve">after birth).    </w:t>
      </w:r>
    </w:p>
    <w:p w14:paraId="46712AF5" w14:textId="7F04277C" w:rsidR="0008671F" w:rsidRPr="00521D11" w:rsidRDefault="0006389F" w:rsidP="0062233B">
      <w:pPr>
        <w:rPr>
          <w:rFonts w:asciiTheme="minorHAnsi" w:hAnsiTheme="minorHAnsi" w:cstheme="minorHAnsi"/>
        </w:rPr>
      </w:pPr>
      <w:r w:rsidRPr="00521D11">
        <w:rPr>
          <w:rFonts w:asciiTheme="minorHAnsi" w:hAnsiTheme="minorHAnsi" w:cstheme="minorHAnsi"/>
        </w:rPr>
        <w:t>The GCWG noted that m</w:t>
      </w:r>
      <w:r w:rsidR="001E37F2" w:rsidRPr="00521D11">
        <w:rPr>
          <w:rFonts w:asciiTheme="minorHAnsi" w:hAnsiTheme="minorHAnsi" w:cstheme="minorHAnsi"/>
        </w:rPr>
        <w:t>any</w:t>
      </w:r>
      <w:r w:rsidRPr="00521D11">
        <w:rPr>
          <w:rFonts w:asciiTheme="minorHAnsi" w:hAnsiTheme="minorHAnsi" w:cstheme="minorHAnsi"/>
        </w:rPr>
        <w:t xml:space="preserve"> conditions are associated with a genetic predisposition. </w:t>
      </w:r>
      <w:r w:rsidR="004A1063" w:rsidRPr="00521D11">
        <w:rPr>
          <w:rFonts w:asciiTheme="minorHAnsi" w:hAnsiTheme="minorHAnsi" w:cstheme="minorHAnsi"/>
        </w:rPr>
        <w:t>It</w:t>
      </w:r>
      <w:r w:rsidRPr="00521D11">
        <w:rPr>
          <w:rFonts w:asciiTheme="minorHAnsi" w:hAnsiTheme="minorHAnsi" w:cstheme="minorHAnsi"/>
        </w:rPr>
        <w:t xml:space="preserve"> noted</w:t>
      </w:r>
      <w:r w:rsidR="007529EA" w:rsidRPr="00521D11">
        <w:rPr>
          <w:rFonts w:asciiTheme="minorHAnsi" w:hAnsiTheme="minorHAnsi" w:cstheme="minorHAnsi"/>
        </w:rPr>
        <w:t>,</w:t>
      </w:r>
      <w:r w:rsidRPr="00521D11">
        <w:rPr>
          <w:rFonts w:asciiTheme="minorHAnsi" w:hAnsiTheme="minorHAnsi" w:cstheme="minorHAnsi"/>
        </w:rPr>
        <w:t xml:space="preserve"> for example</w:t>
      </w:r>
      <w:r w:rsidR="007529EA" w:rsidRPr="00521D11">
        <w:rPr>
          <w:rFonts w:asciiTheme="minorHAnsi" w:hAnsiTheme="minorHAnsi" w:cstheme="minorHAnsi"/>
        </w:rPr>
        <w:t>,</w:t>
      </w:r>
      <w:r w:rsidRPr="00521D11">
        <w:rPr>
          <w:rFonts w:asciiTheme="minorHAnsi" w:hAnsiTheme="minorHAnsi" w:cstheme="minorHAnsi"/>
        </w:rPr>
        <w:t xml:space="preserve"> that coeliac disease, which affects 1 in 100 people</w:t>
      </w:r>
      <w:r w:rsidR="00843ABA" w:rsidRPr="00521D11">
        <w:rPr>
          <w:rFonts w:asciiTheme="minorHAnsi" w:hAnsiTheme="minorHAnsi" w:cstheme="minorHAnsi"/>
        </w:rPr>
        <w:t>,</w:t>
      </w:r>
      <w:r w:rsidRPr="00521D11">
        <w:rPr>
          <w:rFonts w:asciiTheme="minorHAnsi" w:hAnsiTheme="minorHAnsi" w:cstheme="minorHAnsi"/>
        </w:rPr>
        <w:t xml:space="preserve"> has a recognised genetic predisposition. The GCWG was unable to satisfactorily define the full cohort of patients who should be referred to a genetic counselling service. For many conditions, such as hemochromatosis, a GP or </w:t>
      </w:r>
      <w:r w:rsidR="00925D89" w:rsidRPr="00521D11">
        <w:rPr>
          <w:rFonts w:asciiTheme="minorHAnsi" w:hAnsiTheme="minorHAnsi" w:cstheme="minorHAnsi"/>
        </w:rPr>
        <w:t xml:space="preserve">non-GP </w:t>
      </w:r>
      <w:r w:rsidRPr="00521D11">
        <w:rPr>
          <w:rFonts w:asciiTheme="minorHAnsi" w:hAnsiTheme="minorHAnsi" w:cstheme="minorHAnsi"/>
        </w:rPr>
        <w:t xml:space="preserve">specialist is qualified to provide genetic counselling. </w:t>
      </w:r>
    </w:p>
    <w:p w14:paraId="39A5973F" w14:textId="15CF4B83" w:rsidR="003F5D9D" w:rsidRPr="00521D11" w:rsidRDefault="001E37F2" w:rsidP="003F5D9D">
      <w:pPr>
        <w:rPr>
          <w:rFonts w:asciiTheme="minorHAnsi" w:hAnsiTheme="minorHAnsi" w:cstheme="minorHAnsi"/>
        </w:rPr>
      </w:pPr>
      <w:r w:rsidRPr="00521D11">
        <w:rPr>
          <w:rFonts w:asciiTheme="minorHAnsi" w:hAnsiTheme="minorHAnsi" w:cstheme="minorHAnsi"/>
        </w:rPr>
        <w:t>T</w:t>
      </w:r>
      <w:r w:rsidR="003F5D9D" w:rsidRPr="00521D11">
        <w:rPr>
          <w:rFonts w:asciiTheme="minorHAnsi" w:hAnsiTheme="minorHAnsi" w:cstheme="minorHAnsi"/>
        </w:rPr>
        <w:t xml:space="preserve">here are </w:t>
      </w:r>
      <w:r w:rsidRPr="00521D11">
        <w:rPr>
          <w:rFonts w:asciiTheme="minorHAnsi" w:hAnsiTheme="minorHAnsi" w:cstheme="minorHAnsi"/>
        </w:rPr>
        <w:t xml:space="preserve">currently </w:t>
      </w:r>
      <w:r w:rsidR="00A570B7">
        <w:rPr>
          <w:rFonts w:asciiTheme="minorHAnsi" w:hAnsiTheme="minorHAnsi" w:cstheme="minorHAnsi"/>
        </w:rPr>
        <w:t>eighteen</w:t>
      </w:r>
      <w:r w:rsidR="00CC6629" w:rsidRPr="00521D11">
        <w:rPr>
          <w:rFonts w:asciiTheme="minorHAnsi" w:hAnsiTheme="minorHAnsi" w:cstheme="minorHAnsi"/>
        </w:rPr>
        <w:t> </w:t>
      </w:r>
      <w:r w:rsidR="003F5D9D" w:rsidRPr="00521D11">
        <w:rPr>
          <w:rFonts w:asciiTheme="minorHAnsi" w:hAnsiTheme="minorHAnsi" w:cstheme="minorHAnsi"/>
        </w:rPr>
        <w:t xml:space="preserve">MBS items for genetic testing </w:t>
      </w:r>
      <w:r w:rsidR="00843ABA" w:rsidRPr="00521D11">
        <w:rPr>
          <w:rFonts w:asciiTheme="minorHAnsi" w:hAnsiTheme="minorHAnsi" w:cstheme="minorHAnsi"/>
        </w:rPr>
        <w:t>that</w:t>
      </w:r>
      <w:r w:rsidR="003F5D9D" w:rsidRPr="00521D11">
        <w:rPr>
          <w:rFonts w:asciiTheme="minorHAnsi" w:hAnsiTheme="minorHAnsi" w:cstheme="minorHAnsi"/>
        </w:rPr>
        <w:t xml:space="preserve"> recommend genetic counselling be provided to the patient by the specialist treating practitioner, a genetic counselling service or a clinical geneticist on referral. Th</w:t>
      </w:r>
      <w:r w:rsidR="00BA27F3" w:rsidRPr="00521D11">
        <w:rPr>
          <w:rFonts w:asciiTheme="minorHAnsi" w:hAnsiTheme="minorHAnsi" w:cstheme="minorHAnsi"/>
        </w:rPr>
        <w:t xml:space="preserve">is recommendation is contained within the explanatory note of </w:t>
      </w:r>
      <w:r w:rsidR="003F5D9D" w:rsidRPr="00521D11">
        <w:rPr>
          <w:rFonts w:asciiTheme="minorHAnsi" w:hAnsiTheme="minorHAnsi" w:cstheme="minorHAnsi"/>
        </w:rPr>
        <w:t xml:space="preserve">these MBS </w:t>
      </w:r>
      <w:proofErr w:type="gramStart"/>
      <w:r w:rsidR="003F5D9D" w:rsidRPr="00521D11">
        <w:rPr>
          <w:rFonts w:asciiTheme="minorHAnsi" w:hAnsiTheme="minorHAnsi" w:cstheme="minorHAnsi"/>
        </w:rPr>
        <w:t>items</w:t>
      </w:r>
      <w:r w:rsidR="00BA27F3" w:rsidRPr="00521D11">
        <w:rPr>
          <w:rFonts w:asciiTheme="minorHAnsi" w:hAnsiTheme="minorHAnsi" w:cstheme="minorHAnsi"/>
        </w:rPr>
        <w:t>, but</w:t>
      </w:r>
      <w:proofErr w:type="gramEnd"/>
      <w:r w:rsidR="00BA27F3" w:rsidRPr="00521D11">
        <w:rPr>
          <w:rFonts w:asciiTheme="minorHAnsi" w:hAnsiTheme="minorHAnsi" w:cstheme="minorHAnsi"/>
        </w:rPr>
        <w:t xml:space="preserve"> is </w:t>
      </w:r>
      <w:r w:rsidR="003F5D9D" w:rsidRPr="00521D11">
        <w:rPr>
          <w:rFonts w:asciiTheme="minorHAnsi" w:hAnsiTheme="minorHAnsi" w:cstheme="minorHAnsi"/>
        </w:rPr>
        <w:t xml:space="preserve">not </w:t>
      </w:r>
      <w:r w:rsidR="002167B5" w:rsidRPr="00521D11">
        <w:rPr>
          <w:rFonts w:asciiTheme="minorHAnsi" w:hAnsiTheme="minorHAnsi" w:cstheme="minorHAnsi"/>
        </w:rPr>
        <w:t xml:space="preserve">claiming </w:t>
      </w:r>
      <w:r w:rsidR="003F5D9D" w:rsidRPr="00521D11">
        <w:rPr>
          <w:rFonts w:asciiTheme="minorHAnsi" w:hAnsiTheme="minorHAnsi" w:cstheme="minorHAnsi"/>
        </w:rPr>
        <w:t xml:space="preserve">requirement </w:t>
      </w:r>
      <w:r w:rsidR="002167B5" w:rsidRPr="00521D11">
        <w:rPr>
          <w:rFonts w:asciiTheme="minorHAnsi" w:hAnsiTheme="minorHAnsi" w:cstheme="minorHAnsi"/>
        </w:rPr>
        <w:t>for benefits to be payable</w:t>
      </w:r>
      <w:r w:rsidR="003F5D9D" w:rsidRPr="00521D11">
        <w:rPr>
          <w:rFonts w:asciiTheme="minorHAnsi" w:hAnsiTheme="minorHAnsi" w:cstheme="minorHAnsi"/>
        </w:rPr>
        <w:t>.</w:t>
      </w:r>
    </w:p>
    <w:p w14:paraId="44ABE23C" w14:textId="36D3D179" w:rsidR="008F6A1A" w:rsidRPr="00521D11" w:rsidRDefault="008F6A1A" w:rsidP="008F6A1A">
      <w:pPr>
        <w:pStyle w:val="NormalBeforeBullet"/>
        <w:rPr>
          <w:rFonts w:asciiTheme="minorHAnsi" w:hAnsiTheme="minorHAnsi" w:cstheme="minorHAnsi"/>
        </w:rPr>
      </w:pPr>
      <w:r w:rsidRPr="00521D11">
        <w:rPr>
          <w:rFonts w:asciiTheme="minorHAnsi" w:hAnsiTheme="minorHAnsi" w:cstheme="minorHAnsi"/>
        </w:rPr>
        <w:t xml:space="preserve">The </w:t>
      </w:r>
      <w:r w:rsidR="0081442B" w:rsidRPr="00521D11">
        <w:rPr>
          <w:rFonts w:asciiTheme="minorHAnsi" w:hAnsiTheme="minorHAnsi" w:cstheme="minorHAnsi"/>
        </w:rPr>
        <w:t xml:space="preserve">test-related </w:t>
      </w:r>
      <w:r w:rsidRPr="00521D11">
        <w:rPr>
          <w:rFonts w:asciiTheme="minorHAnsi" w:hAnsiTheme="minorHAnsi" w:cstheme="minorHAnsi"/>
        </w:rPr>
        <w:t xml:space="preserve">risks of patients and families not accessing appropriate genetic counselling </w:t>
      </w:r>
      <w:r w:rsidR="0076332E" w:rsidRPr="00521D11">
        <w:rPr>
          <w:rFonts w:asciiTheme="minorHAnsi" w:hAnsiTheme="minorHAnsi" w:cstheme="minorHAnsi"/>
        </w:rPr>
        <w:t>include</w:t>
      </w:r>
      <w:r w:rsidRPr="00521D11">
        <w:rPr>
          <w:rFonts w:asciiTheme="minorHAnsi" w:hAnsiTheme="minorHAnsi" w:cstheme="minorHAnsi"/>
        </w:rPr>
        <w:t>:</w:t>
      </w:r>
    </w:p>
    <w:p w14:paraId="1B45F735" w14:textId="59359255" w:rsidR="008F6A1A" w:rsidRPr="00521D11" w:rsidRDefault="1E5C5701" w:rsidP="00CF683B">
      <w:pPr>
        <w:pStyle w:val="Bullet"/>
        <w:rPr>
          <w:rFonts w:asciiTheme="minorHAnsi" w:hAnsiTheme="minorHAnsi" w:cstheme="minorHAnsi"/>
        </w:rPr>
      </w:pPr>
      <w:r w:rsidRPr="00521D11">
        <w:rPr>
          <w:rFonts w:asciiTheme="minorHAnsi" w:hAnsiTheme="minorHAnsi" w:cstheme="minorHAnsi"/>
        </w:rPr>
        <w:t xml:space="preserve">an </w:t>
      </w:r>
      <w:r w:rsidR="1DE72EC1" w:rsidRPr="00521D11">
        <w:rPr>
          <w:rFonts w:asciiTheme="minorHAnsi" w:hAnsiTheme="minorHAnsi" w:cstheme="minorHAnsi"/>
        </w:rPr>
        <w:t>incorrect test being ordered</w:t>
      </w:r>
    </w:p>
    <w:p w14:paraId="773B9AB8" w14:textId="5DA64F23" w:rsidR="00CB5A49" w:rsidRPr="00521D11" w:rsidRDefault="6E5B408B" w:rsidP="00CF683B">
      <w:pPr>
        <w:pStyle w:val="Bullet"/>
        <w:rPr>
          <w:rFonts w:asciiTheme="minorHAnsi" w:hAnsiTheme="minorHAnsi" w:cstheme="minorHAnsi"/>
        </w:rPr>
      </w:pPr>
      <w:r w:rsidRPr="00521D11">
        <w:rPr>
          <w:rFonts w:asciiTheme="minorHAnsi" w:hAnsiTheme="minorHAnsi" w:cstheme="minorHAnsi"/>
        </w:rPr>
        <w:t xml:space="preserve">lack of follow up from </w:t>
      </w:r>
      <w:r w:rsidR="582D3C5E" w:rsidRPr="00521D11">
        <w:rPr>
          <w:rFonts w:asciiTheme="minorHAnsi" w:hAnsiTheme="minorHAnsi" w:cstheme="minorHAnsi"/>
        </w:rPr>
        <w:t>an</w:t>
      </w:r>
      <w:r w:rsidRPr="00521D11">
        <w:rPr>
          <w:rFonts w:asciiTheme="minorHAnsi" w:hAnsiTheme="minorHAnsi" w:cstheme="minorHAnsi"/>
        </w:rPr>
        <w:t xml:space="preserve"> initiating clinician</w:t>
      </w:r>
    </w:p>
    <w:p w14:paraId="1AB0B342" w14:textId="77777777" w:rsidR="007959A7" w:rsidRPr="00521D11" w:rsidRDefault="00AB75E4" w:rsidP="00CF683B">
      <w:pPr>
        <w:pStyle w:val="BulletLast"/>
        <w:rPr>
          <w:rFonts w:asciiTheme="minorHAnsi" w:hAnsiTheme="minorHAnsi" w:cstheme="minorHAnsi"/>
        </w:rPr>
      </w:pPr>
      <w:r w:rsidRPr="00521D11">
        <w:rPr>
          <w:rFonts w:asciiTheme="minorHAnsi" w:hAnsiTheme="minorHAnsi" w:cstheme="minorHAnsi"/>
        </w:rPr>
        <w:t>where relevant, family members not realising a test result impacts them</w:t>
      </w:r>
      <w:r w:rsidR="007959A7" w:rsidRPr="00521D11">
        <w:rPr>
          <w:rFonts w:asciiTheme="minorHAnsi" w:hAnsiTheme="minorHAnsi" w:cstheme="minorHAnsi"/>
        </w:rPr>
        <w:t>.</w:t>
      </w:r>
    </w:p>
    <w:p w14:paraId="6869AEB2" w14:textId="767893A5" w:rsidR="00AB75E4" w:rsidRPr="00521D11" w:rsidRDefault="007959A7" w:rsidP="007959A7">
      <w:pPr>
        <w:pStyle w:val="NormalBeforeBullet"/>
        <w:rPr>
          <w:rFonts w:asciiTheme="minorHAnsi" w:hAnsiTheme="minorHAnsi" w:cstheme="minorHAnsi"/>
        </w:rPr>
      </w:pPr>
      <w:r w:rsidRPr="00521D11">
        <w:rPr>
          <w:rFonts w:asciiTheme="minorHAnsi" w:hAnsiTheme="minorHAnsi" w:cstheme="minorHAnsi"/>
        </w:rPr>
        <w:t>The non-test related risks for patients and families not being able to access genetic counselling include:</w:t>
      </w:r>
      <w:r w:rsidR="00AB75E4" w:rsidRPr="00521D11">
        <w:rPr>
          <w:rFonts w:asciiTheme="minorHAnsi" w:hAnsiTheme="minorHAnsi" w:cstheme="minorHAnsi"/>
        </w:rPr>
        <w:t xml:space="preserve">  </w:t>
      </w:r>
    </w:p>
    <w:p w14:paraId="11E10595" w14:textId="008E8C2E" w:rsidR="007959A7" w:rsidRPr="00521D11" w:rsidRDefault="007F6198" w:rsidP="00CF683B">
      <w:pPr>
        <w:pStyle w:val="Bullet"/>
        <w:rPr>
          <w:rFonts w:asciiTheme="minorHAnsi" w:hAnsiTheme="minorHAnsi" w:cstheme="minorHAnsi"/>
        </w:rPr>
      </w:pPr>
      <w:r>
        <w:rPr>
          <w:rFonts w:asciiTheme="minorHAnsi" w:hAnsiTheme="minorHAnsi" w:cstheme="minorHAnsi"/>
        </w:rPr>
        <w:t>inadequate</w:t>
      </w:r>
      <w:r w:rsidR="1C307934" w:rsidRPr="00521D11">
        <w:rPr>
          <w:rFonts w:asciiTheme="minorHAnsi" w:hAnsiTheme="minorHAnsi" w:cstheme="minorHAnsi"/>
        </w:rPr>
        <w:t xml:space="preserve"> informed consent (before testing)</w:t>
      </w:r>
    </w:p>
    <w:p w14:paraId="7CBCA43F" w14:textId="7C1A629C" w:rsidR="008F6A1A" w:rsidRPr="00521D11" w:rsidRDefault="1DE72EC1" w:rsidP="00CF683B">
      <w:pPr>
        <w:pStyle w:val="Bullet"/>
        <w:rPr>
          <w:rFonts w:asciiTheme="minorHAnsi" w:hAnsiTheme="minorHAnsi" w:cstheme="minorHAnsi"/>
        </w:rPr>
      </w:pPr>
      <w:r w:rsidRPr="00521D11">
        <w:rPr>
          <w:rFonts w:asciiTheme="minorHAnsi" w:hAnsiTheme="minorHAnsi" w:cstheme="minorHAnsi"/>
        </w:rPr>
        <w:t>misinterpretation of genetic testing results</w:t>
      </w:r>
    </w:p>
    <w:p w14:paraId="13209301" w14:textId="5C31DA82" w:rsidR="00EF2789" w:rsidRPr="00521D11" w:rsidRDefault="008F6A1A" w:rsidP="00CF683B">
      <w:pPr>
        <w:pStyle w:val="BulletLast"/>
        <w:rPr>
          <w:rFonts w:asciiTheme="minorHAnsi" w:hAnsiTheme="minorHAnsi" w:cstheme="minorHAnsi"/>
        </w:rPr>
      </w:pPr>
      <w:r w:rsidRPr="00521D11">
        <w:rPr>
          <w:rFonts w:asciiTheme="minorHAnsi" w:hAnsiTheme="minorHAnsi" w:cstheme="minorHAnsi"/>
        </w:rPr>
        <w:t>incorrect advice</w:t>
      </w:r>
      <w:r w:rsidR="0081442B" w:rsidRPr="00521D11">
        <w:rPr>
          <w:rFonts w:asciiTheme="minorHAnsi" w:hAnsiTheme="minorHAnsi" w:cstheme="minorHAnsi"/>
        </w:rPr>
        <w:t>.</w:t>
      </w:r>
    </w:p>
    <w:p w14:paraId="04DF9D3F" w14:textId="543880AF" w:rsidR="00F35222" w:rsidRPr="00521D11" w:rsidRDefault="00F35222" w:rsidP="0062233B">
      <w:pPr>
        <w:rPr>
          <w:rFonts w:asciiTheme="minorHAnsi" w:hAnsiTheme="minorHAnsi" w:cstheme="minorHAnsi"/>
        </w:rPr>
      </w:pPr>
      <w:r w:rsidRPr="00521D11">
        <w:rPr>
          <w:rFonts w:asciiTheme="minorHAnsi" w:hAnsiTheme="minorHAnsi" w:cstheme="minorHAnsi"/>
        </w:rPr>
        <w:lastRenderedPageBreak/>
        <w:t xml:space="preserve">The GCWG noted </w:t>
      </w:r>
      <w:r w:rsidR="00BB67FA" w:rsidRPr="00521D11">
        <w:rPr>
          <w:rFonts w:asciiTheme="minorHAnsi" w:hAnsiTheme="minorHAnsi" w:cstheme="minorHAnsi"/>
        </w:rPr>
        <w:t xml:space="preserve">that </w:t>
      </w:r>
      <w:r w:rsidRPr="00521D11">
        <w:rPr>
          <w:rFonts w:asciiTheme="minorHAnsi" w:hAnsiTheme="minorHAnsi" w:cstheme="minorHAnsi"/>
        </w:rPr>
        <w:t>genetic counselling</w:t>
      </w:r>
      <w:r w:rsidR="00BB67FA" w:rsidRPr="00521D11">
        <w:rPr>
          <w:rFonts w:asciiTheme="minorHAnsi" w:hAnsiTheme="minorHAnsi" w:cstheme="minorHAnsi"/>
        </w:rPr>
        <w:t xml:space="preserve"> is amendable to telehealth</w:t>
      </w:r>
      <w:r w:rsidRPr="00521D11">
        <w:rPr>
          <w:rFonts w:asciiTheme="minorHAnsi" w:hAnsiTheme="minorHAnsi" w:cstheme="minorHAnsi"/>
        </w:rPr>
        <w:t xml:space="preserve">, as it does not </w:t>
      </w:r>
      <w:r w:rsidR="007959A7" w:rsidRPr="00521D11">
        <w:rPr>
          <w:rFonts w:asciiTheme="minorHAnsi" w:hAnsiTheme="minorHAnsi" w:cstheme="minorHAnsi"/>
        </w:rPr>
        <w:t xml:space="preserve">usually </w:t>
      </w:r>
      <w:r w:rsidRPr="00521D11">
        <w:rPr>
          <w:rFonts w:asciiTheme="minorHAnsi" w:hAnsiTheme="minorHAnsi" w:cstheme="minorHAnsi"/>
        </w:rPr>
        <w:t>require a physical exam</w:t>
      </w:r>
      <w:r w:rsidR="007959A7" w:rsidRPr="00521D11">
        <w:rPr>
          <w:rFonts w:asciiTheme="minorHAnsi" w:hAnsiTheme="minorHAnsi" w:cstheme="minorHAnsi"/>
        </w:rPr>
        <w:t xml:space="preserve"> (although there may be exceptions)</w:t>
      </w:r>
      <w:r w:rsidRPr="00521D11">
        <w:rPr>
          <w:rFonts w:asciiTheme="minorHAnsi" w:hAnsiTheme="minorHAnsi" w:cstheme="minorHAnsi"/>
        </w:rPr>
        <w:t>.</w:t>
      </w:r>
    </w:p>
    <w:p w14:paraId="3BA68EAA" w14:textId="3A5FFC57" w:rsidR="00A970EC" w:rsidRPr="003D1ADD" w:rsidRDefault="00A970EC" w:rsidP="00A970EC">
      <w:pPr>
        <w:pStyle w:val="Heading2"/>
        <w:rPr>
          <w:rFonts w:asciiTheme="minorHAnsi" w:hAnsiTheme="minorHAnsi" w:cstheme="minorHAnsi"/>
          <w:color w:val="E36C0A" w:themeColor="accent6" w:themeShade="BF"/>
        </w:rPr>
      </w:pPr>
      <w:bookmarkStart w:id="49" w:name="_Toc117856160"/>
      <w:bookmarkStart w:id="50" w:name="_Toc132209205"/>
      <w:bookmarkStart w:id="51" w:name="_Toc132627476"/>
      <w:r w:rsidRPr="003D1ADD">
        <w:rPr>
          <w:rFonts w:asciiTheme="minorHAnsi" w:hAnsiTheme="minorHAnsi" w:cstheme="minorHAnsi"/>
          <w:color w:val="E36C0A" w:themeColor="accent6" w:themeShade="BF"/>
        </w:rPr>
        <w:t>Intervention</w:t>
      </w:r>
      <w:bookmarkEnd w:id="49"/>
      <w:bookmarkEnd w:id="50"/>
      <w:bookmarkEnd w:id="51"/>
    </w:p>
    <w:p w14:paraId="7C139BFF" w14:textId="7AE935FE" w:rsidR="008A644E" w:rsidRPr="00521D11" w:rsidRDefault="0006389F" w:rsidP="00CF683B">
      <w:pPr>
        <w:pStyle w:val="NormalBeforeBullet"/>
        <w:rPr>
          <w:rFonts w:asciiTheme="minorHAnsi" w:hAnsiTheme="minorHAnsi" w:cstheme="minorHAnsi"/>
        </w:rPr>
      </w:pPr>
      <w:r w:rsidRPr="00521D11">
        <w:rPr>
          <w:rFonts w:asciiTheme="minorHAnsi" w:hAnsiTheme="minorHAnsi" w:cstheme="minorHAnsi"/>
        </w:rPr>
        <w:t xml:space="preserve">The HGSA model </w:t>
      </w:r>
      <w:r w:rsidR="008A644E" w:rsidRPr="00521D11">
        <w:rPr>
          <w:rFonts w:asciiTheme="minorHAnsi" w:hAnsiTheme="minorHAnsi" w:cstheme="minorHAnsi"/>
        </w:rPr>
        <w:t>included a clinical management algorithm (Figure 1</w:t>
      </w:r>
      <w:r w:rsidR="003B4026" w:rsidRPr="00521D11">
        <w:rPr>
          <w:rFonts w:asciiTheme="minorHAnsi" w:hAnsiTheme="minorHAnsi" w:cstheme="minorHAnsi"/>
        </w:rPr>
        <w:t xml:space="preserve"> in the </w:t>
      </w:r>
      <w:r w:rsidR="00AA75F8">
        <w:rPr>
          <w:rFonts w:asciiTheme="minorHAnsi" w:hAnsiTheme="minorHAnsi" w:cstheme="minorHAnsi"/>
        </w:rPr>
        <w:t>proposal</w:t>
      </w:r>
      <w:r w:rsidR="008A644E" w:rsidRPr="00521D11">
        <w:rPr>
          <w:rFonts w:asciiTheme="minorHAnsi" w:hAnsiTheme="minorHAnsi" w:cstheme="minorHAnsi"/>
        </w:rPr>
        <w:t>)</w:t>
      </w:r>
      <w:r w:rsidR="007959A7" w:rsidRPr="00521D11">
        <w:rPr>
          <w:rFonts w:asciiTheme="minorHAnsi" w:hAnsiTheme="minorHAnsi" w:cstheme="minorHAnsi"/>
        </w:rPr>
        <w:t>.</w:t>
      </w:r>
      <w:r w:rsidRPr="00521D11">
        <w:rPr>
          <w:rFonts w:asciiTheme="minorHAnsi" w:hAnsiTheme="minorHAnsi" w:cstheme="minorHAnsi"/>
        </w:rPr>
        <w:t xml:space="preserve"> </w:t>
      </w:r>
      <w:r w:rsidR="008A644E" w:rsidRPr="00521D11">
        <w:rPr>
          <w:rFonts w:asciiTheme="minorHAnsi" w:hAnsiTheme="minorHAnsi" w:cstheme="minorHAnsi"/>
        </w:rPr>
        <w:t xml:space="preserve">It was noted that </w:t>
      </w:r>
      <w:r w:rsidR="007959A7" w:rsidRPr="00521D11">
        <w:rPr>
          <w:rFonts w:asciiTheme="minorHAnsi" w:hAnsiTheme="minorHAnsi" w:cstheme="minorHAnsi"/>
        </w:rPr>
        <w:t>several</w:t>
      </w:r>
      <w:r w:rsidR="008A644E" w:rsidRPr="00521D11">
        <w:rPr>
          <w:rFonts w:asciiTheme="minorHAnsi" w:hAnsiTheme="minorHAnsi" w:cstheme="minorHAnsi"/>
        </w:rPr>
        <w:t xml:space="preserve"> key aspects of the algorithm </w:t>
      </w:r>
      <w:r w:rsidR="001361B9" w:rsidRPr="00521D11">
        <w:rPr>
          <w:rFonts w:asciiTheme="minorHAnsi" w:hAnsiTheme="minorHAnsi" w:cstheme="minorHAnsi"/>
        </w:rPr>
        <w:t>require</w:t>
      </w:r>
      <w:r w:rsidR="008A644E" w:rsidRPr="00521D11">
        <w:rPr>
          <w:rFonts w:asciiTheme="minorHAnsi" w:hAnsiTheme="minorHAnsi" w:cstheme="minorHAnsi"/>
        </w:rPr>
        <w:t xml:space="preserve"> </w:t>
      </w:r>
      <w:r w:rsidR="00F64420" w:rsidRPr="00521D11">
        <w:rPr>
          <w:rFonts w:asciiTheme="minorHAnsi" w:hAnsiTheme="minorHAnsi" w:cstheme="minorHAnsi"/>
        </w:rPr>
        <w:t>clarification</w:t>
      </w:r>
      <w:r w:rsidR="00CF683B" w:rsidRPr="00521D11">
        <w:rPr>
          <w:rFonts w:asciiTheme="minorHAnsi" w:hAnsiTheme="minorHAnsi" w:cstheme="minorHAnsi"/>
        </w:rPr>
        <w:t>:</w:t>
      </w:r>
    </w:p>
    <w:p w14:paraId="7332259C" w14:textId="132E4F2C" w:rsidR="008A644E" w:rsidRPr="00521D11" w:rsidRDefault="00D362DF" w:rsidP="00CF683B">
      <w:pPr>
        <w:pStyle w:val="Bullet"/>
        <w:rPr>
          <w:rFonts w:asciiTheme="minorHAnsi" w:hAnsiTheme="minorHAnsi" w:cstheme="minorHAnsi"/>
        </w:rPr>
      </w:pPr>
      <w:r w:rsidRPr="00521D11">
        <w:rPr>
          <w:rFonts w:asciiTheme="minorHAnsi" w:hAnsiTheme="minorHAnsi" w:cstheme="minorHAnsi"/>
        </w:rPr>
        <w:t>‘</w:t>
      </w:r>
      <w:proofErr w:type="gramStart"/>
      <w:r w:rsidR="008A644E" w:rsidRPr="00521D11">
        <w:rPr>
          <w:rFonts w:asciiTheme="minorHAnsi" w:hAnsiTheme="minorHAnsi" w:cstheme="minorHAnsi"/>
        </w:rPr>
        <w:t>patient</w:t>
      </w:r>
      <w:proofErr w:type="gramEnd"/>
      <w:r w:rsidR="008A644E" w:rsidRPr="00521D11">
        <w:rPr>
          <w:rFonts w:asciiTheme="minorHAnsi" w:hAnsiTheme="minorHAnsi" w:cstheme="minorHAnsi"/>
        </w:rPr>
        <w:t xml:space="preserve"> under investigation for medical condition that may have a genetic cause</w:t>
      </w:r>
      <w:r w:rsidRPr="00521D11">
        <w:rPr>
          <w:rFonts w:asciiTheme="minorHAnsi" w:hAnsiTheme="minorHAnsi" w:cstheme="minorHAnsi"/>
        </w:rPr>
        <w:t>’</w:t>
      </w:r>
      <w:r w:rsidR="008A644E" w:rsidRPr="00521D11">
        <w:rPr>
          <w:rFonts w:asciiTheme="minorHAnsi" w:hAnsiTheme="minorHAnsi" w:cstheme="minorHAnsi"/>
        </w:rPr>
        <w:t xml:space="preserve">. </w:t>
      </w:r>
      <w:r w:rsidR="00F64420" w:rsidRPr="00521D11">
        <w:rPr>
          <w:rFonts w:asciiTheme="minorHAnsi" w:hAnsiTheme="minorHAnsi" w:cstheme="minorHAnsi"/>
        </w:rPr>
        <w:t>The term ‘</w:t>
      </w:r>
      <w:r w:rsidR="008A644E" w:rsidRPr="00521D11">
        <w:rPr>
          <w:rFonts w:asciiTheme="minorHAnsi" w:hAnsiTheme="minorHAnsi" w:cstheme="minorHAnsi"/>
        </w:rPr>
        <w:t>medical conditions</w:t>
      </w:r>
      <w:r w:rsidR="00F64420" w:rsidRPr="00521D11">
        <w:rPr>
          <w:rFonts w:asciiTheme="minorHAnsi" w:hAnsiTheme="minorHAnsi" w:cstheme="minorHAnsi"/>
        </w:rPr>
        <w:t>’ should be defined.</w:t>
      </w:r>
    </w:p>
    <w:p w14:paraId="1F988EAB" w14:textId="5166C8CD" w:rsidR="008A644E" w:rsidRPr="00521D11" w:rsidRDefault="008A644E" w:rsidP="00CF683B">
      <w:pPr>
        <w:pStyle w:val="Bullet"/>
        <w:rPr>
          <w:rFonts w:asciiTheme="minorHAnsi" w:hAnsiTheme="minorHAnsi" w:cstheme="minorHAnsi"/>
        </w:rPr>
      </w:pPr>
      <w:r w:rsidRPr="00521D11">
        <w:rPr>
          <w:rFonts w:asciiTheme="minorHAnsi" w:hAnsiTheme="minorHAnsi" w:cstheme="minorHAnsi"/>
        </w:rPr>
        <w:t>Medical practitioner refers patient to HGSA</w:t>
      </w:r>
      <w:r w:rsidR="00102294" w:rsidRPr="00521D11">
        <w:rPr>
          <w:rFonts w:asciiTheme="minorHAnsi" w:hAnsiTheme="minorHAnsi" w:cstheme="minorHAnsi"/>
        </w:rPr>
        <w:t>-</w:t>
      </w:r>
      <w:r w:rsidRPr="00521D11">
        <w:rPr>
          <w:rFonts w:asciiTheme="minorHAnsi" w:hAnsiTheme="minorHAnsi" w:cstheme="minorHAnsi"/>
        </w:rPr>
        <w:t>registered counsellor</w:t>
      </w:r>
      <w:r w:rsidR="00F64420" w:rsidRPr="00521D11">
        <w:rPr>
          <w:rFonts w:asciiTheme="minorHAnsi" w:hAnsiTheme="minorHAnsi" w:cstheme="minorHAnsi"/>
        </w:rPr>
        <w:t xml:space="preserve">. The type of medical </w:t>
      </w:r>
      <w:r w:rsidR="00BC709E" w:rsidRPr="00521D11">
        <w:rPr>
          <w:rFonts w:asciiTheme="minorHAnsi" w:hAnsiTheme="minorHAnsi" w:cstheme="minorHAnsi"/>
        </w:rPr>
        <w:t>practitioner</w:t>
      </w:r>
      <w:r w:rsidR="00F64420" w:rsidRPr="00521D11">
        <w:rPr>
          <w:rFonts w:asciiTheme="minorHAnsi" w:hAnsiTheme="minorHAnsi" w:cstheme="minorHAnsi"/>
        </w:rPr>
        <w:t xml:space="preserve"> should be clarified (</w:t>
      </w:r>
      <w:proofErr w:type="gramStart"/>
      <w:r w:rsidR="00F64420" w:rsidRPr="00521D11">
        <w:rPr>
          <w:rFonts w:asciiTheme="minorHAnsi" w:hAnsiTheme="minorHAnsi" w:cstheme="minorHAnsi"/>
        </w:rPr>
        <w:t>e.g.</w:t>
      </w:r>
      <w:proofErr w:type="gramEnd"/>
      <w:r w:rsidRPr="00521D11">
        <w:rPr>
          <w:rFonts w:asciiTheme="minorHAnsi" w:hAnsiTheme="minorHAnsi" w:cstheme="minorHAnsi"/>
        </w:rPr>
        <w:t xml:space="preserve"> GP</w:t>
      </w:r>
      <w:r w:rsidR="00F64420" w:rsidRPr="00521D11">
        <w:rPr>
          <w:rFonts w:asciiTheme="minorHAnsi" w:hAnsiTheme="minorHAnsi" w:cstheme="minorHAnsi"/>
        </w:rPr>
        <w:t>,</w:t>
      </w:r>
      <w:r w:rsidRPr="00521D11">
        <w:rPr>
          <w:rFonts w:asciiTheme="minorHAnsi" w:hAnsiTheme="minorHAnsi" w:cstheme="minorHAnsi"/>
        </w:rPr>
        <w:t xml:space="preserve"> </w:t>
      </w:r>
      <w:r w:rsidR="00F64420" w:rsidRPr="00521D11">
        <w:rPr>
          <w:rFonts w:asciiTheme="minorHAnsi" w:hAnsiTheme="minorHAnsi" w:cstheme="minorHAnsi"/>
        </w:rPr>
        <w:t>n</w:t>
      </w:r>
      <w:r w:rsidR="00AA2DFC" w:rsidRPr="00521D11">
        <w:rPr>
          <w:rFonts w:asciiTheme="minorHAnsi" w:hAnsiTheme="minorHAnsi" w:cstheme="minorHAnsi"/>
        </w:rPr>
        <w:t xml:space="preserve">on-GP </w:t>
      </w:r>
      <w:r w:rsidR="00F64420" w:rsidRPr="00521D11">
        <w:rPr>
          <w:rFonts w:asciiTheme="minorHAnsi" w:hAnsiTheme="minorHAnsi" w:cstheme="minorHAnsi"/>
        </w:rPr>
        <w:t>s</w:t>
      </w:r>
      <w:r w:rsidRPr="00521D11">
        <w:rPr>
          <w:rFonts w:asciiTheme="minorHAnsi" w:hAnsiTheme="minorHAnsi" w:cstheme="minorHAnsi"/>
        </w:rPr>
        <w:t>pecialist</w:t>
      </w:r>
      <w:r w:rsidR="00F64420" w:rsidRPr="00521D11">
        <w:rPr>
          <w:rFonts w:asciiTheme="minorHAnsi" w:hAnsiTheme="minorHAnsi" w:cstheme="minorHAnsi"/>
        </w:rPr>
        <w:t>, or both).</w:t>
      </w:r>
    </w:p>
    <w:p w14:paraId="5F7218E7" w14:textId="6F3233DE" w:rsidR="008A644E" w:rsidRPr="00521D11" w:rsidRDefault="00F84C32" w:rsidP="00CF683B">
      <w:pPr>
        <w:pStyle w:val="BulletLast"/>
        <w:rPr>
          <w:rFonts w:asciiTheme="minorHAnsi" w:hAnsiTheme="minorHAnsi" w:cstheme="minorHAnsi"/>
        </w:rPr>
      </w:pPr>
      <w:r w:rsidRPr="00521D11">
        <w:rPr>
          <w:rFonts w:asciiTheme="minorHAnsi" w:hAnsiTheme="minorHAnsi" w:cstheme="minorHAnsi"/>
        </w:rPr>
        <w:t>The m</w:t>
      </w:r>
      <w:r w:rsidR="008A644E" w:rsidRPr="00521D11">
        <w:rPr>
          <w:rFonts w:asciiTheme="minorHAnsi" w:hAnsiTheme="minorHAnsi" w:cstheme="minorHAnsi"/>
        </w:rPr>
        <w:t xml:space="preserve">echanism of arranging tests </w:t>
      </w:r>
      <w:r w:rsidR="00F64420" w:rsidRPr="00521D11">
        <w:rPr>
          <w:rFonts w:asciiTheme="minorHAnsi" w:hAnsiTheme="minorHAnsi" w:cstheme="minorHAnsi"/>
        </w:rPr>
        <w:t>before</w:t>
      </w:r>
      <w:r w:rsidR="008A644E" w:rsidRPr="00521D11">
        <w:rPr>
          <w:rFonts w:asciiTheme="minorHAnsi" w:hAnsiTheme="minorHAnsi" w:cstheme="minorHAnsi"/>
        </w:rPr>
        <w:t xml:space="preserve"> </w:t>
      </w:r>
      <w:r w:rsidR="00D362DF" w:rsidRPr="00521D11">
        <w:rPr>
          <w:rFonts w:asciiTheme="minorHAnsi" w:hAnsiTheme="minorHAnsi" w:cstheme="minorHAnsi"/>
        </w:rPr>
        <w:t>‘</w:t>
      </w:r>
      <w:r w:rsidR="00757390" w:rsidRPr="00521D11">
        <w:rPr>
          <w:rFonts w:asciiTheme="minorHAnsi" w:hAnsiTheme="minorHAnsi" w:cstheme="minorHAnsi"/>
        </w:rPr>
        <w:t>post-test</w:t>
      </w:r>
      <w:r w:rsidR="008A644E" w:rsidRPr="00521D11">
        <w:rPr>
          <w:rFonts w:asciiTheme="minorHAnsi" w:hAnsiTheme="minorHAnsi" w:cstheme="minorHAnsi"/>
        </w:rPr>
        <w:t xml:space="preserve"> genetic counselling</w:t>
      </w:r>
      <w:r w:rsidR="00D362DF" w:rsidRPr="00521D11">
        <w:rPr>
          <w:rFonts w:asciiTheme="minorHAnsi" w:hAnsiTheme="minorHAnsi" w:cstheme="minorHAnsi"/>
        </w:rPr>
        <w:t>’</w:t>
      </w:r>
      <w:r w:rsidR="00F64420" w:rsidRPr="00521D11">
        <w:rPr>
          <w:rFonts w:asciiTheme="minorHAnsi" w:hAnsiTheme="minorHAnsi" w:cstheme="minorHAnsi"/>
        </w:rPr>
        <w:t xml:space="preserve"> should be clarified.</w:t>
      </w:r>
    </w:p>
    <w:p w14:paraId="78682920" w14:textId="2F0E35D5" w:rsidR="00A970EC" w:rsidRPr="00521D11" w:rsidRDefault="00A970EC" w:rsidP="00843ABA">
      <w:pPr>
        <w:pStyle w:val="NormalBeforeBullet"/>
        <w:rPr>
          <w:rFonts w:asciiTheme="minorHAnsi" w:hAnsiTheme="minorHAnsi" w:cstheme="minorHAnsi"/>
        </w:rPr>
      </w:pPr>
      <w:r w:rsidRPr="00521D11">
        <w:rPr>
          <w:rFonts w:asciiTheme="minorHAnsi" w:hAnsiTheme="minorHAnsi" w:cstheme="minorHAnsi"/>
        </w:rPr>
        <w:t xml:space="preserve">Although the </w:t>
      </w:r>
      <w:r w:rsidR="00B9691B" w:rsidRPr="00521D11">
        <w:rPr>
          <w:rFonts w:asciiTheme="minorHAnsi" w:hAnsiTheme="minorHAnsi" w:cstheme="minorHAnsi"/>
        </w:rPr>
        <w:t xml:space="preserve">proposed </w:t>
      </w:r>
      <w:r w:rsidRPr="00521D11">
        <w:rPr>
          <w:rFonts w:asciiTheme="minorHAnsi" w:hAnsiTheme="minorHAnsi" w:cstheme="minorHAnsi"/>
        </w:rPr>
        <w:t>MBS item number</w:t>
      </w:r>
      <w:r w:rsidR="00B9691B" w:rsidRPr="00521D11">
        <w:rPr>
          <w:rFonts w:asciiTheme="minorHAnsi" w:hAnsiTheme="minorHAnsi" w:cstheme="minorHAnsi"/>
        </w:rPr>
        <w:t>s</w:t>
      </w:r>
      <w:r w:rsidRPr="00521D11">
        <w:rPr>
          <w:rFonts w:asciiTheme="minorHAnsi" w:hAnsiTheme="minorHAnsi" w:cstheme="minorHAnsi"/>
        </w:rPr>
        <w:t xml:space="preserve"> </w:t>
      </w:r>
      <w:r w:rsidR="00F62886" w:rsidRPr="00521D11">
        <w:rPr>
          <w:rFonts w:asciiTheme="minorHAnsi" w:hAnsiTheme="minorHAnsi" w:cstheme="minorHAnsi"/>
        </w:rPr>
        <w:t xml:space="preserve">may </w:t>
      </w:r>
      <w:r w:rsidR="00C77C07" w:rsidRPr="00521D11">
        <w:rPr>
          <w:rFonts w:asciiTheme="minorHAnsi" w:hAnsiTheme="minorHAnsi" w:cstheme="minorHAnsi"/>
        </w:rPr>
        <w:t xml:space="preserve">help to </w:t>
      </w:r>
      <w:r w:rsidR="00B9691B" w:rsidRPr="00521D11">
        <w:rPr>
          <w:rFonts w:asciiTheme="minorHAnsi" w:hAnsiTheme="minorHAnsi" w:cstheme="minorHAnsi"/>
        </w:rPr>
        <w:t xml:space="preserve">address the genetic counselling aspect of the unmet need, it </w:t>
      </w:r>
      <w:r w:rsidR="008A644E" w:rsidRPr="00521D11">
        <w:rPr>
          <w:rFonts w:asciiTheme="minorHAnsi" w:hAnsiTheme="minorHAnsi" w:cstheme="minorHAnsi"/>
        </w:rPr>
        <w:t>was noted that it did</w:t>
      </w:r>
      <w:r w:rsidR="00B9691B" w:rsidRPr="00521D11">
        <w:rPr>
          <w:rFonts w:asciiTheme="minorHAnsi" w:hAnsiTheme="minorHAnsi" w:cstheme="minorHAnsi"/>
        </w:rPr>
        <w:t xml:space="preserve"> not </w:t>
      </w:r>
      <w:r w:rsidR="008A644E" w:rsidRPr="00521D11">
        <w:rPr>
          <w:rFonts w:asciiTheme="minorHAnsi" w:hAnsiTheme="minorHAnsi" w:cstheme="minorHAnsi"/>
        </w:rPr>
        <w:t xml:space="preserve">articulate how it would </w:t>
      </w:r>
      <w:r w:rsidR="00B9691B" w:rsidRPr="00521D11">
        <w:rPr>
          <w:rFonts w:asciiTheme="minorHAnsi" w:hAnsiTheme="minorHAnsi" w:cstheme="minorHAnsi"/>
        </w:rPr>
        <w:t xml:space="preserve">address the </w:t>
      </w:r>
      <w:r w:rsidR="00D96B78" w:rsidRPr="00521D11">
        <w:rPr>
          <w:rFonts w:asciiTheme="minorHAnsi" w:hAnsiTheme="minorHAnsi" w:cstheme="minorHAnsi"/>
        </w:rPr>
        <w:t xml:space="preserve">need for more </w:t>
      </w:r>
      <w:r w:rsidR="00B9691B" w:rsidRPr="00521D11">
        <w:rPr>
          <w:rFonts w:asciiTheme="minorHAnsi" w:hAnsiTheme="minorHAnsi" w:cstheme="minorHAnsi"/>
        </w:rPr>
        <w:t xml:space="preserve">comprehensive genetic testing </w:t>
      </w:r>
      <w:r w:rsidR="0006389F" w:rsidRPr="00521D11">
        <w:rPr>
          <w:rFonts w:asciiTheme="minorHAnsi" w:hAnsiTheme="minorHAnsi" w:cstheme="minorHAnsi"/>
        </w:rPr>
        <w:t>and</w:t>
      </w:r>
      <w:r w:rsidR="00F62886" w:rsidRPr="00521D11">
        <w:rPr>
          <w:rFonts w:asciiTheme="minorHAnsi" w:hAnsiTheme="minorHAnsi" w:cstheme="minorHAnsi"/>
        </w:rPr>
        <w:t xml:space="preserve"> </w:t>
      </w:r>
      <w:r w:rsidR="00B9691B" w:rsidRPr="00521D11">
        <w:rPr>
          <w:rFonts w:asciiTheme="minorHAnsi" w:hAnsiTheme="minorHAnsi" w:cstheme="minorHAnsi"/>
        </w:rPr>
        <w:t>counselling service</w:t>
      </w:r>
      <w:r w:rsidR="00D96B78" w:rsidRPr="00521D11">
        <w:rPr>
          <w:rFonts w:asciiTheme="minorHAnsi" w:hAnsiTheme="minorHAnsi" w:cstheme="minorHAnsi"/>
        </w:rPr>
        <w:t>s</w:t>
      </w:r>
      <w:r w:rsidR="00B9691B" w:rsidRPr="00521D11">
        <w:rPr>
          <w:rFonts w:asciiTheme="minorHAnsi" w:hAnsiTheme="minorHAnsi" w:cstheme="minorHAnsi"/>
        </w:rPr>
        <w:t>, as currently provided by large public health centres.</w:t>
      </w:r>
      <w:r w:rsidR="008A644E" w:rsidRPr="00521D11">
        <w:rPr>
          <w:rFonts w:asciiTheme="minorHAnsi" w:hAnsiTheme="minorHAnsi" w:cstheme="minorHAnsi"/>
        </w:rPr>
        <w:t xml:space="preserve"> Other concerns raised were:</w:t>
      </w:r>
    </w:p>
    <w:p w14:paraId="5543B25D" w14:textId="7016AA2B" w:rsidR="008A644E" w:rsidRPr="00521D11" w:rsidRDefault="00F4335D" w:rsidP="00CF683B">
      <w:pPr>
        <w:pStyle w:val="Bullet"/>
        <w:rPr>
          <w:rFonts w:asciiTheme="minorHAnsi" w:hAnsiTheme="minorHAnsi" w:cstheme="minorHAnsi"/>
        </w:rPr>
      </w:pPr>
      <w:r w:rsidRPr="00521D11">
        <w:rPr>
          <w:rFonts w:asciiTheme="minorHAnsi" w:hAnsiTheme="minorHAnsi" w:cstheme="minorHAnsi"/>
        </w:rPr>
        <w:t>T</w:t>
      </w:r>
      <w:r w:rsidR="008A644E" w:rsidRPr="00521D11">
        <w:rPr>
          <w:rFonts w:asciiTheme="minorHAnsi" w:hAnsiTheme="minorHAnsi" w:cstheme="minorHAnsi"/>
        </w:rPr>
        <w:t xml:space="preserve">he likelihood </w:t>
      </w:r>
      <w:r w:rsidR="00C77C07" w:rsidRPr="00521D11">
        <w:rPr>
          <w:rFonts w:asciiTheme="minorHAnsi" w:hAnsiTheme="minorHAnsi" w:cstheme="minorHAnsi"/>
        </w:rPr>
        <w:t xml:space="preserve">that the MBS fee would not </w:t>
      </w:r>
      <w:r w:rsidR="00404174" w:rsidRPr="00521D11">
        <w:rPr>
          <w:rFonts w:asciiTheme="minorHAnsi" w:hAnsiTheme="minorHAnsi" w:cstheme="minorHAnsi"/>
        </w:rPr>
        <w:t xml:space="preserve">be </w:t>
      </w:r>
      <w:r w:rsidR="00CB5A49" w:rsidRPr="00521D11">
        <w:rPr>
          <w:rFonts w:asciiTheme="minorHAnsi" w:hAnsiTheme="minorHAnsi" w:cstheme="minorHAnsi"/>
        </w:rPr>
        <w:t xml:space="preserve">sufficient to cover all </w:t>
      </w:r>
      <w:r w:rsidR="008A644E" w:rsidRPr="00521D11">
        <w:rPr>
          <w:rFonts w:asciiTheme="minorHAnsi" w:hAnsiTheme="minorHAnsi" w:cstheme="minorHAnsi"/>
        </w:rPr>
        <w:t xml:space="preserve">costs given the </w:t>
      </w:r>
      <w:r w:rsidR="00BB67FA" w:rsidRPr="00521D11">
        <w:rPr>
          <w:rFonts w:asciiTheme="minorHAnsi" w:hAnsiTheme="minorHAnsi" w:cstheme="minorHAnsi"/>
        </w:rPr>
        <w:t xml:space="preserve">time outside of the actual attendance </w:t>
      </w:r>
      <w:r w:rsidR="008A644E" w:rsidRPr="00521D11">
        <w:rPr>
          <w:rFonts w:asciiTheme="minorHAnsi" w:hAnsiTheme="minorHAnsi" w:cstheme="minorHAnsi"/>
        </w:rPr>
        <w:t xml:space="preserve">involved in preparing for counselling </w:t>
      </w:r>
      <w:r w:rsidR="00BB67FA" w:rsidRPr="00521D11">
        <w:rPr>
          <w:rFonts w:asciiTheme="minorHAnsi" w:hAnsiTheme="minorHAnsi" w:cstheme="minorHAnsi"/>
        </w:rPr>
        <w:t>(</w:t>
      </w:r>
      <w:proofErr w:type="gramStart"/>
      <w:r w:rsidR="008A644E" w:rsidRPr="00521D11">
        <w:rPr>
          <w:rFonts w:asciiTheme="minorHAnsi" w:hAnsiTheme="minorHAnsi" w:cstheme="minorHAnsi"/>
        </w:rPr>
        <w:t>e.g.</w:t>
      </w:r>
      <w:proofErr w:type="gramEnd"/>
      <w:r w:rsidRPr="00521D11">
        <w:rPr>
          <w:rFonts w:asciiTheme="minorHAnsi" w:hAnsiTheme="minorHAnsi" w:cstheme="minorHAnsi"/>
        </w:rPr>
        <w:t> </w:t>
      </w:r>
      <w:r w:rsidR="008A644E" w:rsidRPr="00521D11">
        <w:rPr>
          <w:rFonts w:asciiTheme="minorHAnsi" w:hAnsiTheme="minorHAnsi" w:cstheme="minorHAnsi"/>
        </w:rPr>
        <w:t>acquiring relevant history, results and correspondence</w:t>
      </w:r>
      <w:r w:rsidR="00BB67FA" w:rsidRPr="00521D11">
        <w:rPr>
          <w:rFonts w:asciiTheme="minorHAnsi" w:hAnsiTheme="minorHAnsi" w:cstheme="minorHAnsi"/>
        </w:rPr>
        <w:t>)</w:t>
      </w:r>
      <w:r w:rsidR="00AE5E6B" w:rsidRPr="00521D11">
        <w:rPr>
          <w:rFonts w:asciiTheme="minorHAnsi" w:hAnsiTheme="minorHAnsi" w:cstheme="minorHAnsi"/>
        </w:rPr>
        <w:t xml:space="preserve"> as well as overheads including IT services for communications with other clinicians</w:t>
      </w:r>
      <w:r w:rsidR="00F43BF0" w:rsidRPr="00521D11">
        <w:rPr>
          <w:rFonts w:asciiTheme="minorHAnsi" w:hAnsiTheme="minorHAnsi" w:cstheme="minorHAnsi"/>
        </w:rPr>
        <w:t>. It was noted that there is a paucity of data to estimate the amounts involved</w:t>
      </w:r>
      <w:r w:rsidRPr="00521D11">
        <w:rPr>
          <w:rFonts w:asciiTheme="minorHAnsi" w:hAnsiTheme="minorHAnsi" w:cstheme="minorHAnsi"/>
        </w:rPr>
        <w:t>.</w:t>
      </w:r>
    </w:p>
    <w:p w14:paraId="473448B9" w14:textId="30DA0A6B" w:rsidR="007D1390" w:rsidRPr="00521D11" w:rsidRDefault="00F4335D" w:rsidP="00CF683B">
      <w:pPr>
        <w:pStyle w:val="Bullet"/>
        <w:rPr>
          <w:rFonts w:asciiTheme="minorHAnsi" w:hAnsiTheme="minorHAnsi" w:cstheme="minorHAnsi"/>
        </w:rPr>
      </w:pPr>
      <w:r w:rsidRPr="00521D11">
        <w:rPr>
          <w:rFonts w:asciiTheme="minorHAnsi" w:hAnsiTheme="minorHAnsi" w:cstheme="minorHAnsi"/>
        </w:rPr>
        <w:t xml:space="preserve">Workforce </w:t>
      </w:r>
      <w:r w:rsidR="00AE5E6B" w:rsidRPr="00521D11">
        <w:rPr>
          <w:rFonts w:asciiTheme="minorHAnsi" w:hAnsiTheme="minorHAnsi" w:cstheme="minorHAnsi"/>
        </w:rPr>
        <w:t xml:space="preserve">issues in relation to the number of trained </w:t>
      </w:r>
      <w:r w:rsidRPr="00521D11">
        <w:rPr>
          <w:rFonts w:asciiTheme="minorHAnsi" w:hAnsiTheme="minorHAnsi" w:cstheme="minorHAnsi"/>
        </w:rPr>
        <w:t xml:space="preserve">genetic counsellors </w:t>
      </w:r>
      <w:r w:rsidR="007D1390" w:rsidRPr="00521D11">
        <w:rPr>
          <w:rFonts w:asciiTheme="minorHAnsi" w:hAnsiTheme="minorHAnsi" w:cstheme="minorHAnsi"/>
        </w:rPr>
        <w:t>available</w:t>
      </w:r>
      <w:r w:rsidR="008E4589">
        <w:rPr>
          <w:rFonts w:asciiTheme="minorHAnsi" w:hAnsiTheme="minorHAnsi" w:cstheme="minorHAnsi"/>
        </w:rPr>
        <w:t xml:space="preserve"> and geneticists in the private sector to support the model</w:t>
      </w:r>
      <w:r w:rsidRPr="00521D11">
        <w:rPr>
          <w:rFonts w:asciiTheme="minorHAnsi" w:hAnsiTheme="minorHAnsi" w:cstheme="minorHAnsi"/>
        </w:rPr>
        <w:t>.</w:t>
      </w:r>
      <w:r w:rsidR="007D1390" w:rsidRPr="00521D11">
        <w:rPr>
          <w:rFonts w:asciiTheme="minorHAnsi" w:hAnsiTheme="minorHAnsi" w:cstheme="minorHAnsi"/>
        </w:rPr>
        <w:t xml:space="preserve"> </w:t>
      </w:r>
    </w:p>
    <w:p w14:paraId="576C7374" w14:textId="4F8DF1B6" w:rsidR="00AE5E6B" w:rsidRPr="00521D11" w:rsidRDefault="00F4335D" w:rsidP="00CF683B">
      <w:pPr>
        <w:pStyle w:val="Bullet"/>
        <w:rPr>
          <w:rFonts w:asciiTheme="minorHAnsi" w:hAnsiTheme="minorHAnsi" w:cstheme="minorHAnsi"/>
        </w:rPr>
      </w:pPr>
      <w:r w:rsidRPr="00521D11">
        <w:rPr>
          <w:rFonts w:asciiTheme="minorHAnsi" w:hAnsiTheme="minorHAnsi" w:cstheme="minorHAnsi"/>
        </w:rPr>
        <w:t>T</w:t>
      </w:r>
      <w:r w:rsidR="007D1390" w:rsidRPr="00521D11">
        <w:rPr>
          <w:rFonts w:asciiTheme="minorHAnsi" w:hAnsiTheme="minorHAnsi" w:cstheme="minorHAnsi"/>
        </w:rPr>
        <w:t>he implications for workforce shift to the private sector and further adversely affecting the capacity of the public sector to provide services</w:t>
      </w:r>
      <w:r w:rsidRPr="00521D11">
        <w:rPr>
          <w:rFonts w:asciiTheme="minorHAnsi" w:hAnsiTheme="minorHAnsi" w:cstheme="minorHAnsi"/>
        </w:rPr>
        <w:t>.</w:t>
      </w:r>
    </w:p>
    <w:p w14:paraId="001C76DB" w14:textId="6EE59ED2" w:rsidR="00AE5E6B" w:rsidRPr="00521D11" w:rsidRDefault="00F4335D" w:rsidP="00CF683B">
      <w:pPr>
        <w:pStyle w:val="Bullet"/>
        <w:rPr>
          <w:rFonts w:asciiTheme="minorHAnsi" w:hAnsiTheme="minorHAnsi" w:cstheme="minorHAnsi"/>
        </w:rPr>
      </w:pPr>
      <w:r w:rsidRPr="00521D11">
        <w:rPr>
          <w:rFonts w:asciiTheme="minorHAnsi" w:hAnsiTheme="minorHAnsi" w:cstheme="minorHAnsi"/>
        </w:rPr>
        <w:t>T</w:t>
      </w:r>
      <w:r w:rsidR="00AE5E6B" w:rsidRPr="00521D11">
        <w:rPr>
          <w:rFonts w:asciiTheme="minorHAnsi" w:hAnsiTheme="minorHAnsi" w:cstheme="minorHAnsi"/>
        </w:rPr>
        <w:t xml:space="preserve">he </w:t>
      </w:r>
      <w:r w:rsidR="007D1390" w:rsidRPr="00521D11">
        <w:rPr>
          <w:rFonts w:asciiTheme="minorHAnsi" w:hAnsiTheme="minorHAnsi" w:cstheme="minorHAnsi"/>
        </w:rPr>
        <w:t xml:space="preserve">capacity of the </w:t>
      </w:r>
      <w:r w:rsidR="00AA75F8">
        <w:rPr>
          <w:rFonts w:asciiTheme="minorHAnsi" w:hAnsiTheme="minorHAnsi" w:cstheme="minorHAnsi"/>
        </w:rPr>
        <w:t xml:space="preserve">proposal </w:t>
      </w:r>
      <w:r w:rsidR="007D1390" w:rsidRPr="00521D11">
        <w:rPr>
          <w:rFonts w:asciiTheme="minorHAnsi" w:hAnsiTheme="minorHAnsi" w:cstheme="minorHAnsi"/>
        </w:rPr>
        <w:t>to provide</w:t>
      </w:r>
      <w:r w:rsidR="00AE5E6B" w:rsidRPr="00521D11">
        <w:rPr>
          <w:rFonts w:asciiTheme="minorHAnsi" w:hAnsiTheme="minorHAnsi" w:cstheme="minorHAnsi"/>
        </w:rPr>
        <w:t xml:space="preserve"> services equitably across</w:t>
      </w:r>
      <w:r w:rsidR="007D1390" w:rsidRPr="00521D11">
        <w:rPr>
          <w:rFonts w:asciiTheme="minorHAnsi" w:hAnsiTheme="minorHAnsi" w:cstheme="minorHAnsi"/>
        </w:rPr>
        <w:t xml:space="preserve"> </w:t>
      </w:r>
      <w:r w:rsidR="00AE5E6B" w:rsidRPr="00521D11">
        <w:rPr>
          <w:rFonts w:asciiTheme="minorHAnsi" w:hAnsiTheme="minorHAnsi" w:cstheme="minorHAnsi"/>
        </w:rPr>
        <w:t>the country</w:t>
      </w:r>
      <w:r w:rsidRPr="00521D11">
        <w:rPr>
          <w:rFonts w:asciiTheme="minorHAnsi" w:hAnsiTheme="minorHAnsi" w:cstheme="minorHAnsi"/>
        </w:rPr>
        <w:t>.</w:t>
      </w:r>
      <w:r w:rsidR="00AE5E6B" w:rsidRPr="00521D11">
        <w:rPr>
          <w:rFonts w:asciiTheme="minorHAnsi" w:hAnsiTheme="minorHAnsi" w:cstheme="minorHAnsi"/>
        </w:rPr>
        <w:t xml:space="preserve"> </w:t>
      </w:r>
    </w:p>
    <w:p w14:paraId="38840050" w14:textId="7BFAB8FA" w:rsidR="00AE5E6B" w:rsidRPr="00521D11" w:rsidRDefault="00F4335D" w:rsidP="00CF683B">
      <w:pPr>
        <w:pStyle w:val="Bullet"/>
        <w:rPr>
          <w:rFonts w:asciiTheme="minorHAnsi" w:hAnsiTheme="minorHAnsi" w:cstheme="minorHAnsi"/>
        </w:rPr>
      </w:pPr>
      <w:r w:rsidRPr="00521D11">
        <w:rPr>
          <w:rFonts w:asciiTheme="minorHAnsi" w:hAnsiTheme="minorHAnsi" w:cstheme="minorHAnsi"/>
        </w:rPr>
        <w:t>T</w:t>
      </w:r>
      <w:r w:rsidR="00AE5E6B" w:rsidRPr="00521D11">
        <w:rPr>
          <w:rFonts w:asciiTheme="minorHAnsi" w:hAnsiTheme="minorHAnsi" w:cstheme="minorHAnsi"/>
        </w:rPr>
        <w:t>he logistics of a single practitioner being able to provide expertise across the spectrum of genetic conditions</w:t>
      </w:r>
      <w:r w:rsidRPr="00521D11">
        <w:rPr>
          <w:rFonts w:asciiTheme="minorHAnsi" w:hAnsiTheme="minorHAnsi" w:cstheme="minorHAnsi"/>
        </w:rPr>
        <w:t>.</w:t>
      </w:r>
    </w:p>
    <w:p w14:paraId="5F5AC760" w14:textId="05391744" w:rsidR="00AE5E6B" w:rsidRPr="00521D11" w:rsidRDefault="00F4335D" w:rsidP="00CF683B">
      <w:pPr>
        <w:pStyle w:val="Bullet"/>
        <w:rPr>
          <w:rFonts w:asciiTheme="minorHAnsi" w:hAnsiTheme="minorHAnsi" w:cstheme="minorHAnsi"/>
        </w:rPr>
      </w:pPr>
      <w:r w:rsidRPr="00521D11">
        <w:rPr>
          <w:rFonts w:asciiTheme="minorHAnsi" w:hAnsiTheme="minorHAnsi" w:cstheme="minorHAnsi"/>
        </w:rPr>
        <w:t>T</w:t>
      </w:r>
      <w:r w:rsidR="00CB5A49" w:rsidRPr="00521D11">
        <w:rPr>
          <w:rFonts w:asciiTheme="minorHAnsi" w:hAnsiTheme="minorHAnsi" w:cstheme="minorHAnsi"/>
        </w:rPr>
        <w:t xml:space="preserve">he </w:t>
      </w:r>
      <w:r w:rsidR="006D2B9F" w:rsidRPr="00521D11">
        <w:rPr>
          <w:rFonts w:asciiTheme="minorHAnsi" w:hAnsiTheme="minorHAnsi" w:cstheme="minorHAnsi"/>
        </w:rPr>
        <w:t>lack of a</w:t>
      </w:r>
      <w:r w:rsidR="007A3C63" w:rsidRPr="00521D11">
        <w:rPr>
          <w:rFonts w:asciiTheme="minorHAnsi" w:hAnsiTheme="minorHAnsi" w:cstheme="minorHAnsi"/>
        </w:rPr>
        <w:t xml:space="preserve"> detailed description</w:t>
      </w:r>
      <w:r w:rsidR="006D2B9F" w:rsidRPr="00521D11">
        <w:rPr>
          <w:rFonts w:asciiTheme="minorHAnsi" w:hAnsiTheme="minorHAnsi" w:cstheme="minorHAnsi"/>
        </w:rPr>
        <w:t xml:space="preserve"> MDT model in the </w:t>
      </w:r>
      <w:r w:rsidR="00AA75F8">
        <w:rPr>
          <w:rFonts w:asciiTheme="minorHAnsi" w:hAnsiTheme="minorHAnsi" w:cstheme="minorHAnsi"/>
        </w:rPr>
        <w:t>proposal</w:t>
      </w:r>
      <w:r w:rsidRPr="00521D11">
        <w:rPr>
          <w:rFonts w:asciiTheme="minorHAnsi" w:hAnsiTheme="minorHAnsi" w:cstheme="minorHAnsi"/>
        </w:rPr>
        <w:t>.</w:t>
      </w:r>
      <w:r w:rsidR="007D1390" w:rsidRPr="00521D11">
        <w:rPr>
          <w:rFonts w:asciiTheme="minorHAnsi" w:hAnsiTheme="minorHAnsi" w:cstheme="minorHAnsi"/>
        </w:rPr>
        <w:t xml:space="preserve"> </w:t>
      </w:r>
    </w:p>
    <w:p w14:paraId="1241BE33" w14:textId="1AE624BA" w:rsidR="007D1390" w:rsidRPr="00521D11" w:rsidRDefault="00F4335D" w:rsidP="00CF683B">
      <w:pPr>
        <w:pStyle w:val="Bullet"/>
        <w:rPr>
          <w:rFonts w:asciiTheme="minorHAnsi" w:hAnsiTheme="minorHAnsi" w:cstheme="minorHAnsi"/>
        </w:rPr>
      </w:pPr>
      <w:r w:rsidRPr="00521D11">
        <w:rPr>
          <w:rFonts w:asciiTheme="minorHAnsi" w:hAnsiTheme="minorHAnsi" w:cstheme="minorHAnsi"/>
        </w:rPr>
        <w:t>M</w:t>
      </w:r>
      <w:r w:rsidR="007D1390" w:rsidRPr="00521D11">
        <w:rPr>
          <w:rFonts w:asciiTheme="minorHAnsi" w:hAnsiTheme="minorHAnsi" w:cstheme="minorHAnsi"/>
        </w:rPr>
        <w:t>echanism</w:t>
      </w:r>
      <w:r w:rsidR="00F84C32" w:rsidRPr="00521D11">
        <w:rPr>
          <w:rFonts w:asciiTheme="minorHAnsi" w:hAnsiTheme="minorHAnsi" w:cstheme="minorHAnsi"/>
        </w:rPr>
        <w:t>(s)</w:t>
      </w:r>
      <w:r w:rsidR="007D1390" w:rsidRPr="00521D11">
        <w:rPr>
          <w:rFonts w:asciiTheme="minorHAnsi" w:hAnsiTheme="minorHAnsi" w:cstheme="minorHAnsi"/>
        </w:rPr>
        <w:t xml:space="preserve"> to prevent scope creep into low</w:t>
      </w:r>
      <w:r w:rsidRPr="00521D11">
        <w:rPr>
          <w:rFonts w:asciiTheme="minorHAnsi" w:hAnsiTheme="minorHAnsi" w:cstheme="minorHAnsi"/>
        </w:rPr>
        <w:t>-</w:t>
      </w:r>
      <w:r w:rsidR="007D1390" w:rsidRPr="00521D11">
        <w:rPr>
          <w:rFonts w:asciiTheme="minorHAnsi" w:hAnsiTheme="minorHAnsi" w:cstheme="minorHAnsi"/>
        </w:rPr>
        <w:t>value care</w:t>
      </w:r>
      <w:r w:rsidR="000C4A99" w:rsidRPr="00521D11">
        <w:rPr>
          <w:rFonts w:asciiTheme="minorHAnsi" w:hAnsiTheme="minorHAnsi" w:cstheme="minorHAnsi"/>
        </w:rPr>
        <w:t xml:space="preserve"> (</w:t>
      </w:r>
      <w:proofErr w:type="gramStart"/>
      <w:r w:rsidR="000C4A99" w:rsidRPr="00521D11">
        <w:rPr>
          <w:rFonts w:asciiTheme="minorHAnsi" w:hAnsiTheme="minorHAnsi" w:cstheme="minorHAnsi"/>
        </w:rPr>
        <w:t>e.g.</w:t>
      </w:r>
      <w:proofErr w:type="gramEnd"/>
      <w:r w:rsidR="000C4A99" w:rsidRPr="00521D11">
        <w:rPr>
          <w:rFonts w:asciiTheme="minorHAnsi" w:hAnsiTheme="minorHAnsi" w:cstheme="minorHAnsi"/>
        </w:rPr>
        <w:t xml:space="preserve"> where the patient does not receive any additional valuable advice beyond what they could have received from a GP or non-GP specialist)</w:t>
      </w:r>
      <w:r w:rsidRPr="00521D11">
        <w:rPr>
          <w:rFonts w:asciiTheme="minorHAnsi" w:hAnsiTheme="minorHAnsi" w:cstheme="minorHAnsi"/>
        </w:rPr>
        <w:t>.</w:t>
      </w:r>
    </w:p>
    <w:p w14:paraId="5F29F731" w14:textId="7E8CDF3B" w:rsidR="007D1390" w:rsidRPr="00521D11" w:rsidRDefault="00F4335D" w:rsidP="00CF683B">
      <w:pPr>
        <w:pStyle w:val="BulletLast"/>
        <w:rPr>
          <w:rFonts w:asciiTheme="minorHAnsi" w:hAnsiTheme="minorHAnsi" w:cstheme="minorHAnsi"/>
        </w:rPr>
      </w:pPr>
      <w:r w:rsidRPr="00521D11">
        <w:rPr>
          <w:rFonts w:asciiTheme="minorHAnsi" w:hAnsiTheme="minorHAnsi" w:cstheme="minorHAnsi"/>
        </w:rPr>
        <w:t>T</w:t>
      </w:r>
      <w:r w:rsidR="002E5758" w:rsidRPr="00521D11">
        <w:rPr>
          <w:rFonts w:asciiTheme="minorHAnsi" w:hAnsiTheme="minorHAnsi" w:cstheme="minorHAnsi"/>
        </w:rPr>
        <w:t>he paucity of data to inform costing of the initiative.</w:t>
      </w:r>
    </w:p>
    <w:p w14:paraId="4D79E88A" w14:textId="1343CC5F" w:rsidR="00B9691B" w:rsidRPr="00521D11" w:rsidRDefault="00D96B78" w:rsidP="00A970EC">
      <w:pPr>
        <w:rPr>
          <w:rFonts w:asciiTheme="minorHAnsi" w:hAnsiTheme="minorHAnsi" w:cstheme="minorHAnsi"/>
        </w:rPr>
      </w:pPr>
      <w:r w:rsidRPr="00521D11">
        <w:rPr>
          <w:rFonts w:asciiTheme="minorHAnsi" w:hAnsiTheme="minorHAnsi" w:cstheme="minorHAnsi"/>
        </w:rPr>
        <w:t xml:space="preserve">These and other risks </w:t>
      </w:r>
      <w:r w:rsidR="00B9691B" w:rsidRPr="00521D11">
        <w:rPr>
          <w:rFonts w:asciiTheme="minorHAnsi" w:hAnsiTheme="minorHAnsi" w:cstheme="minorHAnsi"/>
        </w:rPr>
        <w:t xml:space="preserve">are </w:t>
      </w:r>
      <w:r w:rsidRPr="00521D11">
        <w:rPr>
          <w:rFonts w:asciiTheme="minorHAnsi" w:hAnsiTheme="minorHAnsi" w:cstheme="minorHAnsi"/>
        </w:rPr>
        <w:t xml:space="preserve">further </w:t>
      </w:r>
      <w:r w:rsidR="00B9691B" w:rsidRPr="00521D11">
        <w:rPr>
          <w:rFonts w:asciiTheme="minorHAnsi" w:hAnsiTheme="minorHAnsi" w:cstheme="minorHAnsi"/>
        </w:rPr>
        <w:t xml:space="preserve">addressed in </w:t>
      </w:r>
      <w:hyperlink w:anchor="_Assessment_of_main" w:history="1">
        <w:r w:rsidR="00B9691B" w:rsidRPr="00521D11">
          <w:rPr>
            <w:rStyle w:val="Hyperlink"/>
            <w:rFonts w:asciiTheme="minorHAnsi" w:hAnsiTheme="minorHAnsi" w:cstheme="minorHAnsi"/>
          </w:rPr>
          <w:t>Assessment of main issues</w:t>
        </w:r>
      </w:hyperlink>
      <w:r w:rsidR="00CF1186" w:rsidRPr="00521D11">
        <w:rPr>
          <w:rFonts w:asciiTheme="minorHAnsi" w:hAnsiTheme="minorHAnsi" w:cstheme="minorHAnsi"/>
        </w:rPr>
        <w:t>.</w:t>
      </w:r>
    </w:p>
    <w:p w14:paraId="376EA9CC" w14:textId="39E3D129" w:rsidR="00B9691B" w:rsidRPr="00521D11" w:rsidRDefault="00B9691B" w:rsidP="00B9691B">
      <w:pPr>
        <w:pStyle w:val="Heading2"/>
        <w:rPr>
          <w:rFonts w:asciiTheme="minorHAnsi" w:hAnsiTheme="minorHAnsi" w:cstheme="minorHAnsi"/>
        </w:rPr>
      </w:pPr>
      <w:bookmarkStart w:id="52" w:name="_Toc117856161"/>
      <w:bookmarkStart w:id="53" w:name="_Toc132209206"/>
      <w:bookmarkStart w:id="54" w:name="_Toc132627477"/>
      <w:r w:rsidRPr="003D1ADD">
        <w:rPr>
          <w:rFonts w:asciiTheme="minorHAnsi" w:hAnsiTheme="minorHAnsi" w:cstheme="minorHAnsi"/>
          <w:color w:val="E36C0A" w:themeColor="accent6" w:themeShade="BF"/>
        </w:rPr>
        <w:t>Comparator</w:t>
      </w:r>
      <w:r w:rsidR="00214961" w:rsidRPr="003D1ADD">
        <w:rPr>
          <w:rFonts w:asciiTheme="minorHAnsi" w:hAnsiTheme="minorHAnsi" w:cstheme="minorHAnsi"/>
          <w:color w:val="E36C0A" w:themeColor="accent6" w:themeShade="BF"/>
        </w:rPr>
        <w:t>s</w:t>
      </w:r>
      <w:bookmarkEnd w:id="52"/>
      <w:bookmarkEnd w:id="53"/>
      <w:bookmarkEnd w:id="54"/>
    </w:p>
    <w:p w14:paraId="53AA0BE5" w14:textId="3492AD0D" w:rsidR="00B9691B" w:rsidRPr="00521D11" w:rsidRDefault="004E4E7C" w:rsidP="00B9691B">
      <w:pPr>
        <w:pStyle w:val="NormalBeforeBullet"/>
        <w:rPr>
          <w:rFonts w:asciiTheme="minorHAnsi" w:hAnsiTheme="minorHAnsi" w:cstheme="minorHAnsi"/>
        </w:rPr>
      </w:pPr>
      <w:r w:rsidRPr="00521D11">
        <w:rPr>
          <w:rFonts w:asciiTheme="minorHAnsi" w:hAnsiTheme="minorHAnsi" w:cstheme="minorHAnsi"/>
        </w:rPr>
        <w:t xml:space="preserve">The GCWG also considered the pros and cons of </w:t>
      </w:r>
      <w:r w:rsidR="00F43BF0" w:rsidRPr="00521D11">
        <w:rPr>
          <w:rFonts w:asciiTheme="minorHAnsi" w:hAnsiTheme="minorHAnsi" w:cstheme="minorHAnsi"/>
        </w:rPr>
        <w:t xml:space="preserve">any </w:t>
      </w:r>
      <w:r w:rsidRPr="00521D11">
        <w:rPr>
          <w:rFonts w:asciiTheme="minorHAnsi" w:hAnsiTheme="minorHAnsi" w:cstheme="minorHAnsi"/>
        </w:rPr>
        <w:t>other options to increase access and equity of access to genetic counselling services. Th</w:t>
      </w:r>
      <w:r w:rsidR="00F43BF0" w:rsidRPr="00521D11">
        <w:rPr>
          <w:rFonts w:asciiTheme="minorHAnsi" w:hAnsiTheme="minorHAnsi" w:cstheme="minorHAnsi"/>
        </w:rPr>
        <w:t>e</w:t>
      </w:r>
      <w:r w:rsidR="00995ECF" w:rsidRPr="00521D11">
        <w:rPr>
          <w:rFonts w:asciiTheme="minorHAnsi" w:hAnsiTheme="minorHAnsi" w:cstheme="minorHAnsi"/>
        </w:rPr>
        <w:t>y</w:t>
      </w:r>
      <w:r w:rsidR="00F43BF0" w:rsidRPr="00521D11">
        <w:rPr>
          <w:rFonts w:asciiTheme="minorHAnsi" w:hAnsiTheme="minorHAnsi" w:cstheme="minorHAnsi"/>
        </w:rPr>
        <w:t xml:space="preserve"> noted the option </w:t>
      </w:r>
      <w:r w:rsidR="00404174" w:rsidRPr="00521D11">
        <w:rPr>
          <w:rFonts w:asciiTheme="minorHAnsi" w:hAnsiTheme="minorHAnsi" w:cstheme="minorHAnsi"/>
        </w:rPr>
        <w:t xml:space="preserve">to </w:t>
      </w:r>
      <w:r w:rsidR="00F43BF0" w:rsidRPr="00521D11">
        <w:rPr>
          <w:rFonts w:asciiTheme="minorHAnsi" w:hAnsiTheme="minorHAnsi" w:cstheme="minorHAnsi"/>
        </w:rPr>
        <w:t>maint</w:t>
      </w:r>
      <w:r w:rsidR="00404174" w:rsidRPr="00521D11">
        <w:rPr>
          <w:rFonts w:asciiTheme="minorHAnsi" w:hAnsiTheme="minorHAnsi" w:cstheme="minorHAnsi"/>
        </w:rPr>
        <w:t>ai</w:t>
      </w:r>
      <w:r w:rsidR="00F43BF0" w:rsidRPr="00521D11">
        <w:rPr>
          <w:rFonts w:asciiTheme="minorHAnsi" w:hAnsiTheme="minorHAnsi" w:cstheme="minorHAnsi"/>
        </w:rPr>
        <w:t xml:space="preserve">n the status quo and </w:t>
      </w:r>
      <w:r w:rsidR="00B9691B" w:rsidRPr="00521D11">
        <w:rPr>
          <w:rFonts w:asciiTheme="minorHAnsi" w:hAnsiTheme="minorHAnsi" w:cstheme="minorHAnsi"/>
        </w:rPr>
        <w:t>increas</w:t>
      </w:r>
      <w:r w:rsidR="008E4589">
        <w:rPr>
          <w:rFonts w:asciiTheme="minorHAnsi" w:hAnsiTheme="minorHAnsi" w:cstheme="minorHAnsi"/>
        </w:rPr>
        <w:t>e</w:t>
      </w:r>
      <w:r w:rsidR="00B9691B" w:rsidRPr="00521D11">
        <w:rPr>
          <w:rFonts w:asciiTheme="minorHAnsi" w:hAnsiTheme="minorHAnsi" w:cstheme="minorHAnsi"/>
        </w:rPr>
        <w:t xml:space="preserve"> funding to states and territories to meet increasing demands in the public system</w:t>
      </w:r>
      <w:r w:rsidR="00995ECF" w:rsidRPr="00521D11">
        <w:rPr>
          <w:rFonts w:asciiTheme="minorHAnsi" w:hAnsiTheme="minorHAnsi" w:cstheme="minorHAnsi"/>
        </w:rPr>
        <w:t>.</w:t>
      </w:r>
      <w:r w:rsidR="008F6A1A" w:rsidRPr="00521D11">
        <w:rPr>
          <w:rFonts w:asciiTheme="minorHAnsi" w:hAnsiTheme="minorHAnsi" w:cstheme="minorHAnsi"/>
        </w:rPr>
        <w:t xml:space="preserve"> </w:t>
      </w:r>
      <w:r w:rsidR="000C4A99" w:rsidRPr="00521D11">
        <w:rPr>
          <w:rFonts w:asciiTheme="minorHAnsi" w:hAnsiTheme="minorHAnsi" w:cstheme="minorHAnsi"/>
        </w:rPr>
        <w:t>This option has the advantages of:</w:t>
      </w:r>
      <w:r w:rsidRPr="00521D11">
        <w:rPr>
          <w:rFonts w:asciiTheme="minorHAnsi" w:hAnsiTheme="minorHAnsi" w:cstheme="minorHAnsi"/>
        </w:rPr>
        <w:t xml:space="preserve"> </w:t>
      </w:r>
    </w:p>
    <w:p w14:paraId="437848DF" w14:textId="4A6F4BBD" w:rsidR="004E4E7C" w:rsidRPr="00521D11" w:rsidRDefault="004E4E7C" w:rsidP="00CF683B">
      <w:pPr>
        <w:pStyle w:val="Bullet"/>
        <w:rPr>
          <w:rFonts w:asciiTheme="minorHAnsi" w:hAnsiTheme="minorHAnsi" w:cstheme="minorHAnsi"/>
        </w:rPr>
      </w:pPr>
      <w:r w:rsidRPr="00521D11">
        <w:rPr>
          <w:rFonts w:asciiTheme="minorHAnsi" w:hAnsiTheme="minorHAnsi" w:cstheme="minorHAnsi"/>
        </w:rPr>
        <w:t>increasing access</w:t>
      </w:r>
      <w:r w:rsidR="00F43BF0" w:rsidRPr="00521D11">
        <w:rPr>
          <w:rFonts w:asciiTheme="minorHAnsi" w:hAnsiTheme="minorHAnsi" w:cstheme="minorHAnsi"/>
        </w:rPr>
        <w:t xml:space="preserve"> by increasing funding </w:t>
      </w:r>
      <w:r w:rsidR="008E4589">
        <w:rPr>
          <w:rFonts w:asciiTheme="minorHAnsi" w:hAnsiTheme="minorHAnsi" w:cstheme="minorHAnsi"/>
        </w:rPr>
        <w:t>to grow the</w:t>
      </w:r>
      <w:r w:rsidR="006A4D16" w:rsidRPr="00521D11">
        <w:rPr>
          <w:rFonts w:asciiTheme="minorHAnsi" w:hAnsiTheme="minorHAnsi" w:cstheme="minorHAnsi"/>
        </w:rPr>
        <w:t xml:space="preserve"> available</w:t>
      </w:r>
      <w:r w:rsidR="00DE637F" w:rsidRPr="00521D11">
        <w:rPr>
          <w:rFonts w:asciiTheme="minorHAnsi" w:hAnsiTheme="minorHAnsi" w:cstheme="minorHAnsi"/>
        </w:rPr>
        <w:t xml:space="preserve"> </w:t>
      </w:r>
      <w:r w:rsidR="00F43BF0" w:rsidRPr="00521D11">
        <w:rPr>
          <w:rFonts w:asciiTheme="minorHAnsi" w:hAnsiTheme="minorHAnsi" w:cstheme="minorHAnsi"/>
        </w:rPr>
        <w:t>workforce</w:t>
      </w:r>
      <w:r w:rsidR="00DE637F" w:rsidRPr="00521D11">
        <w:rPr>
          <w:rFonts w:asciiTheme="minorHAnsi" w:hAnsiTheme="minorHAnsi" w:cstheme="minorHAnsi"/>
        </w:rPr>
        <w:t xml:space="preserve"> both for direct patient care and support services</w:t>
      </w:r>
    </w:p>
    <w:p w14:paraId="61AD2E6F" w14:textId="3656FC5C" w:rsidR="006A4D16" w:rsidRPr="00521D11" w:rsidRDefault="006A4D16" w:rsidP="00CF683B">
      <w:pPr>
        <w:pStyle w:val="Bullet"/>
        <w:rPr>
          <w:rFonts w:asciiTheme="minorHAnsi" w:hAnsiTheme="minorHAnsi" w:cstheme="minorHAnsi"/>
        </w:rPr>
      </w:pPr>
      <w:r w:rsidRPr="00521D11">
        <w:rPr>
          <w:rFonts w:asciiTheme="minorHAnsi" w:hAnsiTheme="minorHAnsi" w:cstheme="minorHAnsi"/>
        </w:rPr>
        <w:lastRenderedPageBreak/>
        <w:t>ensuring equity of access based on need through maintaining a triaged approach (as in the current model), ensuring high</w:t>
      </w:r>
      <w:r w:rsidR="00BB2303" w:rsidRPr="00521D11">
        <w:rPr>
          <w:rFonts w:asciiTheme="minorHAnsi" w:hAnsiTheme="minorHAnsi" w:cstheme="minorHAnsi"/>
        </w:rPr>
        <w:t>-</w:t>
      </w:r>
      <w:r w:rsidRPr="00521D11">
        <w:rPr>
          <w:rFonts w:asciiTheme="minorHAnsi" w:hAnsiTheme="minorHAnsi" w:cstheme="minorHAnsi"/>
        </w:rPr>
        <w:t>value care through triage and role delineation for services according to population need</w:t>
      </w:r>
    </w:p>
    <w:p w14:paraId="4BDB4F4F" w14:textId="77777777" w:rsidR="006A4D16" w:rsidRPr="00521D11" w:rsidRDefault="006A4D16" w:rsidP="00CF683B">
      <w:pPr>
        <w:pStyle w:val="Bullet"/>
        <w:rPr>
          <w:rFonts w:asciiTheme="minorHAnsi" w:hAnsiTheme="minorHAnsi" w:cstheme="minorHAnsi"/>
        </w:rPr>
      </w:pPr>
      <w:r w:rsidRPr="00521D11">
        <w:rPr>
          <w:rFonts w:asciiTheme="minorHAnsi" w:hAnsiTheme="minorHAnsi" w:cstheme="minorHAnsi"/>
        </w:rPr>
        <w:t>providing improved outreach services through increased resources achieves a more sustainable model of care through integration with the public hospital system</w:t>
      </w:r>
    </w:p>
    <w:p w14:paraId="17CD146D" w14:textId="77777777" w:rsidR="006A4D16" w:rsidRPr="00521D11" w:rsidRDefault="006A4D16" w:rsidP="00CF683B">
      <w:pPr>
        <w:pStyle w:val="Bullet"/>
        <w:rPr>
          <w:rFonts w:asciiTheme="minorHAnsi" w:hAnsiTheme="minorHAnsi" w:cstheme="minorHAnsi"/>
        </w:rPr>
      </w:pPr>
      <w:r w:rsidRPr="00521D11">
        <w:rPr>
          <w:rFonts w:asciiTheme="minorHAnsi" w:hAnsiTheme="minorHAnsi" w:cstheme="minorHAnsi"/>
        </w:rPr>
        <w:t>providing an integrated service to allow both counselling, geneticist review and test ordering at a single visit</w:t>
      </w:r>
    </w:p>
    <w:p w14:paraId="734062EC" w14:textId="59468872" w:rsidR="00F43BF0" w:rsidRPr="00521D11" w:rsidRDefault="00F43BF0" w:rsidP="00CF683B">
      <w:pPr>
        <w:pStyle w:val="Bullet"/>
        <w:rPr>
          <w:rFonts w:asciiTheme="minorHAnsi" w:hAnsiTheme="minorHAnsi" w:cstheme="minorHAnsi"/>
        </w:rPr>
      </w:pPr>
      <w:r w:rsidRPr="00521D11">
        <w:rPr>
          <w:rFonts w:asciiTheme="minorHAnsi" w:hAnsiTheme="minorHAnsi" w:cstheme="minorHAnsi"/>
        </w:rPr>
        <w:t>promot</w:t>
      </w:r>
      <w:r w:rsidR="00995ECF" w:rsidRPr="00521D11">
        <w:rPr>
          <w:rFonts w:asciiTheme="minorHAnsi" w:hAnsiTheme="minorHAnsi" w:cstheme="minorHAnsi"/>
        </w:rPr>
        <w:t>ing</w:t>
      </w:r>
      <w:r w:rsidRPr="00521D11">
        <w:rPr>
          <w:rFonts w:asciiTheme="minorHAnsi" w:hAnsiTheme="minorHAnsi" w:cstheme="minorHAnsi"/>
        </w:rPr>
        <w:t xml:space="preserve"> multidisciplinary care</w:t>
      </w:r>
    </w:p>
    <w:p w14:paraId="6273127F" w14:textId="5B84D5BE" w:rsidR="00DE637F" w:rsidRPr="00521D11" w:rsidRDefault="00995ECF" w:rsidP="00CF683B">
      <w:pPr>
        <w:pStyle w:val="Bullet"/>
        <w:rPr>
          <w:rFonts w:asciiTheme="minorHAnsi" w:hAnsiTheme="minorHAnsi" w:cstheme="minorHAnsi"/>
        </w:rPr>
      </w:pPr>
      <w:r w:rsidRPr="00521D11">
        <w:rPr>
          <w:rFonts w:asciiTheme="minorHAnsi" w:hAnsiTheme="minorHAnsi" w:cstheme="minorHAnsi"/>
        </w:rPr>
        <w:t>p</w:t>
      </w:r>
      <w:r w:rsidR="00DE637F" w:rsidRPr="00521D11">
        <w:rPr>
          <w:rFonts w:asciiTheme="minorHAnsi" w:hAnsiTheme="minorHAnsi" w:cstheme="minorHAnsi"/>
        </w:rPr>
        <w:t>romot</w:t>
      </w:r>
      <w:r w:rsidRPr="00521D11">
        <w:rPr>
          <w:rFonts w:asciiTheme="minorHAnsi" w:hAnsiTheme="minorHAnsi" w:cstheme="minorHAnsi"/>
        </w:rPr>
        <w:t>ing</w:t>
      </w:r>
      <w:r w:rsidR="00DE637F" w:rsidRPr="00521D11">
        <w:rPr>
          <w:rFonts w:asciiTheme="minorHAnsi" w:hAnsiTheme="minorHAnsi" w:cstheme="minorHAnsi"/>
        </w:rPr>
        <w:t xml:space="preserve"> appropriate </w:t>
      </w:r>
      <w:r w:rsidR="00F43BF0" w:rsidRPr="00521D11">
        <w:rPr>
          <w:rFonts w:asciiTheme="minorHAnsi" w:hAnsiTheme="minorHAnsi" w:cstheme="minorHAnsi"/>
        </w:rPr>
        <w:t xml:space="preserve">communication between </w:t>
      </w:r>
      <w:r w:rsidR="00925D89" w:rsidRPr="00521D11">
        <w:rPr>
          <w:rFonts w:asciiTheme="minorHAnsi" w:hAnsiTheme="minorHAnsi" w:cstheme="minorHAnsi"/>
        </w:rPr>
        <w:t xml:space="preserve">non-GP </w:t>
      </w:r>
      <w:r w:rsidR="00F43BF0" w:rsidRPr="00521D11">
        <w:rPr>
          <w:rFonts w:asciiTheme="minorHAnsi" w:hAnsiTheme="minorHAnsi" w:cstheme="minorHAnsi"/>
        </w:rPr>
        <w:t xml:space="preserve">specialists and GPs </w:t>
      </w:r>
      <w:r w:rsidR="00DE637F" w:rsidRPr="00521D11">
        <w:rPr>
          <w:rFonts w:asciiTheme="minorHAnsi" w:hAnsiTheme="minorHAnsi" w:cstheme="minorHAnsi"/>
        </w:rPr>
        <w:t xml:space="preserve">through </w:t>
      </w:r>
      <w:r w:rsidR="004D033B" w:rsidRPr="00521D11">
        <w:rPr>
          <w:rFonts w:asciiTheme="minorHAnsi" w:hAnsiTheme="minorHAnsi" w:cstheme="minorHAnsi"/>
        </w:rPr>
        <w:t>existing infrastructure</w:t>
      </w:r>
    </w:p>
    <w:p w14:paraId="081FEA74" w14:textId="536626C6" w:rsidR="00F43BF0" w:rsidRPr="00521D11" w:rsidRDefault="00995ECF" w:rsidP="00CF683B">
      <w:pPr>
        <w:pStyle w:val="BulletLast"/>
        <w:rPr>
          <w:rFonts w:asciiTheme="minorHAnsi" w:hAnsiTheme="minorHAnsi" w:cstheme="minorHAnsi"/>
        </w:rPr>
      </w:pPr>
      <w:r w:rsidRPr="00521D11">
        <w:rPr>
          <w:rFonts w:asciiTheme="minorHAnsi" w:hAnsiTheme="minorHAnsi" w:cstheme="minorHAnsi"/>
        </w:rPr>
        <w:t>maintaining</w:t>
      </w:r>
      <w:r w:rsidR="00DE637F" w:rsidRPr="00521D11">
        <w:rPr>
          <w:rFonts w:asciiTheme="minorHAnsi" w:hAnsiTheme="minorHAnsi" w:cstheme="minorHAnsi"/>
        </w:rPr>
        <w:t xml:space="preserve"> no direct cost implications for consumers</w:t>
      </w:r>
      <w:r w:rsidR="007959A7" w:rsidRPr="00521D11">
        <w:rPr>
          <w:rFonts w:asciiTheme="minorHAnsi" w:hAnsiTheme="minorHAnsi" w:cstheme="minorHAnsi"/>
        </w:rPr>
        <w:t>.</w:t>
      </w:r>
    </w:p>
    <w:p w14:paraId="5404F753" w14:textId="0BD49C30" w:rsidR="00DE637F" w:rsidRPr="00521D11" w:rsidRDefault="00DE637F" w:rsidP="007959A7">
      <w:pPr>
        <w:pStyle w:val="NormalBeforeBullet"/>
        <w:rPr>
          <w:rFonts w:asciiTheme="minorHAnsi" w:hAnsiTheme="minorHAnsi" w:cstheme="minorHAnsi"/>
        </w:rPr>
      </w:pPr>
      <w:r w:rsidRPr="00521D11">
        <w:rPr>
          <w:rFonts w:asciiTheme="minorHAnsi" w:hAnsiTheme="minorHAnsi" w:cstheme="minorHAnsi"/>
        </w:rPr>
        <w:t xml:space="preserve">Other limited </w:t>
      </w:r>
      <w:r w:rsidR="00B9691B" w:rsidRPr="00521D11">
        <w:rPr>
          <w:rFonts w:asciiTheme="minorHAnsi" w:hAnsiTheme="minorHAnsi" w:cstheme="minorHAnsi"/>
        </w:rPr>
        <w:t>option</w:t>
      </w:r>
      <w:r w:rsidRPr="00521D11">
        <w:rPr>
          <w:rFonts w:asciiTheme="minorHAnsi" w:hAnsiTheme="minorHAnsi" w:cstheme="minorHAnsi"/>
        </w:rPr>
        <w:t>s</w:t>
      </w:r>
      <w:r w:rsidR="00B9691B" w:rsidRPr="00521D11">
        <w:rPr>
          <w:rFonts w:asciiTheme="minorHAnsi" w:hAnsiTheme="minorHAnsi" w:cstheme="minorHAnsi"/>
        </w:rPr>
        <w:t xml:space="preserve"> </w:t>
      </w:r>
      <w:r w:rsidRPr="00521D11">
        <w:rPr>
          <w:rFonts w:asciiTheme="minorHAnsi" w:hAnsiTheme="minorHAnsi" w:cstheme="minorHAnsi"/>
        </w:rPr>
        <w:t>considered were:</w:t>
      </w:r>
    </w:p>
    <w:p w14:paraId="7B0470AA" w14:textId="612A7A82" w:rsidR="00DE637F" w:rsidRPr="00521D11" w:rsidRDefault="00B9691B" w:rsidP="00CF683B">
      <w:pPr>
        <w:pStyle w:val="Bullet"/>
        <w:rPr>
          <w:rFonts w:asciiTheme="minorHAnsi" w:hAnsiTheme="minorHAnsi" w:cstheme="minorHAnsi"/>
        </w:rPr>
      </w:pPr>
      <w:r w:rsidRPr="00521D11">
        <w:rPr>
          <w:rFonts w:asciiTheme="minorHAnsi" w:hAnsiTheme="minorHAnsi" w:cstheme="minorHAnsi"/>
        </w:rPr>
        <w:t>increas</w:t>
      </w:r>
      <w:r w:rsidR="008E4589">
        <w:rPr>
          <w:rFonts w:asciiTheme="minorHAnsi" w:hAnsiTheme="minorHAnsi" w:cstheme="minorHAnsi"/>
        </w:rPr>
        <w:t>ing</w:t>
      </w:r>
      <w:r w:rsidRPr="00521D11">
        <w:rPr>
          <w:rFonts w:asciiTheme="minorHAnsi" w:hAnsiTheme="minorHAnsi" w:cstheme="minorHAnsi"/>
        </w:rPr>
        <w:t xml:space="preserve"> the MBS rebate for genetic testing </w:t>
      </w:r>
      <w:r w:rsidR="00D96B78" w:rsidRPr="00521D11">
        <w:rPr>
          <w:rFonts w:asciiTheme="minorHAnsi" w:hAnsiTheme="minorHAnsi" w:cstheme="minorHAnsi"/>
        </w:rPr>
        <w:t xml:space="preserve">to include the cost of </w:t>
      </w:r>
      <w:r w:rsidRPr="00521D11">
        <w:rPr>
          <w:rFonts w:asciiTheme="minorHAnsi" w:hAnsiTheme="minorHAnsi" w:cstheme="minorHAnsi"/>
        </w:rPr>
        <w:t xml:space="preserve">genetic </w:t>
      </w:r>
      <w:r w:rsidR="00757390" w:rsidRPr="00521D11">
        <w:rPr>
          <w:rFonts w:asciiTheme="minorHAnsi" w:hAnsiTheme="minorHAnsi" w:cstheme="minorHAnsi"/>
        </w:rPr>
        <w:t>counselling and</w:t>
      </w:r>
      <w:r w:rsidRPr="00521D11">
        <w:rPr>
          <w:rFonts w:asciiTheme="minorHAnsi" w:hAnsiTheme="minorHAnsi" w:cstheme="minorHAnsi"/>
        </w:rPr>
        <w:t xml:space="preserve"> make it a requirement</w:t>
      </w:r>
      <w:r w:rsidR="00A95A56" w:rsidRPr="00521D11">
        <w:rPr>
          <w:rFonts w:asciiTheme="minorHAnsi" w:hAnsiTheme="minorHAnsi" w:cstheme="minorHAnsi"/>
        </w:rPr>
        <w:t xml:space="preserve"> of the testing process</w:t>
      </w:r>
      <w:r w:rsidR="00DE637F" w:rsidRPr="00521D11">
        <w:rPr>
          <w:rFonts w:asciiTheme="minorHAnsi" w:hAnsiTheme="minorHAnsi" w:cstheme="minorHAnsi"/>
        </w:rPr>
        <w:t xml:space="preserve"> </w:t>
      </w:r>
    </w:p>
    <w:p w14:paraId="7E15A66C" w14:textId="65278DCC" w:rsidR="00B9691B" w:rsidRPr="00521D11" w:rsidRDefault="00DE637F" w:rsidP="00CF683B">
      <w:pPr>
        <w:pStyle w:val="BulletLast"/>
        <w:rPr>
          <w:rFonts w:asciiTheme="minorHAnsi" w:hAnsiTheme="minorHAnsi" w:cstheme="minorHAnsi"/>
        </w:rPr>
      </w:pPr>
      <w:r w:rsidRPr="00521D11">
        <w:rPr>
          <w:rFonts w:asciiTheme="minorHAnsi" w:hAnsiTheme="minorHAnsi" w:cstheme="minorHAnsi"/>
        </w:rPr>
        <w:t xml:space="preserve">continued provision of non-MBS funded professional </w:t>
      </w:r>
      <w:r w:rsidR="00995ECF" w:rsidRPr="00521D11">
        <w:rPr>
          <w:rFonts w:asciiTheme="minorHAnsi" w:hAnsiTheme="minorHAnsi" w:cstheme="minorHAnsi"/>
        </w:rPr>
        <w:t>genetic counselling</w:t>
      </w:r>
      <w:r w:rsidRPr="00521D11">
        <w:rPr>
          <w:rFonts w:asciiTheme="minorHAnsi" w:hAnsiTheme="minorHAnsi" w:cstheme="minorHAnsi"/>
        </w:rPr>
        <w:t xml:space="preserve"> services in the private sector as currently occurs to a limited extent</w:t>
      </w:r>
      <w:r w:rsidR="007959A7" w:rsidRPr="00521D11">
        <w:rPr>
          <w:rFonts w:asciiTheme="minorHAnsi" w:hAnsiTheme="minorHAnsi" w:cstheme="minorHAnsi"/>
        </w:rPr>
        <w:t>.</w:t>
      </w:r>
    </w:p>
    <w:p w14:paraId="2BE08515" w14:textId="6C97ED78" w:rsidR="00D96B78" w:rsidRPr="00521D11" w:rsidRDefault="00D96B78" w:rsidP="00D96B78">
      <w:pPr>
        <w:pStyle w:val="Heading2"/>
        <w:rPr>
          <w:rFonts w:asciiTheme="minorHAnsi" w:hAnsiTheme="minorHAnsi" w:cstheme="minorHAnsi"/>
        </w:rPr>
      </w:pPr>
      <w:bookmarkStart w:id="55" w:name="_Toc117856162"/>
      <w:bookmarkStart w:id="56" w:name="_Toc132209207"/>
      <w:bookmarkStart w:id="57" w:name="_Toc132627478"/>
      <w:r w:rsidRPr="003D1ADD">
        <w:rPr>
          <w:rFonts w:asciiTheme="minorHAnsi" w:hAnsiTheme="minorHAnsi" w:cstheme="minorHAnsi"/>
          <w:color w:val="E36C0A" w:themeColor="accent6" w:themeShade="BF"/>
        </w:rPr>
        <w:t>Outcomes</w:t>
      </w:r>
      <w:bookmarkEnd w:id="55"/>
      <w:bookmarkEnd w:id="56"/>
      <w:bookmarkEnd w:id="57"/>
    </w:p>
    <w:p w14:paraId="4417C3CD" w14:textId="2BF71232" w:rsidR="00B9691B" w:rsidRPr="00521D11" w:rsidRDefault="00D96B78" w:rsidP="00A970EC">
      <w:pPr>
        <w:rPr>
          <w:rFonts w:asciiTheme="minorHAnsi" w:hAnsiTheme="minorHAnsi" w:cstheme="minorHAnsi"/>
        </w:rPr>
      </w:pPr>
      <w:r w:rsidRPr="00521D11">
        <w:rPr>
          <w:rFonts w:asciiTheme="minorHAnsi" w:hAnsiTheme="minorHAnsi" w:cstheme="minorHAnsi"/>
        </w:rPr>
        <w:t xml:space="preserve">The outcomes </w:t>
      </w:r>
      <w:r w:rsidR="001817F3" w:rsidRPr="00521D11">
        <w:rPr>
          <w:rFonts w:asciiTheme="minorHAnsi" w:hAnsiTheme="minorHAnsi" w:cstheme="minorHAnsi"/>
        </w:rPr>
        <w:t xml:space="preserve">of the submitted </w:t>
      </w:r>
      <w:r w:rsidR="00AA75F8">
        <w:rPr>
          <w:rFonts w:asciiTheme="minorHAnsi" w:hAnsiTheme="minorHAnsi" w:cstheme="minorHAnsi"/>
        </w:rPr>
        <w:t xml:space="preserve">proposal </w:t>
      </w:r>
      <w:r w:rsidRPr="00521D11">
        <w:rPr>
          <w:rFonts w:asciiTheme="minorHAnsi" w:hAnsiTheme="minorHAnsi" w:cstheme="minorHAnsi"/>
        </w:rPr>
        <w:t xml:space="preserve">are uncertain. </w:t>
      </w:r>
      <w:proofErr w:type="gramStart"/>
      <w:r w:rsidR="001817F3" w:rsidRPr="00521D11">
        <w:rPr>
          <w:rFonts w:asciiTheme="minorHAnsi" w:hAnsiTheme="minorHAnsi" w:cstheme="minorHAnsi"/>
        </w:rPr>
        <w:t>In particular, t</w:t>
      </w:r>
      <w:r w:rsidRPr="00521D11">
        <w:rPr>
          <w:rFonts w:asciiTheme="minorHAnsi" w:hAnsiTheme="minorHAnsi" w:cstheme="minorHAnsi"/>
        </w:rPr>
        <w:t>here</w:t>
      </w:r>
      <w:proofErr w:type="gramEnd"/>
      <w:r w:rsidRPr="00521D11">
        <w:rPr>
          <w:rFonts w:asciiTheme="minorHAnsi" w:hAnsiTheme="minorHAnsi" w:cstheme="minorHAnsi"/>
        </w:rPr>
        <w:t xml:space="preserve"> </w:t>
      </w:r>
      <w:r w:rsidR="00995ECF" w:rsidRPr="00521D11">
        <w:rPr>
          <w:rFonts w:asciiTheme="minorHAnsi" w:hAnsiTheme="minorHAnsi" w:cstheme="minorHAnsi"/>
        </w:rPr>
        <w:t xml:space="preserve">are </w:t>
      </w:r>
      <w:r w:rsidRPr="00521D11">
        <w:rPr>
          <w:rFonts w:asciiTheme="minorHAnsi" w:hAnsiTheme="minorHAnsi" w:cstheme="minorHAnsi"/>
        </w:rPr>
        <w:t>no</w:t>
      </w:r>
      <w:r w:rsidR="00F84C32" w:rsidRPr="00521D11">
        <w:rPr>
          <w:rFonts w:asciiTheme="minorHAnsi" w:hAnsiTheme="minorHAnsi" w:cstheme="minorHAnsi"/>
        </w:rPr>
        <w:t xml:space="preserve"> available</w:t>
      </w:r>
      <w:r w:rsidRPr="00521D11">
        <w:rPr>
          <w:rFonts w:asciiTheme="minorHAnsi" w:hAnsiTheme="minorHAnsi" w:cstheme="minorHAnsi"/>
        </w:rPr>
        <w:t xml:space="preserve"> data to show current waiting times</w:t>
      </w:r>
      <w:r w:rsidR="00A95A56" w:rsidRPr="00521D11">
        <w:rPr>
          <w:rFonts w:asciiTheme="minorHAnsi" w:hAnsiTheme="minorHAnsi" w:cstheme="minorHAnsi"/>
        </w:rPr>
        <w:t xml:space="preserve"> and usage of genetic counselling services. Without this base information, it is difficult to quantify the current usage of genetic counselling services.</w:t>
      </w:r>
      <w:r w:rsidRPr="00521D11">
        <w:rPr>
          <w:rFonts w:asciiTheme="minorHAnsi" w:hAnsiTheme="minorHAnsi" w:cstheme="minorHAnsi"/>
        </w:rPr>
        <w:t xml:space="preserve"> </w:t>
      </w:r>
      <w:r w:rsidR="00995ECF" w:rsidRPr="00521D11">
        <w:rPr>
          <w:rFonts w:asciiTheme="minorHAnsi" w:hAnsiTheme="minorHAnsi" w:cstheme="minorHAnsi"/>
        </w:rPr>
        <w:t>Therefore,</w:t>
      </w:r>
      <w:r w:rsidR="00A95A56" w:rsidRPr="00521D11">
        <w:rPr>
          <w:rFonts w:asciiTheme="minorHAnsi" w:hAnsiTheme="minorHAnsi" w:cstheme="minorHAnsi"/>
        </w:rPr>
        <w:t xml:space="preserve"> it is </w:t>
      </w:r>
      <w:r w:rsidR="008E4589">
        <w:rPr>
          <w:rFonts w:asciiTheme="minorHAnsi" w:hAnsiTheme="minorHAnsi" w:cstheme="minorHAnsi"/>
        </w:rPr>
        <w:t xml:space="preserve">also </w:t>
      </w:r>
      <w:r w:rsidR="00A95A56" w:rsidRPr="00521D11">
        <w:rPr>
          <w:rFonts w:asciiTheme="minorHAnsi" w:hAnsiTheme="minorHAnsi" w:cstheme="minorHAnsi"/>
        </w:rPr>
        <w:t xml:space="preserve">not possible to </w:t>
      </w:r>
      <w:r w:rsidRPr="00521D11">
        <w:rPr>
          <w:rFonts w:asciiTheme="minorHAnsi" w:hAnsiTheme="minorHAnsi" w:cstheme="minorHAnsi"/>
        </w:rPr>
        <w:t xml:space="preserve">predict the increase in demand </w:t>
      </w:r>
      <w:r w:rsidR="00A95A56" w:rsidRPr="00521D11">
        <w:rPr>
          <w:rFonts w:asciiTheme="minorHAnsi" w:hAnsiTheme="minorHAnsi" w:cstheme="minorHAnsi"/>
        </w:rPr>
        <w:t xml:space="preserve">and the </w:t>
      </w:r>
      <w:r w:rsidRPr="00521D11">
        <w:rPr>
          <w:rFonts w:asciiTheme="minorHAnsi" w:hAnsiTheme="minorHAnsi" w:cstheme="minorHAnsi"/>
        </w:rPr>
        <w:t>extent</w:t>
      </w:r>
      <w:r w:rsidR="00A95A56" w:rsidRPr="00521D11">
        <w:rPr>
          <w:rFonts w:asciiTheme="minorHAnsi" w:hAnsiTheme="minorHAnsi" w:cstheme="minorHAnsi"/>
        </w:rPr>
        <w:t xml:space="preserve"> to which</w:t>
      </w:r>
      <w:r w:rsidRPr="00521D11">
        <w:rPr>
          <w:rFonts w:asciiTheme="minorHAnsi" w:hAnsiTheme="minorHAnsi" w:cstheme="minorHAnsi"/>
        </w:rPr>
        <w:t xml:space="preserve"> new MBS item numbers will alleviate current and future capacity issues.</w:t>
      </w:r>
      <w:r w:rsidR="00A95A56" w:rsidRPr="00521D11">
        <w:rPr>
          <w:rFonts w:asciiTheme="minorHAnsi" w:hAnsiTheme="minorHAnsi" w:cstheme="minorHAnsi"/>
        </w:rPr>
        <w:t xml:space="preserve"> Additionally, there </w:t>
      </w:r>
      <w:r w:rsidR="00A81116" w:rsidRPr="00521D11">
        <w:rPr>
          <w:rFonts w:asciiTheme="minorHAnsi" w:hAnsiTheme="minorHAnsi" w:cstheme="minorHAnsi"/>
        </w:rPr>
        <w:t xml:space="preserve">are </w:t>
      </w:r>
      <w:r w:rsidR="00A95A56" w:rsidRPr="00521D11">
        <w:rPr>
          <w:rFonts w:asciiTheme="minorHAnsi" w:hAnsiTheme="minorHAnsi" w:cstheme="minorHAnsi"/>
        </w:rPr>
        <w:t xml:space="preserve">no </w:t>
      </w:r>
      <w:r w:rsidR="00F84C32" w:rsidRPr="00521D11">
        <w:rPr>
          <w:rFonts w:asciiTheme="minorHAnsi" w:hAnsiTheme="minorHAnsi" w:cstheme="minorHAnsi"/>
        </w:rPr>
        <w:t xml:space="preserve">available </w:t>
      </w:r>
      <w:r w:rsidR="00A95A56" w:rsidRPr="00521D11">
        <w:rPr>
          <w:rFonts w:asciiTheme="minorHAnsi" w:hAnsiTheme="minorHAnsi" w:cstheme="minorHAnsi"/>
        </w:rPr>
        <w:t>data to quantify the flow-on savings in the health system when a genetic counsellor has provided effective intervention.</w:t>
      </w:r>
    </w:p>
    <w:p w14:paraId="6D42F31F" w14:textId="5AF2E92F" w:rsidR="00F35222" w:rsidRPr="00521D11" w:rsidRDefault="00D96B78" w:rsidP="0062233B">
      <w:pPr>
        <w:rPr>
          <w:rFonts w:asciiTheme="minorHAnsi" w:hAnsiTheme="minorHAnsi" w:cstheme="minorHAnsi"/>
        </w:rPr>
      </w:pPr>
      <w:r w:rsidRPr="00521D11">
        <w:rPr>
          <w:rFonts w:asciiTheme="minorHAnsi" w:hAnsiTheme="minorHAnsi" w:cstheme="minorHAnsi"/>
        </w:rPr>
        <w:t xml:space="preserve">These and other outcomes are further addressed in </w:t>
      </w:r>
      <w:hyperlink w:anchor="_Assessment_of_main" w:history="1">
        <w:r w:rsidRPr="00521D11">
          <w:rPr>
            <w:rStyle w:val="Hyperlink"/>
            <w:rFonts w:asciiTheme="minorHAnsi" w:hAnsiTheme="minorHAnsi" w:cstheme="minorHAnsi"/>
          </w:rPr>
          <w:t>Assessment of main issues</w:t>
        </w:r>
      </w:hyperlink>
      <w:r w:rsidR="00CF1186" w:rsidRPr="00521D11">
        <w:rPr>
          <w:rFonts w:asciiTheme="minorHAnsi" w:hAnsiTheme="minorHAnsi" w:cstheme="minorHAnsi"/>
        </w:rPr>
        <w:t>.</w:t>
      </w:r>
    </w:p>
    <w:p w14:paraId="1C92B72B" w14:textId="191FF9BF" w:rsidR="00D53D9A" w:rsidRPr="00521D11" w:rsidRDefault="00FB6F9E" w:rsidP="00AA75F8">
      <w:pPr>
        <w:pStyle w:val="Heading1"/>
        <w:ind w:left="0" w:firstLine="0"/>
        <w:rPr>
          <w:rFonts w:asciiTheme="minorHAnsi" w:hAnsiTheme="minorHAnsi" w:cstheme="minorHAnsi"/>
        </w:rPr>
      </w:pPr>
      <w:bookmarkStart w:id="58" w:name="_Assessment_of_main"/>
      <w:bookmarkStart w:id="59" w:name="_Toc117856163"/>
      <w:bookmarkStart w:id="60" w:name="_Toc132209208"/>
      <w:bookmarkStart w:id="61" w:name="_Toc132627479"/>
      <w:bookmarkEnd w:id="58"/>
      <w:r w:rsidRPr="003D1ADD">
        <w:rPr>
          <w:rFonts w:asciiTheme="minorHAnsi" w:hAnsiTheme="minorHAnsi" w:cstheme="minorHAnsi"/>
        </w:rPr>
        <w:lastRenderedPageBreak/>
        <w:t>A</w:t>
      </w:r>
      <w:r w:rsidR="00A53D90" w:rsidRPr="003D1ADD">
        <w:rPr>
          <w:rFonts w:asciiTheme="minorHAnsi" w:hAnsiTheme="minorHAnsi" w:cstheme="minorHAnsi"/>
        </w:rPr>
        <w:t xml:space="preserve">ssessment of </w:t>
      </w:r>
      <w:r w:rsidR="00B9691B" w:rsidRPr="003D1ADD">
        <w:rPr>
          <w:rFonts w:asciiTheme="minorHAnsi" w:hAnsiTheme="minorHAnsi" w:cstheme="minorHAnsi"/>
        </w:rPr>
        <w:t xml:space="preserve">main </w:t>
      </w:r>
      <w:r w:rsidR="00A53D90" w:rsidRPr="003D1ADD">
        <w:rPr>
          <w:rFonts w:asciiTheme="minorHAnsi" w:hAnsiTheme="minorHAnsi" w:cstheme="minorHAnsi"/>
        </w:rPr>
        <w:t>i</w:t>
      </w:r>
      <w:r w:rsidR="00D53D9A" w:rsidRPr="003D1ADD">
        <w:rPr>
          <w:rFonts w:asciiTheme="minorHAnsi" w:hAnsiTheme="minorHAnsi" w:cstheme="minorHAnsi"/>
        </w:rPr>
        <w:t>ssues</w:t>
      </w:r>
      <w:bookmarkEnd w:id="59"/>
      <w:bookmarkEnd w:id="60"/>
      <w:bookmarkEnd w:id="61"/>
    </w:p>
    <w:p w14:paraId="6D74FBF6" w14:textId="58C65009" w:rsidR="00D53D9A" w:rsidRPr="00521D11" w:rsidRDefault="00D53D9A" w:rsidP="00D53D9A">
      <w:pPr>
        <w:pStyle w:val="NormalBeforeBullet"/>
        <w:rPr>
          <w:rFonts w:asciiTheme="minorHAnsi" w:hAnsiTheme="minorHAnsi" w:cstheme="minorHAnsi"/>
        </w:rPr>
      </w:pPr>
      <w:r w:rsidRPr="00521D11">
        <w:rPr>
          <w:rFonts w:asciiTheme="minorHAnsi" w:hAnsiTheme="minorHAnsi" w:cstheme="minorHAnsi"/>
        </w:rPr>
        <w:t xml:space="preserve">This </w:t>
      </w:r>
      <w:r w:rsidR="00AA75F8">
        <w:rPr>
          <w:rFonts w:asciiTheme="minorHAnsi" w:hAnsiTheme="minorHAnsi" w:cstheme="minorHAnsi"/>
        </w:rPr>
        <w:t>proposal</w:t>
      </w:r>
      <w:r w:rsidRPr="00521D11">
        <w:rPr>
          <w:rFonts w:asciiTheme="minorHAnsi" w:hAnsiTheme="minorHAnsi" w:cstheme="minorHAnsi"/>
        </w:rPr>
        <w:t xml:space="preserve"> has several limitations that restrict its ability to meet </w:t>
      </w:r>
      <w:r w:rsidR="0074323B" w:rsidRPr="00521D11">
        <w:rPr>
          <w:rFonts w:asciiTheme="minorHAnsi" w:hAnsiTheme="minorHAnsi" w:cstheme="minorHAnsi"/>
        </w:rPr>
        <w:t>the</w:t>
      </w:r>
      <w:r w:rsidRPr="00521D11">
        <w:rPr>
          <w:rFonts w:asciiTheme="minorHAnsi" w:hAnsiTheme="minorHAnsi" w:cstheme="minorHAnsi"/>
        </w:rPr>
        <w:t xml:space="preserve"> need</w:t>
      </w:r>
      <w:r w:rsidR="0074323B" w:rsidRPr="00521D11">
        <w:rPr>
          <w:rFonts w:asciiTheme="minorHAnsi" w:hAnsiTheme="minorHAnsi" w:cstheme="minorHAnsi"/>
        </w:rPr>
        <w:t xml:space="preserve"> of more genetics services</w:t>
      </w:r>
      <w:r w:rsidRPr="00521D11">
        <w:rPr>
          <w:rFonts w:asciiTheme="minorHAnsi" w:hAnsiTheme="minorHAnsi" w:cstheme="minorHAnsi"/>
        </w:rPr>
        <w:t>:</w:t>
      </w:r>
    </w:p>
    <w:p w14:paraId="3BF2EC6D" w14:textId="3977B6C8" w:rsidR="00D53D9A" w:rsidRPr="00521D11" w:rsidRDefault="00D53D9A" w:rsidP="00CF683B">
      <w:pPr>
        <w:pStyle w:val="Bullet"/>
        <w:rPr>
          <w:rFonts w:asciiTheme="minorHAnsi" w:hAnsiTheme="minorHAnsi" w:cstheme="minorHAnsi"/>
        </w:rPr>
      </w:pPr>
      <w:r w:rsidRPr="00521D11">
        <w:rPr>
          <w:rFonts w:asciiTheme="minorHAnsi" w:hAnsiTheme="minorHAnsi" w:cstheme="minorHAnsi"/>
        </w:rPr>
        <w:t xml:space="preserve">It only addresses a </w:t>
      </w:r>
      <w:r w:rsidR="005F7F23" w:rsidRPr="00521D11">
        <w:rPr>
          <w:rFonts w:asciiTheme="minorHAnsi" w:hAnsiTheme="minorHAnsi" w:cstheme="minorHAnsi"/>
        </w:rPr>
        <w:t xml:space="preserve">single </w:t>
      </w:r>
      <w:r w:rsidRPr="00521D11">
        <w:rPr>
          <w:rFonts w:asciiTheme="minorHAnsi" w:hAnsiTheme="minorHAnsi" w:cstheme="minorHAnsi"/>
        </w:rPr>
        <w:t>component</w:t>
      </w:r>
      <w:r w:rsidR="00BA1737" w:rsidRPr="00521D11">
        <w:rPr>
          <w:rFonts w:asciiTheme="minorHAnsi" w:hAnsiTheme="minorHAnsi" w:cstheme="minorHAnsi"/>
        </w:rPr>
        <w:t xml:space="preserve"> –</w:t>
      </w:r>
      <w:r w:rsidRPr="00521D11">
        <w:rPr>
          <w:rFonts w:asciiTheme="minorHAnsi" w:hAnsiTheme="minorHAnsi" w:cstheme="minorHAnsi"/>
        </w:rPr>
        <w:t xml:space="preserve"> counselling</w:t>
      </w:r>
      <w:r w:rsidR="007959A7" w:rsidRPr="00521D11">
        <w:rPr>
          <w:rFonts w:asciiTheme="minorHAnsi" w:hAnsiTheme="minorHAnsi" w:cstheme="minorHAnsi"/>
        </w:rPr>
        <w:t>.</w:t>
      </w:r>
    </w:p>
    <w:p w14:paraId="46E58227" w14:textId="40ABF12B" w:rsidR="00D53D9A" w:rsidRPr="00521D11" w:rsidRDefault="00D53D9A" w:rsidP="00CF683B">
      <w:pPr>
        <w:pStyle w:val="Bullet"/>
        <w:rPr>
          <w:rFonts w:asciiTheme="minorHAnsi" w:hAnsiTheme="minorHAnsi" w:cstheme="minorHAnsi"/>
        </w:rPr>
      </w:pPr>
      <w:r w:rsidRPr="00521D11">
        <w:rPr>
          <w:rFonts w:asciiTheme="minorHAnsi" w:hAnsiTheme="minorHAnsi" w:cstheme="minorHAnsi"/>
        </w:rPr>
        <w:t xml:space="preserve">It does not address the need for integration with a </w:t>
      </w:r>
      <w:r w:rsidR="00CF1186" w:rsidRPr="00521D11">
        <w:rPr>
          <w:rFonts w:asciiTheme="minorHAnsi" w:hAnsiTheme="minorHAnsi" w:cstheme="minorHAnsi"/>
        </w:rPr>
        <w:t xml:space="preserve">clinical </w:t>
      </w:r>
      <w:r w:rsidRPr="00521D11">
        <w:rPr>
          <w:rFonts w:asciiTheme="minorHAnsi" w:hAnsiTheme="minorHAnsi" w:cstheme="minorHAnsi"/>
        </w:rPr>
        <w:t>geneticist</w:t>
      </w:r>
      <w:r w:rsidR="007959A7" w:rsidRPr="00521D11">
        <w:rPr>
          <w:rFonts w:asciiTheme="minorHAnsi" w:hAnsiTheme="minorHAnsi" w:cstheme="minorHAnsi"/>
        </w:rPr>
        <w:t>.</w:t>
      </w:r>
    </w:p>
    <w:p w14:paraId="6DBEF765" w14:textId="0D7E51B5" w:rsidR="00D53D9A" w:rsidRPr="00521D11" w:rsidRDefault="00D53D9A" w:rsidP="00CF683B">
      <w:pPr>
        <w:pStyle w:val="Bullet"/>
        <w:rPr>
          <w:rFonts w:asciiTheme="minorHAnsi" w:hAnsiTheme="minorHAnsi" w:cstheme="minorHAnsi"/>
        </w:rPr>
      </w:pPr>
      <w:r w:rsidRPr="00521D11">
        <w:rPr>
          <w:rFonts w:asciiTheme="minorHAnsi" w:hAnsiTheme="minorHAnsi" w:cstheme="minorHAnsi"/>
        </w:rPr>
        <w:t>It risks</w:t>
      </w:r>
      <w:r w:rsidR="00A95A56" w:rsidRPr="00521D11">
        <w:rPr>
          <w:rFonts w:asciiTheme="minorHAnsi" w:hAnsiTheme="minorHAnsi" w:cstheme="minorHAnsi"/>
        </w:rPr>
        <w:t xml:space="preserve"> the professional isolation of</w:t>
      </w:r>
      <w:r w:rsidRPr="00521D11">
        <w:rPr>
          <w:rFonts w:asciiTheme="minorHAnsi" w:hAnsiTheme="minorHAnsi" w:cstheme="minorHAnsi"/>
        </w:rPr>
        <w:t xml:space="preserve"> </w:t>
      </w:r>
      <w:r w:rsidR="00E04CE9" w:rsidRPr="00521D11">
        <w:rPr>
          <w:rFonts w:asciiTheme="minorHAnsi" w:hAnsiTheme="minorHAnsi" w:cstheme="minorHAnsi"/>
        </w:rPr>
        <w:t xml:space="preserve">genetic </w:t>
      </w:r>
      <w:r w:rsidRPr="00521D11">
        <w:rPr>
          <w:rFonts w:asciiTheme="minorHAnsi" w:hAnsiTheme="minorHAnsi" w:cstheme="minorHAnsi"/>
        </w:rPr>
        <w:t xml:space="preserve">counsellors </w:t>
      </w:r>
      <w:r w:rsidR="00E04CE9" w:rsidRPr="00521D11">
        <w:rPr>
          <w:rFonts w:asciiTheme="minorHAnsi" w:hAnsiTheme="minorHAnsi" w:cstheme="minorHAnsi"/>
        </w:rPr>
        <w:t xml:space="preserve">who choose to practice privately </w:t>
      </w:r>
      <w:r w:rsidRPr="00521D11">
        <w:rPr>
          <w:rFonts w:asciiTheme="minorHAnsi" w:hAnsiTheme="minorHAnsi" w:cstheme="minorHAnsi"/>
        </w:rPr>
        <w:t>w</w:t>
      </w:r>
      <w:r w:rsidR="00E23203" w:rsidRPr="00521D11">
        <w:rPr>
          <w:rFonts w:asciiTheme="minorHAnsi" w:hAnsiTheme="minorHAnsi" w:cstheme="minorHAnsi"/>
        </w:rPr>
        <w:t>ithout access to medical specialists</w:t>
      </w:r>
      <w:r w:rsidR="007959A7" w:rsidRPr="00521D11">
        <w:rPr>
          <w:rFonts w:asciiTheme="minorHAnsi" w:hAnsiTheme="minorHAnsi" w:cstheme="minorHAnsi"/>
        </w:rPr>
        <w:t>.</w:t>
      </w:r>
    </w:p>
    <w:p w14:paraId="2D63C495" w14:textId="421138BD" w:rsidR="00A95A56" w:rsidRPr="00521D11" w:rsidRDefault="00D53D9A" w:rsidP="00CF683B">
      <w:pPr>
        <w:pStyle w:val="Bullet"/>
        <w:rPr>
          <w:rFonts w:asciiTheme="minorHAnsi" w:hAnsiTheme="minorHAnsi" w:cstheme="minorHAnsi"/>
        </w:rPr>
      </w:pPr>
      <w:r w:rsidRPr="00521D11">
        <w:rPr>
          <w:rFonts w:asciiTheme="minorHAnsi" w:hAnsiTheme="minorHAnsi" w:cstheme="minorHAnsi"/>
        </w:rPr>
        <w:t>It is not amenable to the triaged approach that the current model has</w:t>
      </w:r>
      <w:r w:rsidR="00777DE5" w:rsidRPr="00521D11">
        <w:rPr>
          <w:rFonts w:asciiTheme="minorHAnsi" w:hAnsiTheme="minorHAnsi" w:cstheme="minorHAnsi"/>
        </w:rPr>
        <w:t>,</w:t>
      </w:r>
      <w:r w:rsidRPr="00521D11">
        <w:rPr>
          <w:rFonts w:asciiTheme="minorHAnsi" w:hAnsiTheme="minorHAnsi" w:cstheme="minorHAnsi"/>
        </w:rPr>
        <w:t xml:space="preserve"> to ensure high</w:t>
      </w:r>
      <w:r w:rsidR="005F7F23" w:rsidRPr="00521D11">
        <w:rPr>
          <w:rFonts w:asciiTheme="minorHAnsi" w:hAnsiTheme="minorHAnsi" w:cstheme="minorHAnsi"/>
        </w:rPr>
        <w:t>-</w:t>
      </w:r>
      <w:r w:rsidRPr="00521D11">
        <w:rPr>
          <w:rFonts w:asciiTheme="minorHAnsi" w:hAnsiTheme="minorHAnsi" w:cstheme="minorHAnsi"/>
        </w:rPr>
        <w:t>value care</w:t>
      </w:r>
      <w:r w:rsidR="007959A7" w:rsidRPr="00521D11">
        <w:rPr>
          <w:rFonts w:asciiTheme="minorHAnsi" w:hAnsiTheme="minorHAnsi" w:cstheme="minorHAnsi"/>
        </w:rPr>
        <w:t>.</w:t>
      </w:r>
    </w:p>
    <w:p w14:paraId="2C47B11B" w14:textId="7FFBEFDE" w:rsidR="00A95A56" w:rsidRPr="00521D11" w:rsidRDefault="00A95A56" w:rsidP="00CF683B">
      <w:pPr>
        <w:pStyle w:val="BulletLast"/>
        <w:rPr>
          <w:rFonts w:asciiTheme="minorHAnsi" w:hAnsiTheme="minorHAnsi" w:cstheme="minorHAnsi"/>
        </w:rPr>
      </w:pPr>
      <w:r w:rsidRPr="00521D11">
        <w:rPr>
          <w:rFonts w:asciiTheme="minorHAnsi" w:hAnsiTheme="minorHAnsi" w:cstheme="minorHAnsi"/>
        </w:rPr>
        <w:t xml:space="preserve">There </w:t>
      </w:r>
      <w:r w:rsidR="00607B42" w:rsidRPr="00521D11">
        <w:rPr>
          <w:rFonts w:asciiTheme="minorHAnsi" w:hAnsiTheme="minorHAnsi" w:cstheme="minorHAnsi"/>
        </w:rPr>
        <w:t xml:space="preserve">are </w:t>
      </w:r>
      <w:r w:rsidRPr="00521D11">
        <w:rPr>
          <w:rFonts w:asciiTheme="minorHAnsi" w:hAnsiTheme="minorHAnsi" w:cstheme="minorHAnsi"/>
        </w:rPr>
        <w:t>no</w:t>
      </w:r>
      <w:r w:rsidR="00F84C32" w:rsidRPr="00521D11">
        <w:rPr>
          <w:rFonts w:asciiTheme="minorHAnsi" w:hAnsiTheme="minorHAnsi" w:cstheme="minorHAnsi"/>
        </w:rPr>
        <w:t xml:space="preserve"> available </w:t>
      </w:r>
      <w:r w:rsidRPr="00521D11">
        <w:rPr>
          <w:rFonts w:asciiTheme="minorHAnsi" w:hAnsiTheme="minorHAnsi" w:cstheme="minorHAnsi"/>
        </w:rPr>
        <w:t>data to provide information on usage, cost</w:t>
      </w:r>
      <w:r w:rsidR="00757390" w:rsidRPr="00521D11">
        <w:rPr>
          <w:rFonts w:asciiTheme="minorHAnsi" w:hAnsiTheme="minorHAnsi" w:cstheme="minorHAnsi"/>
        </w:rPr>
        <w:t>,</w:t>
      </w:r>
      <w:r w:rsidRPr="00521D11">
        <w:rPr>
          <w:rFonts w:asciiTheme="minorHAnsi" w:hAnsiTheme="minorHAnsi" w:cstheme="minorHAnsi"/>
        </w:rPr>
        <w:t xml:space="preserve"> and demand for current genetic counselling services.</w:t>
      </w:r>
    </w:p>
    <w:p w14:paraId="2F4FCDEB" w14:textId="3180DA65" w:rsidR="007F6198" w:rsidRPr="003D1ADD" w:rsidRDefault="007F6198" w:rsidP="007F6198">
      <w:pPr>
        <w:pStyle w:val="Heading2"/>
        <w:rPr>
          <w:rFonts w:asciiTheme="minorHAnsi" w:hAnsiTheme="minorHAnsi" w:cstheme="minorHAnsi"/>
          <w:color w:val="E36C0A" w:themeColor="accent6" w:themeShade="BF"/>
        </w:rPr>
      </w:pPr>
      <w:bookmarkStart w:id="62" w:name="_Toc117856168"/>
      <w:bookmarkStart w:id="63" w:name="_Toc132209209"/>
      <w:bookmarkStart w:id="64" w:name="_Toc132627480"/>
      <w:r w:rsidRPr="003D1ADD">
        <w:rPr>
          <w:rFonts w:asciiTheme="minorHAnsi" w:hAnsiTheme="minorHAnsi" w:cstheme="minorHAnsi"/>
          <w:color w:val="E36C0A" w:themeColor="accent6" w:themeShade="BF"/>
        </w:rPr>
        <w:t>Equity of access may decrease, not increase</w:t>
      </w:r>
      <w:bookmarkStart w:id="65" w:name="_Toc117856164"/>
      <w:bookmarkEnd w:id="62"/>
      <w:bookmarkEnd w:id="63"/>
      <w:bookmarkEnd w:id="64"/>
      <w:r w:rsidRPr="003D1ADD">
        <w:rPr>
          <w:rFonts w:asciiTheme="minorHAnsi" w:hAnsiTheme="minorHAnsi" w:cstheme="minorHAnsi"/>
          <w:color w:val="E36C0A" w:themeColor="accent6" w:themeShade="BF"/>
        </w:rPr>
        <w:t xml:space="preserve"> </w:t>
      </w:r>
    </w:p>
    <w:p w14:paraId="239B881D" w14:textId="77777777" w:rsidR="007F6198" w:rsidRPr="00521D11" w:rsidRDefault="007F6198" w:rsidP="007F6198">
      <w:pPr>
        <w:rPr>
          <w:rFonts w:asciiTheme="minorHAnsi" w:hAnsiTheme="minorHAnsi" w:cstheme="minorHAnsi"/>
        </w:rPr>
      </w:pPr>
      <w:r w:rsidRPr="00521D11">
        <w:rPr>
          <w:rFonts w:asciiTheme="minorHAnsi" w:hAnsiTheme="minorHAnsi" w:cstheme="minorHAnsi"/>
        </w:rPr>
        <w:t xml:space="preserve">The proposed model is based on a human resource–intensive activity and it is difficult to envisage how it can be provided without costs to the patient, which is not the case with the current public model. </w:t>
      </w:r>
    </w:p>
    <w:p w14:paraId="20C18EEA" w14:textId="77777777" w:rsidR="007F6198" w:rsidRPr="00521D11" w:rsidRDefault="007F6198" w:rsidP="007F6198">
      <w:pPr>
        <w:rPr>
          <w:rFonts w:asciiTheme="minorHAnsi" w:hAnsiTheme="minorHAnsi" w:cstheme="minorHAnsi"/>
        </w:rPr>
      </w:pPr>
      <w:r w:rsidRPr="00521D11">
        <w:rPr>
          <w:rFonts w:asciiTheme="minorHAnsi" w:hAnsiTheme="minorHAnsi" w:cstheme="minorHAnsi"/>
        </w:rPr>
        <w:t xml:space="preserve">The MBS was established to create equity of access to the most important health services. It is a funding mechanism to reimburse patients for clinically </w:t>
      </w:r>
      <w:r>
        <w:rPr>
          <w:rFonts w:asciiTheme="minorHAnsi" w:hAnsiTheme="minorHAnsi" w:cstheme="minorHAnsi"/>
        </w:rPr>
        <w:t>necessary</w:t>
      </w:r>
      <w:r w:rsidRPr="00521D11">
        <w:rPr>
          <w:rFonts w:asciiTheme="minorHAnsi" w:hAnsiTheme="minorHAnsi" w:cstheme="minorHAnsi"/>
        </w:rPr>
        <w:t xml:space="preserve"> services.</w:t>
      </w:r>
    </w:p>
    <w:p w14:paraId="3C945A56" w14:textId="77777777" w:rsidR="007F6198" w:rsidRPr="00521D11" w:rsidRDefault="007F6198" w:rsidP="007F6198">
      <w:pPr>
        <w:pStyle w:val="NormalBeforeBullet"/>
        <w:rPr>
          <w:rFonts w:asciiTheme="minorHAnsi" w:hAnsiTheme="minorHAnsi" w:cstheme="minorHAnsi"/>
        </w:rPr>
      </w:pPr>
      <w:r w:rsidRPr="00521D11">
        <w:rPr>
          <w:rFonts w:asciiTheme="minorHAnsi" w:hAnsiTheme="minorHAnsi" w:cstheme="minorHAnsi"/>
        </w:rPr>
        <w:t>The GCWG raised concerns that MBS rebates are not enough to sustain a private genetic counselling practice. In a private practice, the income from face-to-face consultation would be required to cover the non–face-to-face tasks that are not normally covered by the MBS, such as:</w:t>
      </w:r>
    </w:p>
    <w:p w14:paraId="225A58FB" w14:textId="77777777" w:rsidR="007F6198" w:rsidRPr="00521D11" w:rsidRDefault="007F6198" w:rsidP="007F6198">
      <w:pPr>
        <w:pStyle w:val="Bullet"/>
        <w:rPr>
          <w:rFonts w:asciiTheme="minorHAnsi" w:hAnsiTheme="minorHAnsi" w:cstheme="minorHAnsi"/>
        </w:rPr>
      </w:pPr>
      <w:r w:rsidRPr="00521D11">
        <w:rPr>
          <w:rFonts w:asciiTheme="minorHAnsi" w:hAnsiTheme="minorHAnsi" w:cstheme="minorHAnsi"/>
        </w:rPr>
        <w:t>research concerning patient history, previous investigations and so on to inform the counselling that is required</w:t>
      </w:r>
    </w:p>
    <w:p w14:paraId="7F145073" w14:textId="77777777" w:rsidR="007F6198" w:rsidRPr="00521D11" w:rsidRDefault="007F6198" w:rsidP="007F6198">
      <w:pPr>
        <w:pStyle w:val="Bullet"/>
        <w:rPr>
          <w:rFonts w:asciiTheme="minorHAnsi" w:hAnsiTheme="minorHAnsi" w:cstheme="minorHAnsi"/>
        </w:rPr>
      </w:pPr>
      <w:r w:rsidRPr="00521D11">
        <w:rPr>
          <w:rFonts w:asciiTheme="minorHAnsi" w:hAnsiTheme="minorHAnsi" w:cstheme="minorHAnsi"/>
        </w:rPr>
        <w:t xml:space="preserve">overheads such as a room and/or secretarial support to administer billing and communicate to other clinicians </w:t>
      </w:r>
    </w:p>
    <w:p w14:paraId="495F3F9E" w14:textId="77777777" w:rsidR="007F6198" w:rsidRPr="00521D11" w:rsidRDefault="007F6198" w:rsidP="007F6198">
      <w:pPr>
        <w:pStyle w:val="Bullet"/>
        <w:rPr>
          <w:rFonts w:asciiTheme="minorHAnsi" w:hAnsiTheme="minorHAnsi" w:cstheme="minorHAnsi"/>
        </w:rPr>
      </w:pPr>
      <w:r w:rsidRPr="00521D11">
        <w:rPr>
          <w:rFonts w:asciiTheme="minorHAnsi" w:hAnsiTheme="minorHAnsi" w:cstheme="minorHAnsi"/>
        </w:rPr>
        <w:t>insurance</w:t>
      </w:r>
    </w:p>
    <w:p w14:paraId="66186358" w14:textId="77777777" w:rsidR="007F6198" w:rsidRPr="00521D11" w:rsidRDefault="007F6198" w:rsidP="007F6198">
      <w:pPr>
        <w:pStyle w:val="BulletLast"/>
        <w:rPr>
          <w:rFonts w:asciiTheme="minorHAnsi" w:hAnsiTheme="minorHAnsi" w:cstheme="minorHAnsi"/>
        </w:rPr>
      </w:pPr>
      <w:r w:rsidRPr="00521D11">
        <w:rPr>
          <w:rFonts w:asciiTheme="minorHAnsi" w:hAnsiTheme="minorHAnsi" w:cstheme="minorHAnsi"/>
        </w:rPr>
        <w:t xml:space="preserve">possibly, in the future, uploading data to My Health Record or a registry. </w:t>
      </w:r>
    </w:p>
    <w:p w14:paraId="50A803BB" w14:textId="77777777" w:rsidR="007F6198" w:rsidRPr="00521D11" w:rsidRDefault="007F6198" w:rsidP="007F6198">
      <w:pPr>
        <w:rPr>
          <w:rFonts w:asciiTheme="minorHAnsi" w:hAnsiTheme="minorHAnsi" w:cstheme="minorHAnsi"/>
        </w:rPr>
      </w:pPr>
      <w:r w:rsidRPr="00521D11">
        <w:rPr>
          <w:rFonts w:asciiTheme="minorHAnsi" w:hAnsiTheme="minorHAnsi" w:cstheme="minorHAnsi"/>
        </w:rPr>
        <w:t xml:space="preserve">Therefore, the GCWG noted the proposed fee ($236.82) </w:t>
      </w:r>
      <w:r>
        <w:rPr>
          <w:rFonts w:asciiTheme="minorHAnsi" w:hAnsiTheme="minorHAnsi" w:cstheme="minorHAnsi"/>
        </w:rPr>
        <w:t>could</w:t>
      </w:r>
      <w:r w:rsidRPr="00521D11">
        <w:rPr>
          <w:rFonts w:asciiTheme="minorHAnsi" w:hAnsiTheme="minorHAnsi" w:cstheme="minorHAnsi"/>
        </w:rPr>
        <w:t xml:space="preserve"> result in large out-of-pocket costs to patients, thus increasing inequity of access. Any increase in costs of genetic counselling limits the service to those who can afford to pay. However, the GCWG accepted that out-of-pocket costs to patients may be unavoidable. The GCWG also noted that creating MBS items for genetic counselling may not improve access to genetic counsellors for all consumers.</w:t>
      </w:r>
    </w:p>
    <w:p w14:paraId="58A3F1D3" w14:textId="77777777" w:rsidR="007F6198" w:rsidRPr="00521D11" w:rsidRDefault="007F6198" w:rsidP="007F6198">
      <w:pPr>
        <w:rPr>
          <w:rFonts w:asciiTheme="minorHAnsi" w:hAnsiTheme="minorHAnsi" w:cstheme="minorHAnsi"/>
        </w:rPr>
      </w:pPr>
      <w:r w:rsidRPr="00521D11">
        <w:rPr>
          <w:rFonts w:asciiTheme="minorHAnsi" w:hAnsiTheme="minorHAnsi" w:cstheme="minorHAnsi"/>
        </w:rPr>
        <w:t>However, genetic counsellors note that their profession is not equipment-intensive, allowing them to operate at slightly lower costs than, for example, an interventionalist.</w:t>
      </w:r>
    </w:p>
    <w:p w14:paraId="24812424" w14:textId="77777777" w:rsidR="007F6198" w:rsidRPr="00521D11" w:rsidRDefault="007F6198" w:rsidP="007F6198">
      <w:pPr>
        <w:rPr>
          <w:rFonts w:asciiTheme="minorHAnsi" w:hAnsiTheme="minorHAnsi" w:cstheme="minorHAnsi"/>
        </w:rPr>
      </w:pPr>
      <w:r w:rsidRPr="00521D11">
        <w:rPr>
          <w:rFonts w:asciiTheme="minorHAnsi" w:hAnsiTheme="minorHAnsi" w:cstheme="minorHAnsi"/>
        </w:rPr>
        <w:t xml:space="preserve">In addition, there are variable levels of health literacy and therefore variation in the amount of work the genetic counsellor will need to do to educate patients so that they </w:t>
      </w:r>
      <w:r w:rsidRPr="00521D11">
        <w:rPr>
          <w:rFonts w:asciiTheme="minorHAnsi" w:hAnsiTheme="minorHAnsi" w:cstheme="minorHAnsi"/>
        </w:rPr>
        <w:lastRenderedPageBreak/>
        <w:t>can participate in discussions and make decisions about their health care. Often, patients with very low health literacy are also the same patients who are most at risk and unable to pay for services.</w:t>
      </w:r>
    </w:p>
    <w:p w14:paraId="5FBFDF22" w14:textId="18188783" w:rsidR="00E922F5" w:rsidRPr="003D1ADD" w:rsidRDefault="00E922F5" w:rsidP="00E922F5">
      <w:pPr>
        <w:pStyle w:val="Heading2"/>
        <w:rPr>
          <w:rFonts w:asciiTheme="minorHAnsi" w:hAnsiTheme="minorHAnsi" w:cstheme="minorHAnsi"/>
          <w:color w:val="E36C0A" w:themeColor="accent6" w:themeShade="BF"/>
        </w:rPr>
      </w:pPr>
      <w:bookmarkStart w:id="66" w:name="_Toc132209210"/>
      <w:bookmarkStart w:id="67" w:name="_Toc132627481"/>
      <w:r w:rsidRPr="003D1ADD">
        <w:rPr>
          <w:rFonts w:asciiTheme="minorHAnsi" w:hAnsiTheme="minorHAnsi" w:cstheme="minorHAnsi"/>
          <w:color w:val="E36C0A" w:themeColor="accent6" w:themeShade="BF"/>
        </w:rPr>
        <w:t>Impacts on other aspects of the healthcare system</w:t>
      </w:r>
      <w:bookmarkEnd w:id="65"/>
      <w:bookmarkEnd w:id="66"/>
      <w:bookmarkEnd w:id="67"/>
      <w:r w:rsidR="007F6198" w:rsidRPr="003D1ADD">
        <w:rPr>
          <w:rFonts w:asciiTheme="minorHAnsi" w:hAnsiTheme="minorHAnsi" w:cstheme="minorHAnsi"/>
          <w:color w:val="E36C0A" w:themeColor="accent6" w:themeShade="BF"/>
        </w:rPr>
        <w:t xml:space="preserve"> </w:t>
      </w:r>
    </w:p>
    <w:p w14:paraId="5EE00BAB" w14:textId="040D5E76" w:rsidR="00E922F5" w:rsidRPr="00450D7E" w:rsidRDefault="00E922F5" w:rsidP="00E922F5">
      <w:pPr>
        <w:pStyle w:val="Heading3"/>
        <w:rPr>
          <w:rFonts w:asciiTheme="minorHAnsi" w:hAnsiTheme="minorHAnsi" w:cstheme="minorHAnsi"/>
          <w:color w:val="984806" w:themeColor="accent6" w:themeShade="80"/>
          <w:szCs w:val="22"/>
        </w:rPr>
      </w:pPr>
      <w:bookmarkStart w:id="68" w:name="_Toc117856165"/>
      <w:bookmarkStart w:id="69" w:name="_Toc132209211"/>
      <w:bookmarkStart w:id="70" w:name="_Toc132627482"/>
      <w:r w:rsidRPr="00450D7E">
        <w:rPr>
          <w:rFonts w:asciiTheme="minorHAnsi" w:hAnsiTheme="minorHAnsi" w:cstheme="minorHAnsi"/>
          <w:color w:val="984806" w:themeColor="accent6" w:themeShade="80"/>
          <w:szCs w:val="22"/>
        </w:rPr>
        <w:t>Services shifted from the public to the private sector</w:t>
      </w:r>
      <w:bookmarkEnd w:id="68"/>
      <w:bookmarkEnd w:id="69"/>
      <w:bookmarkEnd w:id="70"/>
      <w:r w:rsidRPr="00450D7E">
        <w:rPr>
          <w:rFonts w:asciiTheme="minorHAnsi" w:hAnsiTheme="minorHAnsi" w:cstheme="minorHAnsi"/>
          <w:color w:val="984806" w:themeColor="accent6" w:themeShade="80"/>
          <w:szCs w:val="22"/>
        </w:rPr>
        <w:t xml:space="preserve"> </w:t>
      </w:r>
    </w:p>
    <w:p w14:paraId="183229B5" w14:textId="31ADA50B" w:rsidR="000675C4" w:rsidRDefault="000675C4" w:rsidP="000675C4">
      <w:r>
        <w:t>Under the current public sector service model</w:t>
      </w:r>
      <w:r w:rsidR="007F6198">
        <w:t>,</w:t>
      </w:r>
      <w:r>
        <w:t xml:space="preserve"> genetics services offer testing, diagnosis, and counselling at, usually, large healthcare centres or hospitals. A strength of the public model is a triaged system that ensures patients and families with the highest need are provided with counselling services first.</w:t>
      </w:r>
    </w:p>
    <w:p w14:paraId="542C83AD" w14:textId="7BAA1E93" w:rsidR="00E922F5" w:rsidRPr="00450D7E" w:rsidRDefault="007C5F6D" w:rsidP="00E922F5">
      <w:pPr>
        <w:rPr>
          <w:rFonts w:asciiTheme="minorHAnsi" w:hAnsiTheme="minorHAnsi" w:cstheme="minorHAnsi"/>
          <w:color w:val="984806" w:themeColor="accent6" w:themeShade="80"/>
        </w:rPr>
      </w:pPr>
      <w:r w:rsidRPr="00521D11">
        <w:rPr>
          <w:rFonts w:asciiTheme="minorHAnsi" w:hAnsiTheme="minorHAnsi" w:cstheme="minorHAnsi"/>
        </w:rPr>
        <w:t>Creating MBS items may incentivise the establishment of private genetic counselling clinics</w:t>
      </w:r>
      <w:r w:rsidR="002E162E" w:rsidRPr="00521D11">
        <w:rPr>
          <w:rFonts w:asciiTheme="minorHAnsi" w:hAnsiTheme="minorHAnsi" w:cstheme="minorHAnsi"/>
        </w:rPr>
        <w:t>,</w:t>
      </w:r>
      <w:r w:rsidR="00E922F5" w:rsidRPr="00521D11">
        <w:rPr>
          <w:rFonts w:asciiTheme="minorHAnsi" w:hAnsiTheme="minorHAnsi" w:cstheme="minorHAnsi"/>
        </w:rPr>
        <w:t xml:space="preserve"> leading to </w:t>
      </w:r>
      <w:r w:rsidR="002E162E" w:rsidRPr="00521D11">
        <w:rPr>
          <w:rFonts w:asciiTheme="minorHAnsi" w:hAnsiTheme="minorHAnsi" w:cstheme="minorHAnsi"/>
        </w:rPr>
        <w:t>fewer</w:t>
      </w:r>
      <w:r w:rsidR="00E922F5" w:rsidRPr="00521D11">
        <w:rPr>
          <w:rFonts w:asciiTheme="minorHAnsi" w:hAnsiTheme="minorHAnsi" w:cstheme="minorHAnsi"/>
        </w:rPr>
        <w:t xml:space="preserve"> </w:t>
      </w:r>
      <w:r w:rsidR="002E162E" w:rsidRPr="00521D11">
        <w:rPr>
          <w:rFonts w:asciiTheme="minorHAnsi" w:hAnsiTheme="minorHAnsi" w:cstheme="minorHAnsi"/>
        </w:rPr>
        <w:t xml:space="preserve">available </w:t>
      </w:r>
      <w:r w:rsidR="00E922F5" w:rsidRPr="00521D11">
        <w:rPr>
          <w:rFonts w:asciiTheme="minorHAnsi" w:hAnsiTheme="minorHAnsi" w:cstheme="minorHAnsi"/>
        </w:rPr>
        <w:t>genetic counsell</w:t>
      </w:r>
      <w:r w:rsidR="002E162E" w:rsidRPr="00521D11">
        <w:rPr>
          <w:rFonts w:asciiTheme="minorHAnsi" w:hAnsiTheme="minorHAnsi" w:cstheme="minorHAnsi"/>
        </w:rPr>
        <w:t>ors in the public sector</w:t>
      </w:r>
      <w:r w:rsidR="006D2B9F" w:rsidRPr="00521D11">
        <w:rPr>
          <w:rFonts w:asciiTheme="minorHAnsi" w:hAnsiTheme="minorHAnsi" w:cstheme="minorHAnsi"/>
        </w:rPr>
        <w:t>, if the genetic counselling workforce is not also increased</w:t>
      </w:r>
      <w:r w:rsidR="00E922F5" w:rsidRPr="00521D11">
        <w:rPr>
          <w:rFonts w:asciiTheme="minorHAnsi" w:hAnsiTheme="minorHAnsi" w:cstheme="minorHAnsi"/>
        </w:rPr>
        <w:t>. This is likely to drive inequity of access</w:t>
      </w:r>
      <w:r w:rsidR="002E162E" w:rsidRPr="00521D11">
        <w:rPr>
          <w:rFonts w:asciiTheme="minorHAnsi" w:hAnsiTheme="minorHAnsi" w:cstheme="minorHAnsi"/>
        </w:rPr>
        <w:t>,</w:t>
      </w:r>
      <w:r w:rsidR="00E922F5" w:rsidRPr="00521D11">
        <w:rPr>
          <w:rFonts w:asciiTheme="minorHAnsi" w:hAnsiTheme="minorHAnsi" w:cstheme="minorHAnsi"/>
        </w:rPr>
        <w:t xml:space="preserve"> with financial and geographical barriers worsening</w:t>
      </w:r>
      <w:r w:rsidR="002E162E" w:rsidRPr="00521D11">
        <w:rPr>
          <w:rFonts w:asciiTheme="minorHAnsi" w:hAnsiTheme="minorHAnsi" w:cstheme="minorHAnsi"/>
        </w:rPr>
        <w:t xml:space="preserve"> (see </w:t>
      </w:r>
      <w:hyperlink w:anchor="_Equity_of_access" w:history="1">
        <w:r w:rsidR="002E162E" w:rsidRPr="00521D11">
          <w:rPr>
            <w:rStyle w:val="Hyperlink"/>
            <w:rFonts w:asciiTheme="minorHAnsi" w:hAnsiTheme="minorHAnsi" w:cstheme="minorHAnsi"/>
          </w:rPr>
          <w:t>Equity of access may decrease, not increase</w:t>
        </w:r>
      </w:hyperlink>
      <w:r w:rsidR="002E162E" w:rsidRPr="00521D11">
        <w:rPr>
          <w:rFonts w:asciiTheme="minorHAnsi" w:hAnsiTheme="minorHAnsi" w:cstheme="minorHAnsi"/>
        </w:rPr>
        <w:t>)</w:t>
      </w:r>
      <w:r w:rsidR="00E922F5" w:rsidRPr="00521D11">
        <w:rPr>
          <w:rFonts w:asciiTheme="minorHAnsi" w:hAnsiTheme="minorHAnsi" w:cstheme="minorHAnsi"/>
        </w:rPr>
        <w:t>.</w:t>
      </w:r>
      <w:r w:rsidR="0037230D" w:rsidRPr="00521D11">
        <w:rPr>
          <w:rFonts w:asciiTheme="minorHAnsi" w:hAnsiTheme="minorHAnsi" w:cstheme="minorHAnsi"/>
        </w:rPr>
        <w:t xml:space="preserve"> </w:t>
      </w:r>
    </w:p>
    <w:p w14:paraId="11AFF85F" w14:textId="2C692265" w:rsidR="00E922F5" w:rsidRPr="00450D7E" w:rsidRDefault="00E922F5" w:rsidP="00E922F5">
      <w:pPr>
        <w:pStyle w:val="Heading3"/>
        <w:rPr>
          <w:rFonts w:asciiTheme="minorHAnsi" w:hAnsiTheme="minorHAnsi" w:cstheme="minorHAnsi"/>
          <w:color w:val="984806" w:themeColor="accent6" w:themeShade="80"/>
        </w:rPr>
      </w:pPr>
      <w:bookmarkStart w:id="71" w:name="_Toc117856166"/>
      <w:bookmarkStart w:id="72" w:name="_Toc132209212"/>
      <w:bookmarkStart w:id="73" w:name="_Toc132627483"/>
      <w:r w:rsidRPr="00450D7E">
        <w:rPr>
          <w:rFonts w:asciiTheme="minorHAnsi" w:hAnsiTheme="minorHAnsi" w:cstheme="minorHAnsi"/>
          <w:color w:val="984806" w:themeColor="accent6" w:themeShade="80"/>
        </w:rPr>
        <w:t xml:space="preserve">Possible disconnect </w:t>
      </w:r>
      <w:r w:rsidR="00F84C32" w:rsidRPr="00450D7E">
        <w:rPr>
          <w:rFonts w:asciiTheme="minorHAnsi" w:hAnsiTheme="minorHAnsi" w:cstheme="minorHAnsi"/>
          <w:color w:val="984806" w:themeColor="accent6" w:themeShade="80"/>
        </w:rPr>
        <w:t xml:space="preserve">within </w:t>
      </w:r>
      <w:r w:rsidRPr="00450D7E">
        <w:rPr>
          <w:rFonts w:asciiTheme="minorHAnsi" w:hAnsiTheme="minorHAnsi" w:cstheme="minorHAnsi"/>
          <w:color w:val="984806" w:themeColor="accent6" w:themeShade="80"/>
        </w:rPr>
        <w:t>the healthcare pathway</w:t>
      </w:r>
      <w:bookmarkEnd w:id="71"/>
      <w:bookmarkEnd w:id="72"/>
      <w:bookmarkEnd w:id="73"/>
    </w:p>
    <w:p w14:paraId="577CC439" w14:textId="4E5E64C5" w:rsidR="00E922F5" w:rsidRPr="00521D11" w:rsidRDefault="007C5F6D" w:rsidP="00E922F5">
      <w:pPr>
        <w:rPr>
          <w:rFonts w:asciiTheme="minorHAnsi" w:hAnsiTheme="minorHAnsi" w:cstheme="minorHAnsi"/>
        </w:rPr>
      </w:pPr>
      <w:r w:rsidRPr="00521D11">
        <w:rPr>
          <w:rFonts w:asciiTheme="minorHAnsi" w:hAnsiTheme="minorHAnsi" w:cstheme="minorHAnsi"/>
        </w:rPr>
        <w:t xml:space="preserve">Private genetic counselling services may </w:t>
      </w:r>
      <w:r w:rsidR="0037230D" w:rsidRPr="00521D11">
        <w:rPr>
          <w:rFonts w:asciiTheme="minorHAnsi" w:hAnsiTheme="minorHAnsi" w:cstheme="minorHAnsi"/>
        </w:rPr>
        <w:t xml:space="preserve">be at risk of </w:t>
      </w:r>
      <w:r w:rsidR="00E922F5" w:rsidRPr="00521D11">
        <w:rPr>
          <w:rFonts w:asciiTheme="minorHAnsi" w:hAnsiTheme="minorHAnsi" w:cstheme="minorHAnsi"/>
        </w:rPr>
        <w:t>operat</w:t>
      </w:r>
      <w:r w:rsidR="0037230D" w:rsidRPr="00521D11">
        <w:rPr>
          <w:rFonts w:asciiTheme="minorHAnsi" w:hAnsiTheme="minorHAnsi" w:cstheme="minorHAnsi"/>
        </w:rPr>
        <w:t>ing</w:t>
      </w:r>
      <w:r w:rsidR="00E922F5" w:rsidRPr="00521D11">
        <w:rPr>
          <w:rFonts w:asciiTheme="minorHAnsi" w:hAnsiTheme="minorHAnsi" w:cstheme="minorHAnsi"/>
        </w:rPr>
        <w:t xml:space="preserve"> outside </w:t>
      </w:r>
      <w:r w:rsidR="0037230D" w:rsidRPr="00521D11">
        <w:rPr>
          <w:rFonts w:asciiTheme="minorHAnsi" w:hAnsiTheme="minorHAnsi" w:cstheme="minorHAnsi"/>
        </w:rPr>
        <w:t xml:space="preserve">current </w:t>
      </w:r>
      <w:r w:rsidR="00E922F5" w:rsidRPr="00521D11">
        <w:rPr>
          <w:rFonts w:asciiTheme="minorHAnsi" w:hAnsiTheme="minorHAnsi" w:cstheme="minorHAnsi"/>
        </w:rPr>
        <w:t>health</w:t>
      </w:r>
      <w:r w:rsidR="0037230D" w:rsidRPr="00521D11">
        <w:rPr>
          <w:rFonts w:asciiTheme="minorHAnsi" w:hAnsiTheme="minorHAnsi" w:cstheme="minorHAnsi"/>
        </w:rPr>
        <w:t>care</w:t>
      </w:r>
      <w:r w:rsidR="00E922F5" w:rsidRPr="00521D11">
        <w:rPr>
          <w:rFonts w:asciiTheme="minorHAnsi" w:hAnsiTheme="minorHAnsi" w:cstheme="minorHAnsi"/>
        </w:rPr>
        <w:t xml:space="preserve"> referral patterns and processes</w:t>
      </w:r>
      <w:r w:rsidR="008529C2" w:rsidRPr="00521D11">
        <w:rPr>
          <w:rFonts w:asciiTheme="minorHAnsi" w:hAnsiTheme="minorHAnsi" w:cstheme="minorHAnsi"/>
        </w:rPr>
        <w:t>,</w:t>
      </w:r>
      <w:r w:rsidR="0037230D" w:rsidRPr="00521D11">
        <w:rPr>
          <w:rFonts w:asciiTheme="minorHAnsi" w:hAnsiTheme="minorHAnsi" w:cstheme="minorHAnsi"/>
        </w:rPr>
        <w:t xml:space="preserve"> lead</w:t>
      </w:r>
      <w:r w:rsidR="008529C2" w:rsidRPr="00521D11">
        <w:rPr>
          <w:rFonts w:asciiTheme="minorHAnsi" w:hAnsiTheme="minorHAnsi" w:cstheme="minorHAnsi"/>
        </w:rPr>
        <w:t>ing</w:t>
      </w:r>
      <w:r w:rsidR="0037230D" w:rsidRPr="00521D11">
        <w:rPr>
          <w:rFonts w:asciiTheme="minorHAnsi" w:hAnsiTheme="minorHAnsi" w:cstheme="minorHAnsi"/>
        </w:rPr>
        <w:t xml:space="preserve"> to a </w:t>
      </w:r>
      <w:r w:rsidR="000675C4">
        <w:rPr>
          <w:rFonts w:asciiTheme="minorHAnsi" w:hAnsiTheme="minorHAnsi" w:cstheme="minorHAnsi"/>
        </w:rPr>
        <w:t>lack of coordination</w:t>
      </w:r>
      <w:r w:rsidR="0037230D" w:rsidRPr="00521D11">
        <w:rPr>
          <w:rFonts w:asciiTheme="minorHAnsi" w:hAnsiTheme="minorHAnsi" w:cstheme="minorHAnsi"/>
        </w:rPr>
        <w:t xml:space="preserve"> between p</w:t>
      </w:r>
      <w:r w:rsidRPr="00521D11">
        <w:rPr>
          <w:rFonts w:asciiTheme="minorHAnsi" w:hAnsiTheme="minorHAnsi" w:cstheme="minorHAnsi"/>
        </w:rPr>
        <w:t>rivate clinics</w:t>
      </w:r>
      <w:r w:rsidR="0037230D" w:rsidRPr="00521D11">
        <w:rPr>
          <w:rFonts w:asciiTheme="minorHAnsi" w:hAnsiTheme="minorHAnsi" w:cstheme="minorHAnsi"/>
        </w:rPr>
        <w:t>,</w:t>
      </w:r>
      <w:r w:rsidRPr="00521D11">
        <w:rPr>
          <w:rFonts w:asciiTheme="minorHAnsi" w:hAnsiTheme="minorHAnsi" w:cstheme="minorHAnsi"/>
        </w:rPr>
        <w:t xml:space="preserve"> </w:t>
      </w:r>
      <w:r w:rsidR="0037230D" w:rsidRPr="00521D11">
        <w:rPr>
          <w:rFonts w:asciiTheme="minorHAnsi" w:hAnsiTheme="minorHAnsi" w:cstheme="minorHAnsi"/>
        </w:rPr>
        <w:t xml:space="preserve">and </w:t>
      </w:r>
      <w:r w:rsidR="00E922F5" w:rsidRPr="00521D11">
        <w:rPr>
          <w:rFonts w:asciiTheme="minorHAnsi" w:hAnsiTheme="minorHAnsi" w:cstheme="minorHAnsi"/>
        </w:rPr>
        <w:t xml:space="preserve">primary health care and specialists. The GCWG queried how </w:t>
      </w:r>
      <w:r w:rsidR="008529C2" w:rsidRPr="00521D11">
        <w:rPr>
          <w:rFonts w:asciiTheme="minorHAnsi" w:hAnsiTheme="minorHAnsi" w:cstheme="minorHAnsi"/>
        </w:rPr>
        <w:t xml:space="preserve">information will be effectively coordinated </w:t>
      </w:r>
      <w:r w:rsidR="00E922F5" w:rsidRPr="00521D11">
        <w:rPr>
          <w:rFonts w:asciiTheme="minorHAnsi" w:hAnsiTheme="minorHAnsi" w:cstheme="minorHAnsi"/>
        </w:rPr>
        <w:t xml:space="preserve">throughout a patient’s healthcare journey, </w:t>
      </w:r>
      <w:r w:rsidR="008529C2" w:rsidRPr="00521D11">
        <w:rPr>
          <w:rFonts w:asciiTheme="minorHAnsi" w:hAnsiTheme="minorHAnsi" w:cstheme="minorHAnsi"/>
        </w:rPr>
        <w:t xml:space="preserve">as inadequate communication may result in </w:t>
      </w:r>
      <w:r w:rsidR="00E922F5" w:rsidRPr="00521D11">
        <w:rPr>
          <w:rFonts w:asciiTheme="minorHAnsi" w:hAnsiTheme="minorHAnsi" w:cstheme="minorHAnsi"/>
        </w:rPr>
        <w:t>patients fall</w:t>
      </w:r>
      <w:r w:rsidR="008529C2" w:rsidRPr="00521D11">
        <w:rPr>
          <w:rFonts w:asciiTheme="minorHAnsi" w:hAnsiTheme="minorHAnsi" w:cstheme="minorHAnsi"/>
        </w:rPr>
        <w:t>ing</w:t>
      </w:r>
      <w:r w:rsidR="00E922F5" w:rsidRPr="00521D11">
        <w:rPr>
          <w:rFonts w:asciiTheme="minorHAnsi" w:hAnsiTheme="minorHAnsi" w:cstheme="minorHAnsi"/>
        </w:rPr>
        <w:t xml:space="preserve"> through the gaps. Ideally, this would be done through electronic healthcare records, but the GCWG acknowledged that these are not yet </w:t>
      </w:r>
      <w:r w:rsidR="00AA2DFC" w:rsidRPr="00521D11">
        <w:rPr>
          <w:rFonts w:asciiTheme="minorHAnsi" w:hAnsiTheme="minorHAnsi" w:cstheme="minorHAnsi"/>
        </w:rPr>
        <w:t xml:space="preserve">sufficiently </w:t>
      </w:r>
      <w:r w:rsidR="00E922F5" w:rsidRPr="00521D11">
        <w:rPr>
          <w:rFonts w:asciiTheme="minorHAnsi" w:hAnsiTheme="minorHAnsi" w:cstheme="minorHAnsi"/>
        </w:rPr>
        <w:t>well established in Australia.</w:t>
      </w:r>
    </w:p>
    <w:p w14:paraId="6880ACC6" w14:textId="7994D45D" w:rsidR="00E922F5" w:rsidRPr="00521D11" w:rsidRDefault="00E922F5" w:rsidP="00E922F5">
      <w:pPr>
        <w:rPr>
          <w:rFonts w:asciiTheme="minorHAnsi" w:hAnsiTheme="minorHAnsi" w:cstheme="minorHAnsi"/>
        </w:rPr>
      </w:pPr>
      <w:r w:rsidRPr="00521D11">
        <w:rPr>
          <w:rFonts w:asciiTheme="minorHAnsi" w:hAnsiTheme="minorHAnsi" w:cstheme="minorHAnsi"/>
        </w:rPr>
        <w:t xml:space="preserve">The GCWG stressed the importance of the role of GPs and </w:t>
      </w:r>
      <w:r w:rsidR="00AA2DFC" w:rsidRPr="00521D11">
        <w:rPr>
          <w:rFonts w:asciiTheme="minorHAnsi" w:hAnsiTheme="minorHAnsi" w:cstheme="minorHAnsi"/>
        </w:rPr>
        <w:t xml:space="preserve">non-GP </w:t>
      </w:r>
      <w:r w:rsidRPr="00521D11">
        <w:rPr>
          <w:rFonts w:asciiTheme="minorHAnsi" w:hAnsiTheme="minorHAnsi" w:cstheme="minorHAnsi"/>
        </w:rPr>
        <w:t xml:space="preserve">specialists in genetic counselling. Referral to a genetic counsellor should involve </w:t>
      </w:r>
      <w:r w:rsidR="0081442B" w:rsidRPr="00521D11">
        <w:rPr>
          <w:rFonts w:asciiTheme="minorHAnsi" w:hAnsiTheme="minorHAnsi" w:cstheme="minorHAnsi"/>
        </w:rPr>
        <w:t xml:space="preserve">a </w:t>
      </w:r>
      <w:r w:rsidRPr="00521D11">
        <w:rPr>
          <w:rFonts w:asciiTheme="minorHAnsi" w:hAnsiTheme="minorHAnsi" w:cstheme="minorHAnsi"/>
        </w:rPr>
        <w:t xml:space="preserve">GP </w:t>
      </w:r>
      <w:r w:rsidR="006A4D16" w:rsidRPr="00521D11">
        <w:rPr>
          <w:rFonts w:asciiTheme="minorHAnsi" w:hAnsiTheme="minorHAnsi" w:cstheme="minorHAnsi"/>
        </w:rPr>
        <w:t xml:space="preserve">or </w:t>
      </w:r>
      <w:r w:rsidR="00925D89" w:rsidRPr="00521D11">
        <w:rPr>
          <w:rFonts w:asciiTheme="minorHAnsi" w:hAnsiTheme="minorHAnsi" w:cstheme="minorHAnsi"/>
        </w:rPr>
        <w:t xml:space="preserve">non-GP </w:t>
      </w:r>
      <w:r w:rsidR="006A4D16" w:rsidRPr="00521D11">
        <w:rPr>
          <w:rFonts w:asciiTheme="minorHAnsi" w:hAnsiTheme="minorHAnsi" w:cstheme="minorHAnsi"/>
        </w:rPr>
        <w:t xml:space="preserve">specialist </w:t>
      </w:r>
      <w:r w:rsidRPr="00521D11">
        <w:rPr>
          <w:rFonts w:asciiTheme="minorHAnsi" w:hAnsiTheme="minorHAnsi" w:cstheme="minorHAnsi"/>
        </w:rPr>
        <w:t>as the coordinating point of care. A</w:t>
      </w:r>
      <w:r w:rsidR="00102294" w:rsidRPr="00521D11">
        <w:rPr>
          <w:rFonts w:asciiTheme="minorHAnsi" w:hAnsiTheme="minorHAnsi" w:cstheme="minorHAnsi"/>
        </w:rPr>
        <w:t>n</w:t>
      </w:r>
      <w:r w:rsidRPr="00521D11">
        <w:rPr>
          <w:rFonts w:asciiTheme="minorHAnsi" w:hAnsiTheme="minorHAnsi" w:cstheme="minorHAnsi"/>
        </w:rPr>
        <w:t xml:space="preserve"> MDT</w:t>
      </w:r>
      <w:r w:rsidR="00102294" w:rsidRPr="00521D11">
        <w:rPr>
          <w:rFonts w:asciiTheme="minorHAnsi" w:hAnsiTheme="minorHAnsi" w:cstheme="minorHAnsi"/>
        </w:rPr>
        <w:t>-</w:t>
      </w:r>
      <w:r w:rsidRPr="00521D11">
        <w:rPr>
          <w:rFonts w:asciiTheme="minorHAnsi" w:hAnsiTheme="minorHAnsi" w:cstheme="minorHAnsi"/>
        </w:rPr>
        <w:t>based approach</w:t>
      </w:r>
      <w:r w:rsidR="008529C2" w:rsidRPr="00521D11">
        <w:rPr>
          <w:rFonts w:asciiTheme="minorHAnsi" w:hAnsiTheme="minorHAnsi" w:cstheme="minorHAnsi"/>
        </w:rPr>
        <w:t>,</w:t>
      </w:r>
      <w:r w:rsidRPr="00521D11">
        <w:rPr>
          <w:rFonts w:asciiTheme="minorHAnsi" w:hAnsiTheme="minorHAnsi" w:cstheme="minorHAnsi"/>
        </w:rPr>
        <w:t xml:space="preserve"> with genetic counsellors working alongside </w:t>
      </w:r>
      <w:r w:rsidR="00BB2303" w:rsidRPr="00521D11">
        <w:rPr>
          <w:rFonts w:asciiTheme="minorHAnsi" w:hAnsiTheme="minorHAnsi" w:cstheme="minorHAnsi"/>
        </w:rPr>
        <w:t xml:space="preserve">clinical </w:t>
      </w:r>
      <w:r w:rsidRPr="00521D11">
        <w:rPr>
          <w:rFonts w:asciiTheme="minorHAnsi" w:hAnsiTheme="minorHAnsi" w:cstheme="minorHAnsi"/>
        </w:rPr>
        <w:t>geneticists, GPs</w:t>
      </w:r>
      <w:r w:rsidR="00925D89" w:rsidRPr="00521D11">
        <w:rPr>
          <w:rFonts w:asciiTheme="minorHAnsi" w:hAnsiTheme="minorHAnsi" w:cstheme="minorHAnsi"/>
        </w:rPr>
        <w:t>,</w:t>
      </w:r>
      <w:r w:rsidRPr="00521D11">
        <w:rPr>
          <w:rFonts w:asciiTheme="minorHAnsi" w:hAnsiTheme="minorHAnsi" w:cstheme="minorHAnsi"/>
        </w:rPr>
        <w:t xml:space="preserve"> and </w:t>
      </w:r>
      <w:r w:rsidR="00925D89" w:rsidRPr="00521D11">
        <w:rPr>
          <w:rFonts w:asciiTheme="minorHAnsi" w:hAnsiTheme="minorHAnsi" w:cstheme="minorHAnsi"/>
        </w:rPr>
        <w:t xml:space="preserve">non-GP </w:t>
      </w:r>
      <w:r w:rsidRPr="00521D11">
        <w:rPr>
          <w:rFonts w:asciiTheme="minorHAnsi" w:hAnsiTheme="minorHAnsi" w:cstheme="minorHAnsi"/>
        </w:rPr>
        <w:t>specialists</w:t>
      </w:r>
      <w:r w:rsidR="008529C2" w:rsidRPr="00521D11">
        <w:rPr>
          <w:rFonts w:asciiTheme="minorHAnsi" w:hAnsiTheme="minorHAnsi" w:cstheme="minorHAnsi"/>
        </w:rPr>
        <w:t>,</w:t>
      </w:r>
      <w:r w:rsidRPr="00521D11">
        <w:rPr>
          <w:rFonts w:asciiTheme="minorHAnsi" w:hAnsiTheme="minorHAnsi" w:cstheme="minorHAnsi"/>
        </w:rPr>
        <w:t xml:space="preserve"> would be required to improve </w:t>
      </w:r>
      <w:r w:rsidR="008529C2" w:rsidRPr="00521D11">
        <w:rPr>
          <w:rFonts w:asciiTheme="minorHAnsi" w:hAnsiTheme="minorHAnsi" w:cstheme="minorHAnsi"/>
        </w:rPr>
        <w:t xml:space="preserve">the transition of </w:t>
      </w:r>
      <w:r w:rsidRPr="00521D11">
        <w:rPr>
          <w:rFonts w:asciiTheme="minorHAnsi" w:hAnsiTheme="minorHAnsi" w:cstheme="minorHAnsi"/>
        </w:rPr>
        <w:t xml:space="preserve">patients between care. Genetic counsellors in private practice report that they are currently working within </w:t>
      </w:r>
      <w:r w:rsidR="00757390" w:rsidRPr="00521D11">
        <w:rPr>
          <w:rFonts w:asciiTheme="minorHAnsi" w:hAnsiTheme="minorHAnsi" w:cstheme="minorHAnsi"/>
        </w:rPr>
        <w:t>MDTs and</w:t>
      </w:r>
      <w:r w:rsidR="008529C2" w:rsidRPr="00521D11">
        <w:rPr>
          <w:rFonts w:asciiTheme="minorHAnsi" w:hAnsiTheme="minorHAnsi" w:cstheme="minorHAnsi"/>
        </w:rPr>
        <w:t xml:space="preserve"> find this is highly effective. These genetic counsellors</w:t>
      </w:r>
      <w:r w:rsidRPr="00521D11">
        <w:rPr>
          <w:rFonts w:asciiTheme="minorHAnsi" w:hAnsiTheme="minorHAnsi" w:cstheme="minorHAnsi"/>
        </w:rPr>
        <w:t xml:space="preserve"> consider communication with specialists and other healthcare professionals a part of their role. The GCWG acknowledged this, but also queried if this could be maintained as the number of genetics counsellors and the demand for their services increased.</w:t>
      </w:r>
    </w:p>
    <w:p w14:paraId="35DA0948" w14:textId="76C5A17E" w:rsidR="00E327A9" w:rsidRPr="00521D11" w:rsidRDefault="00E327A9" w:rsidP="00E922F5">
      <w:pPr>
        <w:rPr>
          <w:rFonts w:asciiTheme="minorHAnsi" w:hAnsiTheme="minorHAnsi" w:cstheme="minorHAnsi"/>
        </w:rPr>
      </w:pPr>
      <w:r w:rsidRPr="00521D11">
        <w:rPr>
          <w:rFonts w:asciiTheme="minorHAnsi" w:hAnsiTheme="minorHAnsi" w:cstheme="minorHAnsi"/>
        </w:rPr>
        <w:t xml:space="preserve">The GCWG noted that the original </w:t>
      </w:r>
      <w:r w:rsidR="00AA75F8">
        <w:rPr>
          <w:rFonts w:asciiTheme="minorHAnsi" w:hAnsiTheme="minorHAnsi" w:cstheme="minorHAnsi"/>
        </w:rPr>
        <w:t>proposal</w:t>
      </w:r>
      <w:r w:rsidRPr="00521D11">
        <w:rPr>
          <w:rFonts w:asciiTheme="minorHAnsi" w:hAnsiTheme="minorHAnsi" w:cstheme="minorHAnsi"/>
        </w:rPr>
        <w:t xml:space="preserve"> did not detail how genetic counselling </w:t>
      </w:r>
      <w:r w:rsidR="00773DE4" w:rsidRPr="00521D11">
        <w:rPr>
          <w:rFonts w:asciiTheme="minorHAnsi" w:hAnsiTheme="minorHAnsi" w:cstheme="minorHAnsi"/>
        </w:rPr>
        <w:t>c</w:t>
      </w:r>
      <w:r w:rsidRPr="00521D11">
        <w:rPr>
          <w:rFonts w:asciiTheme="minorHAnsi" w:hAnsiTheme="minorHAnsi" w:cstheme="minorHAnsi"/>
        </w:rPr>
        <w:t xml:space="preserve">ould be delivered as part of an </w:t>
      </w:r>
      <w:r w:rsidR="00645DF0" w:rsidRPr="00521D11">
        <w:rPr>
          <w:rFonts w:asciiTheme="minorHAnsi" w:hAnsiTheme="minorHAnsi" w:cstheme="minorHAnsi"/>
        </w:rPr>
        <w:t>MDT and</w:t>
      </w:r>
      <w:r w:rsidRPr="00521D11">
        <w:rPr>
          <w:rFonts w:asciiTheme="minorHAnsi" w:hAnsiTheme="minorHAnsi" w:cstheme="minorHAnsi"/>
        </w:rPr>
        <w:t xml:space="preserve"> considered that further work </w:t>
      </w:r>
      <w:r w:rsidR="00F92FFC" w:rsidRPr="00521D11">
        <w:rPr>
          <w:rFonts w:asciiTheme="minorHAnsi" w:hAnsiTheme="minorHAnsi" w:cstheme="minorHAnsi"/>
        </w:rPr>
        <w:t>and consultation are</w:t>
      </w:r>
      <w:r w:rsidRPr="00521D11">
        <w:rPr>
          <w:rFonts w:asciiTheme="minorHAnsi" w:hAnsiTheme="minorHAnsi" w:cstheme="minorHAnsi"/>
        </w:rPr>
        <w:t xml:space="preserve"> required to determine how this could be ach</w:t>
      </w:r>
      <w:r w:rsidR="00BB2303" w:rsidRPr="00521D11">
        <w:rPr>
          <w:rFonts w:asciiTheme="minorHAnsi" w:hAnsiTheme="minorHAnsi" w:cstheme="minorHAnsi"/>
        </w:rPr>
        <w:t>i</w:t>
      </w:r>
      <w:r w:rsidRPr="00521D11">
        <w:rPr>
          <w:rFonts w:asciiTheme="minorHAnsi" w:hAnsiTheme="minorHAnsi" w:cstheme="minorHAnsi"/>
        </w:rPr>
        <w:t xml:space="preserve">eved. </w:t>
      </w:r>
    </w:p>
    <w:p w14:paraId="38F74AD3" w14:textId="635A2A12" w:rsidR="00B947A0" w:rsidRPr="003D1ADD" w:rsidRDefault="00B947A0" w:rsidP="00A01316">
      <w:pPr>
        <w:pStyle w:val="Heading2"/>
        <w:rPr>
          <w:rFonts w:asciiTheme="minorHAnsi" w:hAnsiTheme="minorHAnsi" w:cstheme="minorHAnsi"/>
          <w:color w:val="E36C0A" w:themeColor="accent6" w:themeShade="BF"/>
        </w:rPr>
      </w:pPr>
      <w:bookmarkStart w:id="74" w:name="_Equity_of_access"/>
      <w:bookmarkStart w:id="75" w:name="_Toc117856169"/>
      <w:bookmarkStart w:id="76" w:name="_Toc132209213"/>
      <w:bookmarkStart w:id="77" w:name="_Toc132627484"/>
      <w:bookmarkEnd w:id="74"/>
      <w:r w:rsidRPr="003D1ADD">
        <w:rPr>
          <w:rFonts w:asciiTheme="minorHAnsi" w:hAnsiTheme="minorHAnsi" w:cstheme="minorHAnsi"/>
          <w:color w:val="E36C0A" w:themeColor="accent6" w:themeShade="BF"/>
        </w:rPr>
        <w:t>Low-value genetic counselling</w:t>
      </w:r>
      <w:bookmarkEnd w:id="75"/>
      <w:bookmarkEnd w:id="76"/>
      <w:bookmarkEnd w:id="77"/>
      <w:r w:rsidR="007F6198" w:rsidRPr="003D1ADD">
        <w:rPr>
          <w:rFonts w:asciiTheme="minorHAnsi" w:hAnsiTheme="minorHAnsi" w:cstheme="minorHAnsi"/>
          <w:color w:val="E36C0A" w:themeColor="accent6" w:themeShade="BF"/>
        </w:rPr>
        <w:t xml:space="preserve"> </w:t>
      </w:r>
    </w:p>
    <w:p w14:paraId="6A135984" w14:textId="467B4E75" w:rsidR="00473B07" w:rsidRPr="00521D11" w:rsidRDefault="00E922F5" w:rsidP="00B947A0">
      <w:pPr>
        <w:rPr>
          <w:rFonts w:asciiTheme="minorHAnsi" w:hAnsiTheme="minorHAnsi" w:cstheme="minorHAnsi"/>
        </w:rPr>
      </w:pPr>
      <w:r w:rsidRPr="00521D11">
        <w:rPr>
          <w:rFonts w:asciiTheme="minorHAnsi" w:hAnsiTheme="minorHAnsi" w:cstheme="minorHAnsi"/>
        </w:rPr>
        <w:t xml:space="preserve">The GCWG was concerned that if </w:t>
      </w:r>
      <w:r w:rsidR="00B947A0" w:rsidRPr="00521D11">
        <w:rPr>
          <w:rFonts w:asciiTheme="minorHAnsi" w:hAnsiTheme="minorHAnsi" w:cstheme="minorHAnsi"/>
        </w:rPr>
        <w:t>MBS items</w:t>
      </w:r>
      <w:r w:rsidRPr="00521D11">
        <w:rPr>
          <w:rFonts w:asciiTheme="minorHAnsi" w:hAnsiTheme="minorHAnsi" w:cstheme="minorHAnsi"/>
        </w:rPr>
        <w:t xml:space="preserve"> were created,</w:t>
      </w:r>
      <w:r w:rsidR="00B947A0" w:rsidRPr="00521D11">
        <w:rPr>
          <w:rFonts w:asciiTheme="minorHAnsi" w:hAnsiTheme="minorHAnsi" w:cstheme="minorHAnsi"/>
        </w:rPr>
        <w:t xml:space="preserve"> genetic counselling </w:t>
      </w:r>
      <w:r w:rsidRPr="00521D11">
        <w:rPr>
          <w:rFonts w:asciiTheme="minorHAnsi" w:hAnsiTheme="minorHAnsi" w:cstheme="minorHAnsi"/>
        </w:rPr>
        <w:t>may end up being</w:t>
      </w:r>
      <w:r w:rsidR="00B947A0" w:rsidRPr="00521D11">
        <w:rPr>
          <w:rFonts w:asciiTheme="minorHAnsi" w:hAnsiTheme="minorHAnsi" w:cstheme="minorHAnsi"/>
        </w:rPr>
        <w:t xml:space="preserve"> provided as an add-on service</w:t>
      </w:r>
      <w:r w:rsidR="003444B7" w:rsidRPr="00521D11">
        <w:rPr>
          <w:rFonts w:asciiTheme="minorHAnsi" w:hAnsiTheme="minorHAnsi" w:cstheme="minorHAnsi"/>
        </w:rPr>
        <w:t>, potentially involving</w:t>
      </w:r>
      <w:r w:rsidR="00A104EF" w:rsidRPr="00521D11">
        <w:rPr>
          <w:rFonts w:asciiTheme="minorHAnsi" w:hAnsiTheme="minorHAnsi" w:cstheme="minorHAnsi"/>
        </w:rPr>
        <w:t xml:space="preserve"> </w:t>
      </w:r>
      <w:r w:rsidR="003444B7" w:rsidRPr="00521D11">
        <w:rPr>
          <w:rFonts w:asciiTheme="minorHAnsi" w:hAnsiTheme="minorHAnsi" w:cstheme="minorHAnsi"/>
        </w:rPr>
        <w:t>in</w:t>
      </w:r>
      <w:r w:rsidR="00B947A0" w:rsidRPr="00521D11">
        <w:rPr>
          <w:rFonts w:asciiTheme="minorHAnsi" w:hAnsiTheme="minorHAnsi" w:cstheme="minorHAnsi"/>
        </w:rPr>
        <w:t xml:space="preserve">appropriate </w:t>
      </w:r>
      <w:proofErr w:type="gramStart"/>
      <w:r w:rsidR="00B947A0" w:rsidRPr="00521D11">
        <w:rPr>
          <w:rFonts w:asciiTheme="minorHAnsi" w:hAnsiTheme="minorHAnsi" w:cstheme="minorHAnsi"/>
        </w:rPr>
        <w:t>referrals</w:t>
      </w:r>
      <w:proofErr w:type="gramEnd"/>
      <w:r w:rsidR="00A104EF" w:rsidRPr="00521D11">
        <w:rPr>
          <w:rFonts w:asciiTheme="minorHAnsi" w:hAnsiTheme="minorHAnsi" w:cstheme="minorHAnsi"/>
        </w:rPr>
        <w:t xml:space="preserve"> and lead</w:t>
      </w:r>
      <w:r w:rsidR="003444B7" w:rsidRPr="00521D11">
        <w:rPr>
          <w:rFonts w:asciiTheme="minorHAnsi" w:hAnsiTheme="minorHAnsi" w:cstheme="minorHAnsi"/>
        </w:rPr>
        <w:t xml:space="preserve">ing </w:t>
      </w:r>
      <w:r w:rsidR="00A104EF" w:rsidRPr="00521D11">
        <w:rPr>
          <w:rFonts w:asciiTheme="minorHAnsi" w:hAnsiTheme="minorHAnsi" w:cstheme="minorHAnsi"/>
        </w:rPr>
        <w:t>to</w:t>
      </w:r>
      <w:r w:rsidR="00B947A0" w:rsidRPr="00521D11">
        <w:rPr>
          <w:rFonts w:asciiTheme="minorHAnsi" w:hAnsiTheme="minorHAnsi" w:cstheme="minorHAnsi"/>
        </w:rPr>
        <w:t xml:space="preserve"> ‘low-value’ counselling, where the patient does not receive any additional valuable advice beyond that they could have received from a GP or </w:t>
      </w:r>
      <w:r w:rsidR="00925D89" w:rsidRPr="00521D11">
        <w:rPr>
          <w:rFonts w:asciiTheme="minorHAnsi" w:hAnsiTheme="minorHAnsi" w:cstheme="minorHAnsi"/>
        </w:rPr>
        <w:t xml:space="preserve">non-GP </w:t>
      </w:r>
      <w:r w:rsidR="00B947A0" w:rsidRPr="00521D11">
        <w:rPr>
          <w:rFonts w:asciiTheme="minorHAnsi" w:hAnsiTheme="minorHAnsi" w:cstheme="minorHAnsi"/>
        </w:rPr>
        <w:t xml:space="preserve">specialist. </w:t>
      </w:r>
    </w:p>
    <w:p w14:paraId="03887F66" w14:textId="74A16F44" w:rsidR="00303403" w:rsidRPr="00521D11" w:rsidRDefault="00303403" w:rsidP="00303403">
      <w:pPr>
        <w:rPr>
          <w:rFonts w:asciiTheme="minorHAnsi" w:hAnsiTheme="minorHAnsi" w:cstheme="minorHAnsi"/>
        </w:rPr>
      </w:pPr>
      <w:r w:rsidRPr="00521D11">
        <w:rPr>
          <w:rFonts w:asciiTheme="minorHAnsi" w:hAnsiTheme="minorHAnsi" w:cstheme="minorHAnsi"/>
        </w:rPr>
        <w:lastRenderedPageBreak/>
        <w:t>The G</w:t>
      </w:r>
      <w:r w:rsidR="00C00889" w:rsidRPr="00521D11">
        <w:rPr>
          <w:rFonts w:asciiTheme="minorHAnsi" w:hAnsiTheme="minorHAnsi" w:cstheme="minorHAnsi"/>
        </w:rPr>
        <w:t>C</w:t>
      </w:r>
      <w:r w:rsidRPr="00521D11">
        <w:rPr>
          <w:rFonts w:asciiTheme="minorHAnsi" w:hAnsiTheme="minorHAnsi" w:cstheme="minorHAnsi"/>
        </w:rPr>
        <w:t>WG also expressed concern that, in private practice, patients may pressure</w:t>
      </w:r>
      <w:r w:rsidR="009F4741" w:rsidRPr="00521D11">
        <w:rPr>
          <w:rFonts w:asciiTheme="minorHAnsi" w:hAnsiTheme="minorHAnsi" w:cstheme="minorHAnsi"/>
        </w:rPr>
        <w:t xml:space="preserve"> </w:t>
      </w:r>
      <w:r w:rsidR="008A07D8" w:rsidRPr="00521D11">
        <w:rPr>
          <w:rFonts w:asciiTheme="minorHAnsi" w:hAnsiTheme="minorHAnsi" w:cstheme="minorHAnsi"/>
        </w:rPr>
        <w:t>their doctor</w:t>
      </w:r>
      <w:r w:rsidR="009F4741" w:rsidRPr="00521D11">
        <w:rPr>
          <w:rFonts w:asciiTheme="minorHAnsi" w:hAnsiTheme="minorHAnsi" w:cstheme="minorHAnsi"/>
        </w:rPr>
        <w:t xml:space="preserve"> for</w:t>
      </w:r>
      <w:r w:rsidRPr="00521D11">
        <w:rPr>
          <w:rFonts w:asciiTheme="minorHAnsi" w:hAnsiTheme="minorHAnsi" w:cstheme="minorHAnsi"/>
        </w:rPr>
        <w:t xml:space="preserve"> a</w:t>
      </w:r>
      <w:r w:rsidR="009F4741" w:rsidRPr="00521D11">
        <w:rPr>
          <w:rFonts w:asciiTheme="minorHAnsi" w:hAnsiTheme="minorHAnsi" w:cstheme="minorHAnsi"/>
        </w:rPr>
        <w:t xml:space="preserve"> referral to </w:t>
      </w:r>
      <w:r w:rsidRPr="00521D11">
        <w:rPr>
          <w:rFonts w:asciiTheme="minorHAnsi" w:hAnsiTheme="minorHAnsi" w:cstheme="minorHAnsi"/>
        </w:rPr>
        <w:t>genetic counsellor</w:t>
      </w:r>
      <w:r w:rsidR="009F4741" w:rsidRPr="00521D11">
        <w:rPr>
          <w:rFonts w:asciiTheme="minorHAnsi" w:hAnsiTheme="minorHAnsi" w:cstheme="minorHAnsi"/>
        </w:rPr>
        <w:t>s</w:t>
      </w:r>
      <w:r w:rsidRPr="00521D11">
        <w:rPr>
          <w:rFonts w:asciiTheme="minorHAnsi" w:hAnsiTheme="minorHAnsi" w:cstheme="minorHAnsi"/>
        </w:rPr>
        <w:t xml:space="preserve"> when there is no family history</w:t>
      </w:r>
      <w:r w:rsidR="008A07D8" w:rsidRPr="00521D11">
        <w:rPr>
          <w:rFonts w:asciiTheme="minorHAnsi" w:hAnsiTheme="minorHAnsi" w:cstheme="minorHAnsi"/>
        </w:rPr>
        <w:t>,</w:t>
      </w:r>
      <w:r w:rsidR="00986F42" w:rsidRPr="00521D11">
        <w:rPr>
          <w:rFonts w:asciiTheme="minorHAnsi" w:hAnsiTheme="minorHAnsi" w:cstheme="minorHAnsi"/>
        </w:rPr>
        <w:t xml:space="preserve"> or </w:t>
      </w:r>
      <w:r w:rsidRPr="00521D11">
        <w:rPr>
          <w:rFonts w:asciiTheme="minorHAnsi" w:hAnsiTheme="minorHAnsi" w:cstheme="minorHAnsi"/>
        </w:rPr>
        <w:t xml:space="preserve">symptoms </w:t>
      </w:r>
      <w:r w:rsidR="008A07D8" w:rsidRPr="00521D11">
        <w:rPr>
          <w:rFonts w:asciiTheme="minorHAnsi" w:hAnsiTheme="minorHAnsi" w:cstheme="minorHAnsi"/>
        </w:rPr>
        <w:t xml:space="preserve">or signs </w:t>
      </w:r>
      <w:r w:rsidRPr="00521D11">
        <w:rPr>
          <w:rFonts w:asciiTheme="minorHAnsi" w:hAnsiTheme="minorHAnsi" w:cstheme="minorHAnsi"/>
        </w:rPr>
        <w:t xml:space="preserve">to indicate </w:t>
      </w:r>
      <w:r w:rsidR="008A07D8" w:rsidRPr="00521D11">
        <w:rPr>
          <w:rFonts w:asciiTheme="minorHAnsi" w:hAnsiTheme="minorHAnsi" w:cstheme="minorHAnsi"/>
        </w:rPr>
        <w:t>a</w:t>
      </w:r>
      <w:r w:rsidRPr="00521D11">
        <w:rPr>
          <w:rFonts w:asciiTheme="minorHAnsi" w:hAnsiTheme="minorHAnsi" w:cstheme="minorHAnsi"/>
        </w:rPr>
        <w:t xml:space="preserve"> need for genetic </w:t>
      </w:r>
      <w:r w:rsidR="008A07D8" w:rsidRPr="00521D11">
        <w:rPr>
          <w:rFonts w:asciiTheme="minorHAnsi" w:hAnsiTheme="minorHAnsi" w:cstheme="minorHAnsi"/>
        </w:rPr>
        <w:t>counselling and/or</w:t>
      </w:r>
      <w:r w:rsidRPr="00521D11">
        <w:rPr>
          <w:rFonts w:asciiTheme="minorHAnsi" w:hAnsiTheme="minorHAnsi" w:cstheme="minorHAnsi"/>
        </w:rPr>
        <w:t xml:space="preserve"> testing.</w:t>
      </w:r>
      <w:r w:rsidR="00986F42" w:rsidRPr="00521D11">
        <w:rPr>
          <w:rFonts w:asciiTheme="minorHAnsi" w:hAnsiTheme="minorHAnsi" w:cstheme="minorHAnsi"/>
        </w:rPr>
        <w:t xml:space="preserve"> </w:t>
      </w:r>
    </w:p>
    <w:p w14:paraId="7088F901" w14:textId="7111B7F6" w:rsidR="00A104EF" w:rsidRPr="00521D11" w:rsidRDefault="00CF1186" w:rsidP="00A104EF">
      <w:pPr>
        <w:rPr>
          <w:rFonts w:asciiTheme="minorHAnsi" w:hAnsiTheme="minorHAnsi" w:cstheme="minorHAnsi"/>
        </w:rPr>
      </w:pPr>
      <w:r w:rsidRPr="00521D11">
        <w:rPr>
          <w:rFonts w:asciiTheme="minorHAnsi" w:hAnsiTheme="minorHAnsi" w:cstheme="minorHAnsi"/>
        </w:rPr>
        <w:t>The breadth of genetic counselling needs to be noted and the risk that a single counsellor in solo practice may be required to address a wide range of conditions. However, many genetic counsellors specialise in a particular area and would refer patients elsewhere if they are not able to offer the support that a particular patient or family required.</w:t>
      </w:r>
      <w:r w:rsidR="00A104EF" w:rsidRPr="00521D11">
        <w:rPr>
          <w:rFonts w:asciiTheme="minorHAnsi" w:hAnsiTheme="minorHAnsi" w:cstheme="minorHAnsi"/>
        </w:rPr>
        <w:t xml:space="preserve"> The GCWG was concerned that this may lead to patients be referred multiple times </w:t>
      </w:r>
      <w:r w:rsidR="003444B7" w:rsidRPr="00521D11">
        <w:rPr>
          <w:rFonts w:asciiTheme="minorHAnsi" w:hAnsiTheme="minorHAnsi" w:cstheme="minorHAnsi"/>
        </w:rPr>
        <w:t xml:space="preserve">within the sector </w:t>
      </w:r>
      <w:r w:rsidR="006D2876" w:rsidRPr="00521D11">
        <w:rPr>
          <w:rFonts w:asciiTheme="minorHAnsi" w:hAnsiTheme="minorHAnsi" w:cstheme="minorHAnsi"/>
        </w:rPr>
        <w:t>to</w:t>
      </w:r>
      <w:r w:rsidR="00A104EF" w:rsidRPr="00521D11">
        <w:rPr>
          <w:rFonts w:asciiTheme="minorHAnsi" w:hAnsiTheme="minorHAnsi" w:cstheme="minorHAnsi"/>
        </w:rPr>
        <w:t xml:space="preserve"> be linked with a counsellor that has the appropriate knowledge base for the patient’s specific needs.</w:t>
      </w:r>
    </w:p>
    <w:p w14:paraId="53869626" w14:textId="004E392E" w:rsidR="00A01316" w:rsidRPr="003D1ADD" w:rsidRDefault="00A01316" w:rsidP="00A01316">
      <w:pPr>
        <w:pStyle w:val="Heading2"/>
        <w:rPr>
          <w:rFonts w:asciiTheme="minorHAnsi" w:hAnsiTheme="minorHAnsi" w:cstheme="minorHAnsi"/>
          <w:color w:val="E36C0A" w:themeColor="accent6" w:themeShade="BF"/>
        </w:rPr>
      </w:pPr>
      <w:bookmarkStart w:id="78" w:name="_Toc117856170"/>
      <w:bookmarkStart w:id="79" w:name="_Toc132209214"/>
      <w:bookmarkStart w:id="80" w:name="_Toc132627485"/>
      <w:r w:rsidRPr="003D1ADD">
        <w:rPr>
          <w:rFonts w:asciiTheme="minorHAnsi" w:hAnsiTheme="minorHAnsi" w:cstheme="minorHAnsi"/>
          <w:color w:val="E36C0A" w:themeColor="accent6" w:themeShade="BF"/>
        </w:rPr>
        <w:t>Uncertain financial impact to the MBS</w:t>
      </w:r>
      <w:bookmarkEnd w:id="78"/>
      <w:bookmarkEnd w:id="79"/>
      <w:bookmarkEnd w:id="80"/>
      <w:r w:rsidR="007F6198" w:rsidRPr="003D1ADD">
        <w:rPr>
          <w:rFonts w:asciiTheme="minorHAnsi" w:hAnsiTheme="minorHAnsi" w:cstheme="minorHAnsi"/>
          <w:color w:val="E36C0A" w:themeColor="accent6" w:themeShade="BF"/>
        </w:rPr>
        <w:t xml:space="preserve"> </w:t>
      </w:r>
    </w:p>
    <w:p w14:paraId="6C74B610" w14:textId="2586270B" w:rsidR="00A01316" w:rsidRPr="00521D11" w:rsidRDefault="00A01316" w:rsidP="00A01316">
      <w:pPr>
        <w:rPr>
          <w:rFonts w:asciiTheme="minorHAnsi" w:hAnsiTheme="minorHAnsi" w:cstheme="minorHAnsi"/>
        </w:rPr>
      </w:pPr>
      <w:r w:rsidRPr="00521D11">
        <w:rPr>
          <w:rFonts w:asciiTheme="minorHAnsi" w:hAnsiTheme="minorHAnsi" w:cstheme="minorHAnsi"/>
        </w:rPr>
        <w:t xml:space="preserve">The GCWG noted that </w:t>
      </w:r>
      <w:r w:rsidR="000B4ECF" w:rsidRPr="00521D11">
        <w:rPr>
          <w:rFonts w:asciiTheme="minorHAnsi" w:hAnsiTheme="minorHAnsi" w:cstheme="minorHAnsi"/>
        </w:rPr>
        <w:t xml:space="preserve">the </w:t>
      </w:r>
      <w:r w:rsidRPr="00521D11">
        <w:rPr>
          <w:rFonts w:asciiTheme="minorHAnsi" w:hAnsiTheme="minorHAnsi" w:cstheme="minorHAnsi"/>
        </w:rPr>
        <w:t xml:space="preserve">financial impact was highly uncertain. </w:t>
      </w:r>
      <w:r w:rsidR="009C1180" w:rsidRPr="00521D11">
        <w:rPr>
          <w:rFonts w:asciiTheme="minorHAnsi" w:hAnsiTheme="minorHAnsi" w:cstheme="minorHAnsi"/>
        </w:rPr>
        <w:t>A</w:t>
      </w:r>
      <w:r w:rsidRPr="00521D11">
        <w:rPr>
          <w:rFonts w:asciiTheme="minorHAnsi" w:hAnsiTheme="minorHAnsi" w:cstheme="minorHAnsi"/>
        </w:rPr>
        <w:t xml:space="preserve">dvertising genetic counselling services could </w:t>
      </w:r>
      <w:r w:rsidR="009C1180" w:rsidRPr="00521D11">
        <w:rPr>
          <w:rFonts w:asciiTheme="minorHAnsi" w:hAnsiTheme="minorHAnsi" w:cstheme="minorHAnsi"/>
        </w:rPr>
        <w:t xml:space="preserve">provide </w:t>
      </w:r>
      <w:r w:rsidRPr="00521D11">
        <w:rPr>
          <w:rFonts w:asciiTheme="minorHAnsi" w:hAnsiTheme="minorHAnsi" w:cstheme="minorHAnsi"/>
        </w:rPr>
        <w:t>a competitive advantage for pathology</w:t>
      </w:r>
      <w:r w:rsidR="009C1180" w:rsidRPr="00521D11">
        <w:rPr>
          <w:rFonts w:asciiTheme="minorHAnsi" w:hAnsiTheme="minorHAnsi" w:cstheme="minorHAnsi"/>
        </w:rPr>
        <w:t xml:space="preserve"> and</w:t>
      </w:r>
      <w:r w:rsidRPr="00521D11">
        <w:rPr>
          <w:rFonts w:asciiTheme="minorHAnsi" w:hAnsiTheme="minorHAnsi" w:cstheme="minorHAnsi"/>
        </w:rPr>
        <w:t xml:space="preserve"> large medical centres</w:t>
      </w:r>
      <w:r w:rsidR="009C1180" w:rsidRPr="00521D11">
        <w:rPr>
          <w:rFonts w:asciiTheme="minorHAnsi" w:hAnsiTheme="minorHAnsi" w:cstheme="minorHAnsi"/>
        </w:rPr>
        <w:t>,</w:t>
      </w:r>
      <w:r w:rsidRPr="00521D11">
        <w:rPr>
          <w:rFonts w:asciiTheme="minorHAnsi" w:hAnsiTheme="minorHAnsi" w:cstheme="minorHAnsi"/>
        </w:rPr>
        <w:t xml:space="preserve"> in addition to public hospitals, and </w:t>
      </w:r>
      <w:r w:rsidR="009C1180" w:rsidRPr="00521D11">
        <w:rPr>
          <w:rFonts w:asciiTheme="minorHAnsi" w:hAnsiTheme="minorHAnsi" w:cstheme="minorHAnsi"/>
        </w:rPr>
        <w:t xml:space="preserve">this </w:t>
      </w:r>
      <w:r w:rsidRPr="00521D11">
        <w:rPr>
          <w:rFonts w:asciiTheme="minorHAnsi" w:hAnsiTheme="minorHAnsi" w:cstheme="minorHAnsi"/>
        </w:rPr>
        <w:t xml:space="preserve">may lead to a rapid growth in this service. </w:t>
      </w:r>
      <w:r w:rsidR="006D3827" w:rsidRPr="00521D11">
        <w:rPr>
          <w:rFonts w:asciiTheme="minorHAnsi" w:hAnsiTheme="minorHAnsi" w:cstheme="minorHAnsi"/>
        </w:rPr>
        <w:t>Genetic c</w:t>
      </w:r>
      <w:r w:rsidRPr="00521D11">
        <w:rPr>
          <w:rFonts w:asciiTheme="minorHAnsi" w:hAnsiTheme="minorHAnsi" w:cstheme="minorHAnsi"/>
        </w:rPr>
        <w:t xml:space="preserve">ounselling currently </w:t>
      </w:r>
      <w:r w:rsidR="006D3827" w:rsidRPr="00521D11">
        <w:rPr>
          <w:rFonts w:asciiTheme="minorHAnsi" w:hAnsiTheme="minorHAnsi" w:cstheme="minorHAnsi"/>
        </w:rPr>
        <w:t xml:space="preserve">provided </w:t>
      </w:r>
      <w:r w:rsidRPr="00521D11">
        <w:rPr>
          <w:rFonts w:asciiTheme="minorHAnsi" w:hAnsiTheme="minorHAnsi" w:cstheme="minorHAnsi"/>
        </w:rPr>
        <w:t>by GPs (</w:t>
      </w:r>
      <w:proofErr w:type="gramStart"/>
      <w:r w:rsidRPr="00521D11">
        <w:rPr>
          <w:rFonts w:asciiTheme="minorHAnsi" w:hAnsiTheme="minorHAnsi" w:cstheme="minorHAnsi"/>
        </w:rPr>
        <w:t>e.g.</w:t>
      </w:r>
      <w:proofErr w:type="gramEnd"/>
      <w:r w:rsidR="00102294" w:rsidRPr="00521D11">
        <w:rPr>
          <w:rFonts w:asciiTheme="minorHAnsi" w:hAnsiTheme="minorHAnsi" w:cstheme="minorHAnsi"/>
        </w:rPr>
        <w:t> </w:t>
      </w:r>
      <w:r w:rsidRPr="00521D11">
        <w:rPr>
          <w:rFonts w:asciiTheme="minorHAnsi" w:hAnsiTheme="minorHAnsi" w:cstheme="minorHAnsi"/>
        </w:rPr>
        <w:t>taking up prenatal testing) may be shifted to genetic counsellors.</w:t>
      </w:r>
    </w:p>
    <w:p w14:paraId="2A088F89" w14:textId="55FB1603" w:rsidR="006D3827" w:rsidRPr="00521D11" w:rsidRDefault="00A104EF" w:rsidP="00A01316">
      <w:pPr>
        <w:rPr>
          <w:rFonts w:asciiTheme="minorHAnsi" w:hAnsiTheme="minorHAnsi" w:cstheme="minorHAnsi"/>
        </w:rPr>
      </w:pPr>
      <w:r w:rsidRPr="00521D11">
        <w:rPr>
          <w:rFonts w:asciiTheme="minorHAnsi" w:hAnsiTheme="minorHAnsi" w:cstheme="minorHAnsi"/>
        </w:rPr>
        <w:t>The potential for cost-shifting should be quantified and included as part of the financial evaluation.</w:t>
      </w:r>
    </w:p>
    <w:p w14:paraId="416C935C" w14:textId="12E08A18" w:rsidR="003652CD" w:rsidRPr="00521D11" w:rsidRDefault="003652CD" w:rsidP="003652CD">
      <w:pPr>
        <w:rPr>
          <w:rFonts w:asciiTheme="minorHAnsi" w:hAnsiTheme="minorHAnsi" w:cstheme="minorHAnsi"/>
        </w:rPr>
      </w:pPr>
      <w:r w:rsidRPr="00521D11">
        <w:rPr>
          <w:rFonts w:asciiTheme="minorHAnsi" w:hAnsiTheme="minorHAnsi" w:cstheme="minorHAnsi"/>
        </w:rPr>
        <w:t>Listing genetic counselling services on the MBS would allow for uncapped services. This carries the risk of reduced funding of other programs, including public genetics services.</w:t>
      </w:r>
    </w:p>
    <w:p w14:paraId="4641F89D" w14:textId="47A086A0" w:rsidR="003652CD" w:rsidRPr="00521D11" w:rsidRDefault="003652CD" w:rsidP="00A01316">
      <w:pPr>
        <w:rPr>
          <w:rFonts w:asciiTheme="minorHAnsi" w:hAnsiTheme="minorHAnsi" w:cstheme="minorHAnsi"/>
        </w:rPr>
      </w:pPr>
      <w:r w:rsidRPr="00521D11">
        <w:rPr>
          <w:rFonts w:asciiTheme="minorHAnsi" w:hAnsiTheme="minorHAnsi" w:cstheme="minorHAnsi"/>
        </w:rPr>
        <w:t xml:space="preserve">This risk is inherent to all MBS listings therefore, it is important that MBS items aim to reduce unwarranted clinical variation and low-value care. </w:t>
      </w:r>
    </w:p>
    <w:p w14:paraId="1466B651" w14:textId="722F5A7A" w:rsidR="00BF1363" w:rsidRPr="00521D11" w:rsidRDefault="005F7F23" w:rsidP="005222C6">
      <w:pPr>
        <w:pStyle w:val="Heading1"/>
        <w:ind w:left="0" w:firstLine="0"/>
        <w:rPr>
          <w:rFonts w:asciiTheme="minorHAnsi" w:hAnsiTheme="minorHAnsi" w:cstheme="minorHAnsi"/>
        </w:rPr>
      </w:pPr>
      <w:bookmarkStart w:id="81" w:name="_Impacts_on_other"/>
      <w:bookmarkStart w:id="82" w:name="_Toc117856171"/>
      <w:bookmarkStart w:id="83" w:name="_Toc132209215"/>
      <w:bookmarkStart w:id="84" w:name="_Toc132627486"/>
      <w:bookmarkEnd w:id="81"/>
      <w:r w:rsidRPr="00521D11">
        <w:rPr>
          <w:rFonts w:asciiTheme="minorHAnsi" w:hAnsiTheme="minorHAnsi" w:cstheme="minorHAnsi"/>
        </w:rPr>
        <w:lastRenderedPageBreak/>
        <w:t>I</w:t>
      </w:r>
      <w:r w:rsidR="00BF1363" w:rsidRPr="00521D11">
        <w:rPr>
          <w:rFonts w:asciiTheme="minorHAnsi" w:hAnsiTheme="minorHAnsi" w:cstheme="minorHAnsi"/>
        </w:rPr>
        <w:t>nformation gaps</w:t>
      </w:r>
      <w:r w:rsidR="00A53D90" w:rsidRPr="00521D11">
        <w:rPr>
          <w:rFonts w:asciiTheme="minorHAnsi" w:hAnsiTheme="minorHAnsi" w:cstheme="minorHAnsi"/>
        </w:rPr>
        <w:t xml:space="preserve"> and barriers to implementation</w:t>
      </w:r>
      <w:bookmarkEnd w:id="82"/>
      <w:bookmarkEnd w:id="83"/>
      <w:bookmarkEnd w:id="84"/>
    </w:p>
    <w:p w14:paraId="570853EE" w14:textId="35B4C6DB" w:rsidR="00697954" w:rsidRPr="00521D11" w:rsidRDefault="00697954" w:rsidP="00697954">
      <w:pPr>
        <w:pStyle w:val="NormalBeforeBullet"/>
        <w:rPr>
          <w:rFonts w:asciiTheme="minorHAnsi" w:hAnsiTheme="minorHAnsi" w:cstheme="minorHAnsi"/>
        </w:rPr>
      </w:pPr>
      <w:r w:rsidRPr="00521D11">
        <w:rPr>
          <w:rFonts w:asciiTheme="minorHAnsi" w:hAnsiTheme="minorHAnsi" w:cstheme="minorHAnsi"/>
        </w:rPr>
        <w:t>The GCWG highlighted the following information gaps</w:t>
      </w:r>
      <w:r w:rsidR="006D3827" w:rsidRPr="00521D11">
        <w:rPr>
          <w:rFonts w:asciiTheme="minorHAnsi" w:hAnsiTheme="minorHAnsi" w:cstheme="minorHAnsi"/>
        </w:rPr>
        <w:t>.</w:t>
      </w:r>
    </w:p>
    <w:p w14:paraId="79F2B594" w14:textId="77777777" w:rsidR="00816618" w:rsidRPr="00521D11" w:rsidRDefault="00816618" w:rsidP="00816618">
      <w:pPr>
        <w:pStyle w:val="Bullet"/>
        <w:rPr>
          <w:rFonts w:asciiTheme="minorHAnsi" w:hAnsiTheme="minorHAnsi" w:cstheme="minorHAnsi"/>
        </w:rPr>
      </w:pPr>
      <w:r w:rsidRPr="00521D11">
        <w:rPr>
          <w:rFonts w:asciiTheme="minorHAnsi" w:hAnsiTheme="minorHAnsi" w:cstheme="minorHAnsi"/>
        </w:rPr>
        <w:t>The GCWG accepts that there is a shortage of genetic counsellors and that waiting times are ‘long’, but there are no data available to show the length of waiting times and to what extent having an MBS item will alleviate these problems. There are also no data to predict how the demand for genetic counselling will increase over time.</w:t>
      </w:r>
    </w:p>
    <w:p w14:paraId="787CF8F2" w14:textId="55823BE9" w:rsidR="00697954" w:rsidRPr="00521D11" w:rsidRDefault="00697954" w:rsidP="00CF683B">
      <w:pPr>
        <w:pStyle w:val="Bullet"/>
        <w:rPr>
          <w:rFonts w:asciiTheme="minorHAnsi" w:hAnsiTheme="minorHAnsi" w:cstheme="minorHAnsi"/>
        </w:rPr>
      </w:pPr>
      <w:r w:rsidRPr="00521D11">
        <w:rPr>
          <w:rFonts w:asciiTheme="minorHAnsi" w:hAnsiTheme="minorHAnsi" w:cstheme="minorHAnsi"/>
        </w:rPr>
        <w:t xml:space="preserve">The HGSA </w:t>
      </w:r>
      <w:r w:rsidR="00AA75F8">
        <w:rPr>
          <w:rFonts w:asciiTheme="minorHAnsi" w:hAnsiTheme="minorHAnsi" w:cstheme="minorHAnsi"/>
        </w:rPr>
        <w:t>proposal</w:t>
      </w:r>
      <w:r w:rsidRPr="00521D11">
        <w:rPr>
          <w:rFonts w:asciiTheme="minorHAnsi" w:hAnsiTheme="minorHAnsi" w:cstheme="minorHAnsi"/>
        </w:rPr>
        <w:t xml:space="preserve"> did not </w:t>
      </w:r>
      <w:r w:rsidR="00016359" w:rsidRPr="00521D11">
        <w:rPr>
          <w:rFonts w:asciiTheme="minorHAnsi" w:hAnsiTheme="minorHAnsi" w:cstheme="minorHAnsi"/>
        </w:rPr>
        <w:t>include</w:t>
      </w:r>
      <w:r w:rsidRPr="00521D11">
        <w:rPr>
          <w:rFonts w:asciiTheme="minorHAnsi" w:hAnsiTheme="minorHAnsi" w:cstheme="minorHAnsi"/>
        </w:rPr>
        <w:t xml:space="preserve"> a clinical management pathway to </w:t>
      </w:r>
      <w:r w:rsidR="000A0F1F" w:rsidRPr="00521D11">
        <w:rPr>
          <w:rFonts w:asciiTheme="minorHAnsi" w:hAnsiTheme="minorHAnsi" w:cstheme="minorHAnsi"/>
        </w:rPr>
        <w:t>visit</w:t>
      </w:r>
      <w:r w:rsidRPr="00521D11">
        <w:rPr>
          <w:rFonts w:asciiTheme="minorHAnsi" w:hAnsiTheme="minorHAnsi" w:cstheme="minorHAnsi"/>
        </w:rPr>
        <w:t xml:space="preserve"> a genetic counsellor and the flow-on effects.</w:t>
      </w:r>
      <w:r w:rsidR="00DC2273" w:rsidRPr="00521D11">
        <w:rPr>
          <w:rFonts w:asciiTheme="minorHAnsi" w:hAnsiTheme="minorHAnsi" w:cstheme="minorHAnsi"/>
        </w:rPr>
        <w:t xml:space="preserve"> It is not clear how a referral pathway and </w:t>
      </w:r>
      <w:r w:rsidR="00B907D0" w:rsidRPr="00521D11">
        <w:rPr>
          <w:rFonts w:asciiTheme="minorHAnsi" w:hAnsiTheme="minorHAnsi" w:cstheme="minorHAnsi"/>
        </w:rPr>
        <w:t>record</w:t>
      </w:r>
      <w:r w:rsidR="00DC2273" w:rsidRPr="00521D11">
        <w:rPr>
          <w:rFonts w:asciiTheme="minorHAnsi" w:hAnsiTheme="minorHAnsi" w:cstheme="minorHAnsi"/>
        </w:rPr>
        <w:t xml:space="preserve"> sharing would work </w:t>
      </w:r>
      <w:r w:rsidR="00B907D0" w:rsidRPr="00521D11">
        <w:rPr>
          <w:rFonts w:asciiTheme="minorHAnsi" w:hAnsiTheme="minorHAnsi" w:cstheme="minorHAnsi"/>
        </w:rPr>
        <w:t>between the public and private sector.</w:t>
      </w:r>
      <w:r w:rsidR="00816618" w:rsidRPr="00521D11">
        <w:rPr>
          <w:rFonts w:asciiTheme="minorHAnsi" w:hAnsiTheme="minorHAnsi" w:cstheme="minorHAnsi"/>
        </w:rPr>
        <w:t xml:space="preserve"> It is also not clear how genetic counselling would be integrated into an MDT framework. </w:t>
      </w:r>
    </w:p>
    <w:p w14:paraId="4F9CB5EA" w14:textId="411116D3" w:rsidR="00697954" w:rsidRPr="00521D11" w:rsidRDefault="00697954" w:rsidP="00CF683B">
      <w:pPr>
        <w:pStyle w:val="Bullet"/>
        <w:rPr>
          <w:rFonts w:asciiTheme="minorHAnsi" w:hAnsiTheme="minorHAnsi" w:cstheme="minorHAnsi"/>
        </w:rPr>
      </w:pPr>
      <w:r w:rsidRPr="00521D11">
        <w:rPr>
          <w:rFonts w:asciiTheme="minorHAnsi" w:hAnsiTheme="minorHAnsi" w:cstheme="minorHAnsi"/>
        </w:rPr>
        <w:t xml:space="preserve">The GCWG </w:t>
      </w:r>
      <w:r w:rsidR="00D25D26" w:rsidRPr="00521D11">
        <w:rPr>
          <w:rFonts w:asciiTheme="minorHAnsi" w:hAnsiTheme="minorHAnsi" w:cstheme="minorHAnsi"/>
        </w:rPr>
        <w:t xml:space="preserve">noted that having a reliable </w:t>
      </w:r>
      <w:r w:rsidR="00D362DF" w:rsidRPr="00521D11">
        <w:rPr>
          <w:rFonts w:asciiTheme="minorHAnsi" w:hAnsiTheme="minorHAnsi" w:cstheme="minorHAnsi"/>
        </w:rPr>
        <w:t>‘</w:t>
      </w:r>
      <w:r w:rsidR="00D25D26" w:rsidRPr="00521D11">
        <w:rPr>
          <w:rFonts w:asciiTheme="minorHAnsi" w:hAnsiTheme="minorHAnsi" w:cstheme="minorHAnsi"/>
        </w:rPr>
        <w:t>gatekeeper</w:t>
      </w:r>
      <w:r w:rsidR="00D362DF" w:rsidRPr="00521D11">
        <w:rPr>
          <w:rFonts w:asciiTheme="minorHAnsi" w:hAnsiTheme="minorHAnsi" w:cstheme="minorHAnsi"/>
        </w:rPr>
        <w:t>’</w:t>
      </w:r>
      <w:r w:rsidR="00D25D26" w:rsidRPr="00521D11">
        <w:rPr>
          <w:rFonts w:asciiTheme="minorHAnsi" w:hAnsiTheme="minorHAnsi" w:cstheme="minorHAnsi"/>
        </w:rPr>
        <w:t xml:space="preserve"> to reduce leakage and prevent low-value genetic counselling services</w:t>
      </w:r>
      <w:r w:rsidR="00B517F1" w:rsidRPr="00521D11">
        <w:rPr>
          <w:rFonts w:asciiTheme="minorHAnsi" w:hAnsiTheme="minorHAnsi" w:cstheme="minorHAnsi"/>
        </w:rPr>
        <w:t xml:space="preserve"> in the private sector will be</w:t>
      </w:r>
      <w:r w:rsidR="00D25D26" w:rsidRPr="00521D11">
        <w:rPr>
          <w:rFonts w:asciiTheme="minorHAnsi" w:hAnsiTheme="minorHAnsi" w:cstheme="minorHAnsi"/>
        </w:rPr>
        <w:t xml:space="preserve"> challenging. It may be resolved through </w:t>
      </w:r>
      <w:r w:rsidR="00B907D0" w:rsidRPr="00521D11">
        <w:rPr>
          <w:rFonts w:asciiTheme="minorHAnsi" w:hAnsiTheme="minorHAnsi" w:cstheme="minorHAnsi"/>
        </w:rPr>
        <w:t>a carefully worded</w:t>
      </w:r>
      <w:r w:rsidR="00D25D26" w:rsidRPr="00521D11">
        <w:rPr>
          <w:rFonts w:asciiTheme="minorHAnsi" w:hAnsiTheme="minorHAnsi" w:cstheme="minorHAnsi"/>
        </w:rPr>
        <w:t xml:space="preserve"> </w:t>
      </w:r>
      <w:r w:rsidR="00816618" w:rsidRPr="00521D11">
        <w:rPr>
          <w:rFonts w:asciiTheme="minorHAnsi" w:hAnsiTheme="minorHAnsi" w:cstheme="minorHAnsi"/>
        </w:rPr>
        <w:t xml:space="preserve">MBS </w:t>
      </w:r>
      <w:r w:rsidR="00D25D26" w:rsidRPr="00521D11">
        <w:rPr>
          <w:rFonts w:asciiTheme="minorHAnsi" w:hAnsiTheme="minorHAnsi" w:cstheme="minorHAnsi"/>
        </w:rPr>
        <w:t xml:space="preserve">item descriptor and a detailed </w:t>
      </w:r>
      <w:r w:rsidR="00816618" w:rsidRPr="00521D11">
        <w:rPr>
          <w:rFonts w:asciiTheme="minorHAnsi" w:hAnsiTheme="minorHAnsi" w:cstheme="minorHAnsi"/>
        </w:rPr>
        <w:t>Explanatory Note</w:t>
      </w:r>
      <w:r w:rsidR="00D25D26" w:rsidRPr="00521D11">
        <w:rPr>
          <w:rFonts w:asciiTheme="minorHAnsi" w:hAnsiTheme="minorHAnsi" w:cstheme="minorHAnsi"/>
        </w:rPr>
        <w:t xml:space="preserve">. MBS utilisation data reveals who and where an MBS item is used but does not reveal information about appropriate use and </w:t>
      </w:r>
      <w:r w:rsidR="00284D1B" w:rsidRPr="00521D11">
        <w:rPr>
          <w:rFonts w:asciiTheme="minorHAnsi" w:hAnsiTheme="minorHAnsi" w:cstheme="minorHAnsi"/>
        </w:rPr>
        <w:t xml:space="preserve">if </w:t>
      </w:r>
      <w:r w:rsidR="00D25D26" w:rsidRPr="00521D11">
        <w:rPr>
          <w:rFonts w:asciiTheme="minorHAnsi" w:hAnsiTheme="minorHAnsi" w:cstheme="minorHAnsi"/>
        </w:rPr>
        <w:t>health outcomes</w:t>
      </w:r>
      <w:r w:rsidR="00284D1B" w:rsidRPr="00521D11">
        <w:rPr>
          <w:rFonts w:asciiTheme="minorHAnsi" w:hAnsiTheme="minorHAnsi" w:cstheme="minorHAnsi"/>
        </w:rPr>
        <w:t xml:space="preserve"> improved</w:t>
      </w:r>
      <w:r w:rsidR="00D25D26" w:rsidRPr="00521D11">
        <w:rPr>
          <w:rFonts w:asciiTheme="minorHAnsi" w:hAnsiTheme="minorHAnsi" w:cstheme="minorHAnsi"/>
        </w:rPr>
        <w:t>.</w:t>
      </w:r>
    </w:p>
    <w:p w14:paraId="595ED398" w14:textId="61FA0D9B" w:rsidR="00D25D26" w:rsidRPr="00521D11" w:rsidRDefault="00D25D26" w:rsidP="00CF683B">
      <w:pPr>
        <w:pStyle w:val="Bullet"/>
        <w:rPr>
          <w:rFonts w:asciiTheme="minorHAnsi" w:hAnsiTheme="minorHAnsi" w:cstheme="minorHAnsi"/>
        </w:rPr>
      </w:pPr>
      <w:r w:rsidRPr="00521D11">
        <w:rPr>
          <w:rFonts w:asciiTheme="minorHAnsi" w:hAnsiTheme="minorHAnsi" w:cstheme="minorHAnsi"/>
        </w:rPr>
        <w:t xml:space="preserve">The GCWG considered </w:t>
      </w:r>
      <w:r w:rsidR="00C936E4" w:rsidRPr="00521D11">
        <w:rPr>
          <w:rFonts w:asciiTheme="minorHAnsi" w:hAnsiTheme="minorHAnsi" w:cstheme="minorHAnsi"/>
        </w:rPr>
        <w:t xml:space="preserve">that the MBS item and fee proposed by HGSA </w:t>
      </w:r>
      <w:r w:rsidR="003444B7" w:rsidRPr="00521D11">
        <w:rPr>
          <w:rFonts w:asciiTheme="minorHAnsi" w:hAnsiTheme="minorHAnsi" w:cstheme="minorHAnsi"/>
        </w:rPr>
        <w:t>may be suitable to b</w:t>
      </w:r>
      <w:r w:rsidRPr="00521D11">
        <w:rPr>
          <w:rFonts w:asciiTheme="minorHAnsi" w:hAnsiTheme="minorHAnsi" w:cstheme="minorHAnsi"/>
        </w:rPr>
        <w:t>reak</w:t>
      </w:r>
      <w:r w:rsidR="000F77DF" w:rsidRPr="00521D11">
        <w:rPr>
          <w:rFonts w:asciiTheme="minorHAnsi" w:hAnsiTheme="minorHAnsi" w:cstheme="minorHAnsi"/>
        </w:rPr>
        <w:t xml:space="preserve"> </w:t>
      </w:r>
      <w:r w:rsidRPr="00521D11">
        <w:rPr>
          <w:rFonts w:asciiTheme="minorHAnsi" w:hAnsiTheme="minorHAnsi" w:cstheme="minorHAnsi"/>
        </w:rPr>
        <w:t>down to</w:t>
      </w:r>
      <w:r w:rsidR="00387DD7" w:rsidRPr="00521D11">
        <w:rPr>
          <w:rFonts w:asciiTheme="minorHAnsi" w:hAnsiTheme="minorHAnsi" w:cstheme="minorHAnsi"/>
        </w:rPr>
        <w:t xml:space="preserve"> multiple MBS items</w:t>
      </w:r>
      <w:r w:rsidRPr="00521D11">
        <w:rPr>
          <w:rFonts w:asciiTheme="minorHAnsi" w:hAnsiTheme="minorHAnsi" w:cstheme="minorHAnsi"/>
        </w:rPr>
        <w:t>, for example, initial appointment, follow</w:t>
      </w:r>
      <w:r w:rsidR="00A81CB6" w:rsidRPr="00521D11">
        <w:rPr>
          <w:rFonts w:asciiTheme="minorHAnsi" w:hAnsiTheme="minorHAnsi" w:cstheme="minorHAnsi"/>
        </w:rPr>
        <w:t>-</w:t>
      </w:r>
      <w:r w:rsidRPr="00521D11">
        <w:rPr>
          <w:rFonts w:asciiTheme="minorHAnsi" w:hAnsiTheme="minorHAnsi" w:cstheme="minorHAnsi"/>
        </w:rPr>
        <w:t>up appointment and so on.</w:t>
      </w:r>
      <w:r w:rsidR="00284D1B" w:rsidRPr="00521D11">
        <w:rPr>
          <w:rFonts w:asciiTheme="minorHAnsi" w:hAnsiTheme="minorHAnsi" w:cstheme="minorHAnsi"/>
        </w:rPr>
        <w:t xml:space="preserve"> The fee might be too low in that it results in large out-of-pocket costs for patients and families.</w:t>
      </w:r>
      <w:r w:rsidR="00816618" w:rsidRPr="00521D11">
        <w:rPr>
          <w:rFonts w:asciiTheme="minorHAnsi" w:hAnsiTheme="minorHAnsi" w:cstheme="minorHAnsi"/>
        </w:rPr>
        <w:t xml:space="preserve"> However, the GCWG considered that out-of-pocket costs may be inevitable. The GCWG also noted that, due to the out-of-pockets costs, access to genetic counselling may not improve for some patients and families.</w:t>
      </w:r>
    </w:p>
    <w:p w14:paraId="02C666CD" w14:textId="01302C35" w:rsidR="00D25D26" w:rsidRPr="00521D11" w:rsidRDefault="24D882BE" w:rsidP="00CF683B">
      <w:pPr>
        <w:pStyle w:val="Bullet"/>
        <w:rPr>
          <w:rFonts w:asciiTheme="minorHAnsi" w:hAnsiTheme="minorHAnsi" w:cstheme="minorHAnsi"/>
        </w:rPr>
      </w:pPr>
      <w:r w:rsidRPr="00521D11">
        <w:rPr>
          <w:rFonts w:asciiTheme="minorHAnsi" w:hAnsiTheme="minorHAnsi" w:cstheme="minorHAnsi"/>
        </w:rPr>
        <w:t xml:space="preserve">It needs to be clear who </w:t>
      </w:r>
      <w:r w:rsidR="11D71A3D" w:rsidRPr="00521D11">
        <w:rPr>
          <w:rFonts w:asciiTheme="minorHAnsi" w:hAnsiTheme="minorHAnsi" w:cstheme="minorHAnsi"/>
        </w:rPr>
        <w:t xml:space="preserve">could </w:t>
      </w:r>
      <w:r w:rsidR="3D1D7F2E" w:rsidRPr="00521D11">
        <w:rPr>
          <w:rFonts w:asciiTheme="minorHAnsi" w:hAnsiTheme="minorHAnsi" w:cstheme="minorHAnsi"/>
        </w:rPr>
        <w:t xml:space="preserve">request the </w:t>
      </w:r>
      <w:r w:rsidR="36125890" w:rsidRPr="00521D11">
        <w:rPr>
          <w:rFonts w:asciiTheme="minorHAnsi" w:hAnsiTheme="minorHAnsi" w:cstheme="minorHAnsi"/>
        </w:rPr>
        <w:t xml:space="preserve">genetic </w:t>
      </w:r>
      <w:r w:rsidR="3D1D7F2E" w:rsidRPr="00521D11">
        <w:rPr>
          <w:rFonts w:asciiTheme="minorHAnsi" w:hAnsiTheme="minorHAnsi" w:cstheme="minorHAnsi"/>
        </w:rPr>
        <w:t>test</w:t>
      </w:r>
      <w:r w:rsidR="36125890" w:rsidRPr="00521D11">
        <w:rPr>
          <w:rFonts w:asciiTheme="minorHAnsi" w:hAnsiTheme="minorHAnsi" w:cstheme="minorHAnsi"/>
        </w:rPr>
        <w:t>ing</w:t>
      </w:r>
      <w:r w:rsidR="3D1D7F2E" w:rsidRPr="00521D11">
        <w:rPr>
          <w:rFonts w:asciiTheme="minorHAnsi" w:hAnsiTheme="minorHAnsi" w:cstheme="minorHAnsi"/>
        </w:rPr>
        <w:t xml:space="preserve">. </w:t>
      </w:r>
      <w:r w:rsidR="5EA5F09C" w:rsidRPr="00521D11">
        <w:rPr>
          <w:rFonts w:asciiTheme="minorHAnsi" w:hAnsiTheme="minorHAnsi" w:cstheme="minorHAnsi"/>
        </w:rPr>
        <w:t>For simpler conditions, such as haemochromatosis, a GP would be appropriate for requesting genetic testing. However, for more complex conditions, t</w:t>
      </w:r>
      <w:r w:rsidR="3D1D7F2E" w:rsidRPr="00521D11">
        <w:rPr>
          <w:rFonts w:asciiTheme="minorHAnsi" w:hAnsiTheme="minorHAnsi" w:cstheme="minorHAnsi"/>
        </w:rPr>
        <w:t xml:space="preserve">he GCWG proposed </w:t>
      </w:r>
      <w:r w:rsidR="5EA5F09C" w:rsidRPr="00521D11">
        <w:rPr>
          <w:rFonts w:asciiTheme="minorHAnsi" w:hAnsiTheme="minorHAnsi" w:cstheme="minorHAnsi"/>
        </w:rPr>
        <w:t xml:space="preserve">that </w:t>
      </w:r>
      <w:r w:rsidR="3D1D7F2E" w:rsidRPr="00521D11">
        <w:rPr>
          <w:rFonts w:asciiTheme="minorHAnsi" w:hAnsiTheme="minorHAnsi" w:cstheme="minorHAnsi"/>
        </w:rPr>
        <w:t xml:space="preserve">a </w:t>
      </w:r>
      <w:r w:rsidR="0062597A" w:rsidRPr="00521D11">
        <w:rPr>
          <w:rFonts w:asciiTheme="minorHAnsi" w:hAnsiTheme="minorHAnsi" w:cstheme="minorHAnsi"/>
        </w:rPr>
        <w:t xml:space="preserve">non-GP </w:t>
      </w:r>
      <w:r w:rsidR="3D1D7F2E" w:rsidRPr="00521D11">
        <w:rPr>
          <w:rFonts w:asciiTheme="minorHAnsi" w:hAnsiTheme="minorHAnsi" w:cstheme="minorHAnsi"/>
        </w:rPr>
        <w:t>specialist</w:t>
      </w:r>
      <w:r w:rsidR="0B64B129" w:rsidRPr="00521D11">
        <w:rPr>
          <w:rFonts w:asciiTheme="minorHAnsi" w:hAnsiTheme="minorHAnsi" w:cstheme="minorHAnsi"/>
        </w:rPr>
        <w:t xml:space="preserve"> may be most appropriate</w:t>
      </w:r>
      <w:r w:rsidR="5EA5F09C" w:rsidRPr="00521D11">
        <w:rPr>
          <w:rFonts w:asciiTheme="minorHAnsi" w:hAnsiTheme="minorHAnsi" w:cstheme="minorHAnsi"/>
        </w:rPr>
        <w:t>. Th</w:t>
      </w:r>
      <w:r w:rsidR="3D1D7F2E" w:rsidRPr="00521D11">
        <w:rPr>
          <w:rFonts w:asciiTheme="minorHAnsi" w:hAnsiTheme="minorHAnsi" w:cstheme="minorHAnsi"/>
        </w:rPr>
        <w:t xml:space="preserve">is means that GPs will need to refer a patient or family to a </w:t>
      </w:r>
      <w:r w:rsidR="0062597A" w:rsidRPr="00521D11">
        <w:rPr>
          <w:rFonts w:asciiTheme="minorHAnsi" w:hAnsiTheme="minorHAnsi" w:cstheme="minorHAnsi"/>
        </w:rPr>
        <w:t xml:space="preserve">non-GP </w:t>
      </w:r>
      <w:r w:rsidR="3D1D7F2E" w:rsidRPr="00521D11">
        <w:rPr>
          <w:rFonts w:asciiTheme="minorHAnsi" w:hAnsiTheme="minorHAnsi" w:cstheme="minorHAnsi"/>
        </w:rPr>
        <w:t xml:space="preserve">specialist before they can </w:t>
      </w:r>
      <w:r w:rsidR="4AC48448" w:rsidRPr="00521D11">
        <w:rPr>
          <w:rFonts w:asciiTheme="minorHAnsi" w:hAnsiTheme="minorHAnsi" w:cstheme="minorHAnsi"/>
        </w:rPr>
        <w:t>access genetic testing.</w:t>
      </w:r>
      <w:r w:rsidR="4F181D85" w:rsidRPr="00521D11">
        <w:rPr>
          <w:rFonts w:asciiTheme="minorHAnsi" w:hAnsiTheme="minorHAnsi" w:cstheme="minorHAnsi"/>
        </w:rPr>
        <w:t xml:space="preserve"> Complex conditions are those that require detailed evaluation of the phenotype, and consideration of secondary (non-genetic) causes (</w:t>
      </w:r>
      <w:r w:rsidR="00A570B7" w:rsidRPr="00521D11">
        <w:rPr>
          <w:rFonts w:asciiTheme="minorHAnsi" w:hAnsiTheme="minorHAnsi" w:cstheme="minorHAnsi"/>
        </w:rPr>
        <w:t>i.e.,</w:t>
      </w:r>
      <w:r w:rsidR="00F4335D" w:rsidRPr="00521D11">
        <w:rPr>
          <w:rFonts w:asciiTheme="minorHAnsi" w:hAnsiTheme="minorHAnsi" w:cstheme="minorHAnsi"/>
        </w:rPr>
        <w:t> </w:t>
      </w:r>
      <w:r w:rsidR="4F181D85" w:rsidRPr="00521D11">
        <w:rPr>
          <w:rFonts w:asciiTheme="minorHAnsi" w:hAnsiTheme="minorHAnsi" w:cstheme="minorHAnsi"/>
        </w:rPr>
        <w:t xml:space="preserve">phenocopies), such as, cardiomyopathies and arrhythmogenic disorders. </w:t>
      </w:r>
    </w:p>
    <w:p w14:paraId="07E68AC5" w14:textId="3BB3C761" w:rsidR="000A0F1F" w:rsidRPr="00521D11" w:rsidRDefault="00DC2273" w:rsidP="00CF683B">
      <w:pPr>
        <w:pStyle w:val="BulletLast"/>
        <w:rPr>
          <w:rFonts w:asciiTheme="minorHAnsi" w:hAnsiTheme="minorHAnsi" w:cstheme="minorHAnsi"/>
        </w:rPr>
      </w:pPr>
      <w:r w:rsidRPr="00521D11">
        <w:rPr>
          <w:rFonts w:asciiTheme="minorHAnsi" w:hAnsiTheme="minorHAnsi" w:cstheme="minorHAnsi"/>
        </w:rPr>
        <w:t>A</w:t>
      </w:r>
      <w:r w:rsidR="000A0F1F" w:rsidRPr="00521D11">
        <w:rPr>
          <w:rFonts w:asciiTheme="minorHAnsi" w:hAnsiTheme="minorHAnsi" w:cstheme="minorHAnsi"/>
        </w:rPr>
        <w:t xml:space="preserve">n evaluation of how increased genetic counselling </w:t>
      </w:r>
      <w:r w:rsidR="009F4741" w:rsidRPr="00521D11">
        <w:rPr>
          <w:rFonts w:asciiTheme="minorHAnsi" w:hAnsiTheme="minorHAnsi" w:cstheme="minorHAnsi"/>
        </w:rPr>
        <w:t>may lead to more appropriate use of resources</w:t>
      </w:r>
      <w:r w:rsidRPr="00521D11">
        <w:rPr>
          <w:rFonts w:asciiTheme="minorHAnsi" w:hAnsiTheme="minorHAnsi" w:cstheme="minorHAnsi"/>
        </w:rPr>
        <w:t>, to assesses its</w:t>
      </w:r>
      <w:r w:rsidR="000A0F1F" w:rsidRPr="00521D11">
        <w:rPr>
          <w:rFonts w:asciiTheme="minorHAnsi" w:hAnsiTheme="minorHAnsi" w:cstheme="minorHAnsi"/>
        </w:rPr>
        <w:t xml:space="preserve"> cost-effective</w:t>
      </w:r>
      <w:r w:rsidRPr="00521D11">
        <w:rPr>
          <w:rFonts w:asciiTheme="minorHAnsi" w:hAnsiTheme="minorHAnsi" w:cstheme="minorHAnsi"/>
        </w:rPr>
        <w:t>ness, would be helpful</w:t>
      </w:r>
      <w:r w:rsidR="000A0F1F" w:rsidRPr="00521D11">
        <w:rPr>
          <w:rFonts w:asciiTheme="minorHAnsi" w:hAnsiTheme="minorHAnsi" w:cstheme="minorHAnsi"/>
        </w:rPr>
        <w:t xml:space="preserve"> (for example, increased genetic counselling could lead to fewer unnecessary colonoscopies).</w:t>
      </w:r>
      <w:r w:rsidR="00816618" w:rsidRPr="00521D11">
        <w:rPr>
          <w:rFonts w:asciiTheme="minorHAnsi" w:hAnsiTheme="minorHAnsi" w:cstheme="minorHAnsi"/>
        </w:rPr>
        <w:t xml:space="preserve"> The GCWG considered that</w:t>
      </w:r>
      <w:r w:rsidR="007A3C63" w:rsidRPr="00521D11">
        <w:rPr>
          <w:rFonts w:asciiTheme="minorHAnsi" w:hAnsiTheme="minorHAnsi" w:cstheme="minorHAnsi"/>
        </w:rPr>
        <w:t xml:space="preserve"> audit data from</w:t>
      </w:r>
      <w:r w:rsidR="00816618" w:rsidRPr="00521D11">
        <w:rPr>
          <w:rFonts w:asciiTheme="minorHAnsi" w:hAnsiTheme="minorHAnsi" w:cstheme="minorHAnsi"/>
        </w:rPr>
        <w:t xml:space="preserve"> </w:t>
      </w:r>
      <w:r w:rsidR="007A3C63" w:rsidRPr="00521D11">
        <w:rPr>
          <w:rFonts w:asciiTheme="minorHAnsi" w:hAnsiTheme="minorHAnsi" w:cstheme="minorHAnsi"/>
        </w:rPr>
        <w:t xml:space="preserve">mandatory </w:t>
      </w:r>
      <w:r w:rsidR="00816618" w:rsidRPr="00521D11">
        <w:rPr>
          <w:rFonts w:asciiTheme="minorHAnsi" w:hAnsiTheme="minorHAnsi" w:cstheme="minorHAnsi"/>
        </w:rPr>
        <w:t xml:space="preserve">quality assurance processes </w:t>
      </w:r>
      <w:r w:rsidR="007A3C63" w:rsidRPr="00521D11">
        <w:rPr>
          <w:rFonts w:asciiTheme="minorHAnsi" w:hAnsiTheme="minorHAnsi" w:cstheme="minorHAnsi"/>
        </w:rPr>
        <w:t>(</w:t>
      </w:r>
      <w:proofErr w:type="gramStart"/>
      <w:r w:rsidR="00A570B7" w:rsidRPr="00521D11">
        <w:rPr>
          <w:rFonts w:asciiTheme="minorHAnsi" w:hAnsiTheme="minorHAnsi" w:cstheme="minorHAnsi"/>
        </w:rPr>
        <w:t>e.g.</w:t>
      </w:r>
      <w:proofErr w:type="gramEnd"/>
      <w:r w:rsidR="007A3C63" w:rsidRPr="00521D11">
        <w:rPr>
          <w:rFonts w:asciiTheme="minorHAnsi" w:hAnsiTheme="minorHAnsi" w:cstheme="minorHAnsi"/>
        </w:rPr>
        <w:t xml:space="preserve"> to comply with the Primary Care Standards) </w:t>
      </w:r>
      <w:r w:rsidR="00816618" w:rsidRPr="00521D11">
        <w:rPr>
          <w:rFonts w:asciiTheme="minorHAnsi" w:hAnsiTheme="minorHAnsi" w:cstheme="minorHAnsi"/>
        </w:rPr>
        <w:t xml:space="preserve">could be used to </w:t>
      </w:r>
      <w:r w:rsidR="007A3C63" w:rsidRPr="00521D11">
        <w:rPr>
          <w:rFonts w:asciiTheme="minorHAnsi" w:hAnsiTheme="minorHAnsi" w:cstheme="minorHAnsi"/>
        </w:rPr>
        <w:t>demonstrate</w:t>
      </w:r>
      <w:r w:rsidR="00816618" w:rsidRPr="00521D11">
        <w:rPr>
          <w:rFonts w:asciiTheme="minorHAnsi" w:hAnsiTheme="minorHAnsi" w:cstheme="minorHAnsi"/>
        </w:rPr>
        <w:t xml:space="preserve"> the value of genetic counsellors and how their services improve health outcomes.</w:t>
      </w:r>
    </w:p>
    <w:p w14:paraId="6B178284" w14:textId="733C0768" w:rsidR="00B41762" w:rsidRPr="00521D11" w:rsidRDefault="0064354D" w:rsidP="00B41762">
      <w:pPr>
        <w:pStyle w:val="Heading1"/>
        <w:rPr>
          <w:rFonts w:asciiTheme="minorHAnsi" w:hAnsiTheme="minorHAnsi" w:cstheme="minorHAnsi"/>
        </w:rPr>
      </w:pPr>
      <w:bookmarkStart w:id="85" w:name="_Toc117856172"/>
      <w:bookmarkStart w:id="86" w:name="_Toc132209216"/>
      <w:bookmarkStart w:id="87" w:name="_Toc132627487"/>
      <w:r w:rsidRPr="00521D11">
        <w:rPr>
          <w:rFonts w:asciiTheme="minorHAnsi" w:hAnsiTheme="minorHAnsi" w:cstheme="minorHAnsi"/>
        </w:rPr>
        <w:lastRenderedPageBreak/>
        <w:t xml:space="preserve">GCWG </w:t>
      </w:r>
      <w:r w:rsidR="00CB34D1" w:rsidRPr="00521D11">
        <w:rPr>
          <w:rFonts w:asciiTheme="minorHAnsi" w:hAnsiTheme="minorHAnsi" w:cstheme="minorHAnsi"/>
        </w:rPr>
        <w:t>consideration</w:t>
      </w:r>
      <w:bookmarkEnd w:id="85"/>
      <w:bookmarkEnd w:id="86"/>
      <w:bookmarkEnd w:id="87"/>
    </w:p>
    <w:p w14:paraId="184DB5D3" w14:textId="182456C1" w:rsidR="00B41762" w:rsidRPr="00521D11" w:rsidRDefault="009C1CD0" w:rsidP="00505FB5">
      <w:pPr>
        <w:pStyle w:val="NormalBeforeBullet"/>
        <w:rPr>
          <w:rFonts w:asciiTheme="minorHAnsi" w:hAnsiTheme="minorHAnsi" w:cstheme="minorHAnsi"/>
        </w:rPr>
      </w:pPr>
      <w:r>
        <w:rPr>
          <w:rFonts w:asciiTheme="minorHAnsi" w:hAnsiTheme="minorHAnsi" w:cstheme="minorHAnsi"/>
        </w:rPr>
        <w:t xml:space="preserve">After considering </w:t>
      </w:r>
      <w:r w:rsidR="001A1561">
        <w:rPr>
          <w:rFonts w:asciiTheme="minorHAnsi" w:hAnsiTheme="minorHAnsi" w:cstheme="minorHAnsi"/>
        </w:rPr>
        <w:t>MRAC</w:t>
      </w:r>
      <w:r w:rsidR="00A570B7">
        <w:rPr>
          <w:rFonts w:asciiTheme="minorHAnsi" w:hAnsiTheme="minorHAnsi" w:cstheme="minorHAnsi"/>
        </w:rPr>
        <w:t xml:space="preserve"> </w:t>
      </w:r>
      <w:r w:rsidR="001A1561">
        <w:rPr>
          <w:rFonts w:asciiTheme="minorHAnsi" w:hAnsiTheme="minorHAnsi" w:cstheme="minorHAnsi"/>
        </w:rPr>
        <w:t xml:space="preserve">and </w:t>
      </w:r>
      <w:r>
        <w:rPr>
          <w:rFonts w:asciiTheme="minorHAnsi" w:hAnsiTheme="minorHAnsi" w:cstheme="minorHAnsi"/>
        </w:rPr>
        <w:t>consultation feedback</w:t>
      </w:r>
      <w:r w:rsidR="00B41762" w:rsidRPr="00521D11">
        <w:rPr>
          <w:rFonts w:asciiTheme="minorHAnsi" w:hAnsiTheme="minorHAnsi" w:cstheme="minorHAnsi"/>
        </w:rPr>
        <w:t xml:space="preserve">, </w:t>
      </w:r>
      <w:r w:rsidR="004A15DA" w:rsidRPr="00521D11">
        <w:rPr>
          <w:rFonts w:asciiTheme="minorHAnsi" w:hAnsiTheme="minorHAnsi" w:cstheme="minorHAnsi"/>
        </w:rPr>
        <w:t xml:space="preserve">the </w:t>
      </w:r>
      <w:r w:rsidR="003A7822" w:rsidRPr="00521D11">
        <w:rPr>
          <w:rFonts w:asciiTheme="minorHAnsi" w:hAnsiTheme="minorHAnsi" w:cstheme="minorHAnsi"/>
        </w:rPr>
        <w:t>GCWG</w:t>
      </w:r>
      <w:r w:rsidR="00B41762" w:rsidRPr="00521D11">
        <w:rPr>
          <w:rFonts w:asciiTheme="minorHAnsi" w:hAnsiTheme="minorHAnsi" w:cstheme="minorHAnsi"/>
        </w:rPr>
        <w:t xml:space="preserve"> considered that:</w:t>
      </w:r>
    </w:p>
    <w:p w14:paraId="0FA45A7B" w14:textId="62FF9C2A" w:rsidR="00B41762" w:rsidRPr="00521D11" w:rsidRDefault="00B41762" w:rsidP="00853829">
      <w:pPr>
        <w:pStyle w:val="Bullet"/>
        <w:rPr>
          <w:rFonts w:asciiTheme="minorHAnsi" w:hAnsiTheme="minorHAnsi" w:cstheme="minorHAnsi"/>
        </w:rPr>
      </w:pPr>
      <w:r w:rsidRPr="00521D11">
        <w:rPr>
          <w:rFonts w:asciiTheme="minorHAnsi" w:hAnsiTheme="minorHAnsi" w:cstheme="minorHAnsi"/>
        </w:rPr>
        <w:t xml:space="preserve">The </w:t>
      </w:r>
      <w:r w:rsidR="00AA75F8">
        <w:rPr>
          <w:rFonts w:asciiTheme="minorHAnsi" w:hAnsiTheme="minorHAnsi" w:cstheme="minorHAnsi"/>
        </w:rPr>
        <w:t>proposal</w:t>
      </w:r>
      <w:r w:rsidR="0001612C" w:rsidRPr="00521D11">
        <w:rPr>
          <w:rFonts w:asciiTheme="minorHAnsi" w:hAnsiTheme="minorHAnsi" w:cstheme="minorHAnsi"/>
        </w:rPr>
        <w:t>’s</w:t>
      </w:r>
      <w:r w:rsidR="00166CFC" w:rsidRPr="00521D11">
        <w:rPr>
          <w:rFonts w:asciiTheme="minorHAnsi" w:hAnsiTheme="minorHAnsi" w:cstheme="minorHAnsi"/>
        </w:rPr>
        <w:t xml:space="preserve"> </w:t>
      </w:r>
      <w:r w:rsidRPr="00521D11">
        <w:rPr>
          <w:rFonts w:asciiTheme="minorHAnsi" w:hAnsiTheme="minorHAnsi" w:cstheme="minorHAnsi"/>
        </w:rPr>
        <w:t xml:space="preserve">population was not well defined. </w:t>
      </w:r>
      <w:r w:rsidR="004A15DA" w:rsidRPr="00521D11">
        <w:rPr>
          <w:rFonts w:asciiTheme="minorHAnsi" w:hAnsiTheme="minorHAnsi" w:cstheme="minorHAnsi"/>
        </w:rPr>
        <w:t xml:space="preserve">The </w:t>
      </w:r>
      <w:r w:rsidR="003A7822" w:rsidRPr="00521D11">
        <w:rPr>
          <w:rFonts w:asciiTheme="minorHAnsi" w:hAnsiTheme="minorHAnsi" w:cstheme="minorHAnsi"/>
        </w:rPr>
        <w:t>GCWG</w:t>
      </w:r>
      <w:r w:rsidRPr="00521D11">
        <w:rPr>
          <w:rFonts w:asciiTheme="minorHAnsi" w:hAnsiTheme="minorHAnsi" w:cstheme="minorHAnsi"/>
        </w:rPr>
        <w:t xml:space="preserve"> noted that identifying a priority population that would most benefit from genetic counselling would strengthen the </w:t>
      </w:r>
      <w:r w:rsidR="00AA75F8">
        <w:rPr>
          <w:rFonts w:asciiTheme="minorHAnsi" w:hAnsiTheme="minorHAnsi" w:cstheme="minorHAnsi"/>
        </w:rPr>
        <w:t>proposal</w:t>
      </w:r>
      <w:r w:rsidRPr="00521D11">
        <w:rPr>
          <w:rFonts w:asciiTheme="minorHAnsi" w:hAnsiTheme="minorHAnsi" w:cstheme="minorHAnsi"/>
        </w:rPr>
        <w:t xml:space="preserve">. </w:t>
      </w:r>
      <w:r w:rsidR="004A15DA" w:rsidRPr="00521D11">
        <w:rPr>
          <w:rFonts w:asciiTheme="minorHAnsi" w:hAnsiTheme="minorHAnsi" w:cstheme="minorHAnsi"/>
        </w:rPr>
        <w:t xml:space="preserve">The </w:t>
      </w:r>
      <w:r w:rsidR="003A7822" w:rsidRPr="00521D11">
        <w:rPr>
          <w:rFonts w:asciiTheme="minorHAnsi" w:hAnsiTheme="minorHAnsi" w:cstheme="minorHAnsi"/>
        </w:rPr>
        <w:t>GCWG</w:t>
      </w:r>
      <w:r w:rsidRPr="00521D11">
        <w:rPr>
          <w:rFonts w:asciiTheme="minorHAnsi" w:hAnsiTheme="minorHAnsi" w:cstheme="minorHAnsi"/>
        </w:rPr>
        <w:t xml:space="preserve"> considered that this would require expert input from genetic counsellors, clinical geneticists</w:t>
      </w:r>
      <w:r w:rsidR="0062597A" w:rsidRPr="00521D11">
        <w:rPr>
          <w:rFonts w:asciiTheme="minorHAnsi" w:hAnsiTheme="minorHAnsi" w:cstheme="minorHAnsi"/>
        </w:rPr>
        <w:t>,</w:t>
      </w:r>
      <w:r w:rsidRPr="00521D11">
        <w:rPr>
          <w:rFonts w:asciiTheme="minorHAnsi" w:hAnsiTheme="minorHAnsi" w:cstheme="minorHAnsi"/>
        </w:rPr>
        <w:t xml:space="preserve"> and other specialists.</w:t>
      </w:r>
      <w:r w:rsidR="00FD77E0" w:rsidRPr="00521D11">
        <w:rPr>
          <w:rFonts w:asciiTheme="minorHAnsi" w:hAnsiTheme="minorHAnsi" w:cstheme="minorHAnsi"/>
        </w:rPr>
        <w:t xml:space="preserve"> </w:t>
      </w:r>
    </w:p>
    <w:p w14:paraId="567AEC89" w14:textId="0A1A7098" w:rsidR="00312CEE" w:rsidRPr="00521D11" w:rsidRDefault="00312CEE" w:rsidP="00853829">
      <w:pPr>
        <w:pStyle w:val="Bullet"/>
        <w:rPr>
          <w:rFonts w:asciiTheme="minorHAnsi" w:hAnsiTheme="minorHAnsi" w:cstheme="minorHAnsi"/>
        </w:rPr>
      </w:pPr>
      <w:r w:rsidRPr="00521D11">
        <w:rPr>
          <w:rFonts w:asciiTheme="minorHAnsi" w:hAnsiTheme="minorHAnsi" w:cstheme="minorHAnsi"/>
        </w:rPr>
        <w:t xml:space="preserve">In relation to the previous point, </w:t>
      </w:r>
      <w:r w:rsidR="00D639F8" w:rsidRPr="00521D11">
        <w:rPr>
          <w:rFonts w:asciiTheme="minorHAnsi" w:hAnsiTheme="minorHAnsi" w:cstheme="minorHAnsi"/>
        </w:rPr>
        <w:t>it would be</w:t>
      </w:r>
      <w:r w:rsidRPr="00521D11">
        <w:rPr>
          <w:rFonts w:asciiTheme="minorHAnsi" w:hAnsiTheme="minorHAnsi" w:cstheme="minorHAnsi"/>
        </w:rPr>
        <w:t xml:space="preserve"> beneficial for decision-making if the </w:t>
      </w:r>
      <w:r w:rsidR="00AA75F8">
        <w:rPr>
          <w:rFonts w:asciiTheme="minorHAnsi" w:hAnsiTheme="minorHAnsi" w:cstheme="minorHAnsi"/>
        </w:rPr>
        <w:t>proposal</w:t>
      </w:r>
      <w:r w:rsidR="00D47E4D" w:rsidRPr="00521D11">
        <w:rPr>
          <w:rFonts w:asciiTheme="minorHAnsi" w:hAnsiTheme="minorHAnsi" w:cstheme="minorHAnsi"/>
        </w:rPr>
        <w:t xml:space="preserve"> </w:t>
      </w:r>
      <w:r w:rsidR="00D639F8" w:rsidRPr="00521D11">
        <w:rPr>
          <w:rFonts w:asciiTheme="minorHAnsi" w:hAnsiTheme="minorHAnsi" w:cstheme="minorHAnsi"/>
        </w:rPr>
        <w:t>identified</w:t>
      </w:r>
      <w:r w:rsidRPr="00521D11">
        <w:rPr>
          <w:rFonts w:asciiTheme="minorHAnsi" w:hAnsiTheme="minorHAnsi" w:cstheme="minorHAnsi"/>
        </w:rPr>
        <w:t xml:space="preserve"> </w:t>
      </w:r>
      <w:r w:rsidR="00D639F8" w:rsidRPr="00521D11">
        <w:rPr>
          <w:rFonts w:asciiTheme="minorHAnsi" w:hAnsiTheme="minorHAnsi" w:cstheme="minorHAnsi"/>
        </w:rPr>
        <w:t>a model to</w:t>
      </w:r>
      <w:r w:rsidRPr="00521D11">
        <w:rPr>
          <w:rFonts w:asciiTheme="minorHAnsi" w:hAnsiTheme="minorHAnsi" w:cstheme="minorHAnsi"/>
        </w:rPr>
        <w:t xml:space="preserve"> link potential genetic counselling MBS items to </w:t>
      </w:r>
      <w:r w:rsidR="007D016D" w:rsidRPr="00521D11">
        <w:rPr>
          <w:rFonts w:asciiTheme="minorHAnsi" w:hAnsiTheme="minorHAnsi" w:cstheme="minorHAnsi"/>
        </w:rPr>
        <w:t xml:space="preserve">the </w:t>
      </w:r>
      <w:r w:rsidRPr="00521D11">
        <w:rPr>
          <w:rFonts w:asciiTheme="minorHAnsi" w:hAnsiTheme="minorHAnsi" w:cstheme="minorHAnsi"/>
        </w:rPr>
        <w:t xml:space="preserve">existing </w:t>
      </w:r>
      <w:r w:rsidR="00A570B7">
        <w:rPr>
          <w:rFonts w:asciiTheme="minorHAnsi" w:hAnsiTheme="minorHAnsi" w:cstheme="minorHAnsi"/>
        </w:rPr>
        <w:t>eighteen</w:t>
      </w:r>
      <w:r w:rsidR="007D016D" w:rsidRPr="00521D11">
        <w:rPr>
          <w:rFonts w:asciiTheme="minorHAnsi" w:hAnsiTheme="minorHAnsi" w:cstheme="minorHAnsi"/>
        </w:rPr>
        <w:t> </w:t>
      </w:r>
      <w:r w:rsidRPr="00521D11">
        <w:rPr>
          <w:rFonts w:asciiTheme="minorHAnsi" w:hAnsiTheme="minorHAnsi" w:cstheme="minorHAnsi"/>
        </w:rPr>
        <w:t xml:space="preserve">MBS items that recommend genetic counselling in the </w:t>
      </w:r>
      <w:r w:rsidR="003A7822" w:rsidRPr="00521D11">
        <w:rPr>
          <w:rFonts w:asciiTheme="minorHAnsi" w:hAnsiTheme="minorHAnsi" w:cstheme="minorHAnsi"/>
        </w:rPr>
        <w:t>explanatory notes</w:t>
      </w:r>
      <w:r w:rsidR="527CA617" w:rsidRPr="00521D11">
        <w:rPr>
          <w:rFonts w:asciiTheme="minorHAnsi" w:hAnsiTheme="minorHAnsi" w:cstheme="minorHAnsi"/>
        </w:rPr>
        <w:t xml:space="preserve">, </w:t>
      </w:r>
      <w:r w:rsidR="059BFE01" w:rsidRPr="00521D11">
        <w:rPr>
          <w:rFonts w:asciiTheme="minorHAnsi" w:hAnsiTheme="minorHAnsi" w:cstheme="minorHAnsi"/>
        </w:rPr>
        <w:t xml:space="preserve">noting that a review of these items </w:t>
      </w:r>
      <w:r w:rsidR="000C61B7" w:rsidRPr="00521D11">
        <w:rPr>
          <w:rFonts w:asciiTheme="minorHAnsi" w:hAnsiTheme="minorHAnsi" w:cstheme="minorHAnsi"/>
        </w:rPr>
        <w:t>c</w:t>
      </w:r>
      <w:r w:rsidR="059BFE01" w:rsidRPr="00521D11">
        <w:rPr>
          <w:rFonts w:asciiTheme="minorHAnsi" w:hAnsiTheme="minorHAnsi" w:cstheme="minorHAnsi"/>
        </w:rPr>
        <w:t>ould first be undertaken to ensure they represent current best practice and high value care for patients.</w:t>
      </w:r>
    </w:p>
    <w:p w14:paraId="5A88C520" w14:textId="27940D2C" w:rsidR="00411724" w:rsidRPr="00521D11" w:rsidRDefault="00411724" w:rsidP="00853829">
      <w:pPr>
        <w:pStyle w:val="Bullet"/>
        <w:rPr>
          <w:rFonts w:asciiTheme="minorHAnsi" w:hAnsiTheme="minorHAnsi" w:cstheme="minorHAnsi"/>
        </w:rPr>
      </w:pPr>
      <w:r w:rsidRPr="00521D11">
        <w:rPr>
          <w:rFonts w:asciiTheme="minorHAnsi" w:hAnsiTheme="minorHAnsi" w:cstheme="minorHAnsi"/>
        </w:rPr>
        <w:t xml:space="preserve">The </w:t>
      </w:r>
      <w:r w:rsidR="00AA75F8">
        <w:rPr>
          <w:rFonts w:asciiTheme="minorHAnsi" w:hAnsiTheme="minorHAnsi" w:cstheme="minorHAnsi"/>
        </w:rPr>
        <w:t>proposal</w:t>
      </w:r>
      <w:r w:rsidR="00D47E4D" w:rsidRPr="00521D11">
        <w:rPr>
          <w:rFonts w:asciiTheme="minorHAnsi" w:hAnsiTheme="minorHAnsi" w:cstheme="minorHAnsi"/>
        </w:rPr>
        <w:t xml:space="preserve"> </w:t>
      </w:r>
      <w:r w:rsidRPr="00521D11">
        <w:rPr>
          <w:rFonts w:asciiTheme="minorHAnsi" w:hAnsiTheme="minorHAnsi" w:cstheme="minorHAnsi"/>
        </w:rPr>
        <w:t xml:space="preserve">would benefit from a definition of ‘complex </w:t>
      </w:r>
      <w:proofErr w:type="gramStart"/>
      <w:r w:rsidRPr="00521D11">
        <w:rPr>
          <w:rFonts w:asciiTheme="minorHAnsi" w:hAnsiTheme="minorHAnsi" w:cstheme="minorHAnsi"/>
        </w:rPr>
        <w:t>conditions’</w:t>
      </w:r>
      <w:proofErr w:type="gramEnd"/>
      <w:r w:rsidRPr="00521D11">
        <w:rPr>
          <w:rFonts w:asciiTheme="minorHAnsi" w:hAnsiTheme="minorHAnsi" w:cstheme="minorHAnsi"/>
        </w:rPr>
        <w:t>.</w:t>
      </w:r>
    </w:p>
    <w:p w14:paraId="453D30B3" w14:textId="46C2B1CD" w:rsidR="00B41762" w:rsidRPr="00521D11" w:rsidRDefault="006F0646" w:rsidP="00853829">
      <w:pPr>
        <w:pStyle w:val="Bullet"/>
        <w:rPr>
          <w:rFonts w:asciiTheme="minorHAnsi" w:hAnsiTheme="minorHAnsi" w:cstheme="minorHAnsi"/>
        </w:rPr>
      </w:pPr>
      <w:r w:rsidRPr="00521D11">
        <w:rPr>
          <w:rFonts w:asciiTheme="minorHAnsi" w:hAnsiTheme="minorHAnsi" w:cstheme="minorHAnsi"/>
        </w:rPr>
        <w:t xml:space="preserve">The </w:t>
      </w:r>
      <w:r w:rsidR="00AA75F8">
        <w:rPr>
          <w:rFonts w:asciiTheme="minorHAnsi" w:hAnsiTheme="minorHAnsi" w:cstheme="minorHAnsi"/>
        </w:rPr>
        <w:t>proposal</w:t>
      </w:r>
      <w:r w:rsidR="00D47E4D" w:rsidRPr="00521D11">
        <w:rPr>
          <w:rFonts w:asciiTheme="minorHAnsi" w:hAnsiTheme="minorHAnsi" w:cstheme="minorHAnsi"/>
        </w:rPr>
        <w:t xml:space="preserve"> </w:t>
      </w:r>
      <w:r w:rsidRPr="00521D11">
        <w:rPr>
          <w:rFonts w:asciiTheme="minorHAnsi" w:hAnsiTheme="minorHAnsi" w:cstheme="minorHAnsi"/>
        </w:rPr>
        <w:t>did not address inequity and possible out-of-pocket costs to patients, and how these could be minimised. Creation of MBS items would allow</w:t>
      </w:r>
      <w:r w:rsidR="00FD77E0" w:rsidRPr="00521D11">
        <w:rPr>
          <w:rFonts w:asciiTheme="minorHAnsi" w:hAnsiTheme="minorHAnsi" w:cstheme="minorHAnsi"/>
        </w:rPr>
        <w:t xml:space="preserve"> genetic counsellors</w:t>
      </w:r>
      <w:r w:rsidRPr="00521D11">
        <w:rPr>
          <w:rFonts w:asciiTheme="minorHAnsi" w:hAnsiTheme="minorHAnsi" w:cstheme="minorHAnsi"/>
        </w:rPr>
        <w:t xml:space="preserve"> to move from </w:t>
      </w:r>
      <w:r w:rsidR="0028229D" w:rsidRPr="00521D11">
        <w:rPr>
          <w:rFonts w:asciiTheme="minorHAnsi" w:hAnsiTheme="minorHAnsi" w:cstheme="minorHAnsi"/>
        </w:rPr>
        <w:t xml:space="preserve">a </w:t>
      </w:r>
      <w:r w:rsidRPr="00521D11">
        <w:rPr>
          <w:rFonts w:asciiTheme="minorHAnsi" w:hAnsiTheme="minorHAnsi" w:cstheme="minorHAnsi"/>
        </w:rPr>
        <w:t xml:space="preserve">triaged public service to private </w:t>
      </w:r>
      <w:r w:rsidR="0028229D" w:rsidRPr="00521D11">
        <w:rPr>
          <w:rFonts w:asciiTheme="minorHAnsi" w:hAnsiTheme="minorHAnsi" w:cstheme="minorHAnsi"/>
        </w:rPr>
        <w:t>services</w:t>
      </w:r>
      <w:r w:rsidRPr="00521D11">
        <w:rPr>
          <w:rFonts w:asciiTheme="minorHAnsi" w:hAnsiTheme="minorHAnsi" w:cstheme="minorHAnsi"/>
        </w:rPr>
        <w:t>, a</w:t>
      </w:r>
      <w:r w:rsidR="0028229D" w:rsidRPr="00521D11">
        <w:rPr>
          <w:rFonts w:asciiTheme="minorHAnsi" w:hAnsiTheme="minorHAnsi" w:cstheme="minorHAnsi"/>
        </w:rPr>
        <w:t>t</w:t>
      </w:r>
      <w:r w:rsidRPr="00521D11">
        <w:rPr>
          <w:rFonts w:asciiTheme="minorHAnsi" w:hAnsiTheme="minorHAnsi" w:cstheme="minorHAnsi"/>
        </w:rPr>
        <w:t xml:space="preserve"> possible larger costs to patients. </w:t>
      </w:r>
      <w:r w:rsidR="004A15DA" w:rsidRPr="00521D11">
        <w:rPr>
          <w:rFonts w:asciiTheme="minorHAnsi" w:hAnsiTheme="minorHAnsi" w:cstheme="minorHAnsi"/>
        </w:rPr>
        <w:t xml:space="preserve">The </w:t>
      </w:r>
      <w:r w:rsidR="00655521" w:rsidRPr="00521D11">
        <w:rPr>
          <w:rFonts w:asciiTheme="minorHAnsi" w:hAnsiTheme="minorHAnsi" w:cstheme="minorHAnsi"/>
        </w:rPr>
        <w:t>GCWG</w:t>
      </w:r>
      <w:r w:rsidRPr="00521D11">
        <w:rPr>
          <w:rFonts w:asciiTheme="minorHAnsi" w:hAnsiTheme="minorHAnsi" w:cstheme="minorHAnsi"/>
        </w:rPr>
        <w:t xml:space="preserve"> considered that the </w:t>
      </w:r>
      <w:r w:rsidR="00AA75F8">
        <w:rPr>
          <w:rFonts w:asciiTheme="minorHAnsi" w:hAnsiTheme="minorHAnsi" w:cstheme="minorHAnsi"/>
        </w:rPr>
        <w:t>proposal</w:t>
      </w:r>
      <w:r w:rsidR="00D47E4D" w:rsidRPr="00521D11">
        <w:rPr>
          <w:rFonts w:asciiTheme="minorHAnsi" w:hAnsiTheme="minorHAnsi" w:cstheme="minorHAnsi"/>
        </w:rPr>
        <w:t xml:space="preserve"> </w:t>
      </w:r>
      <w:r w:rsidRPr="00521D11">
        <w:rPr>
          <w:rFonts w:asciiTheme="minorHAnsi" w:hAnsiTheme="minorHAnsi" w:cstheme="minorHAnsi"/>
        </w:rPr>
        <w:t>would benefit from a</w:t>
      </w:r>
      <w:r w:rsidR="002A0DFC" w:rsidRPr="00521D11">
        <w:rPr>
          <w:rFonts w:asciiTheme="minorHAnsi" w:hAnsiTheme="minorHAnsi" w:cstheme="minorHAnsi"/>
        </w:rPr>
        <w:t xml:space="preserve"> model </w:t>
      </w:r>
      <w:r w:rsidR="00087C04" w:rsidRPr="00521D11">
        <w:rPr>
          <w:rFonts w:asciiTheme="minorHAnsi" w:hAnsiTheme="minorHAnsi" w:cstheme="minorHAnsi"/>
        </w:rPr>
        <w:t>of how the genetic counselling services could be embedded in</w:t>
      </w:r>
      <w:r w:rsidR="0028229D" w:rsidRPr="00521D11">
        <w:rPr>
          <w:rFonts w:asciiTheme="minorHAnsi" w:hAnsiTheme="minorHAnsi" w:cstheme="minorHAnsi"/>
        </w:rPr>
        <w:t xml:space="preserve"> </w:t>
      </w:r>
      <w:r w:rsidR="00087C04" w:rsidRPr="00521D11">
        <w:rPr>
          <w:rFonts w:asciiTheme="minorHAnsi" w:hAnsiTheme="minorHAnsi" w:cstheme="minorHAnsi"/>
        </w:rPr>
        <w:t>private services</w:t>
      </w:r>
      <w:r w:rsidR="0028229D" w:rsidRPr="00521D11">
        <w:rPr>
          <w:rFonts w:asciiTheme="minorHAnsi" w:hAnsiTheme="minorHAnsi" w:cstheme="minorHAnsi"/>
        </w:rPr>
        <w:t xml:space="preserve">, while still providing </w:t>
      </w:r>
      <w:r w:rsidR="004D1E66" w:rsidRPr="00521D11">
        <w:rPr>
          <w:rFonts w:asciiTheme="minorHAnsi" w:hAnsiTheme="minorHAnsi" w:cstheme="minorHAnsi"/>
        </w:rPr>
        <w:t xml:space="preserve">high-value and </w:t>
      </w:r>
      <w:r w:rsidR="0028229D" w:rsidRPr="00521D11">
        <w:rPr>
          <w:rFonts w:asciiTheme="minorHAnsi" w:hAnsiTheme="minorHAnsi" w:cstheme="minorHAnsi"/>
        </w:rPr>
        <w:t>cost-effective care to those who need it most</w:t>
      </w:r>
      <w:r w:rsidR="00087C04" w:rsidRPr="00521D11">
        <w:rPr>
          <w:rFonts w:asciiTheme="minorHAnsi" w:hAnsiTheme="minorHAnsi" w:cstheme="minorHAnsi"/>
        </w:rPr>
        <w:t>.</w:t>
      </w:r>
    </w:p>
    <w:p w14:paraId="50170A8F" w14:textId="034DBD8E" w:rsidR="000343D4" w:rsidRPr="00521D11" w:rsidRDefault="000343D4" w:rsidP="00853829">
      <w:pPr>
        <w:pStyle w:val="Bullet"/>
        <w:rPr>
          <w:rFonts w:asciiTheme="minorHAnsi" w:hAnsiTheme="minorHAnsi" w:cstheme="minorHAnsi"/>
        </w:rPr>
      </w:pPr>
      <w:r w:rsidRPr="00521D11">
        <w:rPr>
          <w:rFonts w:asciiTheme="minorHAnsi" w:hAnsiTheme="minorHAnsi" w:cstheme="minorHAnsi"/>
        </w:rPr>
        <w:t xml:space="preserve">The </w:t>
      </w:r>
      <w:r w:rsidR="00AA75F8">
        <w:rPr>
          <w:rFonts w:asciiTheme="minorHAnsi" w:hAnsiTheme="minorHAnsi" w:cstheme="minorHAnsi"/>
        </w:rPr>
        <w:t>proposal</w:t>
      </w:r>
      <w:r w:rsidR="00D47E4D" w:rsidRPr="00521D11">
        <w:rPr>
          <w:rFonts w:asciiTheme="minorHAnsi" w:hAnsiTheme="minorHAnsi" w:cstheme="minorHAnsi"/>
        </w:rPr>
        <w:t xml:space="preserve"> </w:t>
      </w:r>
      <w:r w:rsidRPr="00521D11">
        <w:rPr>
          <w:rFonts w:asciiTheme="minorHAnsi" w:hAnsiTheme="minorHAnsi" w:cstheme="minorHAnsi"/>
        </w:rPr>
        <w:t>did not identify a model for genetic counsellors to remain embedded in MDTs if they were established in a private practice.</w:t>
      </w:r>
    </w:p>
    <w:p w14:paraId="5E6C6604" w14:textId="1F84535B" w:rsidR="00087C04" w:rsidRPr="00521D11" w:rsidRDefault="0028229D" w:rsidP="00853829">
      <w:pPr>
        <w:pStyle w:val="Bullet"/>
        <w:rPr>
          <w:rFonts w:asciiTheme="minorHAnsi" w:hAnsiTheme="minorHAnsi" w:cstheme="minorHAnsi"/>
        </w:rPr>
      </w:pPr>
      <w:r w:rsidRPr="00521D11">
        <w:rPr>
          <w:rFonts w:asciiTheme="minorHAnsi" w:hAnsiTheme="minorHAnsi" w:cstheme="minorHAnsi"/>
        </w:rPr>
        <w:t>The</w:t>
      </w:r>
      <w:r w:rsidR="00AA75F8">
        <w:rPr>
          <w:rFonts w:asciiTheme="minorHAnsi" w:hAnsiTheme="minorHAnsi" w:cstheme="minorHAnsi"/>
        </w:rPr>
        <w:t xml:space="preserve"> proposal</w:t>
      </w:r>
      <w:r w:rsidR="00D47E4D" w:rsidRPr="00521D11">
        <w:rPr>
          <w:rFonts w:asciiTheme="minorHAnsi" w:hAnsiTheme="minorHAnsi" w:cstheme="minorHAnsi"/>
        </w:rPr>
        <w:t xml:space="preserve"> </w:t>
      </w:r>
      <w:r w:rsidRPr="00521D11">
        <w:rPr>
          <w:rFonts w:asciiTheme="minorHAnsi" w:hAnsiTheme="minorHAnsi" w:cstheme="minorHAnsi"/>
        </w:rPr>
        <w:t xml:space="preserve">did not distinguish between genetic counselling for prognostic </w:t>
      </w:r>
      <w:r w:rsidR="000343D4" w:rsidRPr="00521D11">
        <w:rPr>
          <w:rFonts w:asciiTheme="minorHAnsi" w:hAnsiTheme="minorHAnsi" w:cstheme="minorHAnsi"/>
        </w:rPr>
        <w:t>versus</w:t>
      </w:r>
      <w:r w:rsidRPr="00521D11">
        <w:rPr>
          <w:rFonts w:asciiTheme="minorHAnsi" w:hAnsiTheme="minorHAnsi" w:cstheme="minorHAnsi"/>
        </w:rPr>
        <w:t xml:space="preserve"> predictive testing. </w:t>
      </w:r>
      <w:r w:rsidR="004A15DA" w:rsidRPr="00521D11">
        <w:rPr>
          <w:rFonts w:asciiTheme="minorHAnsi" w:hAnsiTheme="minorHAnsi" w:cstheme="minorHAnsi"/>
        </w:rPr>
        <w:t xml:space="preserve">The </w:t>
      </w:r>
      <w:r w:rsidR="00655521" w:rsidRPr="00521D11">
        <w:rPr>
          <w:rFonts w:asciiTheme="minorHAnsi" w:hAnsiTheme="minorHAnsi" w:cstheme="minorHAnsi"/>
        </w:rPr>
        <w:t>GCWG</w:t>
      </w:r>
      <w:r w:rsidRPr="00521D11">
        <w:rPr>
          <w:rFonts w:asciiTheme="minorHAnsi" w:hAnsiTheme="minorHAnsi" w:cstheme="minorHAnsi"/>
        </w:rPr>
        <w:t xml:space="preserve"> considered this to be an important </w:t>
      </w:r>
      <w:r w:rsidR="00345BD8" w:rsidRPr="00521D11">
        <w:rPr>
          <w:rFonts w:asciiTheme="minorHAnsi" w:hAnsiTheme="minorHAnsi" w:cstheme="minorHAnsi"/>
        </w:rPr>
        <w:t>distinction</w:t>
      </w:r>
      <w:r w:rsidRPr="00521D11">
        <w:rPr>
          <w:rFonts w:asciiTheme="minorHAnsi" w:hAnsiTheme="minorHAnsi" w:cstheme="minorHAnsi"/>
        </w:rPr>
        <w:t>.</w:t>
      </w:r>
    </w:p>
    <w:p w14:paraId="4944EF7A" w14:textId="435A2A7A" w:rsidR="0028229D" w:rsidRPr="00521D11" w:rsidRDefault="000343D4" w:rsidP="00853829">
      <w:pPr>
        <w:pStyle w:val="BulletLast"/>
        <w:rPr>
          <w:rFonts w:asciiTheme="minorHAnsi" w:hAnsiTheme="minorHAnsi" w:cstheme="minorHAnsi"/>
        </w:rPr>
      </w:pPr>
      <w:r w:rsidRPr="00521D11">
        <w:rPr>
          <w:rFonts w:asciiTheme="minorHAnsi" w:hAnsiTheme="minorHAnsi" w:cstheme="minorHAnsi"/>
        </w:rPr>
        <w:t xml:space="preserve">An alternative solution </w:t>
      </w:r>
      <w:r w:rsidR="00454215" w:rsidRPr="00521D11">
        <w:rPr>
          <w:rFonts w:asciiTheme="minorHAnsi" w:hAnsiTheme="minorHAnsi" w:cstheme="minorHAnsi"/>
        </w:rPr>
        <w:t>c</w:t>
      </w:r>
      <w:r w:rsidRPr="00521D11">
        <w:rPr>
          <w:rFonts w:asciiTheme="minorHAnsi" w:hAnsiTheme="minorHAnsi" w:cstheme="minorHAnsi"/>
        </w:rPr>
        <w:t>ould be to increase funding for state and territory public genetic counselling services, to address the shortage of genetic counsellors and long waiting times.</w:t>
      </w:r>
    </w:p>
    <w:p w14:paraId="2DE4A5E9" w14:textId="07DAB0E5" w:rsidR="00853829" w:rsidRPr="00521D11" w:rsidRDefault="00853829" w:rsidP="00853829">
      <w:pPr>
        <w:pStyle w:val="Heading1"/>
        <w:rPr>
          <w:rFonts w:asciiTheme="minorHAnsi" w:hAnsiTheme="minorHAnsi" w:cstheme="minorHAnsi"/>
        </w:rPr>
      </w:pPr>
      <w:bookmarkStart w:id="88" w:name="_Toc117856173"/>
      <w:bookmarkStart w:id="89" w:name="_Toc132209217"/>
      <w:bookmarkStart w:id="90" w:name="_Toc132627488"/>
      <w:r w:rsidRPr="00521D11">
        <w:rPr>
          <w:rFonts w:asciiTheme="minorHAnsi" w:hAnsiTheme="minorHAnsi" w:cstheme="minorHAnsi"/>
        </w:rPr>
        <w:t>Recommendations</w:t>
      </w:r>
      <w:r w:rsidR="00DC22A0" w:rsidRPr="00521D11">
        <w:rPr>
          <w:rFonts w:asciiTheme="minorHAnsi" w:hAnsiTheme="minorHAnsi" w:cstheme="minorHAnsi"/>
        </w:rPr>
        <w:t xml:space="preserve"> and actions</w:t>
      </w:r>
      <w:bookmarkEnd w:id="88"/>
      <w:bookmarkEnd w:id="89"/>
      <w:bookmarkEnd w:id="90"/>
    </w:p>
    <w:p w14:paraId="35598096" w14:textId="158E339C" w:rsidR="00B35DAD" w:rsidRPr="00521D11" w:rsidRDefault="00A570B7" w:rsidP="00B35DAD">
      <w:pPr>
        <w:rPr>
          <w:rFonts w:asciiTheme="minorHAnsi" w:hAnsiTheme="minorHAnsi" w:cstheme="minorHAnsi"/>
        </w:rPr>
      </w:pPr>
      <w:r>
        <w:rPr>
          <w:rFonts w:asciiTheme="minorHAnsi" w:hAnsiTheme="minorHAnsi" w:cstheme="minorHAnsi"/>
        </w:rPr>
        <w:t>The</w:t>
      </w:r>
      <w:r w:rsidR="00B35DAD" w:rsidRPr="00521D11">
        <w:rPr>
          <w:rFonts w:asciiTheme="minorHAnsi" w:hAnsiTheme="minorHAnsi" w:cstheme="minorHAnsi"/>
        </w:rPr>
        <w:t xml:space="preserve"> GCWG consider</w:t>
      </w:r>
      <w:r w:rsidR="006322D9">
        <w:rPr>
          <w:rFonts w:asciiTheme="minorHAnsi" w:hAnsiTheme="minorHAnsi" w:cstheme="minorHAnsi"/>
        </w:rPr>
        <w:t>s</w:t>
      </w:r>
      <w:r w:rsidR="005222C6">
        <w:rPr>
          <w:rFonts w:asciiTheme="minorHAnsi" w:hAnsiTheme="minorHAnsi" w:cstheme="minorHAnsi"/>
        </w:rPr>
        <w:t xml:space="preserve"> </w:t>
      </w:r>
      <w:r w:rsidR="00B35DAD" w:rsidRPr="00521D11">
        <w:rPr>
          <w:rFonts w:asciiTheme="minorHAnsi" w:hAnsiTheme="minorHAnsi" w:cstheme="minorHAnsi"/>
        </w:rPr>
        <w:t xml:space="preserve">that agreement to create new MBS items and subsequent implementation of MBS items requires a more strategic approach that involves whole-of-system thinking. The original HGSA </w:t>
      </w:r>
      <w:r w:rsidR="00AA75F8">
        <w:rPr>
          <w:rFonts w:asciiTheme="minorHAnsi" w:hAnsiTheme="minorHAnsi" w:cstheme="minorHAnsi"/>
        </w:rPr>
        <w:t>proposal</w:t>
      </w:r>
      <w:r w:rsidR="00B35DAD" w:rsidRPr="00521D11">
        <w:rPr>
          <w:rFonts w:asciiTheme="minorHAnsi" w:hAnsiTheme="minorHAnsi" w:cstheme="minorHAnsi"/>
        </w:rPr>
        <w:t xml:space="preserve"> did not provide this level of detail for implementation.</w:t>
      </w:r>
    </w:p>
    <w:p w14:paraId="45A6BF80" w14:textId="0197C963" w:rsidR="00B35DAD" w:rsidRPr="00521D11" w:rsidRDefault="00B35DAD" w:rsidP="00B35DAD">
      <w:pPr>
        <w:rPr>
          <w:rFonts w:asciiTheme="minorHAnsi" w:hAnsiTheme="minorHAnsi" w:cstheme="minorHAnsi"/>
        </w:rPr>
      </w:pPr>
      <w:r w:rsidRPr="00521D11">
        <w:rPr>
          <w:rFonts w:asciiTheme="minorHAnsi" w:hAnsiTheme="minorHAnsi" w:cstheme="minorHAnsi"/>
        </w:rPr>
        <w:t xml:space="preserve">Therefore, </w:t>
      </w:r>
      <w:r w:rsidR="003C5105">
        <w:rPr>
          <w:rFonts w:asciiTheme="minorHAnsi" w:hAnsiTheme="minorHAnsi" w:cstheme="minorHAnsi"/>
        </w:rPr>
        <w:t xml:space="preserve">the GCWG does not support </w:t>
      </w:r>
      <w:r w:rsidRPr="00521D11">
        <w:rPr>
          <w:rFonts w:asciiTheme="minorHAnsi" w:hAnsiTheme="minorHAnsi" w:cstheme="minorHAnsi"/>
        </w:rPr>
        <w:t>the HGSA</w:t>
      </w:r>
      <w:r>
        <w:rPr>
          <w:rFonts w:asciiTheme="minorHAnsi" w:hAnsiTheme="minorHAnsi" w:cstheme="minorHAnsi"/>
        </w:rPr>
        <w:t>’s</w:t>
      </w:r>
      <w:r w:rsidRPr="00521D11">
        <w:rPr>
          <w:rFonts w:asciiTheme="minorHAnsi" w:hAnsiTheme="minorHAnsi" w:cstheme="minorHAnsi"/>
        </w:rPr>
        <w:t xml:space="preserve"> proposal for new MBS items for genetic counselling </w:t>
      </w:r>
      <w:proofErr w:type="gramStart"/>
      <w:r w:rsidRPr="00521D11">
        <w:rPr>
          <w:rFonts w:asciiTheme="minorHAnsi" w:hAnsiTheme="minorHAnsi" w:cstheme="minorHAnsi"/>
        </w:rPr>
        <w:t>at this time</w:t>
      </w:r>
      <w:proofErr w:type="gramEnd"/>
      <w:r w:rsidRPr="00521D11">
        <w:rPr>
          <w:rFonts w:asciiTheme="minorHAnsi" w:hAnsiTheme="minorHAnsi" w:cstheme="minorHAnsi"/>
        </w:rPr>
        <w:t>.</w:t>
      </w:r>
    </w:p>
    <w:p w14:paraId="6B533933" w14:textId="188893F7" w:rsidR="008A13B1" w:rsidRDefault="00B35DAD" w:rsidP="00B35DAD">
      <w:pPr>
        <w:pStyle w:val="NormalBeforeBullet"/>
        <w:rPr>
          <w:rFonts w:asciiTheme="minorHAnsi" w:hAnsiTheme="minorHAnsi" w:cstheme="minorHAnsi"/>
        </w:rPr>
      </w:pPr>
      <w:r w:rsidRPr="00521D11">
        <w:rPr>
          <w:rFonts w:asciiTheme="minorHAnsi" w:hAnsiTheme="minorHAnsi" w:cstheme="minorHAnsi"/>
        </w:rPr>
        <w:t>The GCWG recommend</w:t>
      </w:r>
      <w:r w:rsidR="00A570B7">
        <w:rPr>
          <w:rFonts w:asciiTheme="minorHAnsi" w:hAnsiTheme="minorHAnsi" w:cstheme="minorHAnsi"/>
        </w:rPr>
        <w:t>s</w:t>
      </w:r>
      <w:r w:rsidRPr="00521D11">
        <w:rPr>
          <w:rFonts w:asciiTheme="minorHAnsi" w:hAnsiTheme="minorHAnsi" w:cstheme="minorHAnsi"/>
        </w:rPr>
        <w:t xml:space="preserve"> that a more strategic approach be pursued prior to the creation of MBS items for genetic counselling. </w:t>
      </w:r>
    </w:p>
    <w:p w14:paraId="4C209576" w14:textId="782BEFCA" w:rsidR="00BD62E4" w:rsidRPr="00521D11" w:rsidRDefault="000675C4" w:rsidP="000675C4">
      <w:pPr>
        <w:rPr>
          <w:rFonts w:asciiTheme="minorHAnsi" w:hAnsiTheme="minorHAnsi" w:cstheme="minorHAnsi"/>
        </w:rPr>
      </w:pPr>
      <w:r>
        <w:t xml:space="preserve">The </w:t>
      </w:r>
      <w:r w:rsidR="00075F5B">
        <w:t>D</w:t>
      </w:r>
      <w:r>
        <w:t>epartment advise</w:t>
      </w:r>
      <w:r w:rsidR="006322D9">
        <w:t>d</w:t>
      </w:r>
      <w:r>
        <w:t xml:space="preserve"> that broader work is ongoing towards harnessing the potential of genomic and genetic medicine in an efficient, effective, </w:t>
      </w:r>
      <w:proofErr w:type="gramStart"/>
      <w:r>
        <w:t>ethical</w:t>
      </w:r>
      <w:proofErr w:type="gramEnd"/>
      <w:r>
        <w:t xml:space="preserve"> and equitable way for all Australians. This will include further consultations with research and clinical communities and state and territory governments. Future consideration of the HGSA’s proposal may be more appropriately considered in the context of this broader work.</w:t>
      </w:r>
    </w:p>
    <w:p w14:paraId="37DDCEBF" w14:textId="09D8434F" w:rsidR="007834D0" w:rsidRPr="003D1ADD" w:rsidRDefault="00190BAF" w:rsidP="007834D0">
      <w:pPr>
        <w:pStyle w:val="Heading2"/>
        <w:rPr>
          <w:rFonts w:asciiTheme="minorHAnsi" w:hAnsiTheme="minorHAnsi" w:cstheme="minorHAnsi"/>
          <w:color w:val="E36C0A" w:themeColor="accent6" w:themeShade="BF"/>
        </w:rPr>
      </w:pPr>
      <w:bookmarkStart w:id="91" w:name="_Toc117856174"/>
      <w:bookmarkStart w:id="92" w:name="_Toc132209218"/>
      <w:bookmarkStart w:id="93" w:name="_Toc132627489"/>
      <w:r w:rsidRPr="003D1ADD">
        <w:rPr>
          <w:rFonts w:asciiTheme="minorHAnsi" w:hAnsiTheme="minorHAnsi" w:cstheme="minorHAnsi"/>
          <w:color w:val="E36C0A" w:themeColor="accent6" w:themeShade="BF"/>
        </w:rPr>
        <w:t>Investigate the</w:t>
      </w:r>
      <w:r w:rsidR="00754E5A" w:rsidRPr="003D1ADD">
        <w:rPr>
          <w:rFonts w:asciiTheme="minorHAnsi" w:hAnsiTheme="minorHAnsi" w:cstheme="minorHAnsi"/>
          <w:color w:val="E36C0A" w:themeColor="accent6" w:themeShade="BF"/>
        </w:rPr>
        <w:t xml:space="preserve"> f</w:t>
      </w:r>
      <w:r w:rsidR="007834D0" w:rsidRPr="003D1ADD">
        <w:rPr>
          <w:rFonts w:asciiTheme="minorHAnsi" w:hAnsiTheme="minorHAnsi" w:cstheme="minorHAnsi"/>
          <w:color w:val="E36C0A" w:themeColor="accent6" w:themeShade="BF"/>
        </w:rPr>
        <w:t>unding arrangements with states and territories</w:t>
      </w:r>
      <w:bookmarkEnd w:id="91"/>
      <w:bookmarkEnd w:id="92"/>
      <w:bookmarkEnd w:id="93"/>
      <w:r w:rsidR="00754E5A" w:rsidRPr="003D1ADD">
        <w:rPr>
          <w:rFonts w:asciiTheme="minorHAnsi" w:hAnsiTheme="minorHAnsi" w:cstheme="minorHAnsi"/>
          <w:color w:val="E36C0A" w:themeColor="accent6" w:themeShade="BF"/>
        </w:rPr>
        <w:t xml:space="preserve"> </w:t>
      </w:r>
    </w:p>
    <w:p w14:paraId="17A2B57A" w14:textId="6FE18B06" w:rsidR="00BD62E4" w:rsidRPr="00521D11" w:rsidRDefault="007834D0" w:rsidP="007834D0">
      <w:pPr>
        <w:rPr>
          <w:rFonts w:asciiTheme="minorHAnsi" w:hAnsiTheme="minorHAnsi" w:cstheme="minorHAnsi"/>
        </w:rPr>
      </w:pPr>
      <w:r w:rsidRPr="00521D11">
        <w:rPr>
          <w:rFonts w:asciiTheme="minorHAnsi" w:hAnsiTheme="minorHAnsi" w:cstheme="minorHAnsi"/>
        </w:rPr>
        <w:t>The GCWG recommend</w:t>
      </w:r>
      <w:r w:rsidR="00A570B7">
        <w:rPr>
          <w:rFonts w:asciiTheme="minorHAnsi" w:hAnsiTheme="minorHAnsi" w:cstheme="minorHAnsi"/>
        </w:rPr>
        <w:t>s</w:t>
      </w:r>
      <w:r w:rsidRPr="00521D11">
        <w:rPr>
          <w:rFonts w:asciiTheme="minorHAnsi" w:hAnsiTheme="minorHAnsi" w:cstheme="minorHAnsi"/>
        </w:rPr>
        <w:t xml:space="preserve"> that </w:t>
      </w:r>
      <w:r w:rsidR="00BD62E4" w:rsidRPr="00521D11">
        <w:rPr>
          <w:rFonts w:asciiTheme="minorHAnsi" w:hAnsiTheme="minorHAnsi" w:cstheme="minorHAnsi"/>
        </w:rPr>
        <w:t>the relationship and funding arrangements between states/territories and the Australian Government, as set out in the 2020–25 National Health Reform Agreement</w:t>
      </w:r>
      <w:r w:rsidRPr="00521D11">
        <w:rPr>
          <w:rFonts w:asciiTheme="minorHAnsi" w:hAnsiTheme="minorHAnsi" w:cstheme="minorHAnsi"/>
        </w:rPr>
        <w:t>, be further investigated</w:t>
      </w:r>
      <w:r w:rsidR="0086587B">
        <w:rPr>
          <w:rFonts w:asciiTheme="minorHAnsi" w:hAnsiTheme="minorHAnsi" w:cstheme="minorHAnsi"/>
        </w:rPr>
        <w:t xml:space="preserve"> to explore</w:t>
      </w:r>
      <w:r w:rsidR="000F7B0F">
        <w:rPr>
          <w:rFonts w:asciiTheme="minorHAnsi" w:hAnsiTheme="minorHAnsi" w:cstheme="minorHAnsi"/>
        </w:rPr>
        <w:t xml:space="preserve"> the most appropriate source</w:t>
      </w:r>
      <w:r w:rsidR="0086587B">
        <w:rPr>
          <w:rFonts w:asciiTheme="minorHAnsi" w:hAnsiTheme="minorHAnsi" w:cstheme="minorHAnsi"/>
        </w:rPr>
        <w:t>/</w:t>
      </w:r>
      <w:r w:rsidR="000F7B0F">
        <w:rPr>
          <w:rFonts w:asciiTheme="minorHAnsi" w:hAnsiTheme="minorHAnsi" w:cstheme="minorHAnsi"/>
        </w:rPr>
        <w:t xml:space="preserve">s of </w:t>
      </w:r>
      <w:r w:rsidR="0086587B">
        <w:rPr>
          <w:rFonts w:asciiTheme="minorHAnsi" w:hAnsiTheme="minorHAnsi" w:cstheme="minorHAnsi"/>
        </w:rPr>
        <w:t>increased</w:t>
      </w:r>
      <w:r w:rsidR="005F7C1D">
        <w:t>, dedicated funding</w:t>
      </w:r>
      <w:r w:rsidR="000F7B0F">
        <w:t xml:space="preserve"> for genetic counselling services. </w:t>
      </w:r>
      <w:r w:rsidR="007A3C63" w:rsidRPr="00521D11">
        <w:rPr>
          <w:rFonts w:asciiTheme="minorHAnsi" w:hAnsiTheme="minorHAnsi" w:cstheme="minorHAnsi"/>
        </w:rPr>
        <w:t xml:space="preserve">The primary care sector may be another important stakeholder to include in such discussions. </w:t>
      </w:r>
      <w:r w:rsidR="00BD62E4" w:rsidRPr="00521D11">
        <w:rPr>
          <w:rFonts w:asciiTheme="minorHAnsi" w:hAnsiTheme="minorHAnsi" w:cstheme="minorHAnsi"/>
        </w:rPr>
        <w:t>The GCWG acknowledges the challenges around these relationships and arrangements</w:t>
      </w:r>
      <w:r w:rsidR="00754E5A" w:rsidRPr="00521D11">
        <w:rPr>
          <w:rFonts w:asciiTheme="minorHAnsi" w:hAnsiTheme="minorHAnsi" w:cstheme="minorHAnsi"/>
        </w:rPr>
        <w:t>, and the difficulties in providing additional funding to states and territories.</w:t>
      </w:r>
      <w:r w:rsidR="007A3C63" w:rsidRPr="00521D11">
        <w:rPr>
          <w:rFonts w:asciiTheme="minorHAnsi" w:hAnsiTheme="minorHAnsi" w:cstheme="minorHAnsi"/>
        </w:rPr>
        <w:t xml:space="preserve"> </w:t>
      </w:r>
    </w:p>
    <w:p w14:paraId="215B9521" w14:textId="6D78D9CF" w:rsidR="007834D0" w:rsidRPr="003D1ADD" w:rsidRDefault="00190BAF" w:rsidP="00715584">
      <w:pPr>
        <w:pStyle w:val="Heading2"/>
        <w:ind w:left="0" w:hanging="11"/>
        <w:rPr>
          <w:rFonts w:asciiTheme="minorHAnsi" w:hAnsiTheme="minorHAnsi" w:cstheme="minorHAnsi"/>
          <w:color w:val="E36C0A" w:themeColor="accent6" w:themeShade="BF"/>
        </w:rPr>
      </w:pPr>
      <w:bookmarkStart w:id="94" w:name="_Toc117856175"/>
      <w:bookmarkStart w:id="95" w:name="_Toc132209219"/>
      <w:bookmarkStart w:id="96" w:name="_Toc132627490"/>
      <w:r w:rsidRPr="003D1ADD">
        <w:rPr>
          <w:rFonts w:asciiTheme="minorHAnsi" w:hAnsiTheme="minorHAnsi" w:cstheme="minorHAnsi"/>
          <w:color w:val="E36C0A" w:themeColor="accent6" w:themeShade="BF"/>
        </w:rPr>
        <w:t xml:space="preserve">Clarify </w:t>
      </w:r>
      <w:r w:rsidR="00D132C4" w:rsidRPr="003D1ADD">
        <w:rPr>
          <w:rFonts w:asciiTheme="minorHAnsi" w:hAnsiTheme="minorHAnsi" w:cstheme="minorHAnsi"/>
          <w:color w:val="E36C0A" w:themeColor="accent6" w:themeShade="BF"/>
        </w:rPr>
        <w:t>the circumstances when</w:t>
      </w:r>
      <w:r w:rsidR="007834D0" w:rsidRPr="003D1ADD">
        <w:rPr>
          <w:rFonts w:asciiTheme="minorHAnsi" w:hAnsiTheme="minorHAnsi" w:cstheme="minorHAnsi"/>
          <w:color w:val="E36C0A" w:themeColor="accent6" w:themeShade="BF"/>
        </w:rPr>
        <w:t xml:space="preserve"> genetic counselling</w:t>
      </w:r>
      <w:r w:rsidR="00D132C4" w:rsidRPr="003D1ADD">
        <w:rPr>
          <w:rFonts w:asciiTheme="minorHAnsi" w:hAnsiTheme="minorHAnsi" w:cstheme="minorHAnsi"/>
          <w:color w:val="E36C0A" w:themeColor="accent6" w:themeShade="BF"/>
        </w:rPr>
        <w:t xml:space="preserve"> should be </w:t>
      </w:r>
      <w:r w:rsidR="007834D0" w:rsidRPr="003D1ADD">
        <w:rPr>
          <w:rFonts w:asciiTheme="minorHAnsi" w:hAnsiTheme="minorHAnsi" w:cstheme="minorHAnsi"/>
          <w:color w:val="E36C0A" w:themeColor="accent6" w:themeShade="BF"/>
        </w:rPr>
        <w:t>reimbursed on the MBS</w:t>
      </w:r>
      <w:bookmarkEnd w:id="94"/>
      <w:bookmarkEnd w:id="95"/>
      <w:bookmarkEnd w:id="96"/>
      <w:r w:rsidR="00754E5A" w:rsidRPr="003D1ADD">
        <w:rPr>
          <w:rFonts w:asciiTheme="minorHAnsi" w:hAnsiTheme="minorHAnsi" w:cstheme="minorHAnsi"/>
          <w:color w:val="E36C0A" w:themeColor="accent6" w:themeShade="BF"/>
        </w:rPr>
        <w:t xml:space="preserve"> </w:t>
      </w:r>
    </w:p>
    <w:p w14:paraId="0A3708A7" w14:textId="045E8468" w:rsidR="00754E5A" w:rsidRPr="00521D11" w:rsidRDefault="000675C4" w:rsidP="007834D0">
      <w:pPr>
        <w:rPr>
          <w:rFonts w:asciiTheme="minorHAnsi" w:hAnsiTheme="minorHAnsi" w:cstheme="minorHAnsi"/>
        </w:rPr>
      </w:pPr>
      <w:r>
        <w:t>The GCWG recommend</w:t>
      </w:r>
      <w:r w:rsidR="00A570B7">
        <w:t>s</w:t>
      </w:r>
      <w:r>
        <w:t xml:space="preserve"> that clarification be sought about which current genetic tests should be associated with a genetic counselling consultation. </w:t>
      </w:r>
      <w:r w:rsidR="00754E5A" w:rsidRPr="00521D11">
        <w:rPr>
          <w:rFonts w:asciiTheme="minorHAnsi" w:hAnsiTheme="minorHAnsi" w:cstheme="minorHAnsi"/>
        </w:rPr>
        <w:t xml:space="preserve">This may include more discussion </w:t>
      </w:r>
      <w:r w:rsidR="006A7F31" w:rsidRPr="00521D11">
        <w:rPr>
          <w:rFonts w:asciiTheme="minorHAnsi" w:hAnsiTheme="minorHAnsi" w:cstheme="minorHAnsi"/>
        </w:rPr>
        <w:t>to clarify</w:t>
      </w:r>
      <w:r w:rsidR="00754E5A" w:rsidRPr="00521D11">
        <w:rPr>
          <w:rFonts w:asciiTheme="minorHAnsi" w:hAnsiTheme="minorHAnsi" w:cstheme="minorHAnsi"/>
        </w:rPr>
        <w:t xml:space="preserve"> the MBS item descriptors and accompanying </w:t>
      </w:r>
      <w:r w:rsidR="001F6E21" w:rsidRPr="00521D11">
        <w:rPr>
          <w:rFonts w:asciiTheme="minorHAnsi" w:hAnsiTheme="minorHAnsi" w:cstheme="minorHAnsi"/>
        </w:rPr>
        <w:t>e</w:t>
      </w:r>
      <w:r w:rsidR="00754E5A" w:rsidRPr="00521D11">
        <w:rPr>
          <w:rFonts w:asciiTheme="minorHAnsi" w:hAnsiTheme="minorHAnsi" w:cstheme="minorHAnsi"/>
        </w:rPr>
        <w:t xml:space="preserve">xplanatory </w:t>
      </w:r>
      <w:r w:rsidR="001F6E21" w:rsidRPr="00521D11">
        <w:rPr>
          <w:rFonts w:asciiTheme="minorHAnsi" w:hAnsiTheme="minorHAnsi" w:cstheme="minorHAnsi"/>
        </w:rPr>
        <w:t>n</w:t>
      </w:r>
      <w:r w:rsidR="00754E5A" w:rsidRPr="00521D11">
        <w:rPr>
          <w:rFonts w:asciiTheme="minorHAnsi" w:hAnsiTheme="minorHAnsi" w:cstheme="minorHAnsi"/>
        </w:rPr>
        <w:t>otes.</w:t>
      </w:r>
    </w:p>
    <w:p w14:paraId="3FE2F7E3" w14:textId="56069BB7" w:rsidR="00BD62E4" w:rsidRDefault="00754E5A" w:rsidP="007834D0">
      <w:pPr>
        <w:rPr>
          <w:rFonts w:asciiTheme="minorHAnsi" w:hAnsiTheme="minorHAnsi" w:cstheme="minorHAnsi"/>
        </w:rPr>
      </w:pPr>
      <w:r w:rsidRPr="00521D11">
        <w:rPr>
          <w:rFonts w:asciiTheme="minorHAnsi" w:hAnsiTheme="minorHAnsi" w:cstheme="minorHAnsi"/>
        </w:rPr>
        <w:t xml:space="preserve">The GCWG also </w:t>
      </w:r>
      <w:r w:rsidR="00EA4EDD" w:rsidRPr="00521D11">
        <w:rPr>
          <w:rFonts w:asciiTheme="minorHAnsi" w:hAnsiTheme="minorHAnsi" w:cstheme="minorHAnsi"/>
        </w:rPr>
        <w:t>consider</w:t>
      </w:r>
      <w:r w:rsidR="006322D9">
        <w:rPr>
          <w:rFonts w:asciiTheme="minorHAnsi" w:hAnsiTheme="minorHAnsi" w:cstheme="minorHAnsi"/>
        </w:rPr>
        <w:t>s</w:t>
      </w:r>
      <w:r w:rsidRPr="00521D11">
        <w:rPr>
          <w:rFonts w:asciiTheme="minorHAnsi" w:hAnsiTheme="minorHAnsi" w:cstheme="minorHAnsi"/>
        </w:rPr>
        <w:t xml:space="preserve"> that MB</w:t>
      </w:r>
      <w:r w:rsidR="00190BAF" w:rsidRPr="00521D11">
        <w:rPr>
          <w:rFonts w:asciiTheme="minorHAnsi" w:hAnsiTheme="minorHAnsi" w:cstheme="minorHAnsi"/>
        </w:rPr>
        <w:t>S</w:t>
      </w:r>
      <w:r w:rsidRPr="00521D11">
        <w:rPr>
          <w:rFonts w:asciiTheme="minorHAnsi" w:hAnsiTheme="minorHAnsi" w:cstheme="minorHAnsi"/>
        </w:rPr>
        <w:t xml:space="preserve"> reimbursement </w:t>
      </w:r>
      <w:r w:rsidR="007834D0" w:rsidRPr="00521D11">
        <w:rPr>
          <w:rFonts w:asciiTheme="minorHAnsi" w:hAnsiTheme="minorHAnsi" w:cstheme="minorHAnsi"/>
        </w:rPr>
        <w:t xml:space="preserve">may include details about </w:t>
      </w:r>
      <w:r w:rsidR="006A7F31" w:rsidRPr="00521D11">
        <w:rPr>
          <w:rFonts w:asciiTheme="minorHAnsi" w:hAnsiTheme="minorHAnsi" w:cstheme="minorHAnsi"/>
        </w:rPr>
        <w:t>how an MDT may be used</w:t>
      </w:r>
      <w:r w:rsidR="007834D0" w:rsidRPr="00521D11">
        <w:rPr>
          <w:rFonts w:asciiTheme="minorHAnsi" w:hAnsiTheme="minorHAnsi" w:cstheme="minorHAnsi"/>
        </w:rPr>
        <w:t xml:space="preserve">. It is likely that </w:t>
      </w:r>
      <w:r w:rsidR="00CB34D1" w:rsidRPr="00521D11">
        <w:rPr>
          <w:rFonts w:asciiTheme="minorHAnsi" w:hAnsiTheme="minorHAnsi" w:cstheme="minorHAnsi"/>
        </w:rPr>
        <w:t xml:space="preserve">a clinician would lead </w:t>
      </w:r>
      <w:r w:rsidR="007834D0" w:rsidRPr="00521D11">
        <w:rPr>
          <w:rFonts w:asciiTheme="minorHAnsi" w:hAnsiTheme="minorHAnsi" w:cstheme="minorHAnsi"/>
        </w:rPr>
        <w:t>an MDT</w:t>
      </w:r>
      <w:r w:rsidR="00CB34D1" w:rsidRPr="00521D11">
        <w:rPr>
          <w:rFonts w:asciiTheme="minorHAnsi" w:hAnsiTheme="minorHAnsi" w:cstheme="minorHAnsi"/>
        </w:rPr>
        <w:t xml:space="preserve">, </w:t>
      </w:r>
      <w:r w:rsidR="007834D0" w:rsidRPr="00521D11">
        <w:rPr>
          <w:rFonts w:asciiTheme="minorHAnsi" w:hAnsiTheme="minorHAnsi" w:cstheme="minorHAnsi"/>
        </w:rPr>
        <w:t xml:space="preserve">and </w:t>
      </w:r>
      <w:r w:rsidR="00CB34D1" w:rsidRPr="00521D11">
        <w:rPr>
          <w:rFonts w:asciiTheme="minorHAnsi" w:hAnsiTheme="minorHAnsi" w:cstheme="minorHAnsi"/>
        </w:rPr>
        <w:t xml:space="preserve">the team </w:t>
      </w:r>
      <w:r w:rsidR="007834D0" w:rsidRPr="00521D11">
        <w:rPr>
          <w:rFonts w:asciiTheme="minorHAnsi" w:hAnsiTheme="minorHAnsi" w:cstheme="minorHAnsi"/>
        </w:rPr>
        <w:t xml:space="preserve">would include genetic counsellors, clinical </w:t>
      </w:r>
      <w:r w:rsidR="005222C6" w:rsidRPr="00521D11">
        <w:rPr>
          <w:rFonts w:asciiTheme="minorHAnsi" w:hAnsiTheme="minorHAnsi" w:cstheme="minorHAnsi"/>
        </w:rPr>
        <w:t>geneticists,</w:t>
      </w:r>
      <w:r w:rsidRPr="00521D11">
        <w:rPr>
          <w:rFonts w:asciiTheme="minorHAnsi" w:hAnsiTheme="minorHAnsi" w:cstheme="minorHAnsi"/>
        </w:rPr>
        <w:t xml:space="preserve"> and</w:t>
      </w:r>
      <w:r w:rsidR="007834D0" w:rsidRPr="00521D11">
        <w:rPr>
          <w:rFonts w:asciiTheme="minorHAnsi" w:hAnsiTheme="minorHAnsi" w:cstheme="minorHAnsi"/>
        </w:rPr>
        <w:t xml:space="preserve"> specialists.</w:t>
      </w:r>
      <w:r w:rsidR="006A7F31" w:rsidRPr="00521D11">
        <w:rPr>
          <w:rFonts w:asciiTheme="minorHAnsi" w:hAnsiTheme="minorHAnsi" w:cstheme="minorHAnsi"/>
        </w:rPr>
        <w:t xml:space="preserve"> The GCWG noted that patients are usually not involved in MDT discussions, so clarity about how this would work for genetic counselling is needed.</w:t>
      </w:r>
    </w:p>
    <w:p w14:paraId="6A166EBC" w14:textId="77777777" w:rsidR="000675C4" w:rsidRDefault="000675C4" w:rsidP="000675C4">
      <w:r>
        <w:t>The current MBS items for MDT arrangements provide MBS benefits for allied health practitioners who are invited to partake in a multidisciplinary case conference by the patient’s treating medical practitioner.</w:t>
      </w:r>
    </w:p>
    <w:p w14:paraId="79A30859" w14:textId="0C5C9165" w:rsidR="000675C4" w:rsidRDefault="000675C4" w:rsidP="000675C4">
      <w:r>
        <w:t xml:space="preserve">However, in contrast to existing MDT arrangements, which the GCWG noted typically involve a case conference between medical and allied health practitioners in the absence of the patient, it is envisaged the adoption of this model for genetic counselling would typically involve the patient. </w:t>
      </w:r>
    </w:p>
    <w:p w14:paraId="7E84274E" w14:textId="001F4ED9" w:rsidR="000675C4" w:rsidRDefault="000675C4" w:rsidP="000675C4">
      <w:r>
        <w:t xml:space="preserve">In its advice to the GCWG, the </w:t>
      </w:r>
      <w:r w:rsidR="00075F5B">
        <w:t>D</w:t>
      </w:r>
      <w:r>
        <w:t xml:space="preserve">epartment alternatively advised a model akin to the </w:t>
      </w:r>
      <w:r w:rsidRPr="00E64803">
        <w:t>Better Access initiative</w:t>
      </w:r>
      <w:r>
        <w:t xml:space="preserve">, under which eligible patients can receive up to </w:t>
      </w:r>
      <w:r w:rsidR="005222C6">
        <w:t>ten</w:t>
      </w:r>
      <w:r>
        <w:t xml:space="preserve"> individual and </w:t>
      </w:r>
      <w:r w:rsidR="005222C6">
        <w:t>ten</w:t>
      </w:r>
      <w:r>
        <w:t xml:space="preserve"> group allied mental health services each year where they have received a mental health plan from their GP, may be appropriate.</w:t>
      </w:r>
    </w:p>
    <w:p w14:paraId="2EE4C79C" w14:textId="18C52905" w:rsidR="000675C4" w:rsidRDefault="000675C4" w:rsidP="000675C4">
      <w:r>
        <w:t>Under either the MDT or Better Access initiative models, the initiating clinician would be primarily responsible for discerning when they can directly provide appropriate genetic counselling for their patient (</w:t>
      </w:r>
      <w:r w:rsidRPr="009F54C5">
        <w:t xml:space="preserve">for example, in the case of a well-understood condition with a simple inheritance pattern) or </w:t>
      </w:r>
      <w:r>
        <w:t xml:space="preserve">if the assistance of </w:t>
      </w:r>
      <w:r w:rsidRPr="009F54C5">
        <w:t>a genetic counsellor is required.</w:t>
      </w:r>
    </w:p>
    <w:p w14:paraId="19CA7148" w14:textId="70450E71" w:rsidR="000675C4" w:rsidRDefault="000675C4" w:rsidP="000675C4">
      <w:bookmarkStart w:id="97" w:name="_Hlk119582878"/>
      <w:r>
        <w:t>The GCWG consider</w:t>
      </w:r>
      <w:r w:rsidR="006322D9">
        <w:t>s</w:t>
      </w:r>
      <w:r>
        <w:t xml:space="preserve"> further clarity about how the adoption of similar models would work for genetic counselling is needed</w:t>
      </w:r>
      <w:bookmarkEnd w:id="97"/>
      <w:r>
        <w:t>.</w:t>
      </w:r>
    </w:p>
    <w:p w14:paraId="6C777D00" w14:textId="7F9462AF" w:rsidR="007834D0" w:rsidRPr="003D1ADD" w:rsidRDefault="00190BAF" w:rsidP="005222C6">
      <w:pPr>
        <w:pStyle w:val="Heading2"/>
        <w:ind w:left="0" w:firstLine="0"/>
        <w:rPr>
          <w:rFonts w:asciiTheme="minorHAnsi" w:hAnsiTheme="minorHAnsi" w:cstheme="minorHAnsi"/>
          <w:color w:val="E36C0A" w:themeColor="accent6" w:themeShade="BF"/>
        </w:rPr>
      </w:pPr>
      <w:bookmarkStart w:id="98" w:name="_Toc117856176"/>
      <w:bookmarkStart w:id="99" w:name="_Toc132209220"/>
      <w:bookmarkStart w:id="100" w:name="_Toc132627491"/>
      <w:r w:rsidRPr="003D1ADD">
        <w:rPr>
          <w:rFonts w:asciiTheme="minorHAnsi" w:hAnsiTheme="minorHAnsi" w:cstheme="minorHAnsi"/>
          <w:color w:val="E36C0A" w:themeColor="accent6" w:themeShade="BF"/>
        </w:rPr>
        <w:t xml:space="preserve">Gather additional evidence that </w:t>
      </w:r>
      <w:r w:rsidR="00EA4EDD" w:rsidRPr="003D1ADD">
        <w:rPr>
          <w:rFonts w:asciiTheme="minorHAnsi" w:hAnsiTheme="minorHAnsi" w:cstheme="minorHAnsi"/>
          <w:color w:val="E36C0A" w:themeColor="accent6" w:themeShade="BF"/>
        </w:rPr>
        <w:t>demonstrate</w:t>
      </w:r>
      <w:r w:rsidRPr="003D1ADD">
        <w:rPr>
          <w:rFonts w:asciiTheme="minorHAnsi" w:hAnsiTheme="minorHAnsi" w:cstheme="minorHAnsi"/>
          <w:color w:val="E36C0A" w:themeColor="accent6" w:themeShade="BF"/>
        </w:rPr>
        <w:t>s how</w:t>
      </w:r>
      <w:r w:rsidR="00EA4EDD" w:rsidRPr="003D1ADD">
        <w:rPr>
          <w:rFonts w:asciiTheme="minorHAnsi" w:hAnsiTheme="minorHAnsi" w:cstheme="minorHAnsi"/>
          <w:color w:val="E36C0A" w:themeColor="accent6" w:themeShade="BF"/>
        </w:rPr>
        <w:t xml:space="preserve"> MBS items</w:t>
      </w:r>
      <w:r w:rsidRPr="003D1ADD">
        <w:rPr>
          <w:rFonts w:asciiTheme="minorHAnsi" w:hAnsiTheme="minorHAnsi" w:cstheme="minorHAnsi"/>
          <w:color w:val="E36C0A" w:themeColor="accent6" w:themeShade="BF"/>
        </w:rPr>
        <w:t xml:space="preserve"> </w:t>
      </w:r>
      <w:r w:rsidR="00E3406E" w:rsidRPr="003D1ADD">
        <w:rPr>
          <w:rFonts w:asciiTheme="minorHAnsi" w:hAnsiTheme="minorHAnsi" w:cstheme="minorHAnsi"/>
          <w:color w:val="E36C0A" w:themeColor="accent6" w:themeShade="BF"/>
        </w:rPr>
        <w:t xml:space="preserve">for genetic counselling </w:t>
      </w:r>
      <w:r w:rsidR="007835CD" w:rsidRPr="003D1ADD">
        <w:rPr>
          <w:rFonts w:asciiTheme="minorHAnsi" w:hAnsiTheme="minorHAnsi" w:cstheme="minorHAnsi"/>
          <w:color w:val="E36C0A" w:themeColor="accent6" w:themeShade="BF"/>
        </w:rPr>
        <w:t xml:space="preserve">would </w:t>
      </w:r>
      <w:r w:rsidRPr="003D1ADD">
        <w:rPr>
          <w:rFonts w:asciiTheme="minorHAnsi" w:hAnsiTheme="minorHAnsi" w:cstheme="minorHAnsi"/>
          <w:color w:val="E36C0A" w:themeColor="accent6" w:themeShade="BF"/>
        </w:rPr>
        <w:t>improve health outcomes</w:t>
      </w:r>
      <w:bookmarkEnd w:id="98"/>
      <w:r w:rsidR="001A077D" w:rsidRPr="003D1ADD">
        <w:rPr>
          <w:rFonts w:asciiTheme="minorHAnsi" w:hAnsiTheme="minorHAnsi" w:cstheme="minorHAnsi"/>
          <w:color w:val="E36C0A" w:themeColor="accent6" w:themeShade="BF"/>
        </w:rPr>
        <w:t xml:space="preserve"> equitably</w:t>
      </w:r>
      <w:bookmarkEnd w:id="99"/>
      <w:bookmarkEnd w:id="100"/>
    </w:p>
    <w:p w14:paraId="7A4E6E33" w14:textId="174B7E2D" w:rsidR="00EA4EDD" w:rsidRPr="00521D11" w:rsidRDefault="00EA4EDD" w:rsidP="00EA4EDD">
      <w:pPr>
        <w:rPr>
          <w:rFonts w:asciiTheme="minorHAnsi" w:hAnsiTheme="minorHAnsi" w:cstheme="minorHAnsi"/>
        </w:rPr>
      </w:pPr>
      <w:r w:rsidRPr="00521D11">
        <w:rPr>
          <w:rFonts w:asciiTheme="minorHAnsi" w:hAnsiTheme="minorHAnsi" w:cstheme="minorHAnsi"/>
        </w:rPr>
        <w:t xml:space="preserve">The GCWG noted multiple claims </w:t>
      </w:r>
      <w:r w:rsidR="006A7F31" w:rsidRPr="00521D11">
        <w:rPr>
          <w:rFonts w:asciiTheme="minorHAnsi" w:hAnsiTheme="minorHAnsi" w:cstheme="minorHAnsi"/>
        </w:rPr>
        <w:t xml:space="preserve">in the original </w:t>
      </w:r>
      <w:r w:rsidR="00AA75F8">
        <w:rPr>
          <w:rFonts w:asciiTheme="minorHAnsi" w:hAnsiTheme="minorHAnsi" w:cstheme="minorHAnsi"/>
        </w:rPr>
        <w:t>proposal</w:t>
      </w:r>
      <w:r w:rsidR="006A7F31" w:rsidRPr="00521D11">
        <w:rPr>
          <w:rFonts w:asciiTheme="minorHAnsi" w:hAnsiTheme="minorHAnsi" w:cstheme="minorHAnsi"/>
        </w:rPr>
        <w:t xml:space="preserve"> and consultation feedback that </w:t>
      </w:r>
      <w:r w:rsidRPr="00521D11">
        <w:rPr>
          <w:rFonts w:asciiTheme="minorHAnsi" w:hAnsiTheme="minorHAnsi" w:cstheme="minorHAnsi"/>
        </w:rPr>
        <w:t xml:space="preserve">MBS items for genetic counselling would improve health outcomes, but none included data to back the claims. The GCWG </w:t>
      </w:r>
      <w:r w:rsidR="00E838BB" w:rsidRPr="00521D11">
        <w:rPr>
          <w:rFonts w:asciiTheme="minorHAnsi" w:hAnsiTheme="minorHAnsi" w:cstheme="minorHAnsi"/>
        </w:rPr>
        <w:t>considered</w:t>
      </w:r>
      <w:r w:rsidRPr="00521D11">
        <w:rPr>
          <w:rFonts w:asciiTheme="minorHAnsi" w:hAnsiTheme="minorHAnsi" w:cstheme="minorHAnsi"/>
        </w:rPr>
        <w:t xml:space="preserve"> that quality assurance processes already in place can be used to demonstrate the value of genetic counselling</w:t>
      </w:r>
      <w:r w:rsidR="00DE4CBF" w:rsidRPr="00521D11">
        <w:rPr>
          <w:rFonts w:asciiTheme="minorHAnsi" w:hAnsiTheme="minorHAnsi" w:cstheme="minorHAnsi"/>
        </w:rPr>
        <w:t xml:space="preserve"> and principles of high-value care</w:t>
      </w:r>
      <w:r w:rsidRPr="00521D11">
        <w:rPr>
          <w:rFonts w:asciiTheme="minorHAnsi" w:hAnsiTheme="minorHAnsi" w:cstheme="minorHAnsi"/>
        </w:rPr>
        <w:t>, and that this would be valu</w:t>
      </w:r>
      <w:r w:rsidR="00E838BB" w:rsidRPr="00521D11">
        <w:rPr>
          <w:rFonts w:asciiTheme="minorHAnsi" w:hAnsiTheme="minorHAnsi" w:cstheme="minorHAnsi"/>
        </w:rPr>
        <w:t>able</w:t>
      </w:r>
      <w:r w:rsidRPr="00521D11">
        <w:rPr>
          <w:rFonts w:asciiTheme="minorHAnsi" w:hAnsiTheme="minorHAnsi" w:cstheme="minorHAnsi"/>
        </w:rPr>
        <w:t xml:space="preserve"> information for the </w:t>
      </w:r>
      <w:r w:rsidR="00DE4CBF" w:rsidRPr="00521D11">
        <w:rPr>
          <w:rFonts w:asciiTheme="minorHAnsi" w:hAnsiTheme="minorHAnsi" w:cstheme="minorHAnsi"/>
        </w:rPr>
        <w:t xml:space="preserve">MRAC and the </w:t>
      </w:r>
      <w:r w:rsidRPr="00521D11">
        <w:rPr>
          <w:rFonts w:asciiTheme="minorHAnsi" w:hAnsiTheme="minorHAnsi" w:cstheme="minorHAnsi"/>
        </w:rPr>
        <w:t>Government to consider when implementing MBS items.</w:t>
      </w:r>
      <w:r w:rsidR="00DE4CBF" w:rsidRPr="00521D11">
        <w:rPr>
          <w:rFonts w:asciiTheme="minorHAnsi" w:hAnsiTheme="minorHAnsi" w:cstheme="minorHAnsi"/>
        </w:rPr>
        <w:t xml:space="preserve"> The GCWG also recommended approaching states and territories for public hospital data.</w:t>
      </w:r>
      <w:r w:rsidR="009501D8">
        <w:rPr>
          <w:rFonts w:asciiTheme="minorHAnsi" w:hAnsiTheme="minorHAnsi" w:cstheme="minorHAnsi"/>
        </w:rPr>
        <w:t xml:space="preserve"> </w:t>
      </w:r>
      <w:bookmarkStart w:id="101" w:name="_Appendix Consultation_and_feedback"/>
      <w:bookmarkEnd w:id="101"/>
    </w:p>
    <w:sectPr w:rsidR="00EA4EDD" w:rsidRPr="00521D11" w:rsidSect="00290DE9">
      <w:footnotePr>
        <w:numRestart w:val="eachSect"/>
      </w:footnotePr>
      <w:type w:val="continuous"/>
      <w:pgSz w:w="11906" w:h="16838" w:code="9"/>
      <w:pgMar w:top="1440" w:right="2007" w:bottom="1440" w:left="2007" w:header="578" w:footer="47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13CB" w14:textId="77777777" w:rsidR="00BB4F1A" w:rsidRDefault="00BB4F1A">
      <w:pPr>
        <w:spacing w:after="0"/>
      </w:pPr>
      <w:r>
        <w:separator/>
      </w:r>
    </w:p>
  </w:endnote>
  <w:endnote w:type="continuationSeparator" w:id="0">
    <w:p w14:paraId="435DEE0A" w14:textId="77777777" w:rsidR="00BB4F1A" w:rsidRDefault="00BB4F1A">
      <w:pPr>
        <w:spacing w:after="0"/>
      </w:pPr>
      <w:r>
        <w:continuationSeparator/>
      </w:r>
    </w:p>
  </w:endnote>
  <w:endnote w:type="continuationNotice" w:id="1">
    <w:p w14:paraId="61AA937D" w14:textId="77777777" w:rsidR="00BB4F1A" w:rsidRDefault="00BB4F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era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690543"/>
      <w:docPartObj>
        <w:docPartGallery w:val="Page Numbers (Bottom of Page)"/>
        <w:docPartUnique/>
      </w:docPartObj>
    </w:sdtPr>
    <w:sdtEndPr>
      <w:rPr>
        <w:noProof/>
      </w:rPr>
    </w:sdtEndPr>
    <w:sdtContent>
      <w:p w14:paraId="16FD7472" w14:textId="1A57415A" w:rsidR="00A570B7" w:rsidRDefault="00A570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D0CCB1" w14:textId="77777777" w:rsidR="00A570B7" w:rsidRDefault="00A57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EA88" w14:textId="77777777" w:rsidR="002949D5" w:rsidRDefault="002949D5" w:rsidP="00CB14FD">
    <w:pPr>
      <w:pStyle w:val="Footer"/>
      <w:framePr w:wrap="none" w:vAnchor="text" w:hAnchor="margin" w:xAlign="right" w:y="1"/>
      <w:rPr>
        <w:rStyle w:val="PageNumber"/>
      </w:rPr>
    </w:pPr>
  </w:p>
  <w:p w14:paraId="12E7529A" w14:textId="2C87B073" w:rsidR="002949D5" w:rsidRDefault="000C499A" w:rsidP="00CB0A08">
    <w:pPr>
      <w:pStyle w:val="Footer"/>
      <w:tabs>
        <w:tab w:val="clear" w:pos="9000"/>
        <w:tab w:val="right" w:pos="7144"/>
      </w:tabs>
    </w:pPr>
    <w:r>
      <w:rPr>
        <w:i/>
        <w:iCs/>
      </w:rPr>
      <w:t xml:space="preserve">                                                                            </w:t>
    </w:r>
    <w:r w:rsidR="002949D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E8627" w14:textId="77777777" w:rsidR="00BB4F1A" w:rsidRDefault="00BB4F1A">
      <w:pPr>
        <w:spacing w:after="0"/>
      </w:pPr>
      <w:r>
        <w:separator/>
      </w:r>
    </w:p>
  </w:footnote>
  <w:footnote w:type="continuationSeparator" w:id="0">
    <w:p w14:paraId="2B435377" w14:textId="77777777" w:rsidR="00BB4F1A" w:rsidRDefault="00BB4F1A">
      <w:pPr>
        <w:spacing w:after="0"/>
      </w:pPr>
      <w:r>
        <w:continuationSeparator/>
      </w:r>
    </w:p>
  </w:footnote>
  <w:footnote w:type="continuationNotice" w:id="1">
    <w:p w14:paraId="186FAEF6" w14:textId="77777777" w:rsidR="00BB4F1A" w:rsidRDefault="00BB4F1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B2C00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8DF0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1F733E"/>
    <w:multiLevelType w:val="hybridMultilevel"/>
    <w:tmpl w:val="9DBE2084"/>
    <w:lvl w:ilvl="0" w:tplc="9C3C5692">
      <w:numFmt w:val="bullet"/>
      <w:lvlText w:val="-"/>
      <w:lvlJc w:val="left"/>
      <w:pPr>
        <w:ind w:left="720" w:hanging="360"/>
      </w:pPr>
      <w:rPr>
        <w:rFonts w:ascii="Open Sans" w:eastAsia="Times New Roman"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916E9D"/>
    <w:multiLevelType w:val="hybridMultilevel"/>
    <w:tmpl w:val="A92A4E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845185"/>
    <w:multiLevelType w:val="hybridMultilevel"/>
    <w:tmpl w:val="F7FAD168"/>
    <w:lvl w:ilvl="0" w:tplc="20F4A24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AF744C"/>
    <w:multiLevelType w:val="hybridMultilevel"/>
    <w:tmpl w:val="E3ACBB54"/>
    <w:lvl w:ilvl="0" w:tplc="266ECE5A">
      <w:start w:val="1"/>
      <w:numFmt w:val="decimal"/>
      <w:lvlText w:val="%1."/>
      <w:lvlJc w:val="left"/>
      <w:pPr>
        <w:ind w:left="720" w:hanging="360"/>
      </w:pPr>
      <w:rPr>
        <w:rFonts w:hint="default"/>
        <w:color w:val="C0504D" w:themeColor="accen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3C240B"/>
    <w:multiLevelType w:val="hybridMultilevel"/>
    <w:tmpl w:val="E60E4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AC50F5"/>
    <w:multiLevelType w:val="hybridMultilevel"/>
    <w:tmpl w:val="9364C676"/>
    <w:lvl w:ilvl="0" w:tplc="0C090001">
      <w:start w:val="1"/>
      <w:numFmt w:val="bullet"/>
      <w:lvlText w:val=""/>
      <w:lvlJc w:val="left"/>
      <w:pPr>
        <w:ind w:left="1211" w:hanging="360"/>
      </w:pPr>
      <w:rPr>
        <w:rFonts w:ascii="Symbol" w:hAnsi="Symbol" w:hint="default"/>
      </w:rPr>
    </w:lvl>
    <w:lvl w:ilvl="1" w:tplc="2B4EB362">
      <w:start w:val="12"/>
      <w:numFmt w:val="bullet"/>
      <w:lvlText w:val="-"/>
      <w:lvlJc w:val="left"/>
      <w:pPr>
        <w:ind w:left="1931" w:hanging="360"/>
      </w:pPr>
      <w:rPr>
        <w:rFonts w:ascii="CeraPro-Regular" w:eastAsiaTheme="minorHAnsi" w:hAnsi="CeraPro-Regular" w:cs="CeraPro-Regular" w:hint="default"/>
        <w:color w:val="auto"/>
        <w:sz w:val="20"/>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5" w15:restartNumberingAfterBreak="0">
    <w:nsid w:val="38E861DF"/>
    <w:multiLevelType w:val="hybridMultilevel"/>
    <w:tmpl w:val="FF36808E"/>
    <w:lvl w:ilvl="0" w:tplc="34A05D46">
      <w:start w:val="1"/>
      <w:numFmt w:val="bullet"/>
      <w:lvlText w:val=""/>
      <w:lvlJc w:val="left"/>
      <w:pPr>
        <w:tabs>
          <w:tab w:val="num" w:pos="714"/>
        </w:tabs>
        <w:ind w:left="714" w:hanging="357"/>
      </w:pPr>
      <w:rPr>
        <w:rFonts w:ascii="Symbol" w:hAnsi="Symbol" w:hint="default"/>
        <w:b w:val="0"/>
        <w:bCs w:val="0"/>
        <w:i w:val="0"/>
        <w:iCs w:val="0"/>
        <w:caps w:val="0"/>
        <w:smallCaps w:val="0"/>
        <w:strike w:val="0"/>
        <w:dstrike w:val="0"/>
        <w:noProof w:val="0"/>
        <w:vanish w:val="0"/>
        <w:webHidden w:val="0"/>
        <w:color w:val="C0504D"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797" w:hanging="360"/>
      </w:pPr>
      <w:rPr>
        <w:rFonts w:ascii="Courier New" w:hAnsi="Courier New" w:cs="Times New Roman"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Times New Roman"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Times New Roman" w:hint="default"/>
      </w:rPr>
    </w:lvl>
    <w:lvl w:ilvl="8" w:tplc="04090005">
      <w:start w:val="1"/>
      <w:numFmt w:val="bullet"/>
      <w:lvlText w:val=""/>
      <w:lvlJc w:val="left"/>
      <w:pPr>
        <w:ind w:left="6837" w:hanging="360"/>
      </w:pPr>
      <w:rPr>
        <w:rFonts w:ascii="Wingdings" w:hAnsi="Wingdings" w:hint="default"/>
      </w:rPr>
    </w:lvl>
  </w:abstractNum>
  <w:abstractNum w:abstractNumId="26" w15:restartNumberingAfterBreak="0">
    <w:nsid w:val="3FB96D6E"/>
    <w:multiLevelType w:val="hybridMultilevel"/>
    <w:tmpl w:val="41C45B7C"/>
    <w:lvl w:ilvl="0" w:tplc="BC78F04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A06C3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087D42"/>
    <w:multiLevelType w:val="hybridMultilevel"/>
    <w:tmpl w:val="48C87A36"/>
    <w:lvl w:ilvl="0" w:tplc="E1F647D4">
      <w:start w:val="1"/>
      <w:numFmt w:val="decimal"/>
      <w:pStyle w:val="Table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F65B7D"/>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0441909"/>
    <w:multiLevelType w:val="hybridMultilevel"/>
    <w:tmpl w:val="7EC86004"/>
    <w:lvl w:ilvl="0" w:tplc="B4326830">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38B4720"/>
    <w:multiLevelType w:val="hybridMultilevel"/>
    <w:tmpl w:val="9CFCF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3710A8"/>
    <w:multiLevelType w:val="multilevel"/>
    <w:tmpl w:val="8230ED46"/>
    <w:styleLink w:val="CurrentList1"/>
    <w:lvl w:ilvl="0">
      <w:start w:val="1"/>
      <w:numFmt w:val="bullet"/>
      <w:lvlText w:val="•"/>
      <w:lvlJc w:val="left"/>
      <w:pPr>
        <w:tabs>
          <w:tab w:val="num" w:pos="360"/>
        </w:tabs>
        <w:ind w:left="360" w:hanging="360"/>
      </w:pPr>
      <w:rPr>
        <w:rFonts w:ascii="Verdana" w:hAnsi="Verdana"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1D1555"/>
    <w:multiLevelType w:val="hybridMultilevel"/>
    <w:tmpl w:val="23F25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213EBB"/>
    <w:multiLevelType w:val="hybridMultilevel"/>
    <w:tmpl w:val="6BECA06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725359"/>
    <w:multiLevelType w:val="hybridMultilevel"/>
    <w:tmpl w:val="944A47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12"/>
  </w:num>
  <w:num w:numId="5">
    <w:abstractNumId w:val="11"/>
  </w:num>
  <w:num w:numId="6">
    <w:abstractNumId w:val="37"/>
  </w:num>
  <w:num w:numId="7">
    <w:abstractNumId w:val="16"/>
  </w:num>
  <w:num w:numId="8">
    <w:abstractNumId w:val="13"/>
  </w:num>
  <w:num w:numId="9">
    <w:abstractNumId w:val="28"/>
  </w:num>
  <w:num w:numId="10">
    <w:abstractNumId w:val="33"/>
  </w:num>
  <w:num w:numId="11">
    <w:abstractNumId w:val="30"/>
  </w:num>
  <w:num w:numId="12">
    <w:abstractNumId w:val="24"/>
  </w:num>
  <w:num w:numId="13">
    <w:abstractNumId w:val="39"/>
  </w:num>
  <w:num w:numId="14">
    <w:abstractNumId w:val="41"/>
  </w:num>
  <w:num w:numId="15">
    <w:abstractNumId w:val="15"/>
  </w:num>
  <w:num w:numId="16">
    <w:abstractNumId w:val="34"/>
  </w:num>
  <w:num w:numId="17">
    <w:abstractNumId w:val="26"/>
  </w:num>
  <w:num w:numId="18">
    <w:abstractNumId w:val="18"/>
  </w:num>
  <w:num w:numId="19">
    <w:abstractNumId w:val="31"/>
  </w:num>
  <w:num w:numId="20">
    <w:abstractNumId w:val="40"/>
  </w:num>
  <w:num w:numId="21">
    <w:abstractNumId w:val="40"/>
  </w:num>
  <w:num w:numId="22">
    <w:abstractNumId w:val="40"/>
  </w:num>
  <w:num w:numId="23">
    <w:abstractNumId w:val="40"/>
  </w:num>
  <w:num w:numId="24">
    <w:abstractNumId w:val="40"/>
  </w:num>
  <w:num w:numId="25">
    <w:abstractNumId w:val="40"/>
  </w:num>
  <w:num w:numId="26">
    <w:abstractNumId w:val="40"/>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 w:numId="38">
    <w:abstractNumId w:val="38"/>
  </w:num>
  <w:num w:numId="39">
    <w:abstractNumId w:val="17"/>
  </w:num>
  <w:num w:numId="40">
    <w:abstractNumId w:val="21"/>
  </w:num>
  <w:num w:numId="41">
    <w:abstractNumId w:val="22"/>
  </w:num>
  <w:num w:numId="42">
    <w:abstractNumId w:val="20"/>
  </w:num>
  <w:num w:numId="43">
    <w:abstractNumId w:val="36"/>
  </w:num>
  <w:num w:numId="44">
    <w:abstractNumId w:val="27"/>
  </w:num>
  <w:num w:numId="45">
    <w:abstractNumId w:val="32"/>
  </w:num>
  <w:num w:numId="46">
    <w:abstractNumId w:val="14"/>
  </w:num>
  <w:num w:numId="47">
    <w:abstractNumId w:val="25"/>
  </w:num>
  <w:num w:numId="48">
    <w:abstractNumId w:val="19"/>
  </w:num>
  <w:num w:numId="4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3F"/>
    <w:rsid w:val="00000CF7"/>
    <w:rsid w:val="00001B3A"/>
    <w:rsid w:val="00003530"/>
    <w:rsid w:val="000041B7"/>
    <w:rsid w:val="00004CAF"/>
    <w:rsid w:val="00004F21"/>
    <w:rsid w:val="00013A29"/>
    <w:rsid w:val="000147FF"/>
    <w:rsid w:val="0001612C"/>
    <w:rsid w:val="00016359"/>
    <w:rsid w:val="000165CD"/>
    <w:rsid w:val="00016FFA"/>
    <w:rsid w:val="0002128D"/>
    <w:rsid w:val="00026ABF"/>
    <w:rsid w:val="00026B44"/>
    <w:rsid w:val="00030E00"/>
    <w:rsid w:val="000319B0"/>
    <w:rsid w:val="00031CAE"/>
    <w:rsid w:val="000343D4"/>
    <w:rsid w:val="00037EE2"/>
    <w:rsid w:val="00054943"/>
    <w:rsid w:val="000550A6"/>
    <w:rsid w:val="00062191"/>
    <w:rsid w:val="0006389F"/>
    <w:rsid w:val="000675C4"/>
    <w:rsid w:val="00074E0F"/>
    <w:rsid w:val="00075F5B"/>
    <w:rsid w:val="0007619D"/>
    <w:rsid w:val="00076EA6"/>
    <w:rsid w:val="00077218"/>
    <w:rsid w:val="00080EA9"/>
    <w:rsid w:val="00081D98"/>
    <w:rsid w:val="00083BB5"/>
    <w:rsid w:val="00084974"/>
    <w:rsid w:val="0008671F"/>
    <w:rsid w:val="00087BE9"/>
    <w:rsid w:val="00087C04"/>
    <w:rsid w:val="000911A0"/>
    <w:rsid w:val="000A0173"/>
    <w:rsid w:val="000A0F1F"/>
    <w:rsid w:val="000A1714"/>
    <w:rsid w:val="000A2954"/>
    <w:rsid w:val="000A2CE8"/>
    <w:rsid w:val="000A4712"/>
    <w:rsid w:val="000B092E"/>
    <w:rsid w:val="000B22F0"/>
    <w:rsid w:val="000B4ECF"/>
    <w:rsid w:val="000B5F2A"/>
    <w:rsid w:val="000C10BA"/>
    <w:rsid w:val="000C499A"/>
    <w:rsid w:val="000C4A99"/>
    <w:rsid w:val="000C61B7"/>
    <w:rsid w:val="000E06B2"/>
    <w:rsid w:val="000E4229"/>
    <w:rsid w:val="000E7FE8"/>
    <w:rsid w:val="000F1020"/>
    <w:rsid w:val="000F37DF"/>
    <w:rsid w:val="000F77DF"/>
    <w:rsid w:val="000F7B0F"/>
    <w:rsid w:val="00100909"/>
    <w:rsid w:val="00102294"/>
    <w:rsid w:val="00103665"/>
    <w:rsid w:val="00104E39"/>
    <w:rsid w:val="00106FC7"/>
    <w:rsid w:val="00110C68"/>
    <w:rsid w:val="00114BAC"/>
    <w:rsid w:val="00114DD5"/>
    <w:rsid w:val="00116B73"/>
    <w:rsid w:val="00117CCB"/>
    <w:rsid w:val="00122DA3"/>
    <w:rsid w:val="00127CB5"/>
    <w:rsid w:val="00127E64"/>
    <w:rsid w:val="00135BB0"/>
    <w:rsid w:val="001361B9"/>
    <w:rsid w:val="001434EA"/>
    <w:rsid w:val="00145E6C"/>
    <w:rsid w:val="00147C42"/>
    <w:rsid w:val="001572A1"/>
    <w:rsid w:val="00160D67"/>
    <w:rsid w:val="00160F1D"/>
    <w:rsid w:val="001633E2"/>
    <w:rsid w:val="00164418"/>
    <w:rsid w:val="00166CFC"/>
    <w:rsid w:val="0016715A"/>
    <w:rsid w:val="00170444"/>
    <w:rsid w:val="00170B67"/>
    <w:rsid w:val="001714ED"/>
    <w:rsid w:val="00175F13"/>
    <w:rsid w:val="001817F3"/>
    <w:rsid w:val="001875E4"/>
    <w:rsid w:val="00187E08"/>
    <w:rsid w:val="00190BAF"/>
    <w:rsid w:val="001932C5"/>
    <w:rsid w:val="001972A6"/>
    <w:rsid w:val="001A077D"/>
    <w:rsid w:val="001A1561"/>
    <w:rsid w:val="001A4804"/>
    <w:rsid w:val="001A4EA1"/>
    <w:rsid w:val="001A5AE5"/>
    <w:rsid w:val="001A72F1"/>
    <w:rsid w:val="001B1752"/>
    <w:rsid w:val="001B7A1F"/>
    <w:rsid w:val="001C0570"/>
    <w:rsid w:val="001C145B"/>
    <w:rsid w:val="001C1601"/>
    <w:rsid w:val="001C1852"/>
    <w:rsid w:val="001C2C8A"/>
    <w:rsid w:val="001C646B"/>
    <w:rsid w:val="001D3491"/>
    <w:rsid w:val="001D3ABD"/>
    <w:rsid w:val="001D4B0F"/>
    <w:rsid w:val="001D4D1F"/>
    <w:rsid w:val="001E37F2"/>
    <w:rsid w:val="001E445A"/>
    <w:rsid w:val="001E4B42"/>
    <w:rsid w:val="001E4E32"/>
    <w:rsid w:val="001E4F57"/>
    <w:rsid w:val="001E72AE"/>
    <w:rsid w:val="001F0956"/>
    <w:rsid w:val="001F0BDE"/>
    <w:rsid w:val="001F69AF"/>
    <w:rsid w:val="001F6E21"/>
    <w:rsid w:val="0020319C"/>
    <w:rsid w:val="002039FD"/>
    <w:rsid w:val="00212CC1"/>
    <w:rsid w:val="002146F2"/>
    <w:rsid w:val="00214961"/>
    <w:rsid w:val="00214FF4"/>
    <w:rsid w:val="002167B5"/>
    <w:rsid w:val="00222D15"/>
    <w:rsid w:val="00223521"/>
    <w:rsid w:val="00227A11"/>
    <w:rsid w:val="00242DA1"/>
    <w:rsid w:val="00247565"/>
    <w:rsid w:val="00247FB4"/>
    <w:rsid w:val="0025014A"/>
    <w:rsid w:val="00251352"/>
    <w:rsid w:val="00254B50"/>
    <w:rsid w:val="00255AC5"/>
    <w:rsid w:val="002562CC"/>
    <w:rsid w:val="00256467"/>
    <w:rsid w:val="00260A8F"/>
    <w:rsid w:val="00260ED5"/>
    <w:rsid w:val="00263C54"/>
    <w:rsid w:val="00267E28"/>
    <w:rsid w:val="00271B40"/>
    <w:rsid w:val="002811AB"/>
    <w:rsid w:val="0028229D"/>
    <w:rsid w:val="00284611"/>
    <w:rsid w:val="00284D1B"/>
    <w:rsid w:val="00286B3D"/>
    <w:rsid w:val="00286C63"/>
    <w:rsid w:val="00287FC2"/>
    <w:rsid w:val="00290DE9"/>
    <w:rsid w:val="002923E0"/>
    <w:rsid w:val="00292C18"/>
    <w:rsid w:val="0029345F"/>
    <w:rsid w:val="002949D5"/>
    <w:rsid w:val="002A0DFC"/>
    <w:rsid w:val="002A2216"/>
    <w:rsid w:val="002A2987"/>
    <w:rsid w:val="002A6E61"/>
    <w:rsid w:val="002B0820"/>
    <w:rsid w:val="002B1ED1"/>
    <w:rsid w:val="002B260D"/>
    <w:rsid w:val="002B4212"/>
    <w:rsid w:val="002B4F47"/>
    <w:rsid w:val="002B734D"/>
    <w:rsid w:val="002C166E"/>
    <w:rsid w:val="002C19BF"/>
    <w:rsid w:val="002C3F92"/>
    <w:rsid w:val="002C5387"/>
    <w:rsid w:val="002C5983"/>
    <w:rsid w:val="002C61F5"/>
    <w:rsid w:val="002C7803"/>
    <w:rsid w:val="002D0313"/>
    <w:rsid w:val="002D20FA"/>
    <w:rsid w:val="002D3E50"/>
    <w:rsid w:val="002D4FD0"/>
    <w:rsid w:val="002D7382"/>
    <w:rsid w:val="002E162E"/>
    <w:rsid w:val="002E2BDC"/>
    <w:rsid w:val="002E5758"/>
    <w:rsid w:val="002E6060"/>
    <w:rsid w:val="002F1646"/>
    <w:rsid w:val="002F1A2A"/>
    <w:rsid w:val="00303403"/>
    <w:rsid w:val="00303E81"/>
    <w:rsid w:val="0030414D"/>
    <w:rsid w:val="00307EBE"/>
    <w:rsid w:val="003117E3"/>
    <w:rsid w:val="00312CEE"/>
    <w:rsid w:val="00312F7A"/>
    <w:rsid w:val="003177F7"/>
    <w:rsid w:val="003219A9"/>
    <w:rsid w:val="00324076"/>
    <w:rsid w:val="003249EA"/>
    <w:rsid w:val="0032543F"/>
    <w:rsid w:val="00327758"/>
    <w:rsid w:val="0033188B"/>
    <w:rsid w:val="00332712"/>
    <w:rsid w:val="00335675"/>
    <w:rsid w:val="003374AE"/>
    <w:rsid w:val="003375F1"/>
    <w:rsid w:val="00343105"/>
    <w:rsid w:val="00344469"/>
    <w:rsid w:val="003444B7"/>
    <w:rsid w:val="00345BD8"/>
    <w:rsid w:val="003471B7"/>
    <w:rsid w:val="00350C36"/>
    <w:rsid w:val="00350E5E"/>
    <w:rsid w:val="00351158"/>
    <w:rsid w:val="0035129C"/>
    <w:rsid w:val="003517D7"/>
    <w:rsid w:val="003542B7"/>
    <w:rsid w:val="0035533B"/>
    <w:rsid w:val="00357941"/>
    <w:rsid w:val="00362AA6"/>
    <w:rsid w:val="00364638"/>
    <w:rsid w:val="003652CD"/>
    <w:rsid w:val="0037230D"/>
    <w:rsid w:val="00372748"/>
    <w:rsid w:val="0038649A"/>
    <w:rsid w:val="00387DD7"/>
    <w:rsid w:val="0039361E"/>
    <w:rsid w:val="00393BE1"/>
    <w:rsid w:val="003A04A0"/>
    <w:rsid w:val="003A234A"/>
    <w:rsid w:val="003A6E29"/>
    <w:rsid w:val="003A7021"/>
    <w:rsid w:val="003A754B"/>
    <w:rsid w:val="003A7822"/>
    <w:rsid w:val="003B029D"/>
    <w:rsid w:val="003B1C2E"/>
    <w:rsid w:val="003B1F9D"/>
    <w:rsid w:val="003B4026"/>
    <w:rsid w:val="003B5710"/>
    <w:rsid w:val="003C252C"/>
    <w:rsid w:val="003C5105"/>
    <w:rsid w:val="003C5621"/>
    <w:rsid w:val="003C565C"/>
    <w:rsid w:val="003D0620"/>
    <w:rsid w:val="003D0933"/>
    <w:rsid w:val="003D1ADD"/>
    <w:rsid w:val="003E03C4"/>
    <w:rsid w:val="003E31A2"/>
    <w:rsid w:val="003E36DF"/>
    <w:rsid w:val="003E3A6A"/>
    <w:rsid w:val="003E51F8"/>
    <w:rsid w:val="003E5751"/>
    <w:rsid w:val="003E60CB"/>
    <w:rsid w:val="003E6874"/>
    <w:rsid w:val="003F134B"/>
    <w:rsid w:val="003F4C1D"/>
    <w:rsid w:val="003F5D9D"/>
    <w:rsid w:val="003F6EA4"/>
    <w:rsid w:val="003F6FF6"/>
    <w:rsid w:val="00403B31"/>
    <w:rsid w:val="00404174"/>
    <w:rsid w:val="0040618E"/>
    <w:rsid w:val="00410A16"/>
    <w:rsid w:val="00410D4D"/>
    <w:rsid w:val="00411724"/>
    <w:rsid w:val="004142A4"/>
    <w:rsid w:val="00420327"/>
    <w:rsid w:val="00420CB5"/>
    <w:rsid w:val="00421C01"/>
    <w:rsid w:val="00422EF0"/>
    <w:rsid w:val="0042732C"/>
    <w:rsid w:val="00427A6C"/>
    <w:rsid w:val="00427E91"/>
    <w:rsid w:val="00430BC3"/>
    <w:rsid w:val="0043101D"/>
    <w:rsid w:val="0043604A"/>
    <w:rsid w:val="004409C3"/>
    <w:rsid w:val="0044143B"/>
    <w:rsid w:val="00442D90"/>
    <w:rsid w:val="00443545"/>
    <w:rsid w:val="00444CB0"/>
    <w:rsid w:val="00450AEE"/>
    <w:rsid w:val="00450D7E"/>
    <w:rsid w:val="0045322E"/>
    <w:rsid w:val="00454215"/>
    <w:rsid w:val="00454829"/>
    <w:rsid w:val="00454FAA"/>
    <w:rsid w:val="004558AE"/>
    <w:rsid w:val="0045700E"/>
    <w:rsid w:val="00461E91"/>
    <w:rsid w:val="00463838"/>
    <w:rsid w:val="00465C9D"/>
    <w:rsid w:val="00466CAD"/>
    <w:rsid w:val="00471C77"/>
    <w:rsid w:val="00473B07"/>
    <w:rsid w:val="00474C30"/>
    <w:rsid w:val="00476590"/>
    <w:rsid w:val="004777DB"/>
    <w:rsid w:val="004822BC"/>
    <w:rsid w:val="00482734"/>
    <w:rsid w:val="0048295D"/>
    <w:rsid w:val="004831D3"/>
    <w:rsid w:val="00485560"/>
    <w:rsid w:val="00485739"/>
    <w:rsid w:val="00486382"/>
    <w:rsid w:val="00486F45"/>
    <w:rsid w:val="0048716B"/>
    <w:rsid w:val="00487CD4"/>
    <w:rsid w:val="004900B9"/>
    <w:rsid w:val="00490426"/>
    <w:rsid w:val="00493BDB"/>
    <w:rsid w:val="00493C54"/>
    <w:rsid w:val="004957C3"/>
    <w:rsid w:val="00497D20"/>
    <w:rsid w:val="00497D7C"/>
    <w:rsid w:val="004A0629"/>
    <w:rsid w:val="004A1063"/>
    <w:rsid w:val="004A15DA"/>
    <w:rsid w:val="004A386B"/>
    <w:rsid w:val="004A4072"/>
    <w:rsid w:val="004A5025"/>
    <w:rsid w:val="004A663E"/>
    <w:rsid w:val="004B0749"/>
    <w:rsid w:val="004B2073"/>
    <w:rsid w:val="004B303E"/>
    <w:rsid w:val="004C2A47"/>
    <w:rsid w:val="004C4B57"/>
    <w:rsid w:val="004D033B"/>
    <w:rsid w:val="004D1E66"/>
    <w:rsid w:val="004D3FD6"/>
    <w:rsid w:val="004D4B62"/>
    <w:rsid w:val="004D6865"/>
    <w:rsid w:val="004D79BE"/>
    <w:rsid w:val="004E4E7C"/>
    <w:rsid w:val="004F2AFF"/>
    <w:rsid w:val="004F3674"/>
    <w:rsid w:val="004F6765"/>
    <w:rsid w:val="00502B6D"/>
    <w:rsid w:val="00505FB5"/>
    <w:rsid w:val="005127BD"/>
    <w:rsid w:val="00514AC2"/>
    <w:rsid w:val="00521D11"/>
    <w:rsid w:val="00521DCC"/>
    <w:rsid w:val="005222C6"/>
    <w:rsid w:val="00522B5F"/>
    <w:rsid w:val="00530631"/>
    <w:rsid w:val="005333C9"/>
    <w:rsid w:val="00540EBC"/>
    <w:rsid w:val="005427A5"/>
    <w:rsid w:val="005430FB"/>
    <w:rsid w:val="00543380"/>
    <w:rsid w:val="00543BBE"/>
    <w:rsid w:val="00544D76"/>
    <w:rsid w:val="00545095"/>
    <w:rsid w:val="005466C5"/>
    <w:rsid w:val="005471E3"/>
    <w:rsid w:val="005525FB"/>
    <w:rsid w:val="005529A9"/>
    <w:rsid w:val="005538D0"/>
    <w:rsid w:val="00560396"/>
    <w:rsid w:val="00560EFC"/>
    <w:rsid w:val="005632E5"/>
    <w:rsid w:val="005638F3"/>
    <w:rsid w:val="0056391D"/>
    <w:rsid w:val="005679EF"/>
    <w:rsid w:val="00575F37"/>
    <w:rsid w:val="00577B38"/>
    <w:rsid w:val="0058055F"/>
    <w:rsid w:val="0058079E"/>
    <w:rsid w:val="00583541"/>
    <w:rsid w:val="005850B3"/>
    <w:rsid w:val="00591471"/>
    <w:rsid w:val="005919D5"/>
    <w:rsid w:val="005921CC"/>
    <w:rsid w:val="00594469"/>
    <w:rsid w:val="00595577"/>
    <w:rsid w:val="005A1181"/>
    <w:rsid w:val="005A3244"/>
    <w:rsid w:val="005A72C4"/>
    <w:rsid w:val="005B0755"/>
    <w:rsid w:val="005B5135"/>
    <w:rsid w:val="005B6BDC"/>
    <w:rsid w:val="005B6CF6"/>
    <w:rsid w:val="005C051F"/>
    <w:rsid w:val="005C425B"/>
    <w:rsid w:val="005C48DB"/>
    <w:rsid w:val="005D24D5"/>
    <w:rsid w:val="005D3028"/>
    <w:rsid w:val="005D5D43"/>
    <w:rsid w:val="005D7BF5"/>
    <w:rsid w:val="005E04DB"/>
    <w:rsid w:val="005E38AE"/>
    <w:rsid w:val="005E3ABD"/>
    <w:rsid w:val="005E5582"/>
    <w:rsid w:val="005F0A3F"/>
    <w:rsid w:val="005F1827"/>
    <w:rsid w:val="005F1B7E"/>
    <w:rsid w:val="005F3541"/>
    <w:rsid w:val="005F38AA"/>
    <w:rsid w:val="005F6071"/>
    <w:rsid w:val="005F76A1"/>
    <w:rsid w:val="005F7C1D"/>
    <w:rsid w:val="005F7F23"/>
    <w:rsid w:val="006006B6"/>
    <w:rsid w:val="00600D70"/>
    <w:rsid w:val="00601E60"/>
    <w:rsid w:val="0060360A"/>
    <w:rsid w:val="006055B4"/>
    <w:rsid w:val="006079CF"/>
    <w:rsid w:val="00607B42"/>
    <w:rsid w:val="00610E1C"/>
    <w:rsid w:val="00616407"/>
    <w:rsid w:val="00617244"/>
    <w:rsid w:val="00621A60"/>
    <w:rsid w:val="0062233B"/>
    <w:rsid w:val="006234F5"/>
    <w:rsid w:val="00623D74"/>
    <w:rsid w:val="0062597A"/>
    <w:rsid w:val="00627106"/>
    <w:rsid w:val="006276E8"/>
    <w:rsid w:val="006301C4"/>
    <w:rsid w:val="00630C3A"/>
    <w:rsid w:val="006322D9"/>
    <w:rsid w:val="006400A3"/>
    <w:rsid w:val="00641C75"/>
    <w:rsid w:val="0064354D"/>
    <w:rsid w:val="00645DF0"/>
    <w:rsid w:val="006503BB"/>
    <w:rsid w:val="00655521"/>
    <w:rsid w:val="0065780B"/>
    <w:rsid w:val="006613B1"/>
    <w:rsid w:val="006614E3"/>
    <w:rsid w:val="0066725C"/>
    <w:rsid w:val="00667784"/>
    <w:rsid w:val="00675E13"/>
    <w:rsid w:val="00677B39"/>
    <w:rsid w:val="00681B6D"/>
    <w:rsid w:val="00681FA9"/>
    <w:rsid w:val="006837A1"/>
    <w:rsid w:val="00684427"/>
    <w:rsid w:val="00691225"/>
    <w:rsid w:val="006928ED"/>
    <w:rsid w:val="00692B58"/>
    <w:rsid w:val="00697954"/>
    <w:rsid w:val="006A3A42"/>
    <w:rsid w:val="006A43ED"/>
    <w:rsid w:val="006A4D16"/>
    <w:rsid w:val="006A64CE"/>
    <w:rsid w:val="006A77B0"/>
    <w:rsid w:val="006A7F31"/>
    <w:rsid w:val="006B4086"/>
    <w:rsid w:val="006B52C4"/>
    <w:rsid w:val="006B6F7F"/>
    <w:rsid w:val="006C0FAA"/>
    <w:rsid w:val="006C20AB"/>
    <w:rsid w:val="006C24E0"/>
    <w:rsid w:val="006C287D"/>
    <w:rsid w:val="006C62B2"/>
    <w:rsid w:val="006C73B0"/>
    <w:rsid w:val="006C770F"/>
    <w:rsid w:val="006D0E7F"/>
    <w:rsid w:val="006D1ECB"/>
    <w:rsid w:val="006D259D"/>
    <w:rsid w:val="006D2876"/>
    <w:rsid w:val="006D2B9F"/>
    <w:rsid w:val="006D3827"/>
    <w:rsid w:val="006D5189"/>
    <w:rsid w:val="006D5F19"/>
    <w:rsid w:val="006E4777"/>
    <w:rsid w:val="006F0646"/>
    <w:rsid w:val="006F0FAA"/>
    <w:rsid w:val="006F2984"/>
    <w:rsid w:val="006F3E72"/>
    <w:rsid w:val="006F5743"/>
    <w:rsid w:val="00704BF7"/>
    <w:rsid w:val="00704FE3"/>
    <w:rsid w:val="0070548A"/>
    <w:rsid w:val="00705498"/>
    <w:rsid w:val="00706E1E"/>
    <w:rsid w:val="007141EE"/>
    <w:rsid w:val="00715584"/>
    <w:rsid w:val="00716F3A"/>
    <w:rsid w:val="0071767C"/>
    <w:rsid w:val="00717864"/>
    <w:rsid w:val="007206B9"/>
    <w:rsid w:val="00721310"/>
    <w:rsid w:val="0072166E"/>
    <w:rsid w:val="007216E7"/>
    <w:rsid w:val="00724CA6"/>
    <w:rsid w:val="007337D3"/>
    <w:rsid w:val="00737B5B"/>
    <w:rsid w:val="00741E84"/>
    <w:rsid w:val="0074323B"/>
    <w:rsid w:val="00745A2D"/>
    <w:rsid w:val="007513FA"/>
    <w:rsid w:val="00752261"/>
    <w:rsid w:val="007529EA"/>
    <w:rsid w:val="007532F6"/>
    <w:rsid w:val="00754E5A"/>
    <w:rsid w:val="00755398"/>
    <w:rsid w:val="0075572D"/>
    <w:rsid w:val="00756C8A"/>
    <w:rsid w:val="00757390"/>
    <w:rsid w:val="00757B7D"/>
    <w:rsid w:val="00762EC1"/>
    <w:rsid w:val="0076332E"/>
    <w:rsid w:val="00770969"/>
    <w:rsid w:val="00770B0A"/>
    <w:rsid w:val="007722DA"/>
    <w:rsid w:val="00772D67"/>
    <w:rsid w:val="00773806"/>
    <w:rsid w:val="00773DE4"/>
    <w:rsid w:val="00775453"/>
    <w:rsid w:val="007754ED"/>
    <w:rsid w:val="00775620"/>
    <w:rsid w:val="00775BBB"/>
    <w:rsid w:val="007779E4"/>
    <w:rsid w:val="00777DE5"/>
    <w:rsid w:val="00781253"/>
    <w:rsid w:val="007834D0"/>
    <w:rsid w:val="007835CD"/>
    <w:rsid w:val="007876B9"/>
    <w:rsid w:val="00787F97"/>
    <w:rsid w:val="0079183B"/>
    <w:rsid w:val="00791C71"/>
    <w:rsid w:val="00793655"/>
    <w:rsid w:val="00793721"/>
    <w:rsid w:val="00793EB3"/>
    <w:rsid w:val="00794602"/>
    <w:rsid w:val="0079466C"/>
    <w:rsid w:val="0079467A"/>
    <w:rsid w:val="007959A7"/>
    <w:rsid w:val="0079696F"/>
    <w:rsid w:val="007A3C63"/>
    <w:rsid w:val="007A5107"/>
    <w:rsid w:val="007A555F"/>
    <w:rsid w:val="007A6DBC"/>
    <w:rsid w:val="007B43D8"/>
    <w:rsid w:val="007B4E8B"/>
    <w:rsid w:val="007B6376"/>
    <w:rsid w:val="007B66F4"/>
    <w:rsid w:val="007B726E"/>
    <w:rsid w:val="007C1A0A"/>
    <w:rsid w:val="007C1D1B"/>
    <w:rsid w:val="007C3B62"/>
    <w:rsid w:val="007C5F6D"/>
    <w:rsid w:val="007C6A22"/>
    <w:rsid w:val="007D016D"/>
    <w:rsid w:val="007D1390"/>
    <w:rsid w:val="007D28E0"/>
    <w:rsid w:val="007D523C"/>
    <w:rsid w:val="007D6BBD"/>
    <w:rsid w:val="007D7D35"/>
    <w:rsid w:val="007D7DF4"/>
    <w:rsid w:val="007E0107"/>
    <w:rsid w:val="007E052D"/>
    <w:rsid w:val="007E07E5"/>
    <w:rsid w:val="007E64EE"/>
    <w:rsid w:val="007F3E4A"/>
    <w:rsid w:val="007F6198"/>
    <w:rsid w:val="0080034B"/>
    <w:rsid w:val="00800B29"/>
    <w:rsid w:val="008024B2"/>
    <w:rsid w:val="0080594C"/>
    <w:rsid w:val="00806749"/>
    <w:rsid w:val="00806C11"/>
    <w:rsid w:val="008100C6"/>
    <w:rsid w:val="008109A6"/>
    <w:rsid w:val="0081442B"/>
    <w:rsid w:val="0081616D"/>
    <w:rsid w:val="00816618"/>
    <w:rsid w:val="008226B4"/>
    <w:rsid w:val="00822B8D"/>
    <w:rsid w:val="00824A9E"/>
    <w:rsid w:val="0082571C"/>
    <w:rsid w:val="00831095"/>
    <w:rsid w:val="0084106C"/>
    <w:rsid w:val="00843ABA"/>
    <w:rsid w:val="00847AB8"/>
    <w:rsid w:val="0085232B"/>
    <w:rsid w:val="008529C2"/>
    <w:rsid w:val="00853829"/>
    <w:rsid w:val="00860622"/>
    <w:rsid w:val="00860A4C"/>
    <w:rsid w:val="0086350D"/>
    <w:rsid w:val="008641AE"/>
    <w:rsid w:val="00864858"/>
    <w:rsid w:val="00864EE9"/>
    <w:rsid w:val="0086587B"/>
    <w:rsid w:val="008708D3"/>
    <w:rsid w:val="00871E06"/>
    <w:rsid w:val="0088030E"/>
    <w:rsid w:val="00881A20"/>
    <w:rsid w:val="00881EAF"/>
    <w:rsid w:val="00887C56"/>
    <w:rsid w:val="00891804"/>
    <w:rsid w:val="0089252B"/>
    <w:rsid w:val="008976B8"/>
    <w:rsid w:val="0089798F"/>
    <w:rsid w:val="008A07D8"/>
    <w:rsid w:val="008A13B1"/>
    <w:rsid w:val="008A2689"/>
    <w:rsid w:val="008A611F"/>
    <w:rsid w:val="008A644E"/>
    <w:rsid w:val="008A6FEA"/>
    <w:rsid w:val="008A7D90"/>
    <w:rsid w:val="008B4462"/>
    <w:rsid w:val="008B4E39"/>
    <w:rsid w:val="008B7077"/>
    <w:rsid w:val="008B7CD6"/>
    <w:rsid w:val="008C41B5"/>
    <w:rsid w:val="008C6CDE"/>
    <w:rsid w:val="008C708E"/>
    <w:rsid w:val="008D09FB"/>
    <w:rsid w:val="008D32BA"/>
    <w:rsid w:val="008D3957"/>
    <w:rsid w:val="008D5825"/>
    <w:rsid w:val="008D79FD"/>
    <w:rsid w:val="008E012B"/>
    <w:rsid w:val="008E1434"/>
    <w:rsid w:val="008E4589"/>
    <w:rsid w:val="008F0882"/>
    <w:rsid w:val="008F27CD"/>
    <w:rsid w:val="008F3AA8"/>
    <w:rsid w:val="008F3AC3"/>
    <w:rsid w:val="008F5A6F"/>
    <w:rsid w:val="008F6A1A"/>
    <w:rsid w:val="008F6E4C"/>
    <w:rsid w:val="00900523"/>
    <w:rsid w:val="00901F30"/>
    <w:rsid w:val="0090449C"/>
    <w:rsid w:val="00911DBD"/>
    <w:rsid w:val="00912DB5"/>
    <w:rsid w:val="009207A5"/>
    <w:rsid w:val="00920A6B"/>
    <w:rsid w:val="00921EF3"/>
    <w:rsid w:val="009246C2"/>
    <w:rsid w:val="00925D89"/>
    <w:rsid w:val="00926E79"/>
    <w:rsid w:val="009270D1"/>
    <w:rsid w:val="00932612"/>
    <w:rsid w:val="00932C6D"/>
    <w:rsid w:val="00936F27"/>
    <w:rsid w:val="00945490"/>
    <w:rsid w:val="00945E2E"/>
    <w:rsid w:val="00945E3D"/>
    <w:rsid w:val="0094778D"/>
    <w:rsid w:val="009501D8"/>
    <w:rsid w:val="00950DD1"/>
    <w:rsid w:val="0095225C"/>
    <w:rsid w:val="009540B9"/>
    <w:rsid w:val="00954E8E"/>
    <w:rsid w:val="00955597"/>
    <w:rsid w:val="009575C9"/>
    <w:rsid w:val="0096081E"/>
    <w:rsid w:val="00961243"/>
    <w:rsid w:val="009620C3"/>
    <w:rsid w:val="00965F41"/>
    <w:rsid w:val="00966A8B"/>
    <w:rsid w:val="009712CA"/>
    <w:rsid w:val="009728D7"/>
    <w:rsid w:val="00974957"/>
    <w:rsid w:val="00975E30"/>
    <w:rsid w:val="009763E4"/>
    <w:rsid w:val="00976D59"/>
    <w:rsid w:val="00982D51"/>
    <w:rsid w:val="00984E60"/>
    <w:rsid w:val="00986F42"/>
    <w:rsid w:val="00986FE6"/>
    <w:rsid w:val="00987AB9"/>
    <w:rsid w:val="00992537"/>
    <w:rsid w:val="00995ECF"/>
    <w:rsid w:val="0099614B"/>
    <w:rsid w:val="009A1436"/>
    <w:rsid w:val="009A4272"/>
    <w:rsid w:val="009A6E12"/>
    <w:rsid w:val="009B63B5"/>
    <w:rsid w:val="009C1180"/>
    <w:rsid w:val="009C1CD0"/>
    <w:rsid w:val="009C36EE"/>
    <w:rsid w:val="009C4BA6"/>
    <w:rsid w:val="009C7BA5"/>
    <w:rsid w:val="009E1B2D"/>
    <w:rsid w:val="009E3B68"/>
    <w:rsid w:val="009F2C63"/>
    <w:rsid w:val="009F3EA9"/>
    <w:rsid w:val="009F4741"/>
    <w:rsid w:val="00A01316"/>
    <w:rsid w:val="00A05B2F"/>
    <w:rsid w:val="00A06673"/>
    <w:rsid w:val="00A104EF"/>
    <w:rsid w:val="00A10E91"/>
    <w:rsid w:val="00A13967"/>
    <w:rsid w:val="00A15225"/>
    <w:rsid w:val="00A21515"/>
    <w:rsid w:val="00A238CD"/>
    <w:rsid w:val="00A23ED3"/>
    <w:rsid w:val="00A2733F"/>
    <w:rsid w:val="00A27880"/>
    <w:rsid w:val="00A301BD"/>
    <w:rsid w:val="00A41060"/>
    <w:rsid w:val="00A42C59"/>
    <w:rsid w:val="00A45838"/>
    <w:rsid w:val="00A53D90"/>
    <w:rsid w:val="00A564A7"/>
    <w:rsid w:val="00A56B6F"/>
    <w:rsid w:val="00A570B7"/>
    <w:rsid w:val="00A65C7A"/>
    <w:rsid w:val="00A67BDF"/>
    <w:rsid w:val="00A7280E"/>
    <w:rsid w:val="00A741EA"/>
    <w:rsid w:val="00A80625"/>
    <w:rsid w:val="00A81116"/>
    <w:rsid w:val="00A81CB6"/>
    <w:rsid w:val="00A8289E"/>
    <w:rsid w:val="00A83C8B"/>
    <w:rsid w:val="00A83FB6"/>
    <w:rsid w:val="00A84724"/>
    <w:rsid w:val="00A9000F"/>
    <w:rsid w:val="00A90662"/>
    <w:rsid w:val="00A907B8"/>
    <w:rsid w:val="00A90C51"/>
    <w:rsid w:val="00A91622"/>
    <w:rsid w:val="00A9331B"/>
    <w:rsid w:val="00A93613"/>
    <w:rsid w:val="00A942EF"/>
    <w:rsid w:val="00A95A56"/>
    <w:rsid w:val="00A970B2"/>
    <w:rsid w:val="00A970EC"/>
    <w:rsid w:val="00AA2DFC"/>
    <w:rsid w:val="00AA3024"/>
    <w:rsid w:val="00AA34F4"/>
    <w:rsid w:val="00AA4A1C"/>
    <w:rsid w:val="00AA75F8"/>
    <w:rsid w:val="00AB4503"/>
    <w:rsid w:val="00AB75E4"/>
    <w:rsid w:val="00AB7706"/>
    <w:rsid w:val="00AB7A7B"/>
    <w:rsid w:val="00AC030B"/>
    <w:rsid w:val="00AC296F"/>
    <w:rsid w:val="00AC4F64"/>
    <w:rsid w:val="00AD0906"/>
    <w:rsid w:val="00AD0CD0"/>
    <w:rsid w:val="00AD0E92"/>
    <w:rsid w:val="00AD4918"/>
    <w:rsid w:val="00AD774A"/>
    <w:rsid w:val="00AE1955"/>
    <w:rsid w:val="00AE2151"/>
    <w:rsid w:val="00AE5E6B"/>
    <w:rsid w:val="00AE7C95"/>
    <w:rsid w:val="00B03B11"/>
    <w:rsid w:val="00B0474D"/>
    <w:rsid w:val="00B050DB"/>
    <w:rsid w:val="00B058D5"/>
    <w:rsid w:val="00B05D28"/>
    <w:rsid w:val="00B105A1"/>
    <w:rsid w:val="00B15613"/>
    <w:rsid w:val="00B1647E"/>
    <w:rsid w:val="00B24B59"/>
    <w:rsid w:val="00B251F9"/>
    <w:rsid w:val="00B300AD"/>
    <w:rsid w:val="00B306D5"/>
    <w:rsid w:val="00B31D4F"/>
    <w:rsid w:val="00B354A0"/>
    <w:rsid w:val="00B35DAD"/>
    <w:rsid w:val="00B36183"/>
    <w:rsid w:val="00B376C1"/>
    <w:rsid w:val="00B41762"/>
    <w:rsid w:val="00B41F47"/>
    <w:rsid w:val="00B45702"/>
    <w:rsid w:val="00B46755"/>
    <w:rsid w:val="00B477C4"/>
    <w:rsid w:val="00B50D30"/>
    <w:rsid w:val="00B517F1"/>
    <w:rsid w:val="00B51A9B"/>
    <w:rsid w:val="00B55F41"/>
    <w:rsid w:val="00B574C3"/>
    <w:rsid w:val="00B62769"/>
    <w:rsid w:val="00B64994"/>
    <w:rsid w:val="00B7037D"/>
    <w:rsid w:val="00B711F4"/>
    <w:rsid w:val="00B743B7"/>
    <w:rsid w:val="00B76936"/>
    <w:rsid w:val="00B811E3"/>
    <w:rsid w:val="00B82F81"/>
    <w:rsid w:val="00B84BEB"/>
    <w:rsid w:val="00B859E2"/>
    <w:rsid w:val="00B907D0"/>
    <w:rsid w:val="00B91ADB"/>
    <w:rsid w:val="00B947A0"/>
    <w:rsid w:val="00B963AD"/>
    <w:rsid w:val="00B9691B"/>
    <w:rsid w:val="00BA1737"/>
    <w:rsid w:val="00BA27F3"/>
    <w:rsid w:val="00BA5E9C"/>
    <w:rsid w:val="00BA7CAC"/>
    <w:rsid w:val="00BB0D75"/>
    <w:rsid w:val="00BB1574"/>
    <w:rsid w:val="00BB2303"/>
    <w:rsid w:val="00BB2AD3"/>
    <w:rsid w:val="00BB44DA"/>
    <w:rsid w:val="00BB4EEB"/>
    <w:rsid w:val="00BB4F1A"/>
    <w:rsid w:val="00BB5800"/>
    <w:rsid w:val="00BB65E9"/>
    <w:rsid w:val="00BB67FA"/>
    <w:rsid w:val="00BC2484"/>
    <w:rsid w:val="00BC2549"/>
    <w:rsid w:val="00BC3CC0"/>
    <w:rsid w:val="00BC46DB"/>
    <w:rsid w:val="00BC48DF"/>
    <w:rsid w:val="00BC4E49"/>
    <w:rsid w:val="00BC709E"/>
    <w:rsid w:val="00BD2B2C"/>
    <w:rsid w:val="00BD3354"/>
    <w:rsid w:val="00BD346C"/>
    <w:rsid w:val="00BD52D3"/>
    <w:rsid w:val="00BD62E4"/>
    <w:rsid w:val="00BE1A54"/>
    <w:rsid w:val="00BE38BF"/>
    <w:rsid w:val="00BE8049"/>
    <w:rsid w:val="00BF00A3"/>
    <w:rsid w:val="00BF04E3"/>
    <w:rsid w:val="00BF1363"/>
    <w:rsid w:val="00BF3A7A"/>
    <w:rsid w:val="00BF6072"/>
    <w:rsid w:val="00C00889"/>
    <w:rsid w:val="00C02375"/>
    <w:rsid w:val="00C03FD6"/>
    <w:rsid w:val="00C049B6"/>
    <w:rsid w:val="00C06DAD"/>
    <w:rsid w:val="00C07FD0"/>
    <w:rsid w:val="00C136CF"/>
    <w:rsid w:val="00C179E2"/>
    <w:rsid w:val="00C17C7A"/>
    <w:rsid w:val="00C21397"/>
    <w:rsid w:val="00C21A24"/>
    <w:rsid w:val="00C24099"/>
    <w:rsid w:val="00C30203"/>
    <w:rsid w:val="00C34BBC"/>
    <w:rsid w:val="00C4282D"/>
    <w:rsid w:val="00C45576"/>
    <w:rsid w:val="00C45C28"/>
    <w:rsid w:val="00C4719F"/>
    <w:rsid w:val="00C512CA"/>
    <w:rsid w:val="00C513E5"/>
    <w:rsid w:val="00C539C0"/>
    <w:rsid w:val="00C566D4"/>
    <w:rsid w:val="00C61818"/>
    <w:rsid w:val="00C61DB5"/>
    <w:rsid w:val="00C6368E"/>
    <w:rsid w:val="00C64787"/>
    <w:rsid w:val="00C75DE5"/>
    <w:rsid w:val="00C777A7"/>
    <w:rsid w:val="00C77C07"/>
    <w:rsid w:val="00C831DF"/>
    <w:rsid w:val="00C84FD6"/>
    <w:rsid w:val="00C85276"/>
    <w:rsid w:val="00C86CDB"/>
    <w:rsid w:val="00C87A62"/>
    <w:rsid w:val="00C90032"/>
    <w:rsid w:val="00C92341"/>
    <w:rsid w:val="00C93540"/>
    <w:rsid w:val="00C936E4"/>
    <w:rsid w:val="00C94270"/>
    <w:rsid w:val="00C948AE"/>
    <w:rsid w:val="00C9562E"/>
    <w:rsid w:val="00CA15C8"/>
    <w:rsid w:val="00CA2955"/>
    <w:rsid w:val="00CA3A72"/>
    <w:rsid w:val="00CA3F45"/>
    <w:rsid w:val="00CA498F"/>
    <w:rsid w:val="00CB0A08"/>
    <w:rsid w:val="00CB14FD"/>
    <w:rsid w:val="00CB2308"/>
    <w:rsid w:val="00CB34D1"/>
    <w:rsid w:val="00CB38E4"/>
    <w:rsid w:val="00CB5A49"/>
    <w:rsid w:val="00CB5CB9"/>
    <w:rsid w:val="00CB7781"/>
    <w:rsid w:val="00CC2F5E"/>
    <w:rsid w:val="00CC43DF"/>
    <w:rsid w:val="00CC462F"/>
    <w:rsid w:val="00CC6629"/>
    <w:rsid w:val="00CC70C5"/>
    <w:rsid w:val="00CD1605"/>
    <w:rsid w:val="00CD2995"/>
    <w:rsid w:val="00CD4E02"/>
    <w:rsid w:val="00CD6C90"/>
    <w:rsid w:val="00CD6CD1"/>
    <w:rsid w:val="00CE0E09"/>
    <w:rsid w:val="00CF088E"/>
    <w:rsid w:val="00CF0D71"/>
    <w:rsid w:val="00CF1186"/>
    <w:rsid w:val="00CF1AE7"/>
    <w:rsid w:val="00CF2503"/>
    <w:rsid w:val="00CF3859"/>
    <w:rsid w:val="00CF4C32"/>
    <w:rsid w:val="00CF683B"/>
    <w:rsid w:val="00CF6C64"/>
    <w:rsid w:val="00D02029"/>
    <w:rsid w:val="00D04B2A"/>
    <w:rsid w:val="00D058A6"/>
    <w:rsid w:val="00D132C4"/>
    <w:rsid w:val="00D17D7B"/>
    <w:rsid w:val="00D20FD9"/>
    <w:rsid w:val="00D21281"/>
    <w:rsid w:val="00D2212D"/>
    <w:rsid w:val="00D25447"/>
    <w:rsid w:val="00D25D26"/>
    <w:rsid w:val="00D27236"/>
    <w:rsid w:val="00D27BAB"/>
    <w:rsid w:val="00D30014"/>
    <w:rsid w:val="00D30A67"/>
    <w:rsid w:val="00D320CD"/>
    <w:rsid w:val="00D32569"/>
    <w:rsid w:val="00D336A2"/>
    <w:rsid w:val="00D33B8A"/>
    <w:rsid w:val="00D362DF"/>
    <w:rsid w:val="00D373BA"/>
    <w:rsid w:val="00D4208A"/>
    <w:rsid w:val="00D47E4D"/>
    <w:rsid w:val="00D510BC"/>
    <w:rsid w:val="00D515FF"/>
    <w:rsid w:val="00D5214F"/>
    <w:rsid w:val="00D52213"/>
    <w:rsid w:val="00D53D9A"/>
    <w:rsid w:val="00D639F8"/>
    <w:rsid w:val="00D6712D"/>
    <w:rsid w:val="00D71DC1"/>
    <w:rsid w:val="00D73EB7"/>
    <w:rsid w:val="00D77C88"/>
    <w:rsid w:val="00D82828"/>
    <w:rsid w:val="00D8358A"/>
    <w:rsid w:val="00D849E2"/>
    <w:rsid w:val="00D85147"/>
    <w:rsid w:val="00D91D9F"/>
    <w:rsid w:val="00D92CCA"/>
    <w:rsid w:val="00D96B78"/>
    <w:rsid w:val="00D96F7C"/>
    <w:rsid w:val="00D97E42"/>
    <w:rsid w:val="00DA0E0B"/>
    <w:rsid w:val="00DA0F77"/>
    <w:rsid w:val="00DA134B"/>
    <w:rsid w:val="00DA386F"/>
    <w:rsid w:val="00DA5CAA"/>
    <w:rsid w:val="00DA6E2D"/>
    <w:rsid w:val="00DB3A00"/>
    <w:rsid w:val="00DB3F53"/>
    <w:rsid w:val="00DC028E"/>
    <w:rsid w:val="00DC122C"/>
    <w:rsid w:val="00DC12F7"/>
    <w:rsid w:val="00DC165C"/>
    <w:rsid w:val="00DC2140"/>
    <w:rsid w:val="00DC2273"/>
    <w:rsid w:val="00DC22A0"/>
    <w:rsid w:val="00DC2DE9"/>
    <w:rsid w:val="00DC3B44"/>
    <w:rsid w:val="00DC3D25"/>
    <w:rsid w:val="00DC5B16"/>
    <w:rsid w:val="00DD22DA"/>
    <w:rsid w:val="00DE3FBF"/>
    <w:rsid w:val="00DE4CBF"/>
    <w:rsid w:val="00DE637F"/>
    <w:rsid w:val="00DE764E"/>
    <w:rsid w:val="00DF0FB6"/>
    <w:rsid w:val="00DF374C"/>
    <w:rsid w:val="00DF43FC"/>
    <w:rsid w:val="00DF56DD"/>
    <w:rsid w:val="00DF7007"/>
    <w:rsid w:val="00DF7279"/>
    <w:rsid w:val="00E016BA"/>
    <w:rsid w:val="00E02652"/>
    <w:rsid w:val="00E04CE9"/>
    <w:rsid w:val="00E06568"/>
    <w:rsid w:val="00E159DA"/>
    <w:rsid w:val="00E23203"/>
    <w:rsid w:val="00E23E60"/>
    <w:rsid w:val="00E31DDC"/>
    <w:rsid w:val="00E327A9"/>
    <w:rsid w:val="00E3406E"/>
    <w:rsid w:val="00E344BF"/>
    <w:rsid w:val="00E35DF1"/>
    <w:rsid w:val="00E43443"/>
    <w:rsid w:val="00E437BF"/>
    <w:rsid w:val="00E44AC9"/>
    <w:rsid w:val="00E44E76"/>
    <w:rsid w:val="00E45426"/>
    <w:rsid w:val="00E46811"/>
    <w:rsid w:val="00E50CBE"/>
    <w:rsid w:val="00E543CE"/>
    <w:rsid w:val="00E563C4"/>
    <w:rsid w:val="00E57174"/>
    <w:rsid w:val="00E57BDB"/>
    <w:rsid w:val="00E601E8"/>
    <w:rsid w:val="00E60ACC"/>
    <w:rsid w:val="00E61CC5"/>
    <w:rsid w:val="00E621B2"/>
    <w:rsid w:val="00E641C7"/>
    <w:rsid w:val="00E6490C"/>
    <w:rsid w:val="00E70F50"/>
    <w:rsid w:val="00E713F1"/>
    <w:rsid w:val="00E73298"/>
    <w:rsid w:val="00E74EA7"/>
    <w:rsid w:val="00E75752"/>
    <w:rsid w:val="00E76213"/>
    <w:rsid w:val="00E838BB"/>
    <w:rsid w:val="00E83ABE"/>
    <w:rsid w:val="00E83FD7"/>
    <w:rsid w:val="00E87F38"/>
    <w:rsid w:val="00E914CA"/>
    <w:rsid w:val="00E922F5"/>
    <w:rsid w:val="00E9559E"/>
    <w:rsid w:val="00E955C7"/>
    <w:rsid w:val="00EA0ACD"/>
    <w:rsid w:val="00EA2A27"/>
    <w:rsid w:val="00EA4EDD"/>
    <w:rsid w:val="00EA740D"/>
    <w:rsid w:val="00EA7B80"/>
    <w:rsid w:val="00EB0219"/>
    <w:rsid w:val="00EB1FCB"/>
    <w:rsid w:val="00EB2F71"/>
    <w:rsid w:val="00EB304E"/>
    <w:rsid w:val="00EB3352"/>
    <w:rsid w:val="00EB3934"/>
    <w:rsid w:val="00EB4036"/>
    <w:rsid w:val="00EB5F73"/>
    <w:rsid w:val="00EC126E"/>
    <w:rsid w:val="00EC30DF"/>
    <w:rsid w:val="00EC3D7E"/>
    <w:rsid w:val="00EC40B8"/>
    <w:rsid w:val="00EC5698"/>
    <w:rsid w:val="00EC5BA8"/>
    <w:rsid w:val="00ED04C9"/>
    <w:rsid w:val="00ED15B4"/>
    <w:rsid w:val="00ED17EE"/>
    <w:rsid w:val="00ED4F19"/>
    <w:rsid w:val="00ED5A01"/>
    <w:rsid w:val="00EE0196"/>
    <w:rsid w:val="00EE2E8A"/>
    <w:rsid w:val="00EE406C"/>
    <w:rsid w:val="00EE53C2"/>
    <w:rsid w:val="00EE6983"/>
    <w:rsid w:val="00EE7B06"/>
    <w:rsid w:val="00EF2789"/>
    <w:rsid w:val="00EF5111"/>
    <w:rsid w:val="00EF528E"/>
    <w:rsid w:val="00EF7BD5"/>
    <w:rsid w:val="00F000BC"/>
    <w:rsid w:val="00F034D5"/>
    <w:rsid w:val="00F045F5"/>
    <w:rsid w:val="00F11990"/>
    <w:rsid w:val="00F14939"/>
    <w:rsid w:val="00F22CAE"/>
    <w:rsid w:val="00F23314"/>
    <w:rsid w:val="00F27B55"/>
    <w:rsid w:val="00F31C2D"/>
    <w:rsid w:val="00F33214"/>
    <w:rsid w:val="00F35222"/>
    <w:rsid w:val="00F42E44"/>
    <w:rsid w:val="00F4335D"/>
    <w:rsid w:val="00F43BF0"/>
    <w:rsid w:val="00F45DA1"/>
    <w:rsid w:val="00F50B73"/>
    <w:rsid w:val="00F53B58"/>
    <w:rsid w:val="00F54BDF"/>
    <w:rsid w:val="00F56DA1"/>
    <w:rsid w:val="00F610DF"/>
    <w:rsid w:val="00F62802"/>
    <w:rsid w:val="00F62886"/>
    <w:rsid w:val="00F64420"/>
    <w:rsid w:val="00F75DCD"/>
    <w:rsid w:val="00F76A14"/>
    <w:rsid w:val="00F76AED"/>
    <w:rsid w:val="00F84C32"/>
    <w:rsid w:val="00F85FD8"/>
    <w:rsid w:val="00F87766"/>
    <w:rsid w:val="00F92FFC"/>
    <w:rsid w:val="00F94DD5"/>
    <w:rsid w:val="00F9550C"/>
    <w:rsid w:val="00F96B53"/>
    <w:rsid w:val="00F973CF"/>
    <w:rsid w:val="00FA3826"/>
    <w:rsid w:val="00FA5DE1"/>
    <w:rsid w:val="00FA5FB1"/>
    <w:rsid w:val="00FA679F"/>
    <w:rsid w:val="00FB2918"/>
    <w:rsid w:val="00FB6D90"/>
    <w:rsid w:val="00FB6F9E"/>
    <w:rsid w:val="00FB798A"/>
    <w:rsid w:val="00FC1B29"/>
    <w:rsid w:val="00FC5522"/>
    <w:rsid w:val="00FD2FAD"/>
    <w:rsid w:val="00FD77E0"/>
    <w:rsid w:val="00FD7DFD"/>
    <w:rsid w:val="00FE11E7"/>
    <w:rsid w:val="00FE1B79"/>
    <w:rsid w:val="00FE2F6D"/>
    <w:rsid w:val="00FE2FD0"/>
    <w:rsid w:val="00FE7152"/>
    <w:rsid w:val="00FF5137"/>
    <w:rsid w:val="0103AA39"/>
    <w:rsid w:val="014FD386"/>
    <w:rsid w:val="018E8806"/>
    <w:rsid w:val="02344A14"/>
    <w:rsid w:val="0295073E"/>
    <w:rsid w:val="040BCF32"/>
    <w:rsid w:val="040D6B9F"/>
    <w:rsid w:val="046DB696"/>
    <w:rsid w:val="0483C28A"/>
    <w:rsid w:val="04F7C732"/>
    <w:rsid w:val="054E0036"/>
    <w:rsid w:val="05570712"/>
    <w:rsid w:val="059BFE01"/>
    <w:rsid w:val="05CC8ECC"/>
    <w:rsid w:val="05E7A895"/>
    <w:rsid w:val="06112688"/>
    <w:rsid w:val="062BC6D5"/>
    <w:rsid w:val="0641D510"/>
    <w:rsid w:val="066CCFAB"/>
    <w:rsid w:val="06BF1C56"/>
    <w:rsid w:val="0718E489"/>
    <w:rsid w:val="076A8C90"/>
    <w:rsid w:val="07A34B4C"/>
    <w:rsid w:val="07AB98EA"/>
    <w:rsid w:val="08047CBF"/>
    <w:rsid w:val="08196D0B"/>
    <w:rsid w:val="089D2EE4"/>
    <w:rsid w:val="08F861A7"/>
    <w:rsid w:val="094EF41A"/>
    <w:rsid w:val="09B12EB1"/>
    <w:rsid w:val="09D724E6"/>
    <w:rsid w:val="0A54DDFB"/>
    <w:rsid w:val="0A950B37"/>
    <w:rsid w:val="0AB89EC9"/>
    <w:rsid w:val="0B64B129"/>
    <w:rsid w:val="0B730C28"/>
    <w:rsid w:val="0BA72E56"/>
    <w:rsid w:val="0BC84F24"/>
    <w:rsid w:val="0C245972"/>
    <w:rsid w:val="0C59BD7E"/>
    <w:rsid w:val="0CDC78BA"/>
    <w:rsid w:val="0CE183FC"/>
    <w:rsid w:val="0CF377A6"/>
    <w:rsid w:val="0D1521D0"/>
    <w:rsid w:val="0D3BC602"/>
    <w:rsid w:val="0DCD9D93"/>
    <w:rsid w:val="0E2A20F1"/>
    <w:rsid w:val="0E3553E2"/>
    <w:rsid w:val="0E471244"/>
    <w:rsid w:val="0EA351EA"/>
    <w:rsid w:val="0ECE1DEE"/>
    <w:rsid w:val="0F1BFD87"/>
    <w:rsid w:val="0F5A0F6B"/>
    <w:rsid w:val="0F80EA9D"/>
    <w:rsid w:val="1031D6D0"/>
    <w:rsid w:val="1069184A"/>
    <w:rsid w:val="10766D88"/>
    <w:rsid w:val="10A866D3"/>
    <w:rsid w:val="11D71A3D"/>
    <w:rsid w:val="1258B961"/>
    <w:rsid w:val="12E8AF7B"/>
    <w:rsid w:val="130BCC00"/>
    <w:rsid w:val="131279F1"/>
    <w:rsid w:val="134B7F54"/>
    <w:rsid w:val="13B77A2B"/>
    <w:rsid w:val="13E99278"/>
    <w:rsid w:val="141A8C83"/>
    <w:rsid w:val="145786EC"/>
    <w:rsid w:val="14691A12"/>
    <w:rsid w:val="1484A02E"/>
    <w:rsid w:val="14D7EBDC"/>
    <w:rsid w:val="16491DF9"/>
    <w:rsid w:val="16C93F5A"/>
    <w:rsid w:val="16E18D61"/>
    <w:rsid w:val="17369816"/>
    <w:rsid w:val="173E7DBD"/>
    <w:rsid w:val="17512780"/>
    <w:rsid w:val="17578F79"/>
    <w:rsid w:val="17E4F794"/>
    <w:rsid w:val="1867B78E"/>
    <w:rsid w:val="19344848"/>
    <w:rsid w:val="1957B803"/>
    <w:rsid w:val="1AFF9B5A"/>
    <w:rsid w:val="1B2E2C73"/>
    <w:rsid w:val="1B4B5FC7"/>
    <w:rsid w:val="1BB89573"/>
    <w:rsid w:val="1C307934"/>
    <w:rsid w:val="1C71F7D8"/>
    <w:rsid w:val="1CA3DD64"/>
    <w:rsid w:val="1CFEBAC1"/>
    <w:rsid w:val="1D2EC362"/>
    <w:rsid w:val="1D42A230"/>
    <w:rsid w:val="1D545ABA"/>
    <w:rsid w:val="1DE72EC1"/>
    <w:rsid w:val="1E5C5701"/>
    <w:rsid w:val="1EC164FE"/>
    <w:rsid w:val="1F294408"/>
    <w:rsid w:val="1F8EF62C"/>
    <w:rsid w:val="2082E0FF"/>
    <w:rsid w:val="20BB6D93"/>
    <w:rsid w:val="20D2CC74"/>
    <w:rsid w:val="20DB7876"/>
    <w:rsid w:val="211616D2"/>
    <w:rsid w:val="218DC630"/>
    <w:rsid w:val="223B3D56"/>
    <w:rsid w:val="2248AE26"/>
    <w:rsid w:val="225FBED0"/>
    <w:rsid w:val="22687FE4"/>
    <w:rsid w:val="227DCB20"/>
    <w:rsid w:val="228DCB01"/>
    <w:rsid w:val="22973631"/>
    <w:rsid w:val="2318B2D3"/>
    <w:rsid w:val="2322690A"/>
    <w:rsid w:val="2357E377"/>
    <w:rsid w:val="23DB6B24"/>
    <w:rsid w:val="24550B91"/>
    <w:rsid w:val="2455AB20"/>
    <w:rsid w:val="2468060C"/>
    <w:rsid w:val="24D882BE"/>
    <w:rsid w:val="24E09E0D"/>
    <w:rsid w:val="257FB839"/>
    <w:rsid w:val="2615C087"/>
    <w:rsid w:val="2634C387"/>
    <w:rsid w:val="269715FC"/>
    <w:rsid w:val="26EC2D38"/>
    <w:rsid w:val="26FE318F"/>
    <w:rsid w:val="272E8398"/>
    <w:rsid w:val="274CF161"/>
    <w:rsid w:val="27747C98"/>
    <w:rsid w:val="27B6B631"/>
    <w:rsid w:val="288B47C5"/>
    <w:rsid w:val="28C72CE2"/>
    <w:rsid w:val="28EE1408"/>
    <w:rsid w:val="294ED1BF"/>
    <w:rsid w:val="2A6C3716"/>
    <w:rsid w:val="2A721DCD"/>
    <w:rsid w:val="2B12024A"/>
    <w:rsid w:val="2B1949CB"/>
    <w:rsid w:val="2B6D2C15"/>
    <w:rsid w:val="2BD30378"/>
    <w:rsid w:val="2C0D9B72"/>
    <w:rsid w:val="2C3CB43B"/>
    <w:rsid w:val="2C5F5E86"/>
    <w:rsid w:val="2CB1A7B1"/>
    <w:rsid w:val="2CC2FA15"/>
    <w:rsid w:val="2CCFF6C7"/>
    <w:rsid w:val="2D7D301B"/>
    <w:rsid w:val="2D95860C"/>
    <w:rsid w:val="2ED8D5F9"/>
    <w:rsid w:val="2F0BDDC8"/>
    <w:rsid w:val="2F4D4848"/>
    <w:rsid w:val="2F52B776"/>
    <w:rsid w:val="2FA51E6A"/>
    <w:rsid w:val="2FE0B3D6"/>
    <w:rsid w:val="30534931"/>
    <w:rsid w:val="30956E1F"/>
    <w:rsid w:val="310DB7A5"/>
    <w:rsid w:val="31260298"/>
    <w:rsid w:val="31AF1B57"/>
    <w:rsid w:val="31E7B966"/>
    <w:rsid w:val="32445E55"/>
    <w:rsid w:val="3246949D"/>
    <w:rsid w:val="328DA13B"/>
    <w:rsid w:val="32964E97"/>
    <w:rsid w:val="332C605D"/>
    <w:rsid w:val="336A48E0"/>
    <w:rsid w:val="3392CEC5"/>
    <w:rsid w:val="33DD9735"/>
    <w:rsid w:val="33F3E3BB"/>
    <w:rsid w:val="34490CE8"/>
    <w:rsid w:val="3488907B"/>
    <w:rsid w:val="34CCF216"/>
    <w:rsid w:val="3553FD4A"/>
    <w:rsid w:val="3558C9EE"/>
    <w:rsid w:val="356D535F"/>
    <w:rsid w:val="35CA3316"/>
    <w:rsid w:val="36125890"/>
    <w:rsid w:val="36774535"/>
    <w:rsid w:val="36AD4C09"/>
    <w:rsid w:val="36F4801F"/>
    <w:rsid w:val="3771800F"/>
    <w:rsid w:val="378B5893"/>
    <w:rsid w:val="38347E56"/>
    <w:rsid w:val="3957C37F"/>
    <w:rsid w:val="398D6106"/>
    <w:rsid w:val="39BDA60E"/>
    <w:rsid w:val="3A692177"/>
    <w:rsid w:val="3AFC2B8F"/>
    <w:rsid w:val="3CB43CD4"/>
    <w:rsid w:val="3D1D7F2E"/>
    <w:rsid w:val="3D2D71F8"/>
    <w:rsid w:val="3D38B89F"/>
    <w:rsid w:val="3D717965"/>
    <w:rsid w:val="3D8591B6"/>
    <w:rsid w:val="3DF95555"/>
    <w:rsid w:val="3DFAFE16"/>
    <w:rsid w:val="3DFC2274"/>
    <w:rsid w:val="3E9B1149"/>
    <w:rsid w:val="3F6E8086"/>
    <w:rsid w:val="3F8947B4"/>
    <w:rsid w:val="408196E6"/>
    <w:rsid w:val="40A670C1"/>
    <w:rsid w:val="40A84278"/>
    <w:rsid w:val="40B89ECF"/>
    <w:rsid w:val="41285085"/>
    <w:rsid w:val="41C1D461"/>
    <w:rsid w:val="430D02A2"/>
    <w:rsid w:val="44AAF49A"/>
    <w:rsid w:val="45DEF6CB"/>
    <w:rsid w:val="45FF14FD"/>
    <w:rsid w:val="4609825F"/>
    <w:rsid w:val="469C99CE"/>
    <w:rsid w:val="46E5909F"/>
    <w:rsid w:val="47A91A9A"/>
    <w:rsid w:val="47AEE1F3"/>
    <w:rsid w:val="47BF42B4"/>
    <w:rsid w:val="4825F8B4"/>
    <w:rsid w:val="48335E62"/>
    <w:rsid w:val="484F9B17"/>
    <w:rsid w:val="4854AD6E"/>
    <w:rsid w:val="485C3CFE"/>
    <w:rsid w:val="48A9634A"/>
    <w:rsid w:val="48E609BD"/>
    <w:rsid w:val="48ECFECB"/>
    <w:rsid w:val="49053846"/>
    <w:rsid w:val="497A26F8"/>
    <w:rsid w:val="49BCB8FD"/>
    <w:rsid w:val="4A9CE015"/>
    <w:rsid w:val="4AC48448"/>
    <w:rsid w:val="4ACC268B"/>
    <w:rsid w:val="4AE3EE5A"/>
    <w:rsid w:val="4B3E84E7"/>
    <w:rsid w:val="4B91F583"/>
    <w:rsid w:val="4CEE0539"/>
    <w:rsid w:val="4D0E119F"/>
    <w:rsid w:val="4D1B8456"/>
    <w:rsid w:val="4D211E69"/>
    <w:rsid w:val="4D285538"/>
    <w:rsid w:val="4DBB56E0"/>
    <w:rsid w:val="4DD95B6F"/>
    <w:rsid w:val="4ED9EC11"/>
    <w:rsid w:val="4F087425"/>
    <w:rsid w:val="4F181D85"/>
    <w:rsid w:val="4F2FC5D1"/>
    <w:rsid w:val="4F3B7640"/>
    <w:rsid w:val="4FA42648"/>
    <w:rsid w:val="4FB77862"/>
    <w:rsid w:val="5039BCFA"/>
    <w:rsid w:val="5093CB2A"/>
    <w:rsid w:val="51288FAD"/>
    <w:rsid w:val="515E1C87"/>
    <w:rsid w:val="518AC218"/>
    <w:rsid w:val="523C12CF"/>
    <w:rsid w:val="5261E609"/>
    <w:rsid w:val="527CA617"/>
    <w:rsid w:val="52D7DE45"/>
    <w:rsid w:val="531D6001"/>
    <w:rsid w:val="532F73AD"/>
    <w:rsid w:val="534356B4"/>
    <w:rsid w:val="53831F06"/>
    <w:rsid w:val="53CF5E27"/>
    <w:rsid w:val="53CFBB40"/>
    <w:rsid w:val="5455B49F"/>
    <w:rsid w:val="54F45E85"/>
    <w:rsid w:val="54FFA522"/>
    <w:rsid w:val="551EDA00"/>
    <w:rsid w:val="552F2054"/>
    <w:rsid w:val="553963E0"/>
    <w:rsid w:val="5590C34E"/>
    <w:rsid w:val="560FD27A"/>
    <w:rsid w:val="565A07C5"/>
    <w:rsid w:val="571B42A3"/>
    <w:rsid w:val="57295CF7"/>
    <w:rsid w:val="5775CDA1"/>
    <w:rsid w:val="57867FA6"/>
    <w:rsid w:val="57DEAFC4"/>
    <w:rsid w:val="582D3C5E"/>
    <w:rsid w:val="58584D48"/>
    <w:rsid w:val="58A33814"/>
    <w:rsid w:val="58C175FD"/>
    <w:rsid w:val="59362264"/>
    <w:rsid w:val="59900D0A"/>
    <w:rsid w:val="5A3DEE35"/>
    <w:rsid w:val="5ACD3787"/>
    <w:rsid w:val="5B216D7D"/>
    <w:rsid w:val="5B89C000"/>
    <w:rsid w:val="5BDBFBDA"/>
    <w:rsid w:val="5C0B05F0"/>
    <w:rsid w:val="5C21E8EE"/>
    <w:rsid w:val="5C23BFE8"/>
    <w:rsid w:val="5C563D29"/>
    <w:rsid w:val="5C568314"/>
    <w:rsid w:val="5C7C1753"/>
    <w:rsid w:val="5D497673"/>
    <w:rsid w:val="5D5A2CBC"/>
    <w:rsid w:val="5DA29D86"/>
    <w:rsid w:val="5DACF1D3"/>
    <w:rsid w:val="5DF2DFD3"/>
    <w:rsid w:val="5E1A54F9"/>
    <w:rsid w:val="5E44A470"/>
    <w:rsid w:val="5E595901"/>
    <w:rsid w:val="5E6E2A45"/>
    <w:rsid w:val="5EA5F09C"/>
    <w:rsid w:val="5ED2924A"/>
    <w:rsid w:val="5EDEF6E3"/>
    <w:rsid w:val="5F3A0E59"/>
    <w:rsid w:val="5F6C101A"/>
    <w:rsid w:val="60758F1E"/>
    <w:rsid w:val="60D3E752"/>
    <w:rsid w:val="60D5DEBA"/>
    <w:rsid w:val="6107708C"/>
    <w:rsid w:val="615CD159"/>
    <w:rsid w:val="616CA6CC"/>
    <w:rsid w:val="61D167C3"/>
    <w:rsid w:val="62022BD7"/>
    <w:rsid w:val="63300654"/>
    <w:rsid w:val="633B747C"/>
    <w:rsid w:val="63F886C8"/>
    <w:rsid w:val="63FA7E35"/>
    <w:rsid w:val="64404AD6"/>
    <w:rsid w:val="64674D09"/>
    <w:rsid w:val="64E9DF14"/>
    <w:rsid w:val="65035351"/>
    <w:rsid w:val="6518CEB8"/>
    <w:rsid w:val="65196A71"/>
    <w:rsid w:val="65306007"/>
    <w:rsid w:val="65E13534"/>
    <w:rsid w:val="65E59C54"/>
    <w:rsid w:val="665F18A9"/>
    <w:rsid w:val="66B6FDE7"/>
    <w:rsid w:val="66BDC5F5"/>
    <w:rsid w:val="66D6DBAE"/>
    <w:rsid w:val="6764AC2F"/>
    <w:rsid w:val="67775420"/>
    <w:rsid w:val="67903E17"/>
    <w:rsid w:val="67CABE64"/>
    <w:rsid w:val="68799394"/>
    <w:rsid w:val="68BD2EE0"/>
    <w:rsid w:val="68CD2488"/>
    <w:rsid w:val="690966F6"/>
    <w:rsid w:val="696F6767"/>
    <w:rsid w:val="698A1E05"/>
    <w:rsid w:val="6A02466F"/>
    <w:rsid w:val="6A4982AD"/>
    <w:rsid w:val="6AEB9EAD"/>
    <w:rsid w:val="6BEBA422"/>
    <w:rsid w:val="6CDF4AEC"/>
    <w:rsid w:val="6CE60F45"/>
    <w:rsid w:val="6CFBBF23"/>
    <w:rsid w:val="6DC1BBA7"/>
    <w:rsid w:val="6E51DA49"/>
    <w:rsid w:val="6E5B408B"/>
    <w:rsid w:val="6E975EA6"/>
    <w:rsid w:val="6EDB8787"/>
    <w:rsid w:val="6F0FA6DA"/>
    <w:rsid w:val="6F4824D6"/>
    <w:rsid w:val="6F4D4927"/>
    <w:rsid w:val="706A872D"/>
    <w:rsid w:val="709E352F"/>
    <w:rsid w:val="70A47515"/>
    <w:rsid w:val="70E812D1"/>
    <w:rsid w:val="713DBB54"/>
    <w:rsid w:val="71A0416C"/>
    <w:rsid w:val="71BA2363"/>
    <w:rsid w:val="71E4F7CA"/>
    <w:rsid w:val="72A13974"/>
    <w:rsid w:val="72ACBC9E"/>
    <w:rsid w:val="73DA252C"/>
    <w:rsid w:val="740ABA88"/>
    <w:rsid w:val="74F34044"/>
    <w:rsid w:val="7617AAB0"/>
    <w:rsid w:val="76561468"/>
    <w:rsid w:val="776D91F2"/>
    <w:rsid w:val="789301CB"/>
    <w:rsid w:val="78D6FE70"/>
    <w:rsid w:val="797781F4"/>
    <w:rsid w:val="79E885D8"/>
    <w:rsid w:val="79F553B0"/>
    <w:rsid w:val="7A2D93F0"/>
    <w:rsid w:val="7A3F2A89"/>
    <w:rsid w:val="7A79519D"/>
    <w:rsid w:val="7B0931F6"/>
    <w:rsid w:val="7BAA634F"/>
    <w:rsid w:val="7BC584A1"/>
    <w:rsid w:val="7BC7B785"/>
    <w:rsid w:val="7C441A16"/>
    <w:rsid w:val="7C7ADAB8"/>
    <w:rsid w:val="7CB690BE"/>
    <w:rsid w:val="7D23317C"/>
    <w:rsid w:val="7DF97A30"/>
    <w:rsid w:val="7E6FB9E2"/>
    <w:rsid w:val="7EA88BE6"/>
    <w:rsid w:val="7ED3941D"/>
    <w:rsid w:val="7F7B7BD5"/>
    <w:rsid w:val="7F7D5DD3"/>
    <w:rsid w:val="7FD691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FB4B969"/>
  <w15:docId w15:val="{B73E61E3-5400-4BCB-968E-3F07968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A0ACD"/>
    <w:pPr>
      <w:spacing w:after="240"/>
    </w:pPr>
    <w:rPr>
      <w:rFonts w:ascii="Calibri" w:hAnsi="Calibri"/>
      <w:color w:val="000000"/>
      <w:sz w:val="22"/>
      <w:lang w:eastAsia="en-US"/>
    </w:rPr>
  </w:style>
  <w:style w:type="paragraph" w:styleId="Heading1">
    <w:name w:val="heading 1"/>
    <w:basedOn w:val="Normal"/>
    <w:next w:val="Normal"/>
    <w:qFormat/>
    <w:rsid w:val="003D1ADD"/>
    <w:pPr>
      <w:keepNext/>
      <w:pageBreakBefore/>
      <w:spacing w:after="480"/>
      <w:ind w:left="720" w:hanging="720"/>
      <w:outlineLvl w:val="0"/>
    </w:pPr>
    <w:rPr>
      <w:rFonts w:cs="Arial"/>
      <w:b/>
      <w:bCs/>
      <w:color w:val="E36C0A" w:themeColor="accent6" w:themeShade="BF"/>
      <w:kern w:val="32"/>
      <w:sz w:val="40"/>
      <w:szCs w:val="32"/>
    </w:rPr>
  </w:style>
  <w:style w:type="paragraph" w:styleId="Heading2">
    <w:name w:val="heading 2"/>
    <w:basedOn w:val="Normal"/>
    <w:next w:val="Normal"/>
    <w:qFormat/>
    <w:rsid w:val="00DA386F"/>
    <w:pPr>
      <w:keepNext/>
      <w:spacing w:before="240"/>
      <w:ind w:left="720" w:hanging="720"/>
      <w:outlineLvl w:val="1"/>
    </w:pPr>
    <w:rPr>
      <w:rFonts w:cs="Arial"/>
      <w:b/>
      <w:bCs/>
      <w:iCs/>
      <w:color w:val="F79646" w:themeColor="accent6"/>
      <w:sz w:val="28"/>
      <w:szCs w:val="28"/>
    </w:rPr>
  </w:style>
  <w:style w:type="paragraph" w:styleId="Heading3">
    <w:name w:val="heading 3"/>
    <w:basedOn w:val="Normal"/>
    <w:next w:val="Normal"/>
    <w:qFormat/>
    <w:rsid w:val="003D1ADD"/>
    <w:pPr>
      <w:keepNext/>
      <w:spacing w:before="240"/>
      <w:ind w:left="720" w:hanging="720"/>
      <w:outlineLvl w:val="2"/>
    </w:pPr>
    <w:rPr>
      <w:rFonts w:cs="Arial"/>
      <w:b/>
      <w:bCs/>
      <w:color w:val="E36C0A" w:themeColor="accent6" w:themeShade="BF"/>
      <w:szCs w:val="26"/>
    </w:rPr>
  </w:style>
  <w:style w:type="paragraph" w:styleId="Heading4">
    <w:name w:val="heading 4"/>
    <w:basedOn w:val="Normal"/>
    <w:next w:val="Normal"/>
    <w:rsid w:val="00EA0ACD"/>
    <w:pPr>
      <w:keepNext/>
      <w:spacing w:before="120" w:after="120"/>
      <w:outlineLvl w:val="3"/>
    </w:pPr>
    <w:rPr>
      <w:b/>
      <w:bCs/>
      <w:i/>
      <w:szCs w:val="28"/>
    </w:rPr>
  </w:style>
  <w:style w:type="paragraph" w:styleId="Heading5">
    <w:name w:val="heading 5"/>
    <w:basedOn w:val="Normal"/>
    <w:next w:val="Normal"/>
    <w:rsid w:val="00EA0ACD"/>
    <w:pPr>
      <w:keepNext/>
      <w:spacing w:before="60" w:after="60"/>
      <w:outlineLvl w:val="4"/>
    </w:pPr>
    <w:rPr>
      <w:bCs/>
      <w:i/>
      <w:iCs/>
      <w:szCs w:val="26"/>
    </w:rPr>
  </w:style>
  <w:style w:type="paragraph" w:styleId="Heading6">
    <w:name w:val="heading 6"/>
    <w:basedOn w:val="Normal"/>
    <w:next w:val="Normal"/>
    <w:link w:val="Heading6Char"/>
    <w:uiPriority w:val="9"/>
    <w:semiHidden/>
    <w:unhideWhenUsed/>
    <w:rsid w:val="00CF683B"/>
    <w:pPr>
      <w:keepNext/>
      <w:keepLines/>
      <w:spacing w:before="40" w:after="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871E0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EA0ACD"/>
    <w:pPr>
      <w:numPr>
        <w:ilvl w:val="1"/>
      </w:numPr>
      <w:jc w:val="center"/>
    </w:pPr>
    <w:rPr>
      <w:rFonts w:eastAsiaTheme="majorEastAsia" w:cstheme="majorBidi"/>
      <w:b/>
      <w:iCs/>
      <w:color w:val="auto"/>
      <w:sz w:val="40"/>
      <w:szCs w:val="24"/>
    </w:rPr>
  </w:style>
  <w:style w:type="paragraph" w:customStyle="1" w:styleId="PullQuote">
    <w:name w:val="PullQuote"/>
    <w:basedOn w:val="Normal"/>
    <w:next w:val="Normal"/>
    <w:rsid w:val="00EA0ACD"/>
    <w:rPr>
      <w:b/>
      <w:color w:val="76923C" w:themeColor="accent3" w:themeShade="BF"/>
    </w:rPr>
  </w:style>
  <w:style w:type="paragraph" w:customStyle="1" w:styleId="ReportDate">
    <w:name w:val="ReportDate"/>
    <w:basedOn w:val="Normal"/>
    <w:rsid w:val="00EA0ACD"/>
    <w:pPr>
      <w:jc w:val="center"/>
    </w:pPr>
    <w:rPr>
      <w:sz w:val="40"/>
    </w:rPr>
  </w:style>
  <w:style w:type="paragraph" w:customStyle="1" w:styleId="Heading1a">
    <w:name w:val="Heading 1a"/>
    <w:basedOn w:val="Heading1"/>
    <w:next w:val="Normal"/>
    <w:rsid w:val="00EA0ACD"/>
    <w:pPr>
      <w:outlineLvl w:val="9"/>
    </w:pPr>
  </w:style>
  <w:style w:type="paragraph" w:customStyle="1" w:styleId="Heading2a">
    <w:name w:val="Heading 2a"/>
    <w:basedOn w:val="Heading2"/>
    <w:next w:val="Normal"/>
    <w:rsid w:val="00EA0ACD"/>
    <w:pPr>
      <w:ind w:left="0" w:firstLine="0"/>
      <w:outlineLvl w:val="9"/>
    </w:pPr>
  </w:style>
  <w:style w:type="paragraph" w:customStyle="1" w:styleId="Heading3a">
    <w:name w:val="Heading 3a"/>
    <w:basedOn w:val="Heading3"/>
    <w:next w:val="Normal"/>
    <w:rsid w:val="00EA0ACD"/>
    <w:pPr>
      <w:ind w:left="0" w:firstLine="0"/>
      <w:outlineLvl w:val="9"/>
    </w:pPr>
  </w:style>
  <w:style w:type="paragraph" w:styleId="Header">
    <w:name w:val="header"/>
    <w:basedOn w:val="Normal"/>
    <w:semiHidden/>
    <w:rsid w:val="00EA0ACD"/>
    <w:pPr>
      <w:tabs>
        <w:tab w:val="right" w:pos="9000"/>
      </w:tabs>
      <w:spacing w:after="0"/>
    </w:pPr>
    <w:rPr>
      <w:sz w:val="18"/>
    </w:rPr>
  </w:style>
  <w:style w:type="paragraph" w:styleId="Footer">
    <w:name w:val="footer"/>
    <w:basedOn w:val="Normal"/>
    <w:link w:val="FooterChar"/>
    <w:uiPriority w:val="99"/>
    <w:rsid w:val="00EA0ACD"/>
    <w:pPr>
      <w:tabs>
        <w:tab w:val="right" w:pos="9000"/>
      </w:tabs>
      <w:spacing w:after="0"/>
    </w:pPr>
    <w:rPr>
      <w:sz w:val="20"/>
    </w:rPr>
  </w:style>
  <w:style w:type="character" w:styleId="PageNumber">
    <w:name w:val="page number"/>
    <w:basedOn w:val="DefaultParagraphFont"/>
    <w:semiHidden/>
    <w:rsid w:val="00EA0ACD"/>
    <w:rPr>
      <w:rFonts w:ascii="Times New Roman" w:hAnsi="Times New Roman"/>
      <w:b/>
      <w:sz w:val="20"/>
    </w:rPr>
  </w:style>
  <w:style w:type="paragraph" w:customStyle="1" w:styleId="TableText">
    <w:name w:val="TableText"/>
    <w:basedOn w:val="Normal"/>
    <w:rsid w:val="00EA0ACD"/>
    <w:pPr>
      <w:keepNext/>
      <w:spacing w:before="60" w:after="60"/>
    </w:pPr>
    <w:rPr>
      <w:sz w:val="21"/>
      <w:szCs w:val="21"/>
    </w:rPr>
  </w:style>
  <w:style w:type="paragraph" w:customStyle="1" w:styleId="TFListNotesSpace">
    <w:name w:val="TFListNotes+Space"/>
    <w:basedOn w:val="TableText"/>
    <w:next w:val="Normal"/>
    <w:rsid w:val="00EA0ACD"/>
    <w:pPr>
      <w:keepNext w:val="0"/>
      <w:keepLines/>
      <w:spacing w:before="0" w:after="360"/>
      <w:ind w:left="170" w:hanging="170"/>
    </w:pPr>
    <w:rPr>
      <w:sz w:val="18"/>
      <w:szCs w:val="18"/>
    </w:rPr>
  </w:style>
  <w:style w:type="paragraph" w:customStyle="1" w:styleId="TFListNotes">
    <w:name w:val="TFListNotes"/>
    <w:basedOn w:val="TFListNotesSpace"/>
    <w:rsid w:val="00EA0ACD"/>
    <w:pPr>
      <w:keepNext/>
      <w:spacing w:after="0"/>
    </w:pPr>
  </w:style>
  <w:style w:type="paragraph" w:customStyle="1" w:styleId="TableHeading">
    <w:name w:val="TableHeading"/>
    <w:basedOn w:val="TableText"/>
    <w:rsid w:val="00DA386F"/>
    <w:rPr>
      <w:bCs/>
      <w:color w:val="FFFFFF" w:themeColor="background1"/>
    </w:rPr>
  </w:style>
  <w:style w:type="paragraph" w:customStyle="1" w:styleId="TableBullet">
    <w:name w:val="TableBullet"/>
    <w:basedOn w:val="TableText"/>
    <w:rsid w:val="00EA0ACD"/>
    <w:pPr>
      <w:numPr>
        <w:numId w:val="1"/>
      </w:numPr>
      <w:tabs>
        <w:tab w:val="clear" w:pos="360"/>
        <w:tab w:val="left" w:pos="216"/>
      </w:tabs>
      <w:ind w:left="216" w:hanging="216"/>
    </w:pPr>
  </w:style>
  <w:style w:type="paragraph" w:customStyle="1" w:styleId="TableDash">
    <w:name w:val="TableDash"/>
    <w:basedOn w:val="TableText"/>
    <w:rsid w:val="00EA0ACD"/>
    <w:pPr>
      <w:numPr>
        <w:numId w:val="2"/>
      </w:numPr>
      <w:tabs>
        <w:tab w:val="clear" w:pos="216"/>
        <w:tab w:val="num" w:pos="432"/>
      </w:tabs>
    </w:pPr>
  </w:style>
  <w:style w:type="paragraph" w:styleId="Quote">
    <w:name w:val="Quote"/>
    <w:basedOn w:val="Normal"/>
    <w:rsid w:val="00EA0ACD"/>
    <w:pPr>
      <w:ind w:left="720" w:right="720"/>
    </w:pPr>
    <w:rPr>
      <w:sz w:val="20"/>
    </w:rPr>
  </w:style>
  <w:style w:type="paragraph" w:customStyle="1" w:styleId="References">
    <w:name w:val="References"/>
    <w:basedOn w:val="Normal"/>
    <w:rsid w:val="00EA0ACD"/>
    <w:pPr>
      <w:keepLines/>
      <w:ind w:left="720" w:hanging="720"/>
    </w:pPr>
  </w:style>
  <w:style w:type="character" w:customStyle="1" w:styleId="FooterChar">
    <w:name w:val="Footer Char"/>
    <w:basedOn w:val="DefaultParagraphFont"/>
    <w:link w:val="Footer"/>
    <w:uiPriority w:val="99"/>
    <w:rsid w:val="00EA0ACD"/>
    <w:rPr>
      <w:rFonts w:ascii="Calibri" w:hAnsi="Calibri"/>
      <w:color w:val="000000"/>
      <w:lang w:eastAsia="en-US"/>
    </w:rPr>
  </w:style>
  <w:style w:type="paragraph" w:styleId="FootnoteText">
    <w:name w:val="footnote text"/>
    <w:basedOn w:val="Normal"/>
    <w:semiHidden/>
    <w:rsid w:val="00EA0ACD"/>
    <w:pPr>
      <w:spacing w:after="0"/>
      <w:ind w:left="360" w:hanging="360"/>
    </w:pPr>
    <w:rPr>
      <w:sz w:val="20"/>
    </w:rPr>
  </w:style>
  <w:style w:type="character" w:styleId="FootnoteReference">
    <w:name w:val="footnote reference"/>
    <w:basedOn w:val="DefaultParagraphFont"/>
    <w:semiHidden/>
    <w:rsid w:val="00EA0ACD"/>
    <w:rPr>
      <w:vertAlign w:val="superscript"/>
    </w:rPr>
  </w:style>
  <w:style w:type="paragraph" w:customStyle="1" w:styleId="FigTabPara">
    <w:name w:val="FigTabPara"/>
    <w:basedOn w:val="Normal"/>
    <w:next w:val="TFIHolder"/>
    <w:rsid w:val="00EA0ACD"/>
    <w:pPr>
      <w:keepNext/>
      <w:spacing w:after="120"/>
      <w:ind w:left="1077"/>
    </w:pPr>
  </w:style>
  <w:style w:type="paragraph" w:customStyle="1" w:styleId="TFIHolder">
    <w:name w:val="TFIHolder"/>
    <w:basedOn w:val="TFAbbrevs"/>
    <w:qFormat/>
    <w:rsid w:val="00EA0ACD"/>
    <w:rPr>
      <w:sz w:val="12"/>
    </w:rPr>
  </w:style>
  <w:style w:type="paragraph" w:customStyle="1" w:styleId="TFAbbrevs">
    <w:name w:val="TFAbbrevs"/>
    <w:basedOn w:val="TFListNotes"/>
    <w:rsid w:val="00EA0ACD"/>
  </w:style>
  <w:style w:type="paragraph" w:customStyle="1" w:styleId="FigureNameSpace">
    <w:name w:val="FigureName+Space"/>
    <w:basedOn w:val="Normal"/>
    <w:next w:val="Normal"/>
    <w:rsid w:val="00EA0ACD"/>
    <w:pPr>
      <w:keepLines/>
      <w:tabs>
        <w:tab w:val="left" w:pos="1080"/>
      </w:tabs>
      <w:spacing w:before="120" w:after="360"/>
      <w:ind w:left="1080" w:hanging="1080"/>
    </w:pPr>
    <w:rPr>
      <w:b/>
      <w:bCs/>
    </w:rPr>
  </w:style>
  <w:style w:type="paragraph" w:styleId="TOC1">
    <w:name w:val="toc 1"/>
    <w:basedOn w:val="Normal"/>
    <w:next w:val="Normal"/>
    <w:autoRedefine/>
    <w:uiPriority w:val="39"/>
    <w:rsid w:val="00DA386F"/>
    <w:pPr>
      <w:tabs>
        <w:tab w:val="left" w:pos="720"/>
        <w:tab w:val="right" w:leader="dot" w:pos="9016"/>
      </w:tabs>
      <w:spacing w:before="360" w:after="60"/>
      <w:ind w:left="720" w:right="720" w:hanging="720"/>
    </w:pPr>
    <w:rPr>
      <w:b/>
      <w:bCs/>
      <w:noProof/>
      <w:color w:val="F79646" w:themeColor="accent6"/>
    </w:rPr>
  </w:style>
  <w:style w:type="paragraph" w:styleId="TOC2">
    <w:name w:val="toc 2"/>
    <w:basedOn w:val="Normal"/>
    <w:next w:val="Normal"/>
    <w:autoRedefine/>
    <w:uiPriority w:val="39"/>
    <w:rsid w:val="0045322E"/>
    <w:pPr>
      <w:tabs>
        <w:tab w:val="left" w:pos="720"/>
        <w:tab w:val="right" w:leader="dot" w:pos="9016"/>
      </w:tabs>
      <w:spacing w:after="0"/>
      <w:ind w:left="709" w:right="720" w:firstLine="11"/>
    </w:pPr>
  </w:style>
  <w:style w:type="paragraph" w:styleId="TOC3">
    <w:name w:val="toc 3"/>
    <w:basedOn w:val="Normal"/>
    <w:next w:val="Normal"/>
    <w:autoRedefine/>
    <w:uiPriority w:val="39"/>
    <w:rsid w:val="0045322E"/>
    <w:pPr>
      <w:tabs>
        <w:tab w:val="left" w:pos="2160"/>
        <w:tab w:val="right" w:leader="dot" w:pos="9016"/>
      </w:tabs>
      <w:spacing w:after="0"/>
      <w:ind w:left="1440" w:right="720"/>
    </w:pPr>
  </w:style>
  <w:style w:type="paragraph" w:styleId="TableofFigures">
    <w:name w:val="table of figures"/>
    <w:basedOn w:val="Normal"/>
    <w:next w:val="Normal"/>
    <w:uiPriority w:val="99"/>
    <w:rsid w:val="00EA0ACD"/>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EA0ACD"/>
    <w:pPr>
      <w:numPr>
        <w:numId w:val="3"/>
      </w:numPr>
      <w:spacing w:after="0"/>
    </w:pPr>
  </w:style>
  <w:style w:type="paragraph" w:customStyle="1" w:styleId="Bullet">
    <w:name w:val="Bullet"/>
    <w:basedOn w:val="BulletBeforeDash"/>
    <w:qFormat/>
    <w:rsid w:val="00EA0ACD"/>
    <w:pPr>
      <w:spacing w:after="120"/>
    </w:pPr>
  </w:style>
  <w:style w:type="paragraph" w:customStyle="1" w:styleId="BulletLast">
    <w:name w:val="BulletLast"/>
    <w:basedOn w:val="Bullet"/>
    <w:qFormat/>
    <w:rsid w:val="00EA0ACD"/>
    <w:pPr>
      <w:spacing w:after="240"/>
    </w:pPr>
  </w:style>
  <w:style w:type="paragraph" w:customStyle="1" w:styleId="Dash">
    <w:name w:val="Dash"/>
    <w:basedOn w:val="Normal"/>
    <w:rsid w:val="00EA0ACD"/>
    <w:pPr>
      <w:numPr>
        <w:numId w:val="4"/>
      </w:numPr>
      <w:tabs>
        <w:tab w:val="clear" w:pos="216"/>
        <w:tab w:val="left" w:pos="720"/>
      </w:tabs>
      <w:spacing w:after="0"/>
      <w:ind w:left="714" w:hanging="357"/>
    </w:pPr>
  </w:style>
  <w:style w:type="paragraph" w:customStyle="1" w:styleId="DashLast">
    <w:name w:val="DashLast"/>
    <w:basedOn w:val="Dash"/>
    <w:rsid w:val="00EA0ACD"/>
    <w:pPr>
      <w:spacing w:after="120"/>
    </w:pPr>
  </w:style>
  <w:style w:type="paragraph" w:customStyle="1" w:styleId="DashLastSpace">
    <w:name w:val="DashLast+Space"/>
    <w:basedOn w:val="DashLast"/>
    <w:rsid w:val="00EA0ACD"/>
    <w:pPr>
      <w:spacing w:after="240"/>
    </w:pPr>
  </w:style>
  <w:style w:type="paragraph" w:customStyle="1" w:styleId="NormalBeforeBullet">
    <w:name w:val="NormalBeforeBullet"/>
    <w:basedOn w:val="Normal"/>
    <w:qFormat/>
    <w:rsid w:val="00EA0ACD"/>
    <w:pPr>
      <w:keepNext/>
      <w:spacing w:after="120"/>
    </w:pPr>
  </w:style>
  <w:style w:type="paragraph" w:customStyle="1" w:styleId="BoxText">
    <w:name w:val="BoxText"/>
    <w:basedOn w:val="Normal"/>
    <w:qFormat/>
    <w:rsid w:val="00EA0ACD"/>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EA0ACD"/>
    <w:pPr>
      <w:spacing w:before="120" w:after="60"/>
    </w:pPr>
    <w:rPr>
      <w:sz w:val="18"/>
    </w:rPr>
  </w:style>
  <w:style w:type="paragraph" w:customStyle="1" w:styleId="BoxName">
    <w:name w:val="BoxName"/>
    <w:basedOn w:val="BoxText"/>
    <w:rsid w:val="00D20FD9"/>
    <w:pPr>
      <w:keepNext/>
      <w:spacing w:before="180"/>
      <w:ind w:left="1080" w:hanging="1080"/>
    </w:pPr>
    <w:rPr>
      <w:b/>
      <w:bCs/>
      <w:sz w:val="24"/>
    </w:rPr>
  </w:style>
  <w:style w:type="paragraph" w:customStyle="1" w:styleId="BoxHeading">
    <w:name w:val="BoxHeading"/>
    <w:basedOn w:val="BoxText"/>
    <w:rsid w:val="00EA0ACD"/>
    <w:pPr>
      <w:keepNext/>
      <w:spacing w:before="120" w:after="60"/>
    </w:pPr>
    <w:rPr>
      <w:b/>
      <w:bCs/>
    </w:rPr>
  </w:style>
  <w:style w:type="paragraph" w:customStyle="1" w:styleId="BoxBullet">
    <w:name w:val="BoxBullet"/>
    <w:basedOn w:val="BoxText"/>
    <w:rsid w:val="00EA0ACD"/>
    <w:pPr>
      <w:numPr>
        <w:numId w:val="8"/>
      </w:numPr>
    </w:pPr>
  </w:style>
  <w:style w:type="paragraph" w:customStyle="1" w:styleId="BoxDashManual">
    <w:name w:val="BoxDashManual"/>
    <w:basedOn w:val="BoxText"/>
    <w:rsid w:val="00EA0ACD"/>
    <w:pPr>
      <w:tabs>
        <w:tab w:val="left" w:pos="360"/>
        <w:tab w:val="left" w:pos="720"/>
      </w:tabs>
      <w:ind w:left="720" w:hanging="720"/>
    </w:pPr>
  </w:style>
  <w:style w:type="paragraph" w:customStyle="1" w:styleId="FigureName">
    <w:name w:val="FigureName"/>
    <w:basedOn w:val="FigureNameSpace"/>
    <w:next w:val="Normal"/>
    <w:rsid w:val="00FD2FAD"/>
    <w:pPr>
      <w:keepNext/>
      <w:spacing w:after="120"/>
      <w:ind w:left="1077" w:hanging="1077"/>
    </w:pPr>
  </w:style>
  <w:style w:type="paragraph" w:styleId="Index1">
    <w:name w:val="index 1"/>
    <w:basedOn w:val="Normal"/>
    <w:next w:val="Normal"/>
    <w:rsid w:val="00EA0ACD"/>
    <w:pPr>
      <w:spacing w:after="0"/>
      <w:ind w:left="518" w:hanging="518"/>
    </w:pPr>
    <w:rPr>
      <w:noProof/>
    </w:rPr>
  </w:style>
  <w:style w:type="paragraph" w:styleId="Index2">
    <w:name w:val="index 2"/>
    <w:basedOn w:val="Index1"/>
    <w:next w:val="Normal"/>
    <w:rsid w:val="00EA0ACD"/>
    <w:pPr>
      <w:ind w:left="816" w:hanging="476"/>
    </w:pPr>
  </w:style>
  <w:style w:type="paragraph" w:styleId="TOC4">
    <w:name w:val="toc 4"/>
    <w:basedOn w:val="Normal"/>
    <w:next w:val="Normal"/>
    <w:autoRedefine/>
    <w:semiHidden/>
    <w:rsid w:val="00EA0ACD"/>
    <w:pPr>
      <w:tabs>
        <w:tab w:val="right" w:leader="dot" w:pos="9016"/>
      </w:tabs>
      <w:spacing w:after="0"/>
      <w:ind w:left="2160" w:right="720"/>
    </w:pPr>
    <w:rPr>
      <w:noProof/>
      <w:szCs w:val="24"/>
    </w:rPr>
  </w:style>
  <w:style w:type="paragraph" w:customStyle="1" w:styleId="NumberList">
    <w:name w:val="NumberList"/>
    <w:basedOn w:val="Normal"/>
    <w:rsid w:val="00EA0ACD"/>
    <w:pPr>
      <w:tabs>
        <w:tab w:val="left" w:pos="360"/>
      </w:tabs>
      <w:ind w:left="357" w:hanging="357"/>
    </w:pPr>
  </w:style>
  <w:style w:type="paragraph" w:customStyle="1" w:styleId="TFNoteSourceSpace">
    <w:name w:val="TFNoteSource+Space"/>
    <w:basedOn w:val="TFListNotesSpace"/>
    <w:next w:val="Normal"/>
    <w:rsid w:val="00EA0ACD"/>
  </w:style>
  <w:style w:type="paragraph" w:customStyle="1" w:styleId="TFNoteSource">
    <w:name w:val="TFNoteSource"/>
    <w:basedOn w:val="TFNoteSourceSpace"/>
    <w:rsid w:val="00EA0ACD"/>
    <w:pPr>
      <w:spacing w:after="0"/>
    </w:pPr>
  </w:style>
  <w:style w:type="character" w:customStyle="1" w:styleId="DesignerNotesChar">
    <w:name w:val="DesignerNotesChar"/>
    <w:basedOn w:val="DefaultParagraphFont"/>
    <w:rsid w:val="00EA0ACD"/>
    <w:rPr>
      <w:rFonts w:ascii="Arial" w:hAnsi="Arial"/>
      <w:b/>
      <w:color w:val="3366FF"/>
      <w:sz w:val="20"/>
    </w:rPr>
  </w:style>
  <w:style w:type="paragraph" w:customStyle="1" w:styleId="TFAbbrevsSpace">
    <w:name w:val="TFAbbrevs+Space"/>
    <w:basedOn w:val="TFAbbrevs"/>
    <w:next w:val="Normal"/>
    <w:rsid w:val="00EA0ACD"/>
    <w:pPr>
      <w:spacing w:after="360"/>
    </w:pPr>
  </w:style>
  <w:style w:type="character" w:styleId="Strong">
    <w:name w:val="Strong"/>
    <w:basedOn w:val="DefaultParagraphFont"/>
    <w:uiPriority w:val="22"/>
    <w:qFormat/>
    <w:rsid w:val="00EA0ACD"/>
    <w:rPr>
      <w:b/>
      <w:bCs/>
    </w:rPr>
  </w:style>
  <w:style w:type="character" w:styleId="Emphasis">
    <w:name w:val="Emphasis"/>
    <w:basedOn w:val="DefaultParagraphFont"/>
    <w:uiPriority w:val="20"/>
    <w:qFormat/>
    <w:rsid w:val="00EA0ACD"/>
    <w:rPr>
      <w:i/>
      <w:iCs/>
    </w:rPr>
  </w:style>
  <w:style w:type="character" w:customStyle="1" w:styleId="Roman">
    <w:name w:val="Roman"/>
    <w:uiPriority w:val="1"/>
    <w:rsid w:val="00EA0ACD"/>
    <w:rPr>
      <w:b w:val="0"/>
      <w:i/>
    </w:rPr>
  </w:style>
  <w:style w:type="character" w:customStyle="1" w:styleId="PullQuoteOrigin">
    <w:name w:val="PullQuoteOrigin"/>
    <w:basedOn w:val="DefaultParagraphFont"/>
    <w:uiPriority w:val="1"/>
    <w:rsid w:val="00EA0ACD"/>
    <w:rPr>
      <w:b/>
      <w:noProof/>
      <w:color w:val="76923C" w:themeColor="accent3" w:themeShade="BF"/>
    </w:rPr>
  </w:style>
  <w:style w:type="table" w:styleId="TableGrid">
    <w:name w:val="Table Grid"/>
    <w:basedOn w:val="TableNormal"/>
    <w:uiPriority w:val="59"/>
    <w:rsid w:val="00EA0A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EA0ACD"/>
    <w:pPr>
      <w:spacing w:after="240"/>
    </w:pPr>
  </w:style>
  <w:style w:type="paragraph" w:customStyle="1" w:styleId="DesignerNotes">
    <w:name w:val="DesignerNotes"/>
    <w:basedOn w:val="Normal"/>
    <w:rsid w:val="00EA0ACD"/>
    <w:rPr>
      <w:rFonts w:ascii="Arial" w:hAnsi="Arial"/>
      <w:b/>
      <w:color w:val="3366FF"/>
      <w:sz w:val="20"/>
    </w:rPr>
  </w:style>
  <w:style w:type="character" w:customStyle="1" w:styleId="Subscript">
    <w:name w:val="Subscript"/>
    <w:basedOn w:val="DefaultParagraphFont"/>
    <w:uiPriority w:val="1"/>
    <w:rsid w:val="00EA0ACD"/>
    <w:rPr>
      <w:noProof/>
      <w:vertAlign w:val="subscript"/>
    </w:rPr>
  </w:style>
  <w:style w:type="character" w:customStyle="1" w:styleId="Superscript">
    <w:name w:val="Superscript"/>
    <w:basedOn w:val="DefaultParagraphFont"/>
    <w:uiPriority w:val="1"/>
    <w:rsid w:val="00EA0ACD"/>
    <w:rPr>
      <w:noProof/>
      <w:vertAlign w:val="superscript"/>
    </w:rPr>
  </w:style>
  <w:style w:type="character" w:customStyle="1" w:styleId="Symbol">
    <w:name w:val="Symbol"/>
    <w:basedOn w:val="DefaultParagraphFont"/>
    <w:uiPriority w:val="1"/>
    <w:rsid w:val="00EA0ACD"/>
    <w:rPr>
      <w:noProof/>
    </w:rPr>
  </w:style>
  <w:style w:type="character" w:customStyle="1" w:styleId="NoBreak">
    <w:name w:val="NoBreak"/>
    <w:basedOn w:val="DefaultParagraphFont"/>
    <w:uiPriority w:val="1"/>
    <w:rsid w:val="00EA0ACD"/>
    <w:rPr>
      <w:noProof/>
    </w:rPr>
  </w:style>
  <w:style w:type="paragraph" w:customStyle="1" w:styleId="MathEquation">
    <w:name w:val="MathEquation"/>
    <w:basedOn w:val="Normal"/>
    <w:rsid w:val="00EA0ACD"/>
    <w:rPr>
      <w:rFonts w:ascii="Cambria Math" w:hAnsi="Cambria Math"/>
      <w:i/>
      <w:noProof/>
    </w:rPr>
  </w:style>
  <w:style w:type="paragraph" w:customStyle="1" w:styleId="ComputerCode">
    <w:name w:val="ComputerCode"/>
    <w:basedOn w:val="Normal"/>
    <w:rsid w:val="00EA0ACD"/>
    <w:pPr>
      <w:ind w:left="567"/>
      <w:contextualSpacing/>
    </w:pPr>
    <w:rPr>
      <w:rFonts w:ascii="Courier New" w:hAnsi="Courier New"/>
      <w:color w:val="auto"/>
      <w:sz w:val="20"/>
      <w:szCs w:val="24"/>
    </w:rPr>
  </w:style>
  <w:style w:type="paragraph" w:customStyle="1" w:styleId="BulletChecklist">
    <w:name w:val="BulletChecklist"/>
    <w:basedOn w:val="Bullet"/>
    <w:rsid w:val="00EA0ACD"/>
    <w:pPr>
      <w:numPr>
        <w:numId w:val="6"/>
      </w:numPr>
    </w:pPr>
    <w:rPr>
      <w:noProof/>
    </w:rPr>
  </w:style>
  <w:style w:type="paragraph" w:customStyle="1" w:styleId="ImprintText">
    <w:name w:val="ImprintText"/>
    <w:basedOn w:val="Normal"/>
    <w:rsid w:val="00EA0ACD"/>
    <w:pPr>
      <w:spacing w:after="120"/>
    </w:pPr>
    <w:rPr>
      <w:sz w:val="20"/>
    </w:rPr>
  </w:style>
  <w:style w:type="paragraph" w:customStyle="1" w:styleId="AltText">
    <w:name w:val="AltText"/>
    <w:basedOn w:val="Normal"/>
    <w:rsid w:val="00EA0ACD"/>
    <w:rPr>
      <w:rFonts w:ascii="Arial" w:hAnsi="Arial"/>
      <w:color w:val="E36C0A" w:themeColor="accent6" w:themeShade="BF"/>
      <w:sz w:val="20"/>
    </w:rPr>
  </w:style>
  <w:style w:type="paragraph" w:styleId="Caption">
    <w:name w:val="caption"/>
    <w:basedOn w:val="Normal"/>
    <w:next w:val="Credit"/>
    <w:uiPriority w:val="35"/>
    <w:unhideWhenUsed/>
    <w:rsid w:val="00EA0ACD"/>
    <w:pPr>
      <w:spacing w:after="0"/>
    </w:pPr>
    <w:rPr>
      <w:b/>
      <w:bCs/>
      <w:color w:val="auto"/>
      <w:sz w:val="18"/>
      <w:szCs w:val="18"/>
    </w:rPr>
  </w:style>
  <w:style w:type="paragraph" w:customStyle="1" w:styleId="Credit">
    <w:name w:val="Credit"/>
    <w:basedOn w:val="Caption"/>
    <w:next w:val="Normal"/>
    <w:rsid w:val="00EA0ACD"/>
    <w:pPr>
      <w:spacing w:after="240"/>
    </w:pPr>
    <w:rPr>
      <w:b w:val="0"/>
      <w:noProof/>
    </w:rPr>
  </w:style>
  <w:style w:type="paragraph" w:customStyle="1" w:styleId="NormalFirstPara">
    <w:name w:val="NormalFirstPara"/>
    <w:basedOn w:val="Normal"/>
    <w:rsid w:val="00EA0ACD"/>
    <w:rPr>
      <w:noProof/>
      <w:color w:val="9BBB59" w:themeColor="accent3"/>
    </w:rPr>
  </w:style>
  <w:style w:type="paragraph" w:customStyle="1" w:styleId="TableHeadingCA">
    <w:name w:val="TableHeadingCA"/>
    <w:basedOn w:val="TableHeading"/>
    <w:rsid w:val="00EA0ACD"/>
    <w:pPr>
      <w:jc w:val="center"/>
    </w:pPr>
  </w:style>
  <w:style w:type="paragraph" w:customStyle="1" w:styleId="TableTextCA">
    <w:name w:val="TableTextCA"/>
    <w:basedOn w:val="TableText"/>
    <w:rsid w:val="00EA0ACD"/>
    <w:pPr>
      <w:jc w:val="center"/>
    </w:pPr>
  </w:style>
  <w:style w:type="paragraph" w:customStyle="1" w:styleId="TableTextDecimalAlign">
    <w:name w:val="TableTextDecimalAlign"/>
    <w:basedOn w:val="TableText"/>
    <w:rsid w:val="00EA0ACD"/>
    <w:pPr>
      <w:tabs>
        <w:tab w:val="decimal" w:pos="1119"/>
      </w:tabs>
    </w:pPr>
  </w:style>
  <w:style w:type="paragraph" w:customStyle="1" w:styleId="NormalIndent">
    <w:name w:val="NormalIndent"/>
    <w:basedOn w:val="Normal"/>
    <w:rsid w:val="00EA0ACD"/>
    <w:pPr>
      <w:ind w:left="357"/>
    </w:pPr>
  </w:style>
  <w:style w:type="paragraph" w:styleId="BalloonText">
    <w:name w:val="Balloon Text"/>
    <w:basedOn w:val="Normal"/>
    <w:link w:val="BalloonTextChar"/>
    <w:uiPriority w:val="99"/>
    <w:semiHidden/>
    <w:unhideWhenUsed/>
    <w:rsid w:val="00EA0AC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CD"/>
    <w:rPr>
      <w:rFonts w:ascii="Tahoma" w:hAnsi="Tahoma" w:cs="Tahoma"/>
      <w:color w:val="000000"/>
      <w:sz w:val="16"/>
      <w:szCs w:val="16"/>
      <w:lang w:eastAsia="en-US"/>
    </w:rPr>
  </w:style>
  <w:style w:type="paragraph" w:styleId="Title">
    <w:name w:val="Title"/>
    <w:basedOn w:val="Normal"/>
    <w:next w:val="Normal"/>
    <w:link w:val="TitleChar"/>
    <w:uiPriority w:val="10"/>
    <w:rsid w:val="00EA0ACD"/>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EA0ACD"/>
    <w:rPr>
      <w:rFonts w:ascii="Calibri" w:eastAsiaTheme="majorEastAsia" w:hAnsi="Calibri" w:cstheme="majorBidi"/>
      <w:b/>
      <w:spacing w:val="5"/>
      <w:kern w:val="28"/>
      <w:sz w:val="48"/>
      <w:szCs w:val="52"/>
      <w:lang w:eastAsia="en-US"/>
    </w:rPr>
  </w:style>
  <w:style w:type="character" w:customStyle="1" w:styleId="SubtitleChar">
    <w:name w:val="Subtitle Char"/>
    <w:basedOn w:val="DefaultParagraphFont"/>
    <w:link w:val="Subtitle"/>
    <w:uiPriority w:val="11"/>
    <w:rsid w:val="00EA0ACD"/>
    <w:rPr>
      <w:rFonts w:ascii="Calibri" w:eastAsiaTheme="majorEastAsia" w:hAnsi="Calibri" w:cstheme="majorBidi"/>
      <w:b/>
      <w:iCs/>
      <w:sz w:val="40"/>
      <w:szCs w:val="24"/>
      <w:lang w:eastAsia="en-US"/>
    </w:rPr>
  </w:style>
  <w:style w:type="paragraph" w:customStyle="1" w:styleId="SectionTitle">
    <w:name w:val="SectionTitle"/>
    <w:basedOn w:val="Normal"/>
    <w:next w:val="Normal"/>
    <w:rsid w:val="00EA0ACD"/>
    <w:pPr>
      <w:jc w:val="center"/>
    </w:pPr>
    <w:rPr>
      <w:b/>
      <w:sz w:val="40"/>
    </w:rPr>
  </w:style>
  <w:style w:type="paragraph" w:customStyle="1" w:styleId="SectionSubtitle">
    <w:name w:val="SectionSubtitle"/>
    <w:basedOn w:val="Normal"/>
    <w:rsid w:val="00EA0ACD"/>
    <w:pPr>
      <w:spacing w:after="0"/>
      <w:jc w:val="center"/>
    </w:pPr>
    <w:rPr>
      <w:sz w:val="32"/>
    </w:rPr>
  </w:style>
  <w:style w:type="paragraph" w:customStyle="1" w:styleId="QuoteNumberList">
    <w:name w:val="QuoteNumberList"/>
    <w:basedOn w:val="Quote"/>
    <w:rsid w:val="00EA0ACD"/>
    <w:pPr>
      <w:ind w:left="1117" w:hanging="397"/>
    </w:pPr>
    <w:rPr>
      <w:noProof/>
    </w:rPr>
  </w:style>
  <w:style w:type="paragraph" w:customStyle="1" w:styleId="QuoteBullet">
    <w:name w:val="QuoteBullet"/>
    <w:basedOn w:val="Quote"/>
    <w:rsid w:val="00EA0ACD"/>
    <w:pPr>
      <w:numPr>
        <w:numId w:val="7"/>
      </w:numPr>
      <w:ind w:left="1117" w:hanging="397"/>
    </w:pPr>
    <w:rPr>
      <w:noProof/>
    </w:rPr>
  </w:style>
  <w:style w:type="paragraph" w:customStyle="1" w:styleId="BoxDash">
    <w:name w:val="BoxDash"/>
    <w:basedOn w:val="BoxBullet"/>
    <w:rsid w:val="00EA0ACD"/>
    <w:pPr>
      <w:numPr>
        <w:numId w:val="5"/>
      </w:numPr>
    </w:pPr>
  </w:style>
  <w:style w:type="character" w:customStyle="1" w:styleId="CrossRef">
    <w:name w:val="CrossRef"/>
    <w:basedOn w:val="DefaultParagraphFont"/>
    <w:uiPriority w:val="1"/>
    <w:rsid w:val="00EA0ACD"/>
    <w:rPr>
      <w:rFonts w:ascii="Calibri" w:hAnsi="Calibri"/>
      <w:b/>
      <w:noProof/>
      <w:color w:val="C0504D" w:themeColor="accent2"/>
      <w:sz w:val="24"/>
    </w:rPr>
  </w:style>
  <w:style w:type="paragraph" w:customStyle="1" w:styleId="TableNumberedList">
    <w:name w:val="TableNumberedList"/>
    <w:basedOn w:val="TableText"/>
    <w:autoRedefine/>
    <w:qFormat/>
    <w:rsid w:val="00312F7A"/>
    <w:pPr>
      <w:numPr>
        <w:numId w:val="9"/>
      </w:numPr>
      <w:ind w:left="357" w:hanging="357"/>
    </w:pPr>
  </w:style>
  <w:style w:type="character" w:customStyle="1" w:styleId="StrongEmphasis">
    <w:name w:val="StrongEmphasis"/>
    <w:basedOn w:val="DefaultParagraphFont"/>
    <w:rsid w:val="00EA0ACD"/>
    <w:rPr>
      <w:b/>
      <w:bCs/>
      <w:i/>
      <w:iCs/>
    </w:rPr>
  </w:style>
  <w:style w:type="character" w:customStyle="1" w:styleId="MathEquationChar">
    <w:name w:val="MathEquationChar"/>
    <w:basedOn w:val="DefaultParagraphFont"/>
    <w:uiPriority w:val="1"/>
    <w:rsid w:val="00EA0ACD"/>
    <w:rPr>
      <w:rFonts w:ascii="Cambria Math" w:hAnsi="Cambria Math"/>
      <w:noProof/>
    </w:rPr>
  </w:style>
  <w:style w:type="character" w:customStyle="1" w:styleId="SubscriptEmphasis">
    <w:name w:val="SubscriptEmphasis"/>
    <w:basedOn w:val="DefaultParagraphFont"/>
    <w:uiPriority w:val="1"/>
    <w:rsid w:val="00EA0ACD"/>
    <w:rPr>
      <w:i/>
      <w:noProof/>
      <w:vertAlign w:val="subscript"/>
    </w:rPr>
  </w:style>
  <w:style w:type="numbering" w:customStyle="1" w:styleId="CurrentList1">
    <w:name w:val="Current List1"/>
    <w:uiPriority w:val="99"/>
    <w:rsid w:val="00C07FD0"/>
    <w:pPr>
      <w:numPr>
        <w:numId w:val="10"/>
      </w:numPr>
    </w:pPr>
  </w:style>
  <w:style w:type="numbering" w:customStyle="1" w:styleId="CurrentList2">
    <w:name w:val="Current List2"/>
    <w:uiPriority w:val="99"/>
    <w:rsid w:val="00C07FD0"/>
    <w:pPr>
      <w:numPr>
        <w:numId w:val="11"/>
      </w:numPr>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BA1737"/>
    <w:pPr>
      <w:spacing w:after="200" w:line="276" w:lineRule="auto"/>
      <w:ind w:left="720"/>
      <w:contextualSpacing/>
    </w:pPr>
    <w:rPr>
      <w:rFonts w:asciiTheme="minorHAnsi" w:eastAsiaTheme="minorHAnsi" w:hAnsiTheme="minorHAnsi" w:cstheme="minorBidi"/>
      <w:color w:val="auto"/>
      <w:szCs w:val="22"/>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qFormat/>
    <w:locked/>
    <w:rsid w:val="00BA1737"/>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A970EC"/>
    <w:rPr>
      <w:sz w:val="16"/>
      <w:szCs w:val="16"/>
    </w:rPr>
  </w:style>
  <w:style w:type="paragraph" w:styleId="CommentText">
    <w:name w:val="annotation text"/>
    <w:basedOn w:val="Normal"/>
    <w:link w:val="CommentTextChar"/>
    <w:uiPriority w:val="99"/>
    <w:unhideWhenUsed/>
    <w:rsid w:val="00A970EC"/>
    <w:rPr>
      <w:sz w:val="20"/>
    </w:rPr>
  </w:style>
  <w:style w:type="character" w:customStyle="1" w:styleId="CommentTextChar">
    <w:name w:val="Comment Text Char"/>
    <w:basedOn w:val="DefaultParagraphFont"/>
    <w:link w:val="CommentText"/>
    <w:uiPriority w:val="99"/>
    <w:rsid w:val="00A970EC"/>
    <w:rPr>
      <w:color w:val="000000"/>
    </w:rPr>
  </w:style>
  <w:style w:type="paragraph" w:styleId="CommentSubject">
    <w:name w:val="annotation subject"/>
    <w:basedOn w:val="CommentText"/>
    <w:next w:val="CommentText"/>
    <w:link w:val="CommentSubjectChar"/>
    <w:uiPriority w:val="99"/>
    <w:semiHidden/>
    <w:unhideWhenUsed/>
    <w:rsid w:val="00A970EC"/>
    <w:rPr>
      <w:b/>
      <w:bCs/>
    </w:rPr>
  </w:style>
  <w:style w:type="character" w:customStyle="1" w:styleId="CommentSubjectChar">
    <w:name w:val="Comment Subject Char"/>
    <w:basedOn w:val="CommentTextChar"/>
    <w:link w:val="CommentSubject"/>
    <w:uiPriority w:val="99"/>
    <w:semiHidden/>
    <w:rsid w:val="00A970EC"/>
    <w:rPr>
      <w:b/>
      <w:bCs/>
      <w:color w:val="000000"/>
    </w:rPr>
  </w:style>
  <w:style w:type="character" w:styleId="Hyperlink">
    <w:name w:val="Hyperlink"/>
    <w:basedOn w:val="DefaultParagraphFont"/>
    <w:uiPriority w:val="99"/>
    <w:unhideWhenUsed/>
    <w:rsid w:val="00B9691B"/>
    <w:rPr>
      <w:color w:val="0000FF" w:themeColor="hyperlink"/>
      <w:u w:val="single"/>
    </w:rPr>
  </w:style>
  <w:style w:type="character" w:styleId="UnresolvedMention">
    <w:name w:val="Unresolved Mention"/>
    <w:basedOn w:val="DefaultParagraphFont"/>
    <w:uiPriority w:val="99"/>
    <w:rsid w:val="00B9691B"/>
    <w:rPr>
      <w:color w:val="605E5C"/>
      <w:shd w:val="clear" w:color="auto" w:fill="E1DFDD"/>
    </w:rPr>
  </w:style>
  <w:style w:type="character" w:styleId="FollowedHyperlink">
    <w:name w:val="FollowedHyperlink"/>
    <w:basedOn w:val="DefaultParagraphFont"/>
    <w:uiPriority w:val="99"/>
    <w:semiHidden/>
    <w:unhideWhenUsed/>
    <w:rsid w:val="00CF1186"/>
    <w:rPr>
      <w:color w:val="800080" w:themeColor="followedHyperlink"/>
      <w:u w:val="single"/>
    </w:rPr>
  </w:style>
  <w:style w:type="table" w:styleId="ListTable3-Accent1">
    <w:name w:val="List Table 3 Accent 1"/>
    <w:basedOn w:val="TableNormal"/>
    <w:uiPriority w:val="48"/>
    <w:rsid w:val="00641C7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DepartmentalNormal">
    <w:name w:val="Departmental Normal"/>
    <w:basedOn w:val="Normal"/>
    <w:rsid w:val="00487CD4"/>
    <w:pPr>
      <w:spacing w:after="0"/>
    </w:pPr>
    <w:rPr>
      <w:color w:val="auto"/>
    </w:rPr>
  </w:style>
  <w:style w:type="paragraph" w:styleId="Revision">
    <w:name w:val="Revision"/>
    <w:hidden/>
    <w:uiPriority w:val="99"/>
    <w:semiHidden/>
    <w:rsid w:val="00FB6D90"/>
    <w:rPr>
      <w:color w:val="000000"/>
      <w:sz w:val="24"/>
    </w:rPr>
  </w:style>
  <w:style w:type="character" w:customStyle="1" w:styleId="normaltextrun">
    <w:name w:val="normaltextrun"/>
    <w:basedOn w:val="DefaultParagraphFont"/>
    <w:rsid w:val="009F3EA9"/>
  </w:style>
  <w:style w:type="character" w:customStyle="1" w:styleId="Heading6Char">
    <w:name w:val="Heading 6 Char"/>
    <w:basedOn w:val="DefaultParagraphFont"/>
    <w:link w:val="Heading6"/>
    <w:uiPriority w:val="9"/>
    <w:semiHidden/>
    <w:rsid w:val="00CF683B"/>
    <w:rPr>
      <w:rFonts w:ascii="Open Sans" w:eastAsiaTheme="majorEastAsia" w:hAnsi="Open Sans" w:cstheme="majorBidi"/>
      <w:color w:val="243F60" w:themeColor="accent1" w:themeShade="7F"/>
      <w:sz w:val="22"/>
      <w:lang w:eastAsia="en-US"/>
    </w:rPr>
  </w:style>
  <w:style w:type="paragraph" w:customStyle="1" w:styleId="TableTitle">
    <w:name w:val="TableTitle"/>
    <w:basedOn w:val="TableText"/>
    <w:rsid w:val="00EA0ACD"/>
    <w:pPr>
      <w:tabs>
        <w:tab w:val="left" w:pos="1080"/>
      </w:tabs>
      <w:spacing w:before="120" w:after="120"/>
      <w:ind w:left="1080" w:hanging="1080"/>
    </w:pPr>
    <w:rPr>
      <w:b/>
      <w:bCs/>
      <w:sz w:val="22"/>
    </w:rPr>
  </w:style>
  <w:style w:type="paragraph" w:customStyle="1" w:styleId="BoxTitle">
    <w:name w:val="BoxTitle"/>
    <w:basedOn w:val="BoxText"/>
    <w:rsid w:val="00EA0ACD"/>
    <w:pPr>
      <w:keepNext/>
      <w:spacing w:before="180"/>
      <w:ind w:left="1080" w:hanging="1080"/>
    </w:pPr>
    <w:rPr>
      <w:b/>
      <w:bCs/>
      <w:sz w:val="24"/>
    </w:rPr>
  </w:style>
  <w:style w:type="paragraph" w:customStyle="1" w:styleId="FigureTitle">
    <w:name w:val="FigureTitle"/>
    <w:basedOn w:val="FigureNameSpace"/>
    <w:next w:val="Normal"/>
    <w:rsid w:val="00EA0ACD"/>
    <w:pPr>
      <w:keepNext/>
      <w:spacing w:after="120"/>
      <w:ind w:left="1077" w:hanging="1077"/>
    </w:pPr>
  </w:style>
  <w:style w:type="table" w:styleId="GridTable2-Accent6">
    <w:name w:val="Grid Table 2 Accent 6"/>
    <w:basedOn w:val="TableNormal"/>
    <w:uiPriority w:val="47"/>
    <w:rsid w:val="00DA386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6">
    <w:name w:val="Grid Table 4 Accent 6"/>
    <w:basedOn w:val="TableNormal"/>
    <w:uiPriority w:val="49"/>
    <w:rsid w:val="00DA38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1">
    <w:name w:val="Grid Table 4 - Accent 61"/>
    <w:basedOn w:val="TableNormal"/>
    <w:next w:val="GridTable4-Accent6"/>
    <w:uiPriority w:val="49"/>
    <w:rsid w:val="00A9000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Heading7Char">
    <w:name w:val="Heading 7 Char"/>
    <w:basedOn w:val="DefaultParagraphFont"/>
    <w:link w:val="Heading7"/>
    <w:uiPriority w:val="9"/>
    <w:semiHidden/>
    <w:rsid w:val="00871E06"/>
    <w:rPr>
      <w:rFonts w:asciiTheme="majorHAnsi" w:eastAsiaTheme="majorEastAsia" w:hAnsiTheme="majorHAnsi" w:cstheme="majorBidi"/>
      <w:i/>
      <w:iCs/>
      <w:color w:val="243F60" w:themeColor="accent1" w:themeShade="7F"/>
      <w:sz w:val="22"/>
      <w:lang w:eastAsia="en-US"/>
    </w:rPr>
  </w:style>
  <w:style w:type="table" w:customStyle="1" w:styleId="TableGrid1">
    <w:name w:val="Table Grid1"/>
    <w:basedOn w:val="TableNormal"/>
    <w:next w:val="TableGrid"/>
    <w:uiPriority w:val="59"/>
    <w:rsid w:val="0087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77B39"/>
    <w:pPr>
      <w:tabs>
        <w:tab w:val="num" w:pos="360"/>
      </w:tabs>
      <w:spacing w:after="160" w:line="259" w:lineRule="auto"/>
      <w:ind w:left="360" w:hanging="360"/>
      <w:contextualSpacing/>
    </w:pPr>
    <w:rPr>
      <w:rFonts w:asciiTheme="minorHAnsi" w:eastAsiaTheme="minorHAnsi" w:hAnsiTheme="minorHAnsi" w:cstheme="minorBidi"/>
      <w:color w:val="auto"/>
      <w:szCs w:val="22"/>
    </w:rPr>
  </w:style>
  <w:style w:type="paragraph" w:styleId="ListNumber">
    <w:name w:val="List Number"/>
    <w:basedOn w:val="Normal"/>
    <w:uiPriority w:val="99"/>
    <w:unhideWhenUsed/>
    <w:rsid w:val="00677B39"/>
    <w:pPr>
      <w:tabs>
        <w:tab w:val="num" w:pos="360"/>
      </w:tabs>
      <w:spacing w:after="160" w:line="259" w:lineRule="auto"/>
      <w:ind w:left="360" w:hanging="360"/>
      <w:contextualSpacing/>
    </w:pPr>
    <w:rPr>
      <w:rFonts w:asciiTheme="minorHAnsi" w:eastAsiaTheme="minorHAnsi" w:hAnsiTheme="minorHAnsi" w:cstheme="minorBidi"/>
      <w:color w:val="auto"/>
      <w:szCs w:val="22"/>
    </w:rPr>
  </w:style>
  <w:style w:type="paragraph" w:styleId="TOCHeading">
    <w:name w:val="TOC Heading"/>
    <w:basedOn w:val="Heading1"/>
    <w:next w:val="Normal"/>
    <w:uiPriority w:val="39"/>
    <w:unhideWhenUsed/>
    <w:qFormat/>
    <w:rsid w:val="009B63B5"/>
    <w:pPr>
      <w:keepLines/>
      <w:pageBreakBefore w:val="0"/>
      <w:spacing w:before="240" w:after="0" w:line="259" w:lineRule="auto"/>
      <w:ind w:left="0" w:firstLine="0"/>
      <w:outlineLvl w:val="9"/>
    </w:pPr>
    <w:rPr>
      <w:rFonts w:asciiTheme="majorHAnsi" w:eastAsiaTheme="majorEastAsia" w:hAnsiTheme="majorHAnsi" w:cstheme="majorBidi"/>
      <w:b w:val="0"/>
      <w:bCs w:val="0"/>
      <w:color w:val="365F91" w:themeColor="accent1" w:themeShade="BF"/>
      <w:kern w:val="0"/>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32159">
      <w:bodyDiv w:val="1"/>
      <w:marLeft w:val="0"/>
      <w:marRight w:val="0"/>
      <w:marTop w:val="0"/>
      <w:marBottom w:val="0"/>
      <w:divBdr>
        <w:top w:val="none" w:sz="0" w:space="0" w:color="auto"/>
        <w:left w:val="none" w:sz="0" w:space="0" w:color="auto"/>
        <w:bottom w:val="none" w:sz="0" w:space="0" w:color="auto"/>
        <w:right w:val="none" w:sz="0" w:space="0" w:color="auto"/>
      </w:divBdr>
    </w:div>
    <w:div w:id="909848781">
      <w:bodyDiv w:val="1"/>
      <w:marLeft w:val="0"/>
      <w:marRight w:val="0"/>
      <w:marTop w:val="0"/>
      <w:marBottom w:val="0"/>
      <w:divBdr>
        <w:top w:val="none" w:sz="0" w:space="0" w:color="auto"/>
        <w:left w:val="none" w:sz="0" w:space="0" w:color="auto"/>
        <w:bottom w:val="none" w:sz="0" w:space="0" w:color="auto"/>
        <w:right w:val="none" w:sz="0" w:space="0" w:color="auto"/>
      </w:divBdr>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619070155">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DF3039-D002-7D42-9879-31C15E797718}">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dd18265-326c-4663-9a51-69c1b30ad054">
      <UserInfo>
        <DisplayName>MADDEN, Sarah</DisplayName>
        <AccountId>16</AccountId>
        <AccountType/>
      </UserInfo>
      <UserInfo>
        <DisplayName>FOX, Vashti</DisplayName>
        <AccountId>17</AccountId>
        <AccountType/>
      </UserInfo>
      <UserInfo>
        <DisplayName>MCLEOD, Amy</DisplayName>
        <AccountId>42</AccountId>
        <AccountType/>
      </UserInfo>
    </SharedWithUsers>
    <TaxCatchAll xmlns="3dd18265-326c-4663-9a51-69c1b30ad054" xsi:nil="true"/>
    <lcf76f155ced4ddcb4097134ff3c332f xmlns="b2db6d00-a5ee-4c7a-84c8-0f258acc498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5BB68D7196E647A4AEBA7AB6226350" ma:contentTypeVersion="13" ma:contentTypeDescription="Create a new document." ma:contentTypeScope="" ma:versionID="29fe540974bad8451127e13272137ecd">
  <xsd:schema xmlns:xsd="http://www.w3.org/2001/XMLSchema" xmlns:xs="http://www.w3.org/2001/XMLSchema" xmlns:p="http://schemas.microsoft.com/office/2006/metadata/properties" xmlns:ns2="b2db6d00-a5ee-4c7a-84c8-0f258acc4987" xmlns:ns3="3dd18265-326c-4663-9a51-69c1b30ad054" targetNamespace="http://schemas.microsoft.com/office/2006/metadata/properties" ma:root="true" ma:fieldsID="86759dfc7c1933756ee7b6884f00ab7b" ns2:_="" ns3:_="">
    <xsd:import namespace="b2db6d00-a5ee-4c7a-84c8-0f258acc4987"/>
    <xsd:import namespace="3dd18265-326c-4663-9a51-69c1b30ad0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6d00-a5ee-4c7a-84c8-0f258acc4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d18265-326c-4663-9a51-69c1b30ad0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f641b67-ddd4-4a54-9d8e-e9e07d83d4ac}" ma:internalName="TaxCatchAll" ma:showField="CatchAllData" ma:web="3dd18265-326c-4663-9a51-69c1b30ad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4BA40-1A78-4937-BFCB-C60A2F55866A}">
  <ds:schemaRefs>
    <ds:schemaRef ds:uri="http://schemas.openxmlformats.org/officeDocument/2006/bibliography"/>
  </ds:schemaRefs>
</ds:datastoreItem>
</file>

<file path=customXml/itemProps2.xml><?xml version="1.0" encoding="utf-8"?>
<ds:datastoreItem xmlns:ds="http://schemas.openxmlformats.org/officeDocument/2006/customXml" ds:itemID="{B07D84CB-F5DB-4F80-9698-69D4ED5C1B8C}">
  <ds:schemaRefs>
    <ds:schemaRef ds:uri="http://schemas.microsoft.com/sharepoint/v3/contenttype/forms"/>
  </ds:schemaRefs>
</ds:datastoreItem>
</file>

<file path=customXml/itemProps3.xml><?xml version="1.0" encoding="utf-8"?>
<ds:datastoreItem xmlns:ds="http://schemas.openxmlformats.org/officeDocument/2006/customXml" ds:itemID="{B55FA590-B223-49B3-B9CD-2707C5A293F6}">
  <ds:schemaRefs>
    <ds:schemaRef ds:uri="http://schemas.microsoft.com/office/2006/documentManagement/types"/>
    <ds:schemaRef ds:uri="http://schemas.microsoft.com/office/2006/metadata/properties"/>
    <ds:schemaRef ds:uri="3dd18265-326c-4663-9a51-69c1b30ad054"/>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b2db6d00-a5ee-4c7a-84c8-0f258acc4987"/>
    <ds:schemaRef ds:uri="http://www.w3.org/XML/1998/namespace"/>
  </ds:schemaRefs>
</ds:datastoreItem>
</file>

<file path=customXml/itemProps4.xml><?xml version="1.0" encoding="utf-8"?>
<ds:datastoreItem xmlns:ds="http://schemas.openxmlformats.org/officeDocument/2006/customXml" ds:itemID="{D7A48EFE-D100-4A03-A6F5-999D5D8AF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b6d00-a5ee-4c7a-84c8-0f258acc4987"/>
    <ds:schemaRef ds:uri="3dd18265-326c-4663-9a51-69c1b30ad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6327</Words>
  <Characters>38601</Characters>
  <Application>Microsoft Office Word</Application>
  <DocSecurity>4</DocSecurity>
  <Lines>321</Lines>
  <Paragraphs>89</Paragraphs>
  <ScaleCrop>false</ScaleCrop>
  <HeadingPairs>
    <vt:vector size="2" baseType="variant">
      <vt:variant>
        <vt:lpstr>Title</vt:lpstr>
      </vt:variant>
      <vt:variant>
        <vt:i4>1</vt:i4>
      </vt:variant>
    </vt:vector>
  </HeadingPairs>
  <TitlesOfParts>
    <vt:vector size="1" baseType="lpstr">
      <vt:lpstr>MBS Review Advisory Committee Genetic Counselling – Final report</vt:lpstr>
    </vt:vector>
  </TitlesOfParts>
  <Company>Medical doctors and specialists; Medicare Benefits Schedule (MBS) Review</Company>
  <LinksUpToDate>false</LinksUpToDate>
  <CharactersWithSpaces>44839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MBS Review Advisory Committee Genetic Counselling – Final report</dc:title>
  <dc:subject/>
  <dc:creator>Australian Government Department of Health and Aged Care</dc:creator>
  <cp:keywords/>
  <cp:lastModifiedBy>HAMLEY, Erynn</cp:lastModifiedBy>
  <cp:revision>2</cp:revision>
  <cp:lastPrinted>2022-11-21T03:34:00Z</cp:lastPrinted>
  <dcterms:created xsi:type="dcterms:W3CDTF">2023-04-20T23:52:00Z</dcterms:created>
  <dcterms:modified xsi:type="dcterms:W3CDTF">2023-04-20T23:52:00Z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0x010100515BB68D7196E647A4AEBA7AB6226350</vt:lpwstr>
  </property>
  <property fmtid="{D5CDD505-2E9C-101B-9397-08002B2CF9AE}" pid="3" name="MediaServiceImageTags">
    <vt:lpwstr/>
  </property>
</Properties>
</file>