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C660" w14:textId="07395EDE" w:rsidR="00EC61C3" w:rsidRDefault="009B399B" w:rsidP="009B399B">
      <w:pPr>
        <w:pStyle w:val="Heading1"/>
      </w:pPr>
      <w:r w:rsidRPr="00B20D4F">
        <w:t>Life Saving Drugs Program</w:t>
      </w:r>
      <w:r w:rsidR="00EC61C3">
        <w:t xml:space="preserve"> (LSDP)</w:t>
      </w:r>
    </w:p>
    <w:p w14:paraId="45887D29" w14:textId="7F6395BB" w:rsidR="009B399B" w:rsidRDefault="009B399B" w:rsidP="00345252">
      <w:pPr>
        <w:pStyle w:val="Heading1"/>
      </w:pPr>
      <w:r w:rsidRPr="00B20D4F">
        <w:t>Sebelipase alfa (Kanuma</w:t>
      </w:r>
      <w:r w:rsidRPr="00B20D4F">
        <w:rPr>
          <w:vertAlign w:val="superscript"/>
        </w:rPr>
        <w:t>®</w:t>
      </w:r>
      <w:r w:rsidRPr="00B20D4F">
        <w:t xml:space="preserve">) outcome statement </w:t>
      </w:r>
    </w:p>
    <w:p w14:paraId="2036657D" w14:textId="1387E707" w:rsidR="009B399B" w:rsidRPr="00CE6CA8" w:rsidRDefault="009B399B" w:rsidP="009B399B">
      <w:pPr>
        <w:pStyle w:val="Heading2"/>
        <w:rPr>
          <w:b w:val="0"/>
          <w:bCs w:val="0"/>
          <w:szCs w:val="36"/>
        </w:rPr>
      </w:pPr>
      <w:r w:rsidRPr="00CE6CA8">
        <w:rPr>
          <w:b w:val="0"/>
          <w:bCs w:val="0"/>
          <w:szCs w:val="36"/>
        </w:rPr>
        <w:t>Summary of the consideration of the application from Alexion Australia for the inclusion of sebelipase alfa (Kanuma</w:t>
      </w:r>
      <w:r w:rsidRPr="00CE6CA8">
        <w:rPr>
          <w:b w:val="0"/>
          <w:bCs w:val="0"/>
          <w:szCs w:val="36"/>
          <w:vertAlign w:val="superscript"/>
        </w:rPr>
        <w:t>®</w:t>
      </w:r>
      <w:r w:rsidRPr="00CE6CA8">
        <w:rPr>
          <w:b w:val="0"/>
          <w:bCs w:val="0"/>
          <w:szCs w:val="36"/>
        </w:rPr>
        <w:t>) on the LSDP for the treatment of infantile</w:t>
      </w:r>
      <w:r w:rsidR="00EC61C3">
        <w:rPr>
          <w:b w:val="0"/>
          <w:bCs w:val="0"/>
          <w:szCs w:val="36"/>
        </w:rPr>
        <w:noBreakHyphen/>
      </w:r>
      <w:r w:rsidRPr="00CE6CA8">
        <w:rPr>
          <w:b w:val="0"/>
          <w:bCs w:val="0"/>
          <w:szCs w:val="36"/>
        </w:rPr>
        <w:t>onset lysosomal acid lipase deficiency (LAL-D)</w:t>
      </w:r>
    </w:p>
    <w:p w14:paraId="61E02CD9" w14:textId="77777777" w:rsidR="009B399B" w:rsidRPr="00CE6CA8" w:rsidRDefault="009B399B" w:rsidP="009B399B">
      <w:pPr>
        <w:pStyle w:val="Heading2"/>
        <w:rPr>
          <w:b w:val="0"/>
          <w:bCs w:val="0"/>
          <w:sz w:val="32"/>
          <w:szCs w:val="32"/>
        </w:rPr>
      </w:pPr>
      <w:r w:rsidRPr="00CE6CA8">
        <w:rPr>
          <w:b w:val="0"/>
          <w:bCs w:val="0"/>
          <w:sz w:val="32"/>
          <w:szCs w:val="32"/>
        </w:rPr>
        <w:t>Overview:</w:t>
      </w:r>
    </w:p>
    <w:p w14:paraId="702562C3" w14:textId="0528B0AC" w:rsidR="009B399B" w:rsidRDefault="009B399B" w:rsidP="009B399B">
      <w:pPr>
        <w:pStyle w:val="Heading2"/>
        <w:spacing w:before="0"/>
        <w:rPr>
          <w:color w:val="auto"/>
          <w:sz w:val="21"/>
          <w:szCs w:val="21"/>
          <w:lang w:eastAsia="en-AU"/>
        </w:rPr>
      </w:pPr>
      <w:r w:rsidRPr="00A35672">
        <w:rPr>
          <w:b w:val="0"/>
          <w:bCs w:val="0"/>
          <w:color w:val="auto"/>
          <w:sz w:val="21"/>
          <w:szCs w:val="21"/>
        </w:rPr>
        <w:t xml:space="preserve">The LSDP Expert Panel (the </w:t>
      </w:r>
      <w:r w:rsidR="00A31D54">
        <w:rPr>
          <w:b w:val="0"/>
          <w:bCs w:val="0"/>
          <w:color w:val="auto"/>
          <w:sz w:val="21"/>
          <w:szCs w:val="21"/>
        </w:rPr>
        <w:t xml:space="preserve">Expert </w:t>
      </w:r>
      <w:r w:rsidRPr="00A35672">
        <w:rPr>
          <w:b w:val="0"/>
          <w:bCs w:val="0"/>
          <w:color w:val="auto"/>
          <w:sz w:val="21"/>
          <w:szCs w:val="21"/>
        </w:rPr>
        <w:t xml:space="preserve">Panel) advises the Chief Medical Officer (CMO) on new medicine applications to the LSDP. The </w:t>
      </w:r>
      <w:r w:rsidR="00A31D54">
        <w:rPr>
          <w:b w:val="0"/>
          <w:bCs w:val="0"/>
          <w:color w:val="auto"/>
          <w:sz w:val="21"/>
          <w:szCs w:val="21"/>
        </w:rPr>
        <w:t xml:space="preserve">Expert </w:t>
      </w:r>
      <w:r w:rsidRPr="00A35672">
        <w:rPr>
          <w:b w:val="0"/>
          <w:bCs w:val="0"/>
          <w:color w:val="auto"/>
          <w:sz w:val="21"/>
          <w:szCs w:val="21"/>
        </w:rPr>
        <w:t xml:space="preserve">Panel considered the application from Alexion on 24 June 2022 and 14 October 2022 and the </w:t>
      </w:r>
      <w:r w:rsidR="00A9665F">
        <w:rPr>
          <w:b w:val="0"/>
          <w:bCs w:val="0"/>
          <w:color w:val="auto"/>
          <w:sz w:val="21"/>
          <w:szCs w:val="21"/>
        </w:rPr>
        <w:t>CMO</w:t>
      </w:r>
      <w:r w:rsidRPr="00A35672">
        <w:rPr>
          <w:b w:val="0"/>
          <w:bCs w:val="0"/>
          <w:color w:val="auto"/>
          <w:sz w:val="21"/>
          <w:szCs w:val="21"/>
        </w:rPr>
        <w:t xml:space="preserve"> recommended </w:t>
      </w:r>
      <w:r w:rsidRPr="00A35672">
        <w:rPr>
          <w:rFonts w:eastAsia="Calibri"/>
          <w:b w:val="0"/>
          <w:bCs w:val="0"/>
          <w:color w:val="auto"/>
          <w:sz w:val="21"/>
          <w:szCs w:val="21"/>
        </w:rPr>
        <w:t xml:space="preserve">sebelipase alfa </w:t>
      </w:r>
      <w:r w:rsidRPr="00A35672">
        <w:rPr>
          <w:b w:val="0"/>
          <w:bCs w:val="0"/>
          <w:color w:val="auto"/>
          <w:sz w:val="21"/>
          <w:szCs w:val="21"/>
        </w:rPr>
        <w:t>for listing on the LSDP in December 2022.</w:t>
      </w:r>
      <w:r w:rsidRPr="00A35672" w:rsidDel="00E54932">
        <w:rPr>
          <w:color w:val="auto"/>
          <w:sz w:val="21"/>
          <w:szCs w:val="21"/>
          <w:lang w:eastAsia="en-AU"/>
        </w:rPr>
        <w:t xml:space="preserve"> </w:t>
      </w:r>
    </w:p>
    <w:p w14:paraId="654ABC30" w14:textId="77777777" w:rsidR="009B399B" w:rsidRPr="00CE6CA8" w:rsidRDefault="009B399B" w:rsidP="009B399B">
      <w:pPr>
        <w:pStyle w:val="Heading2"/>
        <w:rPr>
          <w:b w:val="0"/>
          <w:bCs w:val="0"/>
        </w:rPr>
      </w:pPr>
      <w:r w:rsidRPr="00CE6CA8">
        <w:rPr>
          <w:b w:val="0"/>
          <w:bCs w:val="0"/>
          <w:sz w:val="32"/>
          <w:szCs w:val="32"/>
        </w:rPr>
        <w:t>Background</w:t>
      </w:r>
      <w:r w:rsidRPr="00CE6CA8">
        <w:rPr>
          <w:b w:val="0"/>
          <w:bCs w:val="0"/>
        </w:rPr>
        <w:t>:</w:t>
      </w:r>
    </w:p>
    <w:p w14:paraId="7F226642" w14:textId="7DA6FAD4" w:rsidR="009B399B" w:rsidRPr="00A21415" w:rsidRDefault="00FC3C51" w:rsidP="009B399B">
      <w:pPr>
        <w:spacing w:before="0" w:after="0"/>
        <w:rPr>
          <w:rFonts w:eastAsia="Calibri" w:cs="Arial"/>
          <w:sz w:val="21"/>
          <w:szCs w:val="21"/>
        </w:rPr>
      </w:pPr>
      <w:proofErr w:type="spellStart"/>
      <w:r>
        <w:t>Sebelipase</w:t>
      </w:r>
      <w:proofErr w:type="spellEnd"/>
      <w:r>
        <w:t xml:space="preserve"> alfa is approved by the Therapeutic Goods Administration (TGA) for long-term enzyme replacement therapy (ERT) in patients of all ages with lysosomal acid lipase deficiency (LAL-D), including i</w:t>
      </w:r>
      <w:r w:rsidRPr="00A21415">
        <w:rPr>
          <w:sz w:val="21"/>
          <w:szCs w:val="21"/>
        </w:rPr>
        <w:t xml:space="preserve">nfantile-onset </w:t>
      </w:r>
      <w:r w:rsidRPr="00A21415">
        <w:rPr>
          <w:rFonts w:eastAsia="Calibri" w:cs="Arial"/>
          <w:sz w:val="21"/>
          <w:szCs w:val="21"/>
        </w:rPr>
        <w:t>LAL-D (also known as rapidly progressive LAL-D or Wolman disease)</w:t>
      </w:r>
      <w:r>
        <w:rPr>
          <w:rFonts w:eastAsia="Calibri" w:cs="Arial"/>
          <w:sz w:val="21"/>
          <w:szCs w:val="21"/>
        </w:rPr>
        <w:t>. Infantile-onset LAL-D</w:t>
      </w:r>
      <w:r w:rsidRPr="00A21415">
        <w:rPr>
          <w:rFonts w:eastAsia="Calibri" w:cs="Arial"/>
          <w:sz w:val="21"/>
          <w:szCs w:val="21"/>
        </w:rPr>
        <w:t xml:space="preserve"> is an inherited ultra-rare autosomal recessive lipid metabolism disorder caused by pathogenic variations in the </w:t>
      </w:r>
      <w:r w:rsidRPr="00A21415">
        <w:rPr>
          <w:rFonts w:eastAsia="Calibri" w:cs="Arial"/>
          <w:i/>
          <w:iCs/>
          <w:sz w:val="21"/>
          <w:szCs w:val="21"/>
        </w:rPr>
        <w:t>LIPA</w:t>
      </w:r>
      <w:r w:rsidRPr="00A21415">
        <w:rPr>
          <w:rFonts w:eastAsia="Calibri" w:cs="Arial"/>
          <w:sz w:val="21"/>
          <w:szCs w:val="21"/>
        </w:rPr>
        <w:t xml:space="preserve"> gene, normally responsible for encoding the lysosomal acid lipase </w:t>
      </w:r>
      <w:r>
        <w:rPr>
          <w:rFonts w:eastAsia="Calibri" w:cs="Arial"/>
          <w:sz w:val="21"/>
          <w:szCs w:val="21"/>
        </w:rPr>
        <w:t xml:space="preserve">(LAL) </w:t>
      </w:r>
      <w:r w:rsidRPr="00A21415">
        <w:rPr>
          <w:rFonts w:eastAsia="Calibri" w:cs="Arial"/>
          <w:sz w:val="21"/>
          <w:szCs w:val="21"/>
        </w:rPr>
        <w:t>enzyme</w:t>
      </w:r>
      <w:r w:rsidR="009B399B" w:rsidRPr="00A21415">
        <w:rPr>
          <w:rFonts w:eastAsia="Calibri" w:cs="Arial"/>
          <w:sz w:val="21"/>
          <w:szCs w:val="21"/>
        </w:rPr>
        <w:t xml:space="preserve">. </w:t>
      </w:r>
      <w:r w:rsidR="00B2330C" w:rsidRPr="00B2330C">
        <w:rPr>
          <w:rFonts w:eastAsia="Calibri" w:cs="Arial"/>
          <w:sz w:val="21"/>
          <w:szCs w:val="21"/>
        </w:rPr>
        <w:t xml:space="preserve">This enzyme normally functions in the lysosomes of cells to break down various types of fats. </w:t>
      </w:r>
      <w:r w:rsidR="009B399B" w:rsidRPr="00A21415">
        <w:rPr>
          <w:rFonts w:eastAsia="Calibri" w:cs="Arial"/>
          <w:sz w:val="21"/>
          <w:szCs w:val="21"/>
        </w:rPr>
        <w:t xml:space="preserve">In infants, mutations to the LIPA gene may result in very little (&lt;1%) or absent LAL </w:t>
      </w:r>
      <w:r w:rsidR="00B2330C">
        <w:rPr>
          <w:rFonts w:eastAsia="Calibri" w:cs="Arial"/>
          <w:sz w:val="21"/>
          <w:szCs w:val="21"/>
        </w:rPr>
        <w:t xml:space="preserve">enzyme </w:t>
      </w:r>
      <w:r w:rsidR="009B399B" w:rsidRPr="00A21415">
        <w:rPr>
          <w:rFonts w:eastAsia="Calibri" w:cs="Arial"/>
          <w:sz w:val="21"/>
          <w:szCs w:val="21"/>
        </w:rPr>
        <w:t>activity, causing infantile</w:t>
      </w:r>
      <w:r w:rsidR="001C7D7E" w:rsidRPr="00A21415">
        <w:rPr>
          <w:rFonts w:eastAsia="Calibri" w:cs="Arial"/>
          <w:sz w:val="21"/>
          <w:szCs w:val="21"/>
        </w:rPr>
        <w:t>-</w:t>
      </w:r>
      <w:r w:rsidR="009B399B" w:rsidRPr="00A21415">
        <w:rPr>
          <w:rFonts w:eastAsia="Calibri" w:cs="Arial"/>
          <w:sz w:val="21"/>
          <w:szCs w:val="21"/>
        </w:rPr>
        <w:t xml:space="preserve">onset LAL-D. </w:t>
      </w:r>
    </w:p>
    <w:p w14:paraId="5429E28B" w14:textId="71CD8661" w:rsidR="00CF4906" w:rsidRDefault="00B2330C" w:rsidP="00CF4906">
      <w:pPr>
        <w:autoSpaceDE w:val="0"/>
        <w:autoSpaceDN w:val="0"/>
        <w:adjustRightInd w:val="0"/>
        <w:rPr>
          <w:rFonts w:asciiTheme="minorHAnsi" w:hAnsiTheme="minorHAnsi" w:cs="Arial"/>
          <w:color w:val="auto"/>
          <w:sz w:val="21"/>
          <w:szCs w:val="21"/>
          <w:lang w:eastAsia="en-AU"/>
        </w:rPr>
      </w:pPr>
      <w:r w:rsidRPr="00B2330C">
        <w:rPr>
          <w:rFonts w:eastAsia="Calibri" w:cs="Arial"/>
          <w:sz w:val="21"/>
          <w:szCs w:val="21"/>
        </w:rPr>
        <w:t>Children with infantile-onset LAL</w:t>
      </w:r>
      <w:r>
        <w:rPr>
          <w:rFonts w:eastAsia="Calibri" w:cs="Arial"/>
          <w:sz w:val="21"/>
          <w:szCs w:val="21"/>
        </w:rPr>
        <w:t>-</w:t>
      </w:r>
      <w:r w:rsidRPr="00B2330C">
        <w:rPr>
          <w:rFonts w:eastAsia="Calibri" w:cs="Arial"/>
          <w:sz w:val="21"/>
          <w:szCs w:val="21"/>
        </w:rPr>
        <w:t xml:space="preserve">D generally begin </w:t>
      </w:r>
      <w:r>
        <w:rPr>
          <w:rFonts w:eastAsia="Calibri" w:cs="Arial"/>
          <w:sz w:val="21"/>
          <w:szCs w:val="21"/>
        </w:rPr>
        <w:t>showing</w:t>
      </w:r>
      <w:r w:rsidRPr="00B2330C">
        <w:rPr>
          <w:rFonts w:eastAsia="Calibri" w:cs="Arial"/>
          <w:sz w:val="21"/>
          <w:szCs w:val="21"/>
        </w:rPr>
        <w:t xml:space="preserve"> signs of the disease shortly after birth as fat molecules begin to accumulate throughout the body.</w:t>
      </w:r>
      <w:r w:rsidR="009B399B" w:rsidRPr="00A21415">
        <w:rPr>
          <w:rFonts w:eastAsia="Calibri" w:cs="Arial"/>
          <w:sz w:val="21"/>
          <w:szCs w:val="21"/>
        </w:rPr>
        <w:t xml:space="preserve"> </w:t>
      </w:r>
      <w:r w:rsidR="005458BD">
        <w:rPr>
          <w:rFonts w:eastAsia="Calibri" w:cs="Arial"/>
          <w:sz w:val="21"/>
          <w:szCs w:val="21"/>
        </w:rPr>
        <w:t xml:space="preserve">Symptoms typically include </w:t>
      </w:r>
      <w:r w:rsidR="00902CC8">
        <w:rPr>
          <w:rFonts w:eastAsia="Calibri" w:cs="Arial"/>
          <w:sz w:val="21"/>
          <w:szCs w:val="21"/>
        </w:rPr>
        <w:t>multiorgan</w:t>
      </w:r>
      <w:r w:rsidR="005458BD">
        <w:rPr>
          <w:rFonts w:eastAsia="Calibri" w:cs="Arial"/>
          <w:sz w:val="21"/>
          <w:szCs w:val="21"/>
        </w:rPr>
        <w:t xml:space="preserve"> failure and severe malnutrition due to difficulty absorbing nutrients from food. </w:t>
      </w:r>
      <w:r w:rsidR="00902CC8">
        <w:rPr>
          <w:rFonts w:eastAsia="Calibri" w:cs="Arial"/>
          <w:sz w:val="21"/>
          <w:szCs w:val="21"/>
        </w:rPr>
        <w:t>It is a</w:t>
      </w:r>
      <w:r w:rsidR="00902CC8" w:rsidRPr="00A21415">
        <w:rPr>
          <w:rFonts w:eastAsia="Calibri" w:cs="Arial"/>
          <w:sz w:val="21"/>
          <w:szCs w:val="21"/>
        </w:rPr>
        <w:t xml:space="preserve"> progressive and rapidly fatal disease.</w:t>
      </w:r>
    </w:p>
    <w:p w14:paraId="7B10363D" w14:textId="77777777" w:rsidR="009B399B" w:rsidRPr="00CE6CA8" w:rsidRDefault="009B399B" w:rsidP="009B399B">
      <w:pPr>
        <w:pStyle w:val="Heading2"/>
        <w:rPr>
          <w:b w:val="0"/>
          <w:bCs w:val="0"/>
          <w:sz w:val="32"/>
          <w:szCs w:val="32"/>
        </w:rPr>
      </w:pPr>
      <w:r w:rsidRPr="00CE6CA8">
        <w:rPr>
          <w:b w:val="0"/>
          <w:bCs w:val="0"/>
          <w:sz w:val="32"/>
          <w:szCs w:val="32"/>
        </w:rPr>
        <w:t>Pharmaceutical Benefits Advisory Committee (PBAC) Consideration:</w:t>
      </w:r>
    </w:p>
    <w:p w14:paraId="37FDCB81" w14:textId="577B5734" w:rsidR="009B399B" w:rsidRDefault="009B399B" w:rsidP="009B399B">
      <w:pPr>
        <w:rPr>
          <w:sz w:val="21"/>
          <w:szCs w:val="21"/>
        </w:rPr>
      </w:pPr>
      <w:r w:rsidRPr="00194FD5">
        <w:rPr>
          <w:sz w:val="21"/>
          <w:szCs w:val="21"/>
        </w:rPr>
        <w:t xml:space="preserve">At its </w:t>
      </w:r>
      <w:r>
        <w:rPr>
          <w:sz w:val="21"/>
          <w:szCs w:val="21"/>
        </w:rPr>
        <w:t>March 2022</w:t>
      </w:r>
      <w:r w:rsidRPr="00194FD5">
        <w:rPr>
          <w:sz w:val="21"/>
          <w:szCs w:val="21"/>
        </w:rPr>
        <w:t xml:space="preserve"> meeting, PBAC considered a submission from </w:t>
      </w:r>
      <w:r>
        <w:rPr>
          <w:sz w:val="21"/>
          <w:szCs w:val="21"/>
        </w:rPr>
        <w:t xml:space="preserve">Alexion </w:t>
      </w:r>
      <w:r w:rsidRPr="00194FD5">
        <w:rPr>
          <w:sz w:val="21"/>
          <w:szCs w:val="21"/>
        </w:rPr>
        <w:t xml:space="preserve">requesting the listing of </w:t>
      </w:r>
      <w:r>
        <w:rPr>
          <w:sz w:val="21"/>
          <w:szCs w:val="21"/>
        </w:rPr>
        <w:t>sebelipase alfa</w:t>
      </w:r>
      <w:r w:rsidRPr="00194FD5">
        <w:rPr>
          <w:sz w:val="21"/>
          <w:szCs w:val="21"/>
        </w:rPr>
        <w:t xml:space="preserve"> on the Pharmaceutical Benefits Scheme (PBS) for the treatment of patients with </w:t>
      </w:r>
      <w:r w:rsidRPr="001E26EA">
        <w:rPr>
          <w:rFonts w:eastAsia="Calibri" w:cs="Arial"/>
          <w:sz w:val="21"/>
          <w:szCs w:val="21"/>
        </w:rPr>
        <w:t>infantile</w:t>
      </w:r>
      <w:r w:rsidR="001C7D7E">
        <w:rPr>
          <w:rFonts w:eastAsia="Calibri" w:cs="Arial"/>
          <w:sz w:val="21"/>
          <w:szCs w:val="21"/>
        </w:rPr>
        <w:t>-</w:t>
      </w:r>
      <w:r w:rsidRPr="001E26EA">
        <w:rPr>
          <w:rFonts w:eastAsia="Calibri" w:cs="Arial"/>
          <w:sz w:val="21"/>
          <w:szCs w:val="21"/>
        </w:rPr>
        <w:t>onset LAL-D</w:t>
      </w:r>
      <w:r w:rsidRPr="00194FD5">
        <w:rPr>
          <w:sz w:val="21"/>
          <w:szCs w:val="21"/>
        </w:rPr>
        <w:t>. PBAC did not</w:t>
      </w:r>
      <w:r>
        <w:rPr>
          <w:sz w:val="21"/>
          <w:szCs w:val="21"/>
        </w:rPr>
        <w:t xml:space="preserve"> r</w:t>
      </w:r>
      <w:r w:rsidRPr="00311D23">
        <w:rPr>
          <w:sz w:val="21"/>
          <w:szCs w:val="21"/>
        </w:rPr>
        <w:t xml:space="preserve">ecommend the requested listing </w:t>
      </w:r>
      <w:r>
        <w:rPr>
          <w:sz w:val="21"/>
          <w:szCs w:val="21"/>
        </w:rPr>
        <w:t xml:space="preserve">of sebelipase alfa </w:t>
      </w:r>
      <w:r w:rsidRPr="002A0F3F">
        <w:rPr>
          <w:rFonts w:eastAsia="Calibri" w:cs="Arial"/>
          <w:sz w:val="21"/>
          <w:szCs w:val="21"/>
        </w:rPr>
        <w:t>as it considered the incremental cost effectiveness ratio (ICER) for sebelipase alfa compared to best supportive care was extremely high and uncertain</w:t>
      </w:r>
      <w:r w:rsidRPr="002A0F3F">
        <w:rPr>
          <w:rFonts w:cs="Arial"/>
          <w:sz w:val="21"/>
          <w:szCs w:val="21"/>
        </w:rPr>
        <w:t xml:space="preserve">. </w:t>
      </w:r>
      <w:r w:rsidRPr="00194FD5">
        <w:rPr>
          <w:sz w:val="21"/>
          <w:szCs w:val="21"/>
        </w:rPr>
        <w:t xml:space="preserve">Further information on PBAC’s consideration </w:t>
      </w:r>
      <w:r w:rsidRPr="00A21415">
        <w:rPr>
          <w:sz w:val="21"/>
          <w:szCs w:val="21"/>
        </w:rPr>
        <w:t xml:space="preserve">of sebelipase alfa including reasons for rejection is available in the </w:t>
      </w:r>
      <w:hyperlink r:id="rId12" w:history="1">
        <w:r w:rsidRPr="00A21415">
          <w:rPr>
            <w:rStyle w:val="Hyperlink"/>
            <w:sz w:val="21"/>
            <w:szCs w:val="21"/>
          </w:rPr>
          <w:t>PBAC Public Summary Document</w:t>
        </w:r>
      </w:hyperlink>
      <w:r w:rsidR="00514116" w:rsidRPr="00A21415">
        <w:rPr>
          <w:rStyle w:val="Hyperlink"/>
          <w:color w:val="auto"/>
          <w:sz w:val="21"/>
          <w:szCs w:val="21"/>
          <w:u w:val="none"/>
        </w:rPr>
        <w:t>.</w:t>
      </w:r>
      <w:r w:rsidRPr="004D37D9">
        <w:rPr>
          <w:color w:val="auto"/>
          <w:sz w:val="21"/>
          <w:szCs w:val="21"/>
        </w:rPr>
        <w:t xml:space="preserve"> </w:t>
      </w:r>
    </w:p>
    <w:p w14:paraId="1E74EBC2" w14:textId="39821BE5" w:rsidR="009B399B" w:rsidRPr="00CE6CA8" w:rsidRDefault="009B399B" w:rsidP="009B399B">
      <w:pPr>
        <w:pStyle w:val="Heading2"/>
        <w:rPr>
          <w:b w:val="0"/>
          <w:bCs w:val="0"/>
          <w:sz w:val="32"/>
          <w:szCs w:val="32"/>
        </w:rPr>
      </w:pPr>
      <w:r w:rsidRPr="00CE6CA8">
        <w:rPr>
          <w:b w:val="0"/>
          <w:bCs w:val="0"/>
          <w:sz w:val="32"/>
          <w:szCs w:val="32"/>
        </w:rPr>
        <w:lastRenderedPageBreak/>
        <w:t>Expert Panel Consideration:</w:t>
      </w:r>
    </w:p>
    <w:p w14:paraId="0685276E" w14:textId="77777777" w:rsidR="009B399B" w:rsidRPr="00CE6CA8" w:rsidRDefault="009B399B" w:rsidP="009B399B">
      <w:pPr>
        <w:pStyle w:val="Heading3"/>
        <w:rPr>
          <w:b w:val="0"/>
          <w:bCs w:val="0"/>
          <w:sz w:val="28"/>
          <w:szCs w:val="28"/>
        </w:rPr>
      </w:pPr>
      <w:r w:rsidRPr="00CE6CA8">
        <w:rPr>
          <w:b w:val="0"/>
          <w:bCs w:val="0"/>
          <w:sz w:val="28"/>
          <w:szCs w:val="28"/>
        </w:rPr>
        <w:t>Funding Criteria</w:t>
      </w:r>
    </w:p>
    <w:p w14:paraId="3D46520C" w14:textId="74A91EF0" w:rsidR="009B399B" w:rsidRPr="007E0BC4" w:rsidRDefault="00B81CA3" w:rsidP="009B399B">
      <w:pPr>
        <w:rPr>
          <w:sz w:val="21"/>
          <w:szCs w:val="21"/>
        </w:rPr>
      </w:pPr>
      <w:r w:rsidRPr="007E0BC4">
        <w:rPr>
          <w:sz w:val="21"/>
          <w:szCs w:val="21"/>
        </w:rPr>
        <w:t>To</w:t>
      </w:r>
      <w:r w:rsidR="009B399B" w:rsidRPr="007E0BC4">
        <w:rPr>
          <w:sz w:val="21"/>
          <w:szCs w:val="21"/>
        </w:rPr>
        <w:t xml:space="preserve"> be </w:t>
      </w:r>
      <w:r>
        <w:rPr>
          <w:sz w:val="21"/>
          <w:szCs w:val="21"/>
        </w:rPr>
        <w:t>listed on</w:t>
      </w:r>
      <w:r w:rsidR="009B399B" w:rsidRPr="007E0BC4">
        <w:rPr>
          <w:sz w:val="21"/>
          <w:szCs w:val="21"/>
        </w:rPr>
        <w:t xml:space="preserve"> the LSDP, a medicine must meet each of the LSDP funding criteria</w:t>
      </w:r>
      <w:r w:rsidR="009B399B">
        <w:rPr>
          <w:sz w:val="21"/>
          <w:szCs w:val="21"/>
        </w:rPr>
        <w:t xml:space="preserve"> A1-A8</w:t>
      </w:r>
      <w:r w:rsidR="009B399B" w:rsidRPr="007E0BC4">
        <w:rPr>
          <w:sz w:val="21"/>
          <w:szCs w:val="21"/>
        </w:rPr>
        <w:t>.</w:t>
      </w:r>
      <w:r w:rsidR="009B399B">
        <w:rPr>
          <w:sz w:val="21"/>
          <w:szCs w:val="21"/>
        </w:rPr>
        <w:t xml:space="preserve"> </w:t>
      </w:r>
      <w:r w:rsidR="009B399B" w:rsidRPr="00194FD5">
        <w:rPr>
          <w:sz w:val="21"/>
          <w:szCs w:val="21"/>
        </w:rPr>
        <w:t xml:space="preserve">A summary of the claims for </w:t>
      </w:r>
      <w:r w:rsidR="009B399B">
        <w:rPr>
          <w:sz w:val="21"/>
          <w:szCs w:val="21"/>
        </w:rPr>
        <w:t>sebelipase alfa</w:t>
      </w:r>
      <w:r w:rsidR="009B399B" w:rsidRPr="00194FD5">
        <w:rPr>
          <w:sz w:val="21"/>
          <w:szCs w:val="21"/>
        </w:rPr>
        <w:t xml:space="preserve"> against each criterion is presented below.</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1E0" w:firstRow="1" w:lastRow="1" w:firstColumn="1" w:lastColumn="1" w:noHBand="0" w:noVBand="0"/>
      </w:tblPr>
      <w:tblGrid>
        <w:gridCol w:w="709"/>
        <w:gridCol w:w="2684"/>
        <w:gridCol w:w="6388"/>
      </w:tblGrid>
      <w:tr w:rsidR="009B399B" w:rsidRPr="0079249E" w14:paraId="58216914" w14:textId="77777777" w:rsidTr="003357A6">
        <w:trPr>
          <w:trHeight w:val="484"/>
        </w:trPr>
        <w:tc>
          <w:tcPr>
            <w:tcW w:w="3393" w:type="dxa"/>
            <w:gridSpan w:val="2"/>
            <w:shd w:val="clear" w:color="auto" w:fill="1F253A" w:themeFill="accent1" w:themeFillShade="80"/>
          </w:tcPr>
          <w:p w14:paraId="4DC65AD8" w14:textId="77777777" w:rsidR="009B399B" w:rsidRPr="0079249E" w:rsidRDefault="009B399B" w:rsidP="00943D3B">
            <w:pPr>
              <w:pStyle w:val="TableHeaderWhite"/>
              <w:jc w:val="center"/>
              <w:rPr>
                <w:sz w:val="21"/>
                <w:szCs w:val="21"/>
              </w:rPr>
            </w:pPr>
            <w:r w:rsidRPr="0079249E">
              <w:rPr>
                <w:sz w:val="21"/>
                <w:szCs w:val="21"/>
              </w:rPr>
              <w:t>LSDP criteria</w:t>
            </w:r>
          </w:p>
        </w:tc>
        <w:tc>
          <w:tcPr>
            <w:tcW w:w="6388" w:type="dxa"/>
            <w:shd w:val="clear" w:color="auto" w:fill="1F253A" w:themeFill="accent1" w:themeFillShade="80"/>
          </w:tcPr>
          <w:p w14:paraId="4D97EB0E" w14:textId="77777777" w:rsidR="009B399B" w:rsidRPr="0079249E" w:rsidRDefault="009B399B" w:rsidP="00943D3B">
            <w:pPr>
              <w:pStyle w:val="TableHeaderWhite"/>
              <w:jc w:val="center"/>
              <w:rPr>
                <w:sz w:val="21"/>
                <w:szCs w:val="21"/>
              </w:rPr>
            </w:pPr>
            <w:r w:rsidRPr="0079249E">
              <w:rPr>
                <w:sz w:val="21"/>
                <w:szCs w:val="21"/>
              </w:rPr>
              <w:t>How sebelipase alfa meets the criteria</w:t>
            </w:r>
          </w:p>
        </w:tc>
      </w:tr>
      <w:tr w:rsidR="009B399B" w:rsidRPr="0079249E" w14:paraId="15467960" w14:textId="77777777" w:rsidTr="003357A6">
        <w:trPr>
          <w:trHeight w:val="2193"/>
        </w:trPr>
        <w:tc>
          <w:tcPr>
            <w:tcW w:w="709" w:type="dxa"/>
          </w:tcPr>
          <w:p w14:paraId="14C8FAD0" w14:textId="77777777" w:rsidR="009B399B" w:rsidRPr="0079249E" w:rsidRDefault="009B399B" w:rsidP="00345252">
            <w:pPr>
              <w:pStyle w:val="TableParagraph"/>
              <w:spacing w:before="0"/>
              <w:ind w:left="0"/>
              <w:rPr>
                <w:rFonts w:ascii="Arial" w:hAnsi="Arial" w:cs="Arial"/>
                <w:b/>
                <w:sz w:val="21"/>
                <w:szCs w:val="21"/>
              </w:rPr>
            </w:pPr>
            <w:r w:rsidRPr="0079249E">
              <w:rPr>
                <w:rFonts w:ascii="Arial" w:hAnsi="Arial" w:cs="Arial"/>
                <w:b/>
                <w:spacing w:val="-5"/>
                <w:sz w:val="21"/>
                <w:szCs w:val="21"/>
              </w:rPr>
              <w:t>A1</w:t>
            </w:r>
          </w:p>
        </w:tc>
        <w:tc>
          <w:tcPr>
            <w:tcW w:w="2684" w:type="dxa"/>
          </w:tcPr>
          <w:p w14:paraId="7D4AA92B" w14:textId="39008DAE" w:rsidR="009B399B" w:rsidRPr="00433030" w:rsidRDefault="009B399B" w:rsidP="00345252">
            <w:pPr>
              <w:pStyle w:val="TableParagraph"/>
              <w:spacing w:before="0"/>
              <w:ind w:left="0"/>
              <w:rPr>
                <w:rFonts w:ascii="Arial" w:hAnsi="Arial" w:cs="Arial"/>
                <w:b/>
                <w:sz w:val="21"/>
                <w:szCs w:val="21"/>
              </w:rPr>
            </w:pPr>
            <w:r w:rsidRPr="00433030">
              <w:rPr>
                <w:rFonts w:ascii="Arial" w:hAnsi="Arial" w:cs="Arial"/>
                <w:b/>
                <w:sz w:val="21"/>
                <w:szCs w:val="21"/>
              </w:rPr>
              <w:t>There is a rare but clinically definable</w:t>
            </w:r>
            <w:r w:rsidRPr="00433030">
              <w:rPr>
                <w:rFonts w:ascii="Arial" w:hAnsi="Arial" w:cs="Arial"/>
                <w:b/>
                <w:spacing w:val="-10"/>
                <w:sz w:val="21"/>
                <w:szCs w:val="21"/>
              </w:rPr>
              <w:t xml:space="preserve"> </w:t>
            </w:r>
            <w:r w:rsidRPr="00433030">
              <w:rPr>
                <w:rFonts w:ascii="Arial" w:hAnsi="Arial" w:cs="Arial"/>
                <w:b/>
                <w:sz w:val="21"/>
                <w:szCs w:val="21"/>
              </w:rPr>
              <w:t>disease</w:t>
            </w:r>
            <w:r w:rsidRPr="00433030">
              <w:rPr>
                <w:rFonts w:ascii="Arial" w:hAnsi="Arial" w:cs="Arial"/>
                <w:b/>
                <w:spacing w:val="-10"/>
                <w:sz w:val="21"/>
                <w:szCs w:val="21"/>
              </w:rPr>
              <w:t xml:space="preserve"> </w:t>
            </w:r>
            <w:r w:rsidRPr="00433030">
              <w:rPr>
                <w:rFonts w:ascii="Arial" w:hAnsi="Arial" w:cs="Arial"/>
                <w:b/>
                <w:sz w:val="21"/>
                <w:szCs w:val="21"/>
              </w:rPr>
              <w:t>for</w:t>
            </w:r>
            <w:r w:rsidRPr="00433030">
              <w:rPr>
                <w:rFonts w:ascii="Arial" w:hAnsi="Arial" w:cs="Arial"/>
                <w:b/>
                <w:spacing w:val="-9"/>
                <w:sz w:val="21"/>
                <w:szCs w:val="21"/>
              </w:rPr>
              <w:t xml:space="preserve"> </w:t>
            </w:r>
            <w:r w:rsidRPr="00433030">
              <w:rPr>
                <w:rFonts w:ascii="Arial" w:hAnsi="Arial" w:cs="Arial"/>
                <w:b/>
                <w:sz w:val="21"/>
                <w:szCs w:val="21"/>
              </w:rPr>
              <w:t>which</w:t>
            </w:r>
            <w:r w:rsidRPr="00433030">
              <w:rPr>
                <w:rFonts w:ascii="Arial" w:hAnsi="Arial" w:cs="Arial"/>
                <w:b/>
                <w:spacing w:val="-9"/>
                <w:sz w:val="21"/>
                <w:szCs w:val="21"/>
              </w:rPr>
              <w:t xml:space="preserve"> </w:t>
            </w:r>
            <w:r w:rsidRPr="00433030">
              <w:rPr>
                <w:rFonts w:ascii="Arial" w:hAnsi="Arial" w:cs="Arial"/>
                <w:b/>
                <w:sz w:val="21"/>
                <w:szCs w:val="21"/>
              </w:rPr>
              <w:t>the drug is regarded as a proven therapeutic modality, i.e. approved</w:t>
            </w:r>
            <w:r w:rsidRPr="00433030">
              <w:rPr>
                <w:rFonts w:ascii="Arial" w:hAnsi="Arial" w:cs="Arial"/>
                <w:b/>
                <w:spacing w:val="-8"/>
                <w:sz w:val="21"/>
                <w:szCs w:val="21"/>
              </w:rPr>
              <w:t xml:space="preserve"> </w:t>
            </w:r>
            <w:r w:rsidRPr="00433030">
              <w:rPr>
                <w:rFonts w:ascii="Arial" w:hAnsi="Arial" w:cs="Arial"/>
                <w:b/>
                <w:sz w:val="21"/>
                <w:szCs w:val="21"/>
              </w:rPr>
              <w:t>for</w:t>
            </w:r>
            <w:r w:rsidRPr="00433030">
              <w:rPr>
                <w:rFonts w:ascii="Arial" w:hAnsi="Arial" w:cs="Arial"/>
                <w:b/>
                <w:spacing w:val="-10"/>
                <w:sz w:val="21"/>
                <w:szCs w:val="21"/>
              </w:rPr>
              <w:t xml:space="preserve"> </w:t>
            </w:r>
            <w:r w:rsidRPr="00433030">
              <w:rPr>
                <w:rFonts w:ascii="Arial" w:hAnsi="Arial" w:cs="Arial"/>
                <w:b/>
                <w:sz w:val="21"/>
                <w:szCs w:val="21"/>
              </w:rPr>
              <w:t>that</w:t>
            </w:r>
            <w:r w:rsidRPr="00433030">
              <w:rPr>
                <w:rFonts w:ascii="Arial" w:hAnsi="Arial" w:cs="Arial"/>
                <w:b/>
                <w:spacing w:val="-9"/>
                <w:sz w:val="21"/>
                <w:szCs w:val="21"/>
              </w:rPr>
              <w:t xml:space="preserve"> </w:t>
            </w:r>
            <w:r w:rsidRPr="00433030">
              <w:rPr>
                <w:rFonts w:ascii="Arial" w:hAnsi="Arial" w:cs="Arial"/>
                <w:b/>
                <w:sz w:val="21"/>
                <w:szCs w:val="21"/>
              </w:rPr>
              <w:t>indication</w:t>
            </w:r>
            <w:r w:rsidRPr="00433030">
              <w:rPr>
                <w:rFonts w:ascii="Arial" w:hAnsi="Arial" w:cs="Arial"/>
                <w:b/>
                <w:spacing w:val="-10"/>
                <w:sz w:val="21"/>
                <w:szCs w:val="21"/>
              </w:rPr>
              <w:t xml:space="preserve"> </w:t>
            </w:r>
            <w:r w:rsidRPr="00433030">
              <w:rPr>
                <w:rFonts w:ascii="Arial" w:hAnsi="Arial" w:cs="Arial"/>
                <w:b/>
                <w:sz w:val="21"/>
                <w:szCs w:val="21"/>
              </w:rPr>
              <w:t xml:space="preserve">by the </w:t>
            </w:r>
            <w:r w:rsidR="00EC61C3">
              <w:rPr>
                <w:rFonts w:ascii="Arial" w:hAnsi="Arial" w:cs="Arial"/>
                <w:b/>
                <w:sz w:val="21"/>
                <w:szCs w:val="21"/>
              </w:rPr>
              <w:t>TGA</w:t>
            </w:r>
            <w:r w:rsidRPr="00433030">
              <w:rPr>
                <w:rFonts w:ascii="Arial" w:hAnsi="Arial" w:cs="Arial"/>
                <w:b/>
                <w:sz w:val="21"/>
                <w:szCs w:val="21"/>
              </w:rPr>
              <w:t xml:space="preserve"> (prevalence of</w:t>
            </w:r>
          </w:p>
          <w:p w14:paraId="3448CBE3" w14:textId="77777777" w:rsidR="009B399B" w:rsidRPr="00433030" w:rsidRDefault="009B399B" w:rsidP="00345252">
            <w:pPr>
              <w:pStyle w:val="TableParagraph"/>
              <w:spacing w:before="0"/>
              <w:ind w:left="0"/>
              <w:rPr>
                <w:rFonts w:ascii="Arial" w:hAnsi="Arial" w:cs="Arial"/>
                <w:b/>
                <w:sz w:val="21"/>
                <w:szCs w:val="21"/>
              </w:rPr>
            </w:pPr>
            <w:r w:rsidRPr="00433030">
              <w:rPr>
                <w:rFonts w:ascii="Arial" w:hAnsi="Arial" w:cs="Arial"/>
                <w:b/>
                <w:sz w:val="21"/>
                <w:szCs w:val="21"/>
              </w:rPr>
              <w:t>≤1</w:t>
            </w:r>
            <w:r w:rsidRPr="00433030">
              <w:rPr>
                <w:rFonts w:ascii="Arial" w:hAnsi="Arial" w:cs="Arial"/>
                <w:b/>
                <w:spacing w:val="-6"/>
                <w:sz w:val="21"/>
                <w:szCs w:val="21"/>
              </w:rPr>
              <w:t xml:space="preserve"> </w:t>
            </w:r>
            <w:r w:rsidRPr="00433030">
              <w:rPr>
                <w:rFonts w:ascii="Arial" w:hAnsi="Arial" w:cs="Arial"/>
                <w:b/>
                <w:sz w:val="21"/>
                <w:szCs w:val="21"/>
              </w:rPr>
              <w:t>per</w:t>
            </w:r>
            <w:r w:rsidRPr="00433030">
              <w:rPr>
                <w:rFonts w:ascii="Arial" w:hAnsi="Arial" w:cs="Arial"/>
                <w:b/>
                <w:spacing w:val="-4"/>
                <w:sz w:val="21"/>
                <w:szCs w:val="21"/>
              </w:rPr>
              <w:t xml:space="preserve"> </w:t>
            </w:r>
            <w:r w:rsidRPr="00433030">
              <w:rPr>
                <w:rFonts w:ascii="Arial" w:hAnsi="Arial" w:cs="Arial"/>
                <w:b/>
                <w:sz w:val="21"/>
                <w:szCs w:val="21"/>
              </w:rPr>
              <w:t>50,000</w:t>
            </w:r>
            <w:r w:rsidRPr="00433030">
              <w:rPr>
                <w:rFonts w:ascii="Arial" w:hAnsi="Arial" w:cs="Arial"/>
                <w:b/>
                <w:spacing w:val="-5"/>
                <w:sz w:val="21"/>
                <w:szCs w:val="21"/>
              </w:rPr>
              <w:t xml:space="preserve"> </w:t>
            </w:r>
            <w:r w:rsidRPr="00433030">
              <w:rPr>
                <w:rFonts w:ascii="Arial" w:hAnsi="Arial" w:cs="Arial"/>
                <w:b/>
                <w:spacing w:val="-2"/>
                <w:sz w:val="21"/>
                <w:szCs w:val="21"/>
              </w:rPr>
              <w:t>people).</w:t>
            </w:r>
          </w:p>
        </w:tc>
        <w:tc>
          <w:tcPr>
            <w:tcW w:w="6388" w:type="dxa"/>
          </w:tcPr>
          <w:p w14:paraId="65AC1249" w14:textId="2A228B22" w:rsidR="00B82348" w:rsidRPr="0079249E" w:rsidRDefault="00B82348" w:rsidP="00345252">
            <w:pPr>
              <w:spacing w:before="0" w:after="0" w:line="240" w:lineRule="auto"/>
              <w:rPr>
                <w:rFonts w:cs="Arial"/>
                <w:sz w:val="21"/>
                <w:szCs w:val="21"/>
              </w:rPr>
            </w:pPr>
            <w:r w:rsidRPr="00433030">
              <w:rPr>
                <w:rFonts w:cs="Arial"/>
                <w:sz w:val="21"/>
                <w:szCs w:val="21"/>
              </w:rPr>
              <w:t>The estimated birth incidence for the Australian population is one in every 528,000 to 704,000 births which meets the LSDP prevalence criteria.</w:t>
            </w:r>
          </w:p>
        </w:tc>
      </w:tr>
      <w:tr w:rsidR="009B399B" w:rsidRPr="0079249E" w14:paraId="159B8D1E" w14:textId="77777777" w:rsidTr="003357A6">
        <w:trPr>
          <w:trHeight w:val="1191"/>
        </w:trPr>
        <w:tc>
          <w:tcPr>
            <w:tcW w:w="709" w:type="dxa"/>
          </w:tcPr>
          <w:p w14:paraId="4BAB1F35" w14:textId="77777777" w:rsidR="009B399B" w:rsidRPr="0079249E" w:rsidRDefault="009B399B" w:rsidP="00345252">
            <w:pPr>
              <w:pStyle w:val="TableParagraph"/>
              <w:spacing w:before="0"/>
              <w:ind w:left="0"/>
              <w:rPr>
                <w:rFonts w:ascii="Arial" w:hAnsi="Arial" w:cs="Arial"/>
                <w:b/>
                <w:sz w:val="21"/>
                <w:szCs w:val="21"/>
              </w:rPr>
            </w:pPr>
            <w:r w:rsidRPr="0079249E">
              <w:rPr>
                <w:rFonts w:ascii="Arial" w:hAnsi="Arial" w:cs="Arial"/>
                <w:b/>
                <w:spacing w:val="-5"/>
                <w:sz w:val="21"/>
                <w:szCs w:val="21"/>
              </w:rPr>
              <w:t>A2</w:t>
            </w:r>
          </w:p>
        </w:tc>
        <w:tc>
          <w:tcPr>
            <w:tcW w:w="2684" w:type="dxa"/>
          </w:tcPr>
          <w:p w14:paraId="7ED90B18" w14:textId="7039002D" w:rsidR="009B399B" w:rsidRPr="0079249E" w:rsidRDefault="009B399B" w:rsidP="00345252">
            <w:pPr>
              <w:pStyle w:val="TableParagraph"/>
              <w:spacing w:before="0"/>
              <w:ind w:left="0" w:right="143"/>
              <w:rPr>
                <w:rFonts w:ascii="Arial" w:hAnsi="Arial" w:cs="Arial"/>
                <w:b/>
                <w:sz w:val="21"/>
                <w:szCs w:val="21"/>
              </w:rPr>
            </w:pPr>
            <w:r w:rsidRPr="00433030">
              <w:rPr>
                <w:rFonts w:ascii="Arial" w:hAnsi="Arial" w:cs="Arial"/>
                <w:b/>
                <w:sz w:val="21"/>
                <w:szCs w:val="21"/>
              </w:rPr>
              <w:t>The</w:t>
            </w:r>
            <w:r w:rsidRPr="00433030">
              <w:rPr>
                <w:rFonts w:ascii="Arial" w:hAnsi="Arial" w:cs="Arial"/>
                <w:b/>
                <w:spacing w:val="-10"/>
                <w:sz w:val="21"/>
                <w:szCs w:val="21"/>
              </w:rPr>
              <w:t xml:space="preserve"> </w:t>
            </w:r>
            <w:r w:rsidRPr="0079249E">
              <w:rPr>
                <w:rFonts w:ascii="Arial" w:hAnsi="Arial" w:cs="Arial"/>
                <w:b/>
                <w:sz w:val="21"/>
                <w:szCs w:val="21"/>
              </w:rPr>
              <w:t>disease</w:t>
            </w:r>
            <w:r w:rsidRPr="0079249E">
              <w:rPr>
                <w:rFonts w:ascii="Arial" w:hAnsi="Arial" w:cs="Arial"/>
                <w:b/>
                <w:spacing w:val="-10"/>
                <w:sz w:val="21"/>
                <w:szCs w:val="21"/>
              </w:rPr>
              <w:t xml:space="preserve"> </w:t>
            </w:r>
            <w:r w:rsidRPr="0079249E">
              <w:rPr>
                <w:rFonts w:ascii="Arial" w:hAnsi="Arial" w:cs="Arial"/>
                <w:b/>
                <w:sz w:val="21"/>
                <w:szCs w:val="21"/>
              </w:rPr>
              <w:t>is</w:t>
            </w:r>
            <w:r w:rsidRPr="0079249E">
              <w:rPr>
                <w:rFonts w:ascii="Arial" w:hAnsi="Arial" w:cs="Arial"/>
                <w:b/>
                <w:spacing w:val="-10"/>
                <w:sz w:val="21"/>
                <w:szCs w:val="21"/>
              </w:rPr>
              <w:t xml:space="preserve"> </w:t>
            </w:r>
            <w:r w:rsidRPr="0079249E">
              <w:rPr>
                <w:rFonts w:ascii="Arial" w:hAnsi="Arial" w:cs="Arial"/>
                <w:b/>
                <w:sz w:val="21"/>
                <w:szCs w:val="21"/>
              </w:rPr>
              <w:t>identifiable</w:t>
            </w:r>
            <w:r w:rsidRPr="0079249E">
              <w:rPr>
                <w:rFonts w:ascii="Arial" w:hAnsi="Arial" w:cs="Arial"/>
                <w:b/>
                <w:spacing w:val="-9"/>
                <w:sz w:val="21"/>
                <w:szCs w:val="21"/>
              </w:rPr>
              <w:t xml:space="preserve"> </w:t>
            </w:r>
            <w:r w:rsidRPr="0079249E">
              <w:rPr>
                <w:rFonts w:ascii="Arial" w:hAnsi="Arial" w:cs="Arial"/>
                <w:b/>
                <w:sz w:val="21"/>
                <w:szCs w:val="21"/>
              </w:rPr>
              <w:t>with reasonable diagnostic</w:t>
            </w:r>
            <w:r w:rsidRPr="0079249E">
              <w:rPr>
                <w:rFonts w:ascii="Arial" w:hAnsi="Arial" w:cs="Arial"/>
                <w:b/>
                <w:spacing w:val="40"/>
                <w:sz w:val="21"/>
                <w:szCs w:val="21"/>
              </w:rPr>
              <w:t xml:space="preserve"> </w:t>
            </w:r>
            <w:r w:rsidRPr="0079249E">
              <w:rPr>
                <w:rFonts w:ascii="Arial" w:hAnsi="Arial" w:cs="Arial"/>
                <w:b/>
                <w:spacing w:val="-2"/>
                <w:sz w:val="21"/>
                <w:szCs w:val="21"/>
              </w:rPr>
              <w:t>precision</w:t>
            </w:r>
            <w:r w:rsidR="00EC61C3">
              <w:rPr>
                <w:rFonts w:ascii="Arial" w:hAnsi="Arial" w:cs="Arial"/>
                <w:b/>
                <w:spacing w:val="-2"/>
                <w:sz w:val="21"/>
                <w:szCs w:val="21"/>
              </w:rPr>
              <w:t>.</w:t>
            </w:r>
          </w:p>
        </w:tc>
        <w:tc>
          <w:tcPr>
            <w:tcW w:w="6388" w:type="dxa"/>
          </w:tcPr>
          <w:p w14:paraId="669FA576" w14:textId="1DF3B139" w:rsidR="009B399B" w:rsidRPr="0079249E" w:rsidRDefault="005D27B3" w:rsidP="00345252">
            <w:pPr>
              <w:spacing w:before="0" w:after="0" w:line="240" w:lineRule="auto"/>
            </w:pPr>
            <w:r w:rsidRPr="0079249E">
              <w:rPr>
                <w:rFonts w:cs="Arial"/>
                <w:color w:val="auto"/>
                <w:sz w:val="21"/>
                <w:szCs w:val="21"/>
                <w:lang w:val="en-US"/>
              </w:rPr>
              <w:t>Infantile</w:t>
            </w:r>
            <w:r w:rsidR="00B81CA3">
              <w:rPr>
                <w:rFonts w:cs="Arial"/>
                <w:color w:val="auto"/>
                <w:sz w:val="21"/>
                <w:szCs w:val="21"/>
                <w:lang w:val="en-US"/>
              </w:rPr>
              <w:t>-</w:t>
            </w:r>
            <w:r w:rsidRPr="0079249E">
              <w:rPr>
                <w:rFonts w:cs="Arial"/>
                <w:color w:val="auto"/>
                <w:sz w:val="21"/>
                <w:szCs w:val="21"/>
                <w:lang w:val="en-US"/>
              </w:rPr>
              <w:t>onset LAL-D can be definitively diagnosed using a LAL enzyme-based blood test in patients with suspected LAL</w:t>
            </w:r>
            <w:r w:rsidRPr="0079249E">
              <w:rPr>
                <w:rFonts w:cs="Arial"/>
                <w:color w:val="auto"/>
                <w:sz w:val="21"/>
                <w:szCs w:val="21"/>
                <w:lang w:val="en-US"/>
              </w:rPr>
              <w:noBreakHyphen/>
              <w:t>D. This test forms part of the routine work-up of diagnosing patients with infantile</w:t>
            </w:r>
            <w:r w:rsidR="00B81CA3">
              <w:rPr>
                <w:rFonts w:cs="Arial"/>
                <w:color w:val="auto"/>
                <w:sz w:val="21"/>
                <w:szCs w:val="21"/>
                <w:lang w:val="en-US"/>
              </w:rPr>
              <w:t>-</w:t>
            </w:r>
            <w:r w:rsidRPr="0079249E">
              <w:rPr>
                <w:rFonts w:cs="Arial"/>
                <w:color w:val="auto"/>
                <w:sz w:val="21"/>
                <w:szCs w:val="21"/>
                <w:lang w:val="en-US"/>
              </w:rPr>
              <w:t>onset LAL-D. Although not essential for diagnosis, suspected LAL-D patients may also be tested using genetic testing.</w:t>
            </w:r>
          </w:p>
        </w:tc>
      </w:tr>
      <w:tr w:rsidR="009B399B" w:rsidRPr="0079249E" w14:paraId="65E8479D" w14:textId="77777777" w:rsidTr="003357A6">
        <w:trPr>
          <w:trHeight w:val="2008"/>
        </w:trPr>
        <w:tc>
          <w:tcPr>
            <w:tcW w:w="709" w:type="dxa"/>
          </w:tcPr>
          <w:p w14:paraId="0B8164EF" w14:textId="77777777" w:rsidR="009B399B" w:rsidRPr="0079249E" w:rsidRDefault="009B399B" w:rsidP="00345252">
            <w:pPr>
              <w:pStyle w:val="TableParagraph"/>
              <w:spacing w:before="0"/>
              <w:ind w:left="0"/>
              <w:rPr>
                <w:rFonts w:ascii="Arial" w:hAnsi="Arial" w:cs="Arial"/>
                <w:b/>
                <w:sz w:val="21"/>
                <w:szCs w:val="21"/>
              </w:rPr>
            </w:pPr>
            <w:r w:rsidRPr="0079249E">
              <w:rPr>
                <w:rFonts w:ascii="Arial" w:hAnsi="Arial" w:cs="Arial"/>
                <w:b/>
                <w:spacing w:val="-5"/>
                <w:sz w:val="21"/>
                <w:szCs w:val="21"/>
              </w:rPr>
              <w:t>A3</w:t>
            </w:r>
          </w:p>
        </w:tc>
        <w:tc>
          <w:tcPr>
            <w:tcW w:w="2684" w:type="dxa"/>
          </w:tcPr>
          <w:p w14:paraId="7E09DEAA" w14:textId="77777777" w:rsidR="009B399B" w:rsidRPr="0079249E" w:rsidRDefault="009B399B" w:rsidP="00345252">
            <w:pPr>
              <w:pStyle w:val="TableParagraph"/>
              <w:spacing w:before="0"/>
              <w:ind w:left="0"/>
              <w:rPr>
                <w:rFonts w:ascii="Arial" w:hAnsi="Arial" w:cs="Arial"/>
                <w:b/>
                <w:sz w:val="21"/>
                <w:szCs w:val="21"/>
              </w:rPr>
            </w:pPr>
            <w:r w:rsidRPr="00433030">
              <w:rPr>
                <w:rFonts w:ascii="Arial" w:hAnsi="Arial" w:cs="Arial"/>
                <w:b/>
                <w:sz w:val="21"/>
                <w:szCs w:val="21"/>
              </w:rPr>
              <w:t>Epidemiological and other studies provide evidence that the</w:t>
            </w:r>
            <w:r w:rsidRPr="0079249E">
              <w:rPr>
                <w:rFonts w:ascii="Arial" w:hAnsi="Arial" w:cs="Arial"/>
                <w:b/>
                <w:spacing w:val="-10"/>
                <w:sz w:val="21"/>
                <w:szCs w:val="21"/>
              </w:rPr>
              <w:t xml:space="preserve"> </w:t>
            </w:r>
            <w:r w:rsidRPr="0079249E">
              <w:rPr>
                <w:rFonts w:ascii="Arial" w:hAnsi="Arial" w:cs="Arial"/>
                <w:b/>
                <w:sz w:val="21"/>
                <w:szCs w:val="21"/>
              </w:rPr>
              <w:t>disease</w:t>
            </w:r>
            <w:r w:rsidRPr="0079249E">
              <w:rPr>
                <w:rFonts w:ascii="Arial" w:hAnsi="Arial" w:cs="Arial"/>
                <w:b/>
                <w:spacing w:val="-10"/>
                <w:sz w:val="21"/>
                <w:szCs w:val="21"/>
              </w:rPr>
              <w:t xml:space="preserve"> </w:t>
            </w:r>
            <w:r w:rsidRPr="0079249E">
              <w:rPr>
                <w:rFonts w:ascii="Arial" w:hAnsi="Arial" w:cs="Arial"/>
                <w:b/>
                <w:sz w:val="21"/>
                <w:szCs w:val="21"/>
              </w:rPr>
              <w:t>causes</w:t>
            </w:r>
            <w:r w:rsidRPr="0079249E">
              <w:rPr>
                <w:rFonts w:ascii="Arial" w:hAnsi="Arial" w:cs="Arial"/>
                <w:b/>
                <w:spacing w:val="-10"/>
                <w:sz w:val="21"/>
                <w:szCs w:val="21"/>
              </w:rPr>
              <w:t xml:space="preserve"> </w:t>
            </w:r>
            <w:r w:rsidRPr="0079249E">
              <w:rPr>
                <w:rFonts w:ascii="Arial" w:hAnsi="Arial" w:cs="Arial"/>
                <w:b/>
                <w:sz w:val="21"/>
                <w:szCs w:val="21"/>
              </w:rPr>
              <w:t>a</w:t>
            </w:r>
            <w:r w:rsidRPr="0079249E">
              <w:rPr>
                <w:rFonts w:ascii="Arial" w:hAnsi="Arial" w:cs="Arial"/>
                <w:b/>
                <w:spacing w:val="-10"/>
                <w:sz w:val="21"/>
                <w:szCs w:val="21"/>
              </w:rPr>
              <w:t xml:space="preserve"> </w:t>
            </w:r>
            <w:r w:rsidRPr="0079249E">
              <w:rPr>
                <w:rFonts w:ascii="Arial" w:hAnsi="Arial" w:cs="Arial"/>
                <w:b/>
                <w:sz w:val="21"/>
                <w:szCs w:val="21"/>
              </w:rPr>
              <w:t>significant reduction in age-specific life expectancy for those suffering from the disease</w:t>
            </w:r>
          </w:p>
        </w:tc>
        <w:tc>
          <w:tcPr>
            <w:tcW w:w="6388" w:type="dxa"/>
          </w:tcPr>
          <w:p w14:paraId="0632CCD2" w14:textId="1ADC23E1" w:rsidR="009B399B" w:rsidRPr="0079249E" w:rsidRDefault="00B82348" w:rsidP="00345252">
            <w:pPr>
              <w:spacing w:before="0" w:after="0" w:line="240" w:lineRule="auto"/>
            </w:pPr>
            <w:r w:rsidRPr="0079249E">
              <w:rPr>
                <w:rFonts w:cs="Arial"/>
                <w:sz w:val="21"/>
                <w:szCs w:val="21"/>
              </w:rPr>
              <w:t>A natural history study (LAL-1-NH01) was conducted which characterises patient survival and key manifestations of the clinical course of the disease in the absence of sebelipase alfa. Receiving best supportive care only, the median age of death was 3.71 months in the total population (n=35). The Kaplan-Meier estimate for the probability of survival past 12 months of age was 0.114.</w:t>
            </w:r>
          </w:p>
        </w:tc>
      </w:tr>
      <w:tr w:rsidR="009B399B" w:rsidRPr="0079249E" w14:paraId="4485CFA5" w14:textId="77777777" w:rsidTr="003357A6">
        <w:trPr>
          <w:trHeight w:val="1531"/>
        </w:trPr>
        <w:tc>
          <w:tcPr>
            <w:tcW w:w="709" w:type="dxa"/>
          </w:tcPr>
          <w:p w14:paraId="1B103C23" w14:textId="77777777" w:rsidR="009B399B" w:rsidRPr="0079249E" w:rsidRDefault="009B399B" w:rsidP="00345252">
            <w:pPr>
              <w:pStyle w:val="TableParagraph"/>
              <w:spacing w:before="0"/>
              <w:ind w:left="0"/>
              <w:rPr>
                <w:rFonts w:ascii="Arial" w:hAnsi="Arial" w:cs="Arial"/>
                <w:b/>
                <w:spacing w:val="-5"/>
                <w:sz w:val="21"/>
                <w:szCs w:val="21"/>
              </w:rPr>
            </w:pPr>
            <w:r w:rsidRPr="0079249E">
              <w:rPr>
                <w:rFonts w:ascii="Arial" w:hAnsi="Arial" w:cs="Arial"/>
                <w:b/>
                <w:spacing w:val="-5"/>
                <w:sz w:val="21"/>
                <w:szCs w:val="21"/>
              </w:rPr>
              <w:t>A4 </w:t>
            </w:r>
          </w:p>
        </w:tc>
        <w:tc>
          <w:tcPr>
            <w:tcW w:w="2684" w:type="dxa"/>
          </w:tcPr>
          <w:p w14:paraId="58DFC5FB" w14:textId="64E7FF00" w:rsidR="009B399B" w:rsidRPr="0079249E" w:rsidRDefault="009B399B" w:rsidP="00345252">
            <w:pPr>
              <w:pStyle w:val="TableParagraph"/>
              <w:spacing w:before="0"/>
              <w:ind w:left="0"/>
              <w:rPr>
                <w:rFonts w:ascii="Arial" w:hAnsi="Arial" w:cs="Arial"/>
                <w:b/>
                <w:spacing w:val="-5"/>
                <w:sz w:val="21"/>
                <w:szCs w:val="21"/>
              </w:rPr>
            </w:pPr>
            <w:r w:rsidRPr="00433030">
              <w:rPr>
                <w:rFonts w:ascii="Arial" w:hAnsi="Arial" w:cs="Arial"/>
                <w:b/>
                <w:spacing w:val="-5"/>
                <w:sz w:val="21"/>
                <w:szCs w:val="21"/>
              </w:rPr>
              <w:t xml:space="preserve">There is evidence to predict that a patient’s lifespan will be substantially extended as a direct consequence of the use </w:t>
            </w:r>
            <w:r w:rsidRPr="0079249E">
              <w:rPr>
                <w:rFonts w:ascii="Arial" w:hAnsi="Arial" w:cs="Arial"/>
                <w:b/>
                <w:spacing w:val="-5"/>
                <w:sz w:val="21"/>
                <w:szCs w:val="21"/>
              </w:rPr>
              <w:t>of the drug</w:t>
            </w:r>
            <w:r w:rsidR="00EE7248">
              <w:rPr>
                <w:rFonts w:ascii="Arial" w:hAnsi="Arial" w:cs="Arial"/>
                <w:b/>
                <w:spacing w:val="-5"/>
                <w:sz w:val="21"/>
                <w:szCs w:val="21"/>
              </w:rPr>
              <w:t>.</w:t>
            </w:r>
            <w:r w:rsidRPr="0079249E">
              <w:rPr>
                <w:rFonts w:ascii="Arial" w:hAnsi="Arial" w:cs="Arial"/>
                <w:b/>
                <w:spacing w:val="-5"/>
                <w:sz w:val="21"/>
                <w:szCs w:val="21"/>
              </w:rPr>
              <w:t> </w:t>
            </w:r>
          </w:p>
        </w:tc>
        <w:tc>
          <w:tcPr>
            <w:tcW w:w="6388" w:type="dxa"/>
          </w:tcPr>
          <w:p w14:paraId="751512F9" w14:textId="280B5958" w:rsidR="00B82348" w:rsidRPr="0079249E" w:rsidRDefault="00B82348" w:rsidP="00345252">
            <w:pPr>
              <w:spacing w:before="0" w:after="0" w:line="240" w:lineRule="auto"/>
              <w:rPr>
                <w:rFonts w:cs="Arial"/>
                <w:sz w:val="21"/>
                <w:szCs w:val="21"/>
              </w:rPr>
            </w:pPr>
            <w:r w:rsidRPr="0079249E">
              <w:rPr>
                <w:rFonts w:cs="Arial"/>
                <w:sz w:val="21"/>
                <w:szCs w:val="21"/>
              </w:rPr>
              <w:t xml:space="preserve">Comprehensive data from </w:t>
            </w:r>
            <w:r w:rsidR="00EE7248">
              <w:rPr>
                <w:rFonts w:cs="Arial"/>
                <w:sz w:val="21"/>
                <w:szCs w:val="21"/>
              </w:rPr>
              <w:t xml:space="preserve">sebelipase alfa studies </w:t>
            </w:r>
            <w:r w:rsidRPr="0079249E">
              <w:rPr>
                <w:rFonts w:cs="Arial"/>
                <w:sz w:val="21"/>
                <w:szCs w:val="21"/>
              </w:rPr>
              <w:t>LAL-CL03, LAL-CL08, the Alexion</w:t>
            </w:r>
            <w:r w:rsidR="00EC61C3">
              <w:rPr>
                <w:rFonts w:cs="Arial"/>
                <w:sz w:val="21"/>
                <w:szCs w:val="21"/>
              </w:rPr>
              <w:noBreakHyphen/>
            </w:r>
            <w:r w:rsidRPr="0079249E">
              <w:rPr>
                <w:rFonts w:cs="Arial"/>
                <w:sz w:val="21"/>
                <w:szCs w:val="21"/>
              </w:rPr>
              <w:t>sponsored Global LAL-D Registry and published literature demonstrate that sebelipase alfa substantially extends the life expectancy in patients with infantile</w:t>
            </w:r>
            <w:r w:rsidR="00480453" w:rsidRPr="0079249E">
              <w:rPr>
                <w:rFonts w:cs="Arial"/>
                <w:sz w:val="21"/>
                <w:szCs w:val="21"/>
              </w:rPr>
              <w:t>-</w:t>
            </w:r>
            <w:r w:rsidRPr="0079249E">
              <w:rPr>
                <w:rFonts w:cs="Arial"/>
                <w:sz w:val="21"/>
                <w:szCs w:val="21"/>
              </w:rPr>
              <w:t>onset LAL-D.</w:t>
            </w:r>
          </w:p>
        </w:tc>
      </w:tr>
      <w:tr w:rsidR="009B399B" w:rsidRPr="0079249E" w14:paraId="1FDA266E" w14:textId="77777777" w:rsidTr="003357A6">
        <w:trPr>
          <w:trHeight w:val="1583"/>
        </w:trPr>
        <w:tc>
          <w:tcPr>
            <w:tcW w:w="709" w:type="dxa"/>
          </w:tcPr>
          <w:p w14:paraId="5C7BCA13" w14:textId="77777777" w:rsidR="009B399B" w:rsidRPr="0079249E" w:rsidRDefault="009B399B" w:rsidP="00345252">
            <w:pPr>
              <w:pStyle w:val="TableParagraph"/>
              <w:spacing w:before="0"/>
              <w:ind w:left="0"/>
              <w:rPr>
                <w:rFonts w:ascii="Arial" w:hAnsi="Arial" w:cs="Arial"/>
                <w:b/>
                <w:spacing w:val="-5"/>
                <w:sz w:val="21"/>
                <w:szCs w:val="21"/>
              </w:rPr>
            </w:pPr>
            <w:r w:rsidRPr="0079249E">
              <w:rPr>
                <w:rFonts w:ascii="Arial" w:hAnsi="Arial" w:cs="Arial"/>
                <w:b/>
                <w:spacing w:val="-5"/>
                <w:sz w:val="21"/>
                <w:szCs w:val="21"/>
              </w:rPr>
              <w:t>A5</w:t>
            </w:r>
          </w:p>
        </w:tc>
        <w:tc>
          <w:tcPr>
            <w:tcW w:w="2684" w:type="dxa"/>
          </w:tcPr>
          <w:p w14:paraId="140432A4" w14:textId="5C09849C" w:rsidR="009B399B" w:rsidRPr="0079249E" w:rsidRDefault="009B399B" w:rsidP="00345252">
            <w:pPr>
              <w:pStyle w:val="TableParagraph"/>
              <w:spacing w:before="0"/>
              <w:ind w:left="0"/>
              <w:rPr>
                <w:rFonts w:ascii="Arial" w:hAnsi="Arial" w:cs="Arial"/>
                <w:b/>
                <w:spacing w:val="-5"/>
                <w:sz w:val="21"/>
                <w:szCs w:val="21"/>
              </w:rPr>
            </w:pPr>
            <w:r w:rsidRPr="00433030">
              <w:rPr>
                <w:rFonts w:ascii="Arial" w:hAnsi="Arial" w:cs="Arial"/>
                <w:b/>
                <w:spacing w:val="-5"/>
                <w:sz w:val="21"/>
                <w:szCs w:val="21"/>
              </w:rPr>
              <w:t>The drug must be accepted as clinically effective but rejected for PBS</w:t>
            </w:r>
            <w:r w:rsidR="003A24F0">
              <w:rPr>
                <w:rFonts w:ascii="Arial" w:hAnsi="Arial" w:cs="Arial"/>
                <w:b/>
                <w:spacing w:val="-5"/>
                <w:sz w:val="21"/>
                <w:szCs w:val="21"/>
              </w:rPr>
              <w:t xml:space="preserve"> </w:t>
            </w:r>
            <w:r w:rsidRPr="00433030">
              <w:rPr>
                <w:rFonts w:ascii="Arial" w:hAnsi="Arial" w:cs="Arial"/>
                <w:b/>
                <w:spacing w:val="-5"/>
                <w:sz w:val="21"/>
                <w:szCs w:val="21"/>
              </w:rPr>
              <w:t>listing because it fails to meet the requi</w:t>
            </w:r>
            <w:r w:rsidRPr="0079249E">
              <w:rPr>
                <w:rFonts w:ascii="Arial" w:hAnsi="Arial" w:cs="Arial"/>
                <w:b/>
                <w:spacing w:val="-5"/>
                <w:sz w:val="21"/>
                <w:szCs w:val="21"/>
              </w:rPr>
              <w:t>red cost effectiveness criteria. </w:t>
            </w:r>
          </w:p>
        </w:tc>
        <w:tc>
          <w:tcPr>
            <w:tcW w:w="6388" w:type="dxa"/>
          </w:tcPr>
          <w:p w14:paraId="00177B19" w14:textId="0A59388C" w:rsidR="009B399B" w:rsidRPr="0079249E" w:rsidRDefault="00B846F8" w:rsidP="00345252">
            <w:pPr>
              <w:pStyle w:val="TableParagraph"/>
              <w:spacing w:before="0"/>
              <w:ind w:right="160"/>
              <w:rPr>
                <w:rFonts w:ascii="Arial" w:hAnsi="Arial" w:cs="Arial"/>
                <w:sz w:val="21"/>
                <w:szCs w:val="21"/>
              </w:rPr>
            </w:pPr>
            <w:r w:rsidRPr="0079249E">
              <w:rPr>
                <w:rFonts w:ascii="Arial" w:hAnsi="Arial" w:cs="Arial"/>
                <w:sz w:val="21"/>
                <w:szCs w:val="21"/>
                <w:lang w:val="en-US"/>
              </w:rPr>
              <w:t xml:space="preserve">PBAC did not recommend the Section 100 (Highly </w:t>
            </w:r>
            <w:proofErr w:type="spellStart"/>
            <w:r w:rsidRPr="0079249E">
              <w:rPr>
                <w:rFonts w:ascii="Arial" w:hAnsi="Arial" w:cs="Arial"/>
                <w:sz w:val="21"/>
                <w:szCs w:val="21"/>
                <w:lang w:val="en-US"/>
              </w:rPr>
              <w:t>Specialised</w:t>
            </w:r>
            <w:proofErr w:type="spellEnd"/>
            <w:r w:rsidRPr="0079249E">
              <w:rPr>
                <w:rFonts w:ascii="Arial" w:hAnsi="Arial" w:cs="Arial"/>
                <w:sz w:val="21"/>
                <w:szCs w:val="21"/>
                <w:lang w:val="en-US"/>
              </w:rPr>
              <w:t xml:space="preserve"> Drugs Program) listing of sebelipase alfa for the treatment of infantile</w:t>
            </w:r>
            <w:r w:rsidR="00B81CA3">
              <w:rPr>
                <w:rFonts w:ascii="Arial" w:hAnsi="Arial" w:cs="Arial"/>
                <w:sz w:val="21"/>
                <w:szCs w:val="21"/>
                <w:lang w:val="en-US"/>
              </w:rPr>
              <w:t>-</w:t>
            </w:r>
            <w:r w:rsidRPr="0079249E">
              <w:rPr>
                <w:rFonts w:ascii="Arial" w:hAnsi="Arial" w:cs="Arial"/>
                <w:sz w:val="21"/>
                <w:szCs w:val="21"/>
                <w:lang w:val="en-US"/>
              </w:rPr>
              <w:t>onset LAL-D at its March 2022 meeting. PBAC considered sebelipase alfa was an effective treatment for infantile</w:t>
            </w:r>
            <w:r w:rsidR="00B81CA3">
              <w:rPr>
                <w:rFonts w:ascii="Arial" w:hAnsi="Arial" w:cs="Arial"/>
                <w:sz w:val="21"/>
                <w:szCs w:val="21"/>
                <w:lang w:val="en-US"/>
              </w:rPr>
              <w:t>-</w:t>
            </w:r>
            <w:r w:rsidRPr="0079249E">
              <w:rPr>
                <w:rFonts w:ascii="Arial" w:hAnsi="Arial" w:cs="Arial"/>
                <w:sz w:val="21"/>
                <w:szCs w:val="21"/>
                <w:lang w:val="en-US"/>
              </w:rPr>
              <w:t>onset LAL-D; however, the ICER for sebelipase alfa compared to best supportive care was extremely high and uncertain (5.</w:t>
            </w:r>
            <w:proofErr w:type="gramStart"/>
            <w:r w:rsidRPr="0079249E">
              <w:rPr>
                <w:rFonts w:ascii="Arial" w:hAnsi="Arial" w:cs="Arial"/>
                <w:sz w:val="21"/>
                <w:szCs w:val="21"/>
                <w:lang w:val="en-US"/>
              </w:rPr>
              <w:t>15.MINS</w:t>
            </w:r>
            <w:proofErr w:type="gramEnd"/>
            <w:r w:rsidRPr="0079249E">
              <w:rPr>
                <w:rFonts w:ascii="Arial" w:hAnsi="Arial" w:cs="Arial"/>
                <w:sz w:val="21"/>
                <w:szCs w:val="21"/>
                <w:lang w:val="en-US"/>
              </w:rPr>
              <w:t>.7.1).</w:t>
            </w:r>
          </w:p>
        </w:tc>
      </w:tr>
      <w:tr w:rsidR="009B399B" w:rsidRPr="0079249E" w14:paraId="5B303487" w14:textId="77777777" w:rsidTr="003357A6">
        <w:trPr>
          <w:trHeight w:val="2682"/>
        </w:trPr>
        <w:tc>
          <w:tcPr>
            <w:tcW w:w="709" w:type="dxa"/>
          </w:tcPr>
          <w:p w14:paraId="0F011438" w14:textId="77777777" w:rsidR="009B399B" w:rsidRPr="0079249E" w:rsidRDefault="009B399B" w:rsidP="00345252">
            <w:pPr>
              <w:pStyle w:val="TableParagraph"/>
              <w:spacing w:before="0"/>
              <w:ind w:left="0"/>
              <w:rPr>
                <w:rFonts w:ascii="Arial" w:hAnsi="Arial" w:cs="Arial"/>
                <w:b/>
                <w:spacing w:val="-5"/>
                <w:sz w:val="21"/>
                <w:szCs w:val="21"/>
              </w:rPr>
            </w:pPr>
            <w:r w:rsidRPr="0079249E">
              <w:rPr>
                <w:rFonts w:ascii="Arial" w:hAnsi="Arial" w:cs="Arial"/>
                <w:b/>
                <w:spacing w:val="-5"/>
                <w:sz w:val="21"/>
                <w:szCs w:val="21"/>
              </w:rPr>
              <w:lastRenderedPageBreak/>
              <w:t>A6</w:t>
            </w:r>
          </w:p>
        </w:tc>
        <w:tc>
          <w:tcPr>
            <w:tcW w:w="2684" w:type="dxa"/>
          </w:tcPr>
          <w:p w14:paraId="377169AF" w14:textId="77777777" w:rsidR="009B399B" w:rsidRPr="0079249E" w:rsidRDefault="009B399B" w:rsidP="00345252">
            <w:pPr>
              <w:pStyle w:val="TableParagraph"/>
              <w:spacing w:before="0"/>
              <w:ind w:left="0"/>
              <w:rPr>
                <w:rFonts w:ascii="Arial" w:hAnsi="Arial" w:cs="Arial"/>
                <w:b/>
                <w:spacing w:val="-5"/>
                <w:sz w:val="21"/>
                <w:szCs w:val="21"/>
              </w:rPr>
            </w:pPr>
            <w:r w:rsidRPr="00433030">
              <w:rPr>
                <w:rFonts w:ascii="Arial" w:hAnsi="Arial" w:cs="Arial"/>
                <w:b/>
                <w:spacing w:val="-5"/>
                <w:sz w:val="21"/>
                <w:szCs w:val="21"/>
              </w:rPr>
              <w:t xml:space="preserve">There is no alternative drug listed on the PBS or available for public hospital in-patients which can be used as </w:t>
            </w:r>
            <w:r w:rsidRPr="0079249E">
              <w:rPr>
                <w:rFonts w:ascii="Arial" w:hAnsi="Arial" w:cs="Arial"/>
                <w:b/>
                <w:spacing w:val="-5"/>
                <w:sz w:val="21"/>
                <w:szCs w:val="21"/>
              </w:rPr>
              <w:t>lifesaving treatment for the disease. However, the availability of an alternative drug under the LSDP does not disqualify the proposed drug from consideration for inclusion on the LSDP. </w:t>
            </w:r>
          </w:p>
        </w:tc>
        <w:tc>
          <w:tcPr>
            <w:tcW w:w="6388" w:type="dxa"/>
          </w:tcPr>
          <w:p w14:paraId="14F0210A" w14:textId="1C5F1D94" w:rsidR="0051480A" w:rsidRPr="0079249E" w:rsidRDefault="0051480A" w:rsidP="00345252">
            <w:pPr>
              <w:pStyle w:val="TableParagraph"/>
              <w:spacing w:before="0"/>
              <w:ind w:left="0"/>
              <w:rPr>
                <w:rFonts w:ascii="Arial" w:hAnsi="Arial" w:cs="Arial"/>
                <w:sz w:val="21"/>
                <w:szCs w:val="21"/>
              </w:rPr>
            </w:pPr>
            <w:r w:rsidRPr="0079249E">
              <w:rPr>
                <w:rFonts w:ascii="Arial" w:eastAsia="Times New Roman" w:hAnsi="Arial" w:cs="Arial"/>
                <w:sz w:val="21"/>
                <w:szCs w:val="21"/>
              </w:rPr>
              <w:t>There are no alternative medicines listed on the PBS or available for public hospital in-patients which can be used as a lifesaving treatment for infantile</w:t>
            </w:r>
            <w:r w:rsidR="00480453" w:rsidRPr="0079249E">
              <w:rPr>
                <w:rFonts w:ascii="Arial" w:eastAsia="Times New Roman" w:hAnsi="Arial" w:cs="Arial"/>
                <w:sz w:val="21"/>
                <w:szCs w:val="21"/>
              </w:rPr>
              <w:t>-</w:t>
            </w:r>
            <w:r w:rsidRPr="0079249E">
              <w:rPr>
                <w:rFonts w:ascii="Arial" w:eastAsia="Times New Roman" w:hAnsi="Arial" w:cs="Arial"/>
                <w:sz w:val="21"/>
                <w:szCs w:val="21"/>
              </w:rPr>
              <w:t>onset LAL-D. Current management of infantile</w:t>
            </w:r>
            <w:r w:rsidR="00480453" w:rsidRPr="0079249E">
              <w:rPr>
                <w:rFonts w:ascii="Arial" w:eastAsia="Times New Roman" w:hAnsi="Arial" w:cs="Arial"/>
                <w:sz w:val="21"/>
                <w:szCs w:val="21"/>
              </w:rPr>
              <w:t>-</w:t>
            </w:r>
            <w:r w:rsidRPr="0079249E">
              <w:rPr>
                <w:rFonts w:ascii="Arial" w:eastAsia="Times New Roman" w:hAnsi="Arial" w:cs="Arial"/>
                <w:sz w:val="21"/>
                <w:szCs w:val="21"/>
              </w:rPr>
              <w:t>onset LAL-D includes symptom-based treatment only, which fail</w:t>
            </w:r>
            <w:r w:rsidR="00CA56DC">
              <w:rPr>
                <w:rFonts w:ascii="Arial" w:eastAsia="Times New Roman" w:hAnsi="Arial" w:cs="Arial"/>
                <w:sz w:val="21"/>
                <w:szCs w:val="21"/>
              </w:rPr>
              <w:t>s</w:t>
            </w:r>
            <w:r w:rsidRPr="0079249E">
              <w:rPr>
                <w:rFonts w:ascii="Arial" w:eastAsia="Times New Roman" w:hAnsi="Arial" w:cs="Arial"/>
                <w:sz w:val="21"/>
                <w:szCs w:val="21"/>
              </w:rPr>
              <w:t xml:space="preserve"> to address the underlying cause of the disease and do</w:t>
            </w:r>
            <w:r w:rsidR="00CA56DC">
              <w:rPr>
                <w:rFonts w:ascii="Arial" w:eastAsia="Times New Roman" w:hAnsi="Arial" w:cs="Arial"/>
                <w:sz w:val="21"/>
                <w:szCs w:val="21"/>
              </w:rPr>
              <w:t>es</w:t>
            </w:r>
            <w:r w:rsidRPr="0079249E">
              <w:rPr>
                <w:rFonts w:ascii="Arial" w:eastAsia="Times New Roman" w:hAnsi="Arial" w:cs="Arial"/>
                <w:sz w:val="21"/>
                <w:szCs w:val="21"/>
              </w:rPr>
              <w:t xml:space="preserve"> not substantially improve patient outcome. Supportive therapies consist of nutritional support, blood transfusions, steroids and lipid-lowering treatments.</w:t>
            </w:r>
          </w:p>
        </w:tc>
      </w:tr>
      <w:tr w:rsidR="009B399B" w:rsidRPr="0079249E" w14:paraId="2E987C54" w14:textId="77777777" w:rsidTr="003357A6">
        <w:trPr>
          <w:trHeight w:val="1987"/>
        </w:trPr>
        <w:tc>
          <w:tcPr>
            <w:tcW w:w="709" w:type="dxa"/>
          </w:tcPr>
          <w:p w14:paraId="635C0C36" w14:textId="77777777" w:rsidR="009B399B" w:rsidRPr="0079249E" w:rsidRDefault="009B399B" w:rsidP="00345252">
            <w:pPr>
              <w:pStyle w:val="TableParagraph"/>
              <w:spacing w:before="0"/>
              <w:ind w:left="0"/>
              <w:rPr>
                <w:rFonts w:ascii="Arial" w:hAnsi="Arial" w:cs="Arial"/>
                <w:b/>
                <w:spacing w:val="-5"/>
                <w:sz w:val="21"/>
                <w:szCs w:val="21"/>
              </w:rPr>
            </w:pPr>
            <w:r w:rsidRPr="0079249E">
              <w:rPr>
                <w:rFonts w:ascii="Arial" w:hAnsi="Arial" w:cs="Arial"/>
                <w:b/>
                <w:spacing w:val="-5"/>
                <w:sz w:val="21"/>
                <w:szCs w:val="21"/>
              </w:rPr>
              <w:t>A7</w:t>
            </w:r>
          </w:p>
        </w:tc>
        <w:tc>
          <w:tcPr>
            <w:tcW w:w="2684" w:type="dxa"/>
          </w:tcPr>
          <w:p w14:paraId="5D4D6668" w14:textId="77777777" w:rsidR="009B399B" w:rsidRPr="0079249E" w:rsidRDefault="009B399B" w:rsidP="00345252">
            <w:pPr>
              <w:pStyle w:val="TableParagraph"/>
              <w:spacing w:before="0"/>
              <w:ind w:left="0"/>
              <w:rPr>
                <w:rFonts w:ascii="Arial" w:hAnsi="Arial" w:cs="Arial"/>
                <w:b/>
                <w:spacing w:val="-5"/>
                <w:sz w:val="21"/>
                <w:szCs w:val="21"/>
              </w:rPr>
            </w:pPr>
            <w:r w:rsidRPr="00433030">
              <w:rPr>
                <w:rFonts w:ascii="Arial" w:hAnsi="Arial" w:cs="Arial"/>
                <w:b/>
                <w:spacing w:val="-5"/>
                <w:sz w:val="21"/>
                <w:szCs w:val="21"/>
              </w:rPr>
              <w:t>There is no alternative nondrug therapeutic modality (</w:t>
            </w:r>
            <w:proofErr w:type="spellStart"/>
            <w:r w:rsidRPr="00433030">
              <w:rPr>
                <w:rFonts w:ascii="Arial" w:hAnsi="Arial" w:cs="Arial"/>
                <w:b/>
                <w:spacing w:val="-5"/>
                <w:sz w:val="21"/>
                <w:szCs w:val="21"/>
              </w:rPr>
              <w:t>eg</w:t>
            </w:r>
            <w:proofErr w:type="spellEnd"/>
            <w:r w:rsidRPr="00433030">
              <w:rPr>
                <w:rFonts w:ascii="Arial" w:hAnsi="Arial" w:cs="Arial"/>
                <w:b/>
                <w:spacing w:val="-5"/>
                <w:sz w:val="21"/>
                <w:szCs w:val="21"/>
              </w:rPr>
              <w:t> surgery, radiotherapy) which is recognis</w:t>
            </w:r>
            <w:r w:rsidRPr="0079249E">
              <w:rPr>
                <w:rFonts w:ascii="Arial" w:hAnsi="Arial" w:cs="Arial"/>
                <w:b/>
                <w:spacing w:val="-5"/>
                <w:sz w:val="21"/>
                <w:szCs w:val="21"/>
              </w:rPr>
              <w:t>ed by medical authorities as a suitable and cost-effective treatment for this condition. </w:t>
            </w:r>
          </w:p>
        </w:tc>
        <w:tc>
          <w:tcPr>
            <w:tcW w:w="6388" w:type="dxa"/>
          </w:tcPr>
          <w:p w14:paraId="7D5E881B" w14:textId="2472D284" w:rsidR="0051480A" w:rsidRPr="0079249E" w:rsidRDefault="0051480A" w:rsidP="00D61B67">
            <w:pPr>
              <w:pStyle w:val="TableParagraph"/>
              <w:spacing w:before="0"/>
              <w:ind w:left="0" w:right="160"/>
              <w:rPr>
                <w:rFonts w:ascii="Arial" w:hAnsi="Arial" w:cs="Arial"/>
                <w:sz w:val="21"/>
                <w:szCs w:val="21"/>
              </w:rPr>
            </w:pPr>
            <w:r w:rsidRPr="0079249E">
              <w:rPr>
                <w:rFonts w:ascii="Arial" w:eastAsia="Times New Roman" w:hAnsi="Arial" w:cs="Arial"/>
                <w:sz w:val="21"/>
                <w:szCs w:val="21"/>
              </w:rPr>
              <w:t>There is no alternative non-drug therapeutic modality which is recognised by medical authorities as a suitable treatment for infantile</w:t>
            </w:r>
            <w:r w:rsidR="00480453" w:rsidRPr="0079249E">
              <w:rPr>
                <w:rFonts w:ascii="Arial" w:eastAsia="Times New Roman" w:hAnsi="Arial" w:cs="Arial"/>
                <w:sz w:val="21"/>
                <w:szCs w:val="21"/>
              </w:rPr>
              <w:t>-</w:t>
            </w:r>
            <w:r w:rsidRPr="0079249E">
              <w:rPr>
                <w:rFonts w:ascii="Arial" w:eastAsia="Times New Roman" w:hAnsi="Arial" w:cs="Arial"/>
                <w:sz w:val="21"/>
                <w:szCs w:val="21"/>
              </w:rPr>
              <w:t>onset LAL-D</w:t>
            </w:r>
          </w:p>
        </w:tc>
      </w:tr>
      <w:tr w:rsidR="009B399B" w:rsidRPr="0079249E" w14:paraId="04544124" w14:textId="77777777" w:rsidTr="003357A6">
        <w:trPr>
          <w:trHeight w:val="2682"/>
        </w:trPr>
        <w:tc>
          <w:tcPr>
            <w:tcW w:w="709" w:type="dxa"/>
          </w:tcPr>
          <w:p w14:paraId="2AE67A8F" w14:textId="77777777" w:rsidR="009B399B" w:rsidRPr="0079249E" w:rsidRDefault="009B399B" w:rsidP="00345252">
            <w:pPr>
              <w:pStyle w:val="TableParagraph"/>
              <w:spacing w:before="123"/>
              <w:ind w:left="0"/>
              <w:rPr>
                <w:rFonts w:ascii="Arial" w:hAnsi="Arial" w:cs="Arial"/>
                <w:b/>
                <w:spacing w:val="-5"/>
                <w:sz w:val="21"/>
                <w:szCs w:val="21"/>
              </w:rPr>
            </w:pPr>
            <w:r w:rsidRPr="0079249E">
              <w:rPr>
                <w:rFonts w:ascii="Arial" w:hAnsi="Arial" w:cs="Arial"/>
                <w:b/>
                <w:spacing w:val="-5"/>
                <w:sz w:val="21"/>
                <w:szCs w:val="21"/>
              </w:rPr>
              <w:t>A8</w:t>
            </w:r>
          </w:p>
        </w:tc>
        <w:tc>
          <w:tcPr>
            <w:tcW w:w="2684" w:type="dxa"/>
          </w:tcPr>
          <w:p w14:paraId="66F883D5" w14:textId="77777777" w:rsidR="009B399B" w:rsidRPr="0079249E" w:rsidRDefault="009B399B" w:rsidP="00345252">
            <w:pPr>
              <w:pStyle w:val="TableParagraph"/>
              <w:ind w:left="0"/>
              <w:rPr>
                <w:rFonts w:ascii="Arial" w:hAnsi="Arial" w:cs="Arial"/>
                <w:b/>
                <w:spacing w:val="-5"/>
                <w:sz w:val="21"/>
                <w:szCs w:val="21"/>
              </w:rPr>
            </w:pPr>
            <w:r w:rsidRPr="0079249E">
              <w:rPr>
                <w:rFonts w:ascii="Arial" w:hAnsi="Arial" w:cs="Arial"/>
                <w:b/>
                <w:spacing w:val="-5"/>
                <w:sz w:val="21"/>
                <w:szCs w:val="21"/>
              </w:rPr>
              <w:t>The cost of the drug, defined as the cost per dose multiplied by the expected number of doses in a one-year period for the patient, would constitute an unreasonable financial burden on the patient or his/her guardian. </w:t>
            </w:r>
          </w:p>
        </w:tc>
        <w:tc>
          <w:tcPr>
            <w:tcW w:w="6388" w:type="dxa"/>
          </w:tcPr>
          <w:p w14:paraId="31AE3C83" w14:textId="3C6E17A0" w:rsidR="0051480A" w:rsidRPr="0079249E" w:rsidRDefault="0051480A" w:rsidP="000B322A">
            <w:pPr>
              <w:rPr>
                <w:sz w:val="21"/>
                <w:szCs w:val="21"/>
              </w:rPr>
            </w:pPr>
            <w:r w:rsidRPr="0079249E">
              <w:rPr>
                <w:rFonts w:cs="Arial"/>
                <w:sz w:val="21"/>
                <w:szCs w:val="21"/>
              </w:rPr>
              <w:t xml:space="preserve">The TGA recommended dosage regimen is 1 mg/kg of body weight, administered as an IV infusion once weekly, with potential dose escalation to 3 mg/kg or 5 mg/kg once weekly in the event of suboptimal response. </w:t>
            </w:r>
            <w:r w:rsidRPr="0079249E">
              <w:rPr>
                <w:rFonts w:cs="Arial"/>
                <w:sz w:val="21"/>
                <w:szCs w:val="21"/>
              </w:rPr>
              <w:br/>
              <w:t xml:space="preserve">At the proposed sebelipase alfa price of </w:t>
            </w:r>
            <w:r w:rsidRPr="002B401A">
              <w:rPr>
                <w:rFonts w:cs="Arial"/>
                <w:sz w:val="21"/>
                <w:szCs w:val="21"/>
              </w:rPr>
              <w:t>$</w:t>
            </w:r>
            <w:r w:rsidR="00F65940" w:rsidRPr="00F56807">
              <w:rPr>
                <w:rFonts w:cs="Arial"/>
                <w:color w:val="auto"/>
                <w:sz w:val="21"/>
                <w:szCs w:val="21"/>
                <w:highlight w:val="black"/>
              </w:rPr>
              <w:t>XXX</w:t>
            </w:r>
            <w:r w:rsidRPr="00F56807">
              <w:rPr>
                <w:rFonts w:cs="Arial"/>
                <w:sz w:val="21"/>
                <w:szCs w:val="21"/>
                <w:highlight w:val="black"/>
              </w:rPr>
              <w:t>,</w:t>
            </w:r>
            <w:r w:rsidRPr="0079249E">
              <w:rPr>
                <w:rFonts w:cs="Arial"/>
                <w:sz w:val="21"/>
                <w:szCs w:val="21"/>
              </w:rPr>
              <w:t xml:space="preserve"> the annual per patient treatment cost for a 10 kg infant would be </w:t>
            </w:r>
            <w:r w:rsidRPr="002B401A">
              <w:rPr>
                <w:rFonts w:cs="Arial"/>
                <w:sz w:val="21"/>
                <w:szCs w:val="21"/>
              </w:rPr>
              <w:t>$</w:t>
            </w:r>
            <w:r w:rsidR="00A21415" w:rsidRPr="00A21415">
              <w:rPr>
                <w:rFonts w:cs="Arial"/>
                <w:sz w:val="21"/>
                <w:szCs w:val="21"/>
                <w:highlight w:val="black"/>
              </w:rPr>
              <w:t>XXX</w:t>
            </w:r>
            <w:r w:rsidRPr="0079249E">
              <w:rPr>
                <w:rFonts w:cs="Arial"/>
                <w:sz w:val="21"/>
                <w:szCs w:val="21"/>
              </w:rPr>
              <w:t>, $</w:t>
            </w:r>
            <w:r w:rsidR="00A21415" w:rsidRPr="00A21415">
              <w:rPr>
                <w:rFonts w:cs="Arial"/>
                <w:sz w:val="21"/>
                <w:szCs w:val="21"/>
                <w:highlight w:val="black"/>
              </w:rPr>
              <w:t>XXX</w:t>
            </w:r>
            <w:r w:rsidRPr="0079249E">
              <w:rPr>
                <w:rFonts w:cs="Arial"/>
                <w:sz w:val="21"/>
                <w:szCs w:val="21"/>
              </w:rPr>
              <w:t>,</w:t>
            </w:r>
            <w:r w:rsidR="00A21415">
              <w:rPr>
                <w:rFonts w:cs="Arial"/>
                <w:sz w:val="21"/>
                <w:szCs w:val="21"/>
              </w:rPr>
              <w:t xml:space="preserve"> or $</w:t>
            </w:r>
            <w:r w:rsidR="00A21415" w:rsidRPr="00A21415">
              <w:rPr>
                <w:rFonts w:cs="Arial"/>
                <w:sz w:val="21"/>
                <w:szCs w:val="21"/>
                <w:highlight w:val="black"/>
              </w:rPr>
              <w:t>XXX</w:t>
            </w:r>
            <w:r w:rsidRPr="0079249E">
              <w:rPr>
                <w:rFonts w:cs="Arial"/>
                <w:sz w:val="21"/>
                <w:szCs w:val="21"/>
              </w:rPr>
              <w:t xml:space="preserve"> for a 1 mg/kg weekly dose, 3 mg/kg weekly dose or 5 mg/kg weekly dose, respectively, representing an unreasonable financial burden on the patient or guardian.</w:t>
            </w:r>
          </w:p>
        </w:tc>
      </w:tr>
    </w:tbl>
    <w:p w14:paraId="36B4196D" w14:textId="58F62377" w:rsidR="009B399B" w:rsidRPr="00CA6F72" w:rsidRDefault="009B399B" w:rsidP="009B399B">
      <w:pPr>
        <w:pStyle w:val="Heading3"/>
        <w:rPr>
          <w:b w:val="0"/>
          <w:bCs w:val="0"/>
          <w:sz w:val="28"/>
          <w:szCs w:val="28"/>
        </w:rPr>
      </w:pPr>
      <w:r w:rsidRPr="00CA6F72">
        <w:rPr>
          <w:b w:val="0"/>
          <w:bCs w:val="0"/>
          <w:sz w:val="28"/>
          <w:szCs w:val="28"/>
        </w:rPr>
        <w:t>Pricing</w:t>
      </w:r>
      <w:r w:rsidRPr="00CA6F72">
        <w:rPr>
          <w:b w:val="0"/>
          <w:bCs w:val="0"/>
          <w:spacing w:val="-2"/>
          <w:sz w:val="28"/>
          <w:szCs w:val="28"/>
        </w:rPr>
        <w:t xml:space="preserve"> issues</w:t>
      </w:r>
    </w:p>
    <w:p w14:paraId="59D93681" w14:textId="5F199007" w:rsidR="009B399B" w:rsidRPr="00D72438" w:rsidRDefault="00EC61C3" w:rsidP="00345252">
      <w:pPr>
        <w:pStyle w:val="PolicyStatement"/>
        <w:spacing w:before="120" w:after="0" w:line="259" w:lineRule="auto"/>
        <w:rPr>
          <w:szCs w:val="21"/>
        </w:rPr>
      </w:pPr>
      <w:r>
        <w:rPr>
          <w:szCs w:val="21"/>
        </w:rPr>
        <w:t>T</w:t>
      </w:r>
      <w:r w:rsidR="009B399B" w:rsidRPr="00D72438">
        <w:rPr>
          <w:szCs w:val="21"/>
        </w:rPr>
        <w:t>he</w:t>
      </w:r>
      <w:r w:rsidR="009B399B" w:rsidRPr="00D72438">
        <w:rPr>
          <w:spacing w:val="-5"/>
          <w:szCs w:val="21"/>
        </w:rPr>
        <w:t xml:space="preserve"> </w:t>
      </w:r>
      <w:r w:rsidR="009B399B" w:rsidRPr="00D72438">
        <w:rPr>
          <w:szCs w:val="21"/>
        </w:rPr>
        <w:t>price</w:t>
      </w:r>
      <w:r w:rsidR="009B399B" w:rsidRPr="00D72438">
        <w:rPr>
          <w:spacing w:val="-2"/>
          <w:szCs w:val="21"/>
        </w:rPr>
        <w:t xml:space="preserve"> </w:t>
      </w:r>
      <w:r w:rsidR="009B399B" w:rsidRPr="00D72438">
        <w:rPr>
          <w:szCs w:val="21"/>
        </w:rPr>
        <w:t>of</w:t>
      </w:r>
      <w:r w:rsidR="009B399B" w:rsidRPr="00D72438">
        <w:rPr>
          <w:spacing w:val="-4"/>
          <w:szCs w:val="21"/>
        </w:rPr>
        <w:t xml:space="preserve"> </w:t>
      </w:r>
      <w:r w:rsidR="009B399B" w:rsidRPr="00D72438">
        <w:rPr>
          <w:szCs w:val="21"/>
        </w:rPr>
        <w:t>all</w:t>
      </w:r>
      <w:r w:rsidR="009B399B" w:rsidRPr="00D72438">
        <w:rPr>
          <w:spacing w:val="-5"/>
          <w:szCs w:val="21"/>
        </w:rPr>
        <w:t xml:space="preserve"> </w:t>
      </w:r>
      <w:r w:rsidR="009B399B" w:rsidRPr="00D72438">
        <w:rPr>
          <w:szCs w:val="21"/>
        </w:rPr>
        <w:t>LSDP</w:t>
      </w:r>
      <w:r w:rsidR="009B399B" w:rsidRPr="00D72438">
        <w:rPr>
          <w:spacing w:val="-2"/>
          <w:szCs w:val="21"/>
        </w:rPr>
        <w:t xml:space="preserve"> </w:t>
      </w:r>
      <w:r w:rsidR="009B399B" w:rsidRPr="00D72438">
        <w:rPr>
          <w:szCs w:val="21"/>
        </w:rPr>
        <w:t>medicines</w:t>
      </w:r>
      <w:r w:rsidR="009B399B" w:rsidRPr="00D72438">
        <w:rPr>
          <w:spacing w:val="-2"/>
          <w:szCs w:val="21"/>
        </w:rPr>
        <w:t xml:space="preserve"> </w:t>
      </w:r>
      <w:r w:rsidR="009B399B" w:rsidRPr="00D72438">
        <w:rPr>
          <w:szCs w:val="21"/>
        </w:rPr>
        <w:t>are</w:t>
      </w:r>
      <w:r w:rsidR="009B399B" w:rsidRPr="00D72438">
        <w:rPr>
          <w:spacing w:val="-2"/>
          <w:szCs w:val="21"/>
        </w:rPr>
        <w:t xml:space="preserve"> </w:t>
      </w:r>
      <w:r w:rsidR="009B399B" w:rsidRPr="00D72438">
        <w:rPr>
          <w:szCs w:val="21"/>
        </w:rPr>
        <w:t>subject</w:t>
      </w:r>
      <w:r w:rsidR="009B399B" w:rsidRPr="00D72438">
        <w:rPr>
          <w:spacing w:val="-4"/>
          <w:szCs w:val="21"/>
        </w:rPr>
        <w:t xml:space="preserve"> </w:t>
      </w:r>
      <w:r w:rsidR="009B399B" w:rsidRPr="00D72438">
        <w:rPr>
          <w:szCs w:val="21"/>
        </w:rPr>
        <w:t>to</w:t>
      </w:r>
      <w:r w:rsidR="009B399B" w:rsidRPr="00D72438">
        <w:rPr>
          <w:spacing w:val="-3"/>
          <w:szCs w:val="21"/>
        </w:rPr>
        <w:t xml:space="preserve"> </w:t>
      </w:r>
      <w:r w:rsidR="009B399B" w:rsidRPr="00D72438">
        <w:rPr>
          <w:szCs w:val="21"/>
        </w:rPr>
        <w:t>commercial</w:t>
      </w:r>
      <w:r w:rsidR="009B399B" w:rsidRPr="00D72438">
        <w:rPr>
          <w:spacing w:val="-2"/>
          <w:szCs w:val="21"/>
        </w:rPr>
        <w:t xml:space="preserve"> </w:t>
      </w:r>
      <w:r w:rsidR="009B399B" w:rsidRPr="00D72438">
        <w:rPr>
          <w:szCs w:val="21"/>
        </w:rPr>
        <w:t>in</w:t>
      </w:r>
      <w:r w:rsidR="009B399B" w:rsidRPr="00D72438">
        <w:rPr>
          <w:spacing w:val="-6"/>
          <w:szCs w:val="21"/>
        </w:rPr>
        <w:t xml:space="preserve"> </w:t>
      </w:r>
      <w:r w:rsidR="009B399B" w:rsidRPr="00D72438">
        <w:rPr>
          <w:szCs w:val="21"/>
        </w:rPr>
        <w:t xml:space="preserve">confidence </w:t>
      </w:r>
      <w:r w:rsidR="009B399B" w:rsidRPr="00D72438">
        <w:rPr>
          <w:spacing w:val="-2"/>
          <w:szCs w:val="21"/>
        </w:rPr>
        <w:t>arrangements.</w:t>
      </w:r>
    </w:p>
    <w:p w14:paraId="736E5503" w14:textId="77777777" w:rsidR="009B399B" w:rsidRPr="00CE6CA8" w:rsidRDefault="009B399B" w:rsidP="009B399B">
      <w:pPr>
        <w:pStyle w:val="Heading2"/>
        <w:rPr>
          <w:b w:val="0"/>
          <w:bCs w:val="0"/>
          <w:sz w:val="32"/>
          <w:szCs w:val="32"/>
        </w:rPr>
      </w:pPr>
      <w:r w:rsidRPr="00CE6CA8">
        <w:rPr>
          <w:b w:val="0"/>
          <w:bCs w:val="0"/>
          <w:sz w:val="32"/>
          <w:szCs w:val="32"/>
        </w:rPr>
        <w:t>Consumer Input:</w:t>
      </w:r>
    </w:p>
    <w:p w14:paraId="6AC03DF6" w14:textId="4F74E1D4" w:rsidR="009B399B" w:rsidRPr="00194FD5" w:rsidRDefault="009B399B" w:rsidP="009B399B">
      <w:pPr>
        <w:rPr>
          <w:sz w:val="21"/>
          <w:szCs w:val="21"/>
        </w:rPr>
      </w:pPr>
      <w:r w:rsidRPr="00194FD5">
        <w:rPr>
          <w:sz w:val="21"/>
          <w:szCs w:val="21"/>
        </w:rPr>
        <w:t xml:space="preserve">The </w:t>
      </w:r>
      <w:r w:rsidR="00A31D54" w:rsidRPr="00A31D54">
        <w:rPr>
          <w:color w:val="auto"/>
          <w:sz w:val="21"/>
          <w:szCs w:val="21"/>
        </w:rPr>
        <w:t>Expert</w:t>
      </w:r>
      <w:r w:rsidR="00A31D54">
        <w:rPr>
          <w:b/>
          <w:bCs/>
          <w:color w:val="auto"/>
          <w:sz w:val="21"/>
          <w:szCs w:val="21"/>
        </w:rPr>
        <w:t xml:space="preserve"> </w:t>
      </w:r>
      <w:r w:rsidRPr="00194FD5">
        <w:rPr>
          <w:sz w:val="21"/>
          <w:szCs w:val="21"/>
        </w:rPr>
        <w:t xml:space="preserve">Panel noted the </w:t>
      </w:r>
      <w:r w:rsidR="00902CC8">
        <w:rPr>
          <w:sz w:val="21"/>
          <w:szCs w:val="21"/>
        </w:rPr>
        <w:t>stakeholder</w:t>
      </w:r>
      <w:r w:rsidR="00902CC8" w:rsidRPr="00194FD5">
        <w:rPr>
          <w:sz w:val="21"/>
          <w:szCs w:val="21"/>
        </w:rPr>
        <w:t xml:space="preserve"> </w:t>
      </w:r>
      <w:r w:rsidRPr="00194FD5">
        <w:rPr>
          <w:sz w:val="21"/>
          <w:szCs w:val="21"/>
        </w:rPr>
        <w:t>input from</w:t>
      </w:r>
      <w:r w:rsidR="00F65940">
        <w:rPr>
          <w:sz w:val="21"/>
          <w:szCs w:val="21"/>
        </w:rPr>
        <w:t xml:space="preserve"> the</w:t>
      </w:r>
      <w:r w:rsidRPr="00194FD5">
        <w:rPr>
          <w:sz w:val="21"/>
          <w:szCs w:val="21"/>
        </w:rPr>
        <w:t xml:space="preserve"> PBAC</w:t>
      </w:r>
      <w:r w:rsidR="00F65940">
        <w:rPr>
          <w:sz w:val="21"/>
          <w:szCs w:val="21"/>
        </w:rPr>
        <w:t xml:space="preserve"> </w:t>
      </w:r>
      <w:r w:rsidRPr="00194FD5">
        <w:rPr>
          <w:sz w:val="21"/>
          <w:szCs w:val="21"/>
        </w:rPr>
        <w:t xml:space="preserve">application. </w:t>
      </w:r>
    </w:p>
    <w:p w14:paraId="2212B737" w14:textId="77777777" w:rsidR="009B399B" w:rsidRPr="00CE6CA8" w:rsidRDefault="009B399B" w:rsidP="009B399B">
      <w:pPr>
        <w:pStyle w:val="Heading3"/>
        <w:rPr>
          <w:b w:val="0"/>
          <w:bCs w:val="0"/>
          <w:szCs w:val="32"/>
        </w:rPr>
      </w:pPr>
      <w:r w:rsidRPr="00CE6CA8">
        <w:rPr>
          <w:b w:val="0"/>
          <w:bCs w:val="0"/>
          <w:szCs w:val="32"/>
        </w:rPr>
        <w:t>Treatment</w:t>
      </w:r>
      <w:r w:rsidRPr="00CE6CA8">
        <w:rPr>
          <w:b w:val="0"/>
          <w:bCs w:val="0"/>
          <w:spacing w:val="-1"/>
          <w:szCs w:val="32"/>
        </w:rPr>
        <w:t xml:space="preserve"> </w:t>
      </w:r>
      <w:r w:rsidRPr="00CE6CA8">
        <w:rPr>
          <w:b w:val="0"/>
          <w:bCs w:val="0"/>
          <w:szCs w:val="32"/>
        </w:rPr>
        <w:t>Guidelines:</w:t>
      </w:r>
    </w:p>
    <w:p w14:paraId="430B8688" w14:textId="4AD03B19" w:rsidR="009B399B" w:rsidRDefault="009B399B" w:rsidP="009B399B">
      <w:pPr>
        <w:rPr>
          <w:sz w:val="21"/>
          <w:szCs w:val="21"/>
        </w:rPr>
      </w:pPr>
      <w:r w:rsidRPr="00512439">
        <w:rPr>
          <w:sz w:val="21"/>
          <w:szCs w:val="21"/>
        </w:rPr>
        <w:t xml:space="preserve">The Guidelines for the treatment of </w:t>
      </w:r>
      <w:r w:rsidRPr="00512439">
        <w:rPr>
          <w:rFonts w:eastAsia="Calibri" w:cs="Arial"/>
          <w:sz w:val="21"/>
          <w:szCs w:val="21"/>
        </w:rPr>
        <w:t>infantile-onset LAL-D</w:t>
      </w:r>
      <w:r w:rsidRPr="00512439">
        <w:rPr>
          <w:sz w:val="21"/>
          <w:szCs w:val="21"/>
        </w:rPr>
        <w:t xml:space="preserve"> </w:t>
      </w:r>
      <w:r w:rsidR="00F65940" w:rsidRPr="00512439">
        <w:rPr>
          <w:sz w:val="21"/>
          <w:szCs w:val="21"/>
        </w:rPr>
        <w:t xml:space="preserve">on </w:t>
      </w:r>
      <w:r w:rsidRPr="00512439">
        <w:rPr>
          <w:sz w:val="21"/>
          <w:szCs w:val="21"/>
        </w:rPr>
        <w:t xml:space="preserve">the LSDP stipulate initial and ongoing eligibility requirements. The diagnosis of infantile-onset LAL-D must be confirmed by evidence demonstrating no detectable or severe deficiency in LAL enzyme activity when tested at the National Referral Laboratory and </w:t>
      </w:r>
      <w:r w:rsidRPr="00512439">
        <w:rPr>
          <w:rFonts w:cstheme="minorHAnsi"/>
          <w:i/>
          <w:iCs/>
          <w:sz w:val="21"/>
          <w:szCs w:val="21"/>
        </w:rPr>
        <w:t>LAL (LIPA)</w:t>
      </w:r>
      <w:r w:rsidRPr="00512439">
        <w:rPr>
          <w:rFonts w:cstheme="minorHAnsi"/>
          <w:sz w:val="21"/>
          <w:szCs w:val="21"/>
        </w:rPr>
        <w:t xml:space="preserve"> </w:t>
      </w:r>
      <w:r w:rsidRPr="00512439">
        <w:rPr>
          <w:sz w:val="21"/>
          <w:szCs w:val="21"/>
        </w:rPr>
        <w:t>mutations on genetic testing (noting treatment may commence prior to the results of the genetic test being available if necessary). Diagnosis of infantile-onset LAL-D must be confirmed when the patient is under 12 months of age</w:t>
      </w:r>
      <w:r>
        <w:rPr>
          <w:sz w:val="21"/>
          <w:szCs w:val="21"/>
        </w:rPr>
        <w:t>.</w:t>
      </w:r>
    </w:p>
    <w:p w14:paraId="04E207B1" w14:textId="77777777" w:rsidR="009B399B" w:rsidRPr="00CE6CA8" w:rsidRDefault="009B399B" w:rsidP="009B399B">
      <w:pPr>
        <w:pStyle w:val="Heading3"/>
        <w:rPr>
          <w:rFonts w:eastAsia="Calibri"/>
          <w:b w:val="0"/>
          <w:bCs w:val="0"/>
          <w:szCs w:val="32"/>
        </w:rPr>
      </w:pPr>
      <w:r w:rsidRPr="00CE6CA8">
        <w:rPr>
          <w:rFonts w:eastAsia="Calibri"/>
          <w:b w:val="0"/>
          <w:bCs w:val="0"/>
          <w:szCs w:val="32"/>
        </w:rPr>
        <w:lastRenderedPageBreak/>
        <w:t>Management of</w:t>
      </w:r>
      <w:r w:rsidRPr="00CE6CA8">
        <w:rPr>
          <w:rFonts w:eastAsia="Calibri"/>
          <w:b w:val="0"/>
          <w:bCs w:val="0"/>
          <w:spacing w:val="-1"/>
          <w:szCs w:val="32"/>
        </w:rPr>
        <w:t xml:space="preserve"> </w:t>
      </w:r>
      <w:r w:rsidRPr="00CE6CA8">
        <w:rPr>
          <w:rFonts w:eastAsia="Calibri"/>
          <w:b w:val="0"/>
          <w:bCs w:val="0"/>
          <w:szCs w:val="32"/>
        </w:rPr>
        <w:t>Uncertainties</w:t>
      </w:r>
    </w:p>
    <w:p w14:paraId="6E4DC872" w14:textId="163F1C56" w:rsidR="009B399B" w:rsidRPr="00BF1308" w:rsidRDefault="009B399B" w:rsidP="009B399B">
      <w:pPr>
        <w:rPr>
          <w:rFonts w:cs="Arial"/>
          <w:sz w:val="21"/>
          <w:szCs w:val="21"/>
        </w:rPr>
      </w:pPr>
      <w:r w:rsidRPr="00EF18E8">
        <w:rPr>
          <w:rFonts w:eastAsia="Calibri" w:cs="Arial"/>
          <w:sz w:val="21"/>
          <w:szCs w:val="21"/>
        </w:rPr>
        <w:t>To address uncertainties, clinical data will be collected through initial and ongoing applications to the LSDP. In line with LSDP policy and to manage uncertainties</w:t>
      </w:r>
      <w:r>
        <w:rPr>
          <w:rFonts w:cs="Arial"/>
          <w:sz w:val="21"/>
          <w:szCs w:val="21"/>
        </w:rPr>
        <w:t>, s</w:t>
      </w:r>
      <w:r w:rsidRPr="00BF1308">
        <w:rPr>
          <w:rFonts w:cs="Arial"/>
          <w:sz w:val="21"/>
          <w:szCs w:val="21"/>
        </w:rPr>
        <w:t xml:space="preserve">ebelipase alfa </w:t>
      </w:r>
      <w:r>
        <w:rPr>
          <w:rFonts w:cs="Arial"/>
          <w:sz w:val="21"/>
          <w:szCs w:val="21"/>
        </w:rPr>
        <w:t>will</w:t>
      </w:r>
      <w:r w:rsidRPr="00BF1308">
        <w:rPr>
          <w:rFonts w:cs="Arial"/>
          <w:sz w:val="21"/>
          <w:szCs w:val="21"/>
        </w:rPr>
        <w:t xml:space="preserve"> be subject to a post listing review triggered when there are either at least </w:t>
      </w:r>
      <w:r w:rsidR="00FC3C51" w:rsidRPr="00FC3C51">
        <w:rPr>
          <w:rFonts w:cs="Arial"/>
          <w:sz w:val="21"/>
          <w:szCs w:val="21"/>
          <w:highlight w:val="black"/>
        </w:rPr>
        <w:t>X</w:t>
      </w:r>
      <w:r w:rsidR="00FC3C51" w:rsidRPr="00FC3C51">
        <w:rPr>
          <w:rFonts w:cs="Arial"/>
          <w:sz w:val="21"/>
          <w:szCs w:val="21"/>
        </w:rPr>
        <w:t xml:space="preserve"> </w:t>
      </w:r>
      <w:r w:rsidRPr="00BF1308">
        <w:rPr>
          <w:rFonts w:cs="Arial"/>
          <w:sz w:val="21"/>
          <w:szCs w:val="21"/>
        </w:rPr>
        <w:t xml:space="preserve">patients accessing </w:t>
      </w:r>
      <w:proofErr w:type="spellStart"/>
      <w:r w:rsidRPr="00BF1308">
        <w:rPr>
          <w:rFonts w:cs="Arial"/>
          <w:sz w:val="21"/>
          <w:szCs w:val="21"/>
        </w:rPr>
        <w:t>sebelipase</w:t>
      </w:r>
      <w:proofErr w:type="spellEnd"/>
      <w:r w:rsidRPr="00BF1308">
        <w:rPr>
          <w:rFonts w:cs="Arial"/>
          <w:sz w:val="21"/>
          <w:szCs w:val="21"/>
        </w:rPr>
        <w:t xml:space="preserve"> alfa through the LSDP and all patients have been on the LSDP for at least 12 months, or sebelipase alfa has been on the LSDP for 5 years, whichever comes first. </w:t>
      </w:r>
    </w:p>
    <w:p w14:paraId="390FB1A1" w14:textId="77777777" w:rsidR="009B399B" w:rsidRPr="00CE6CA8" w:rsidRDefault="009B399B" w:rsidP="009B399B">
      <w:pPr>
        <w:pStyle w:val="Heading2"/>
        <w:rPr>
          <w:b w:val="0"/>
          <w:bCs w:val="0"/>
          <w:sz w:val="32"/>
          <w:szCs w:val="32"/>
        </w:rPr>
      </w:pPr>
      <w:r w:rsidRPr="00CE6CA8">
        <w:rPr>
          <w:b w:val="0"/>
          <w:bCs w:val="0"/>
          <w:sz w:val="32"/>
          <w:szCs w:val="32"/>
        </w:rPr>
        <w:t>Context:</w:t>
      </w:r>
    </w:p>
    <w:p w14:paraId="2A1E3CD7" w14:textId="31781290" w:rsidR="009B399B" w:rsidRPr="00512439" w:rsidRDefault="009B399B" w:rsidP="009B399B">
      <w:pPr>
        <w:rPr>
          <w:sz w:val="21"/>
          <w:szCs w:val="21"/>
        </w:rPr>
      </w:pPr>
      <w:r w:rsidRPr="00512439">
        <w:rPr>
          <w:sz w:val="21"/>
          <w:szCs w:val="21"/>
        </w:rPr>
        <w:t xml:space="preserve">The LSDP provides access for eligible patients with </w:t>
      </w:r>
      <w:r w:rsidR="00EC61C3">
        <w:rPr>
          <w:sz w:val="21"/>
          <w:szCs w:val="21"/>
        </w:rPr>
        <w:t>ultra-</w:t>
      </w:r>
      <w:r w:rsidRPr="00512439">
        <w:rPr>
          <w:sz w:val="21"/>
          <w:szCs w:val="21"/>
        </w:rPr>
        <w:t xml:space="preserve">rare and life-threatening diseases to essential and very expensive medicines. The LSDP provides eligible patients with access to these </w:t>
      </w:r>
      <w:proofErr w:type="spellStart"/>
      <w:r w:rsidRPr="00512439">
        <w:rPr>
          <w:sz w:val="21"/>
          <w:szCs w:val="21"/>
        </w:rPr>
        <w:t>life</w:t>
      </w:r>
      <w:r w:rsidR="00EC61C3">
        <w:rPr>
          <w:sz w:val="21"/>
          <w:szCs w:val="21"/>
        </w:rPr>
        <w:t xml:space="preserve"> </w:t>
      </w:r>
      <w:r w:rsidRPr="00512439">
        <w:rPr>
          <w:sz w:val="21"/>
          <w:szCs w:val="21"/>
        </w:rPr>
        <w:t>saving</w:t>
      </w:r>
      <w:proofErr w:type="spellEnd"/>
      <w:r w:rsidRPr="00512439">
        <w:rPr>
          <w:sz w:val="21"/>
          <w:szCs w:val="21"/>
        </w:rPr>
        <w:t xml:space="preserve"> medicines at no expense to the patients or their families.</w:t>
      </w:r>
    </w:p>
    <w:p w14:paraId="6510C54B" w14:textId="77777777" w:rsidR="009B399B" w:rsidRPr="00512439" w:rsidRDefault="009B399B" w:rsidP="009B399B">
      <w:pPr>
        <w:rPr>
          <w:sz w:val="21"/>
          <w:szCs w:val="21"/>
        </w:rPr>
      </w:pPr>
      <w:r w:rsidRPr="00512439">
        <w:rPr>
          <w:sz w:val="21"/>
          <w:szCs w:val="21"/>
        </w:rPr>
        <w:t>Before being considered for inclusion on the LSDP, a drug must first be considered by PBAC and accepted as clinically effective but rejected for PBS listing because it fails to meet the required cost effectiveness criteria.</w:t>
      </w:r>
    </w:p>
    <w:p w14:paraId="4F6DA922" w14:textId="24C805B9" w:rsidR="009B399B" w:rsidRPr="00512439" w:rsidRDefault="009B399B" w:rsidP="009B399B">
      <w:pPr>
        <w:rPr>
          <w:sz w:val="21"/>
          <w:szCs w:val="21"/>
        </w:rPr>
      </w:pPr>
      <w:r w:rsidRPr="00512439">
        <w:rPr>
          <w:sz w:val="21"/>
          <w:szCs w:val="21"/>
        </w:rPr>
        <w:t xml:space="preserve">All applications for new medicines seeking funding through the LSDP are considered by the </w:t>
      </w:r>
      <w:r w:rsidR="00A31D54">
        <w:rPr>
          <w:sz w:val="21"/>
          <w:szCs w:val="21"/>
        </w:rPr>
        <w:t xml:space="preserve">Expert </w:t>
      </w:r>
      <w:r w:rsidRPr="00512439">
        <w:rPr>
          <w:sz w:val="21"/>
          <w:szCs w:val="21"/>
        </w:rPr>
        <w:t xml:space="preserve">Panel. The role of the </w:t>
      </w:r>
      <w:r w:rsidR="00A31D54">
        <w:rPr>
          <w:sz w:val="21"/>
          <w:szCs w:val="21"/>
        </w:rPr>
        <w:t xml:space="preserve">Expert </w:t>
      </w:r>
      <w:r w:rsidR="00341CA8" w:rsidRPr="00512439">
        <w:rPr>
          <w:sz w:val="21"/>
          <w:szCs w:val="21"/>
        </w:rPr>
        <w:t>P</w:t>
      </w:r>
      <w:r w:rsidRPr="00512439">
        <w:rPr>
          <w:sz w:val="21"/>
          <w:szCs w:val="21"/>
        </w:rPr>
        <w:t>anel is to provide advice and assistance to the CMO on a range of matters relating to new medicines seeking funding, including assessment of how the medicine addresses the LSDP criteria, guidelines for medicine use and testing requirements, suitable pricing arrangements, and data collection required for future reviews.</w:t>
      </w:r>
    </w:p>
    <w:p w14:paraId="3CFE63DB" w14:textId="28904D0B" w:rsidR="009B399B" w:rsidRPr="00512439" w:rsidRDefault="009B399B" w:rsidP="009B399B">
      <w:pPr>
        <w:rPr>
          <w:sz w:val="21"/>
          <w:szCs w:val="21"/>
        </w:rPr>
      </w:pPr>
      <w:r w:rsidRPr="00512439">
        <w:rPr>
          <w:sz w:val="21"/>
          <w:szCs w:val="21"/>
        </w:rPr>
        <w:t xml:space="preserve">After receiving advice from the </w:t>
      </w:r>
      <w:r w:rsidR="00A31D54">
        <w:rPr>
          <w:sz w:val="21"/>
          <w:szCs w:val="21"/>
        </w:rPr>
        <w:t xml:space="preserve">Expert </w:t>
      </w:r>
      <w:r w:rsidRPr="00512439">
        <w:rPr>
          <w:sz w:val="21"/>
          <w:szCs w:val="21"/>
        </w:rPr>
        <w:t>Panel, the CMO advises the Minister for Health and Aged Care on medicines proposed to be included on the LSDP.</w:t>
      </w:r>
    </w:p>
    <w:p w14:paraId="06498E9F" w14:textId="42E879BC" w:rsidR="009B399B" w:rsidRPr="00512439" w:rsidRDefault="009B399B" w:rsidP="009B399B">
      <w:pPr>
        <w:rPr>
          <w:sz w:val="21"/>
          <w:szCs w:val="21"/>
        </w:rPr>
      </w:pPr>
      <w:r w:rsidRPr="00512439">
        <w:rPr>
          <w:sz w:val="21"/>
          <w:szCs w:val="21"/>
        </w:rPr>
        <w:t xml:space="preserve">This document aims to provide an overview of the evidence considered by the </w:t>
      </w:r>
      <w:r w:rsidR="00A31D54">
        <w:rPr>
          <w:sz w:val="21"/>
          <w:szCs w:val="21"/>
        </w:rPr>
        <w:t xml:space="preserve">Expert </w:t>
      </w:r>
      <w:r w:rsidRPr="00512439">
        <w:rPr>
          <w:sz w:val="21"/>
          <w:szCs w:val="21"/>
        </w:rPr>
        <w:t>Panel and CMO during their assessment of medicines.</w:t>
      </w:r>
    </w:p>
    <w:p w14:paraId="4EF116DE" w14:textId="10ACC4A7" w:rsidR="009B399B" w:rsidRPr="00512439" w:rsidRDefault="009B399B" w:rsidP="009B399B">
      <w:pPr>
        <w:rPr>
          <w:sz w:val="21"/>
          <w:szCs w:val="21"/>
        </w:rPr>
      </w:pPr>
      <w:r w:rsidRPr="00512439">
        <w:rPr>
          <w:sz w:val="21"/>
          <w:szCs w:val="21"/>
        </w:rPr>
        <w:t xml:space="preserve">For more information on the process for new medicines seeking funding through the LSDP, refer to the LSDP Procedure guidance: </w:t>
      </w:r>
      <w:hyperlink r:id="rId13" w:history="1">
        <w:r w:rsidR="00EC61C3" w:rsidRPr="00C8301E">
          <w:rPr>
            <w:rStyle w:val="Hyperlink"/>
            <w:sz w:val="21"/>
            <w:szCs w:val="21"/>
          </w:rPr>
          <w:t>www.health.gov.au/resources/publications/procedure-guidance-for-medicines-funded-through-the-life-saving-drugs-program-lsdp</w:t>
        </w:r>
      </w:hyperlink>
    </w:p>
    <w:p w14:paraId="120729D4" w14:textId="77777777" w:rsidR="009B399B" w:rsidRPr="00CE6CA8" w:rsidRDefault="009B399B" w:rsidP="009B399B">
      <w:pPr>
        <w:pStyle w:val="Heading2"/>
        <w:rPr>
          <w:b w:val="0"/>
          <w:bCs w:val="0"/>
          <w:sz w:val="32"/>
          <w:szCs w:val="32"/>
        </w:rPr>
      </w:pPr>
      <w:r w:rsidRPr="00CE6CA8">
        <w:rPr>
          <w:b w:val="0"/>
          <w:bCs w:val="0"/>
          <w:sz w:val="32"/>
          <w:szCs w:val="32"/>
        </w:rPr>
        <w:t>Sponsor’s Comment:</w:t>
      </w:r>
    </w:p>
    <w:p w14:paraId="6DB5C8F4" w14:textId="6CACD6FC" w:rsidR="009040E9" w:rsidRPr="004248AA" w:rsidRDefault="00037F76" w:rsidP="00540168">
      <w:pPr>
        <w:rPr>
          <w:sz w:val="21"/>
          <w:szCs w:val="21"/>
        </w:rPr>
      </w:pPr>
      <w:r w:rsidRPr="009A5F8E">
        <w:rPr>
          <w:sz w:val="21"/>
          <w:szCs w:val="21"/>
        </w:rPr>
        <w:t xml:space="preserve">Alexion, AstraZeneca Rare Disease, welcomes the Australian Government’s decision to list </w:t>
      </w:r>
      <w:proofErr w:type="spellStart"/>
      <w:r w:rsidRPr="009A5F8E">
        <w:rPr>
          <w:sz w:val="21"/>
          <w:szCs w:val="21"/>
        </w:rPr>
        <w:t>Kanuma</w:t>
      </w:r>
      <w:proofErr w:type="spellEnd"/>
      <w:r w:rsidRPr="00D61B67">
        <w:rPr>
          <w:sz w:val="21"/>
          <w:szCs w:val="21"/>
          <w:vertAlign w:val="superscript"/>
        </w:rPr>
        <w:t>®</w:t>
      </w:r>
      <w:r w:rsidRPr="009A5F8E">
        <w:rPr>
          <w:sz w:val="21"/>
          <w:szCs w:val="21"/>
        </w:rPr>
        <w:t xml:space="preserve"> (</w:t>
      </w:r>
      <w:proofErr w:type="spellStart"/>
      <w:r w:rsidRPr="009A5F8E">
        <w:rPr>
          <w:sz w:val="21"/>
          <w:szCs w:val="21"/>
        </w:rPr>
        <w:t>sebelipase</w:t>
      </w:r>
      <w:proofErr w:type="spellEnd"/>
      <w:r w:rsidRPr="009A5F8E">
        <w:rPr>
          <w:sz w:val="21"/>
          <w:szCs w:val="21"/>
        </w:rPr>
        <w:t xml:space="preserve"> alfa) on the Life Saving Drugs Program, giving Australian babies born with infantile-onset LAL-D access to a treatment for this condition. The listing recognises the important value that Kanuma® brings for babies and their </w:t>
      </w:r>
      <w:proofErr w:type="gramStart"/>
      <w:r w:rsidRPr="009A5F8E">
        <w:rPr>
          <w:sz w:val="21"/>
          <w:szCs w:val="21"/>
        </w:rPr>
        <w:t>families, and</w:t>
      </w:r>
      <w:proofErr w:type="gramEnd"/>
      <w:r w:rsidRPr="009A5F8E">
        <w:rPr>
          <w:sz w:val="21"/>
          <w:szCs w:val="21"/>
        </w:rPr>
        <w:t xml:space="preserve"> is a significant step in creating equitable access to treatments in ultra-rare diseases</w:t>
      </w:r>
      <w:r w:rsidR="009A5F8E">
        <w:rPr>
          <w:sz w:val="21"/>
          <w:szCs w:val="21"/>
        </w:rPr>
        <w:t>.</w:t>
      </w:r>
      <w:bookmarkStart w:id="0" w:name="Background:"/>
      <w:bookmarkStart w:id="1" w:name="Consumer_Input:"/>
      <w:bookmarkStart w:id="2" w:name="Funding_Criteria"/>
      <w:bookmarkStart w:id="3" w:name="Pricing_issues"/>
      <w:bookmarkEnd w:id="0"/>
      <w:bookmarkEnd w:id="1"/>
      <w:bookmarkEnd w:id="2"/>
      <w:bookmarkEnd w:id="3"/>
    </w:p>
    <w:sectPr w:rsidR="009040E9" w:rsidRPr="004248AA" w:rsidSect="00B53987">
      <w:headerReference w:type="default" r:id="rId14"/>
      <w:footerReference w:type="default" r:id="rId15"/>
      <w:headerReference w:type="first" r:id="rId16"/>
      <w:footerReference w:type="first" r:id="rId1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91E7" w14:textId="77777777" w:rsidR="002E7871" w:rsidRDefault="002E7871" w:rsidP="006B56BB">
      <w:r>
        <w:separator/>
      </w:r>
    </w:p>
    <w:p w14:paraId="3856401B" w14:textId="77777777" w:rsidR="002E7871" w:rsidRDefault="002E7871"/>
  </w:endnote>
  <w:endnote w:type="continuationSeparator" w:id="0">
    <w:p w14:paraId="1BBD9D4A" w14:textId="77777777" w:rsidR="002E7871" w:rsidRDefault="002E7871" w:rsidP="006B56BB">
      <w:r>
        <w:continuationSeparator/>
      </w:r>
    </w:p>
    <w:p w14:paraId="5447DD66" w14:textId="77777777" w:rsidR="002E7871" w:rsidRDefault="002E7871"/>
  </w:endnote>
  <w:endnote w:type="continuationNotice" w:id="1">
    <w:p w14:paraId="3FC3D975" w14:textId="77777777" w:rsidR="002E7871" w:rsidRDefault="002E7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BA2D" w14:textId="0AD63D29" w:rsidR="00B53987" w:rsidRDefault="007C142A" w:rsidP="00B53987">
    <w:pPr>
      <w:pStyle w:val="Footer"/>
    </w:pPr>
    <w:r>
      <w:t>Life Saving Drugs Program – Sebelipase alfa (K</w:t>
    </w:r>
    <w:r w:rsidR="004D37D9">
      <w:t>anu</w:t>
    </w:r>
    <w:r>
      <w:t>ma</w:t>
    </w:r>
    <w:r w:rsidRPr="00FC3C51">
      <w:rPr>
        <w:vertAlign w:val="superscript"/>
      </w:rPr>
      <w:t>®</w:t>
    </w:r>
    <w:r>
      <w:t>) outcome statement</w:t>
    </w:r>
    <w:r w:rsidDel="007C142A">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2CC5" w14:textId="0B311B1A" w:rsidR="00B53987" w:rsidRDefault="000111CD" w:rsidP="00B53987">
    <w:pPr>
      <w:pStyle w:val="Footer"/>
    </w:pPr>
    <w:bookmarkStart w:id="4" w:name="_Hlk128395045"/>
    <w:r>
      <w:t>Life Saving Drugs Program – Seb</w:t>
    </w:r>
    <w:r w:rsidR="00CB4C20">
      <w:t>e</w:t>
    </w:r>
    <w:r>
      <w:t>lipase alfa (K</w:t>
    </w:r>
    <w:r w:rsidR="004D37D9">
      <w:t>anu</w:t>
    </w:r>
    <w:r>
      <w:t>ma</w:t>
    </w:r>
    <w:r w:rsidRPr="009A5F8E">
      <w:rPr>
        <w:vertAlign w:val="superscript"/>
      </w:rPr>
      <w:t>®</w:t>
    </w:r>
    <w:r>
      <w:t>) outcome statement</w:t>
    </w:r>
    <w:bookmarkEnd w:id="4"/>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FA73" w14:textId="77777777" w:rsidR="002E7871" w:rsidRDefault="002E7871" w:rsidP="006B56BB">
      <w:r>
        <w:separator/>
      </w:r>
    </w:p>
    <w:p w14:paraId="235BED03" w14:textId="77777777" w:rsidR="002E7871" w:rsidRDefault="002E7871"/>
  </w:footnote>
  <w:footnote w:type="continuationSeparator" w:id="0">
    <w:p w14:paraId="5BACD60E" w14:textId="77777777" w:rsidR="002E7871" w:rsidRDefault="002E7871" w:rsidP="006B56BB">
      <w:r>
        <w:continuationSeparator/>
      </w:r>
    </w:p>
    <w:p w14:paraId="109CC04A" w14:textId="77777777" w:rsidR="002E7871" w:rsidRDefault="002E7871"/>
  </w:footnote>
  <w:footnote w:type="continuationNotice" w:id="1">
    <w:p w14:paraId="7FB03B8A" w14:textId="77777777" w:rsidR="002E7871" w:rsidRDefault="002E7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F8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305D" w14:textId="77777777" w:rsidR="00B53987" w:rsidRDefault="00B53987">
    <w:pPr>
      <w:pStyle w:val="Header"/>
    </w:pPr>
    <w:r>
      <w:rPr>
        <w:noProof/>
        <w:lang w:eastAsia="en-AU"/>
      </w:rPr>
      <w:drawing>
        <wp:inline distT="0" distB="0" distL="0" distR="0" wp14:anchorId="441584A6" wp14:editId="088E9DD9">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399004FD"/>
    <w:multiLevelType w:val="hybridMultilevel"/>
    <w:tmpl w:val="0E9E42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C670A0"/>
    <w:multiLevelType w:val="hybridMultilevel"/>
    <w:tmpl w:val="6598E3A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28FCC25A"/>
    <w:lvl w:ilvl="0">
      <w:start w:val="1"/>
      <w:numFmt w:val="decimal"/>
      <w:lvlText w:val="%1"/>
      <w:lvlJc w:val="left"/>
      <w:pPr>
        <w:ind w:left="720" w:hanging="720"/>
      </w:pPr>
      <w:rPr>
        <w:b/>
      </w:rPr>
    </w:lvl>
    <w:lvl w:ilvl="1">
      <w:start w:val="1"/>
      <w:numFmt w:val="decimal"/>
      <w:lvlText w:val="%1.%2"/>
      <w:lvlJc w:val="left"/>
      <w:pPr>
        <w:ind w:left="720" w:hanging="720"/>
      </w:pPr>
      <w:rPr>
        <w:i w:val="0"/>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5"/>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1"/>
  </w:num>
  <w:num w:numId="19">
    <w:abstractNumId w:val="12"/>
  </w:num>
  <w:num w:numId="20">
    <w:abstractNumId w:val="10"/>
  </w:num>
  <w:num w:numId="21">
    <w:abstractNumId w:val="12"/>
  </w:num>
  <w:num w:numId="22">
    <w:abstractNumId w:val="21"/>
  </w:num>
  <w:num w:numId="23">
    <w:abstractNumId w:val="17"/>
  </w:num>
  <w:num w:numId="24">
    <w:abstractNumId w:val="19"/>
  </w:num>
  <w:num w:numId="25">
    <w:abstractNumId w:val="8"/>
  </w:num>
  <w:num w:numId="26">
    <w:abstractNumId w:val="16"/>
  </w:num>
  <w:num w:numId="27">
    <w:abstractNumId w:val="13"/>
  </w:num>
  <w:num w:numId="28">
    <w:abstractNumId w:val="14"/>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9B"/>
    <w:rsid w:val="00003743"/>
    <w:rsid w:val="000047B4"/>
    <w:rsid w:val="00005712"/>
    <w:rsid w:val="00007FD8"/>
    <w:rsid w:val="000111CD"/>
    <w:rsid w:val="000117F8"/>
    <w:rsid w:val="0001460F"/>
    <w:rsid w:val="00022629"/>
    <w:rsid w:val="00026139"/>
    <w:rsid w:val="00027601"/>
    <w:rsid w:val="00033321"/>
    <w:rsid w:val="000338E5"/>
    <w:rsid w:val="00033ECC"/>
    <w:rsid w:val="0003422F"/>
    <w:rsid w:val="00037F76"/>
    <w:rsid w:val="00046FF0"/>
    <w:rsid w:val="00050176"/>
    <w:rsid w:val="00050342"/>
    <w:rsid w:val="00067456"/>
    <w:rsid w:val="00071506"/>
    <w:rsid w:val="0007154F"/>
    <w:rsid w:val="00081AB1"/>
    <w:rsid w:val="00090316"/>
    <w:rsid w:val="00093981"/>
    <w:rsid w:val="000B067A"/>
    <w:rsid w:val="000B1540"/>
    <w:rsid w:val="000B1E53"/>
    <w:rsid w:val="000B322A"/>
    <w:rsid w:val="000B33FD"/>
    <w:rsid w:val="000B4ABA"/>
    <w:rsid w:val="000C4B16"/>
    <w:rsid w:val="000C50C3"/>
    <w:rsid w:val="000C5E14"/>
    <w:rsid w:val="000D21F6"/>
    <w:rsid w:val="000D4500"/>
    <w:rsid w:val="000D7AEA"/>
    <w:rsid w:val="000E2C66"/>
    <w:rsid w:val="000E3873"/>
    <w:rsid w:val="000F123C"/>
    <w:rsid w:val="000F2FED"/>
    <w:rsid w:val="000F6086"/>
    <w:rsid w:val="00104BFC"/>
    <w:rsid w:val="0010616D"/>
    <w:rsid w:val="00110478"/>
    <w:rsid w:val="0011711B"/>
    <w:rsid w:val="00117F8A"/>
    <w:rsid w:val="00121B9B"/>
    <w:rsid w:val="00122ADC"/>
    <w:rsid w:val="00122D8D"/>
    <w:rsid w:val="00130F59"/>
    <w:rsid w:val="00133EC0"/>
    <w:rsid w:val="001406BB"/>
    <w:rsid w:val="00141CE5"/>
    <w:rsid w:val="00144908"/>
    <w:rsid w:val="00156D96"/>
    <w:rsid w:val="001571C7"/>
    <w:rsid w:val="00161094"/>
    <w:rsid w:val="0017665C"/>
    <w:rsid w:val="00177AD2"/>
    <w:rsid w:val="001815A8"/>
    <w:rsid w:val="001840FA"/>
    <w:rsid w:val="00190079"/>
    <w:rsid w:val="0019622E"/>
    <w:rsid w:val="001966A7"/>
    <w:rsid w:val="00197594"/>
    <w:rsid w:val="001A4627"/>
    <w:rsid w:val="001A4979"/>
    <w:rsid w:val="001B15D3"/>
    <w:rsid w:val="001B3443"/>
    <w:rsid w:val="001C0326"/>
    <w:rsid w:val="001C192F"/>
    <w:rsid w:val="001C3C42"/>
    <w:rsid w:val="001C7D7E"/>
    <w:rsid w:val="001D7869"/>
    <w:rsid w:val="001F0B72"/>
    <w:rsid w:val="001F6BEA"/>
    <w:rsid w:val="002026CD"/>
    <w:rsid w:val="002033FC"/>
    <w:rsid w:val="002044BB"/>
    <w:rsid w:val="00210B09"/>
    <w:rsid w:val="00210C9E"/>
    <w:rsid w:val="00211840"/>
    <w:rsid w:val="00220690"/>
    <w:rsid w:val="00220E5F"/>
    <w:rsid w:val="002212B5"/>
    <w:rsid w:val="00226668"/>
    <w:rsid w:val="00233809"/>
    <w:rsid w:val="00240046"/>
    <w:rsid w:val="00245683"/>
    <w:rsid w:val="0024797F"/>
    <w:rsid w:val="0025119E"/>
    <w:rsid w:val="00251269"/>
    <w:rsid w:val="00252320"/>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975E3"/>
    <w:rsid w:val="002B20E6"/>
    <w:rsid w:val="002B401A"/>
    <w:rsid w:val="002B42A3"/>
    <w:rsid w:val="002C0CDD"/>
    <w:rsid w:val="002C38C4"/>
    <w:rsid w:val="002D1E05"/>
    <w:rsid w:val="002E1A1D"/>
    <w:rsid w:val="002E4081"/>
    <w:rsid w:val="002E5B78"/>
    <w:rsid w:val="002E7871"/>
    <w:rsid w:val="002F3AE3"/>
    <w:rsid w:val="0030464B"/>
    <w:rsid w:val="0030786C"/>
    <w:rsid w:val="00321473"/>
    <w:rsid w:val="003233DE"/>
    <w:rsid w:val="0032466B"/>
    <w:rsid w:val="003330EB"/>
    <w:rsid w:val="003357A6"/>
    <w:rsid w:val="003415FD"/>
    <w:rsid w:val="00341CA8"/>
    <w:rsid w:val="003429F0"/>
    <w:rsid w:val="00345252"/>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4F0"/>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48AA"/>
    <w:rsid w:val="00432378"/>
    <w:rsid w:val="00433030"/>
    <w:rsid w:val="00440D65"/>
    <w:rsid w:val="004435E6"/>
    <w:rsid w:val="00447E31"/>
    <w:rsid w:val="00453923"/>
    <w:rsid w:val="00454B9B"/>
    <w:rsid w:val="00457858"/>
    <w:rsid w:val="00460B0B"/>
    <w:rsid w:val="00461023"/>
    <w:rsid w:val="00462FAC"/>
    <w:rsid w:val="00464631"/>
    <w:rsid w:val="00464B79"/>
    <w:rsid w:val="00467BBF"/>
    <w:rsid w:val="00470594"/>
    <w:rsid w:val="00480453"/>
    <w:rsid w:val="0048593C"/>
    <w:rsid w:val="004859B5"/>
    <w:rsid w:val="004867E2"/>
    <w:rsid w:val="004929A9"/>
    <w:rsid w:val="004A78D9"/>
    <w:rsid w:val="004B38A4"/>
    <w:rsid w:val="004B493F"/>
    <w:rsid w:val="004C1BCD"/>
    <w:rsid w:val="004C6BCF"/>
    <w:rsid w:val="004D37D9"/>
    <w:rsid w:val="004D58BF"/>
    <w:rsid w:val="004E4335"/>
    <w:rsid w:val="004F13EE"/>
    <w:rsid w:val="004F2022"/>
    <w:rsid w:val="004F7C05"/>
    <w:rsid w:val="00501C94"/>
    <w:rsid w:val="00506432"/>
    <w:rsid w:val="00506E82"/>
    <w:rsid w:val="00512439"/>
    <w:rsid w:val="00512D8A"/>
    <w:rsid w:val="00514116"/>
    <w:rsid w:val="0051480A"/>
    <w:rsid w:val="00515807"/>
    <w:rsid w:val="0052051D"/>
    <w:rsid w:val="00540168"/>
    <w:rsid w:val="005458BD"/>
    <w:rsid w:val="00545EE6"/>
    <w:rsid w:val="005550E7"/>
    <w:rsid w:val="005564FB"/>
    <w:rsid w:val="005572C7"/>
    <w:rsid w:val="005650ED"/>
    <w:rsid w:val="00575754"/>
    <w:rsid w:val="00575E42"/>
    <w:rsid w:val="00581FBA"/>
    <w:rsid w:val="00591E20"/>
    <w:rsid w:val="00595408"/>
    <w:rsid w:val="00595E84"/>
    <w:rsid w:val="005A0C59"/>
    <w:rsid w:val="005A48EB"/>
    <w:rsid w:val="005A6CFB"/>
    <w:rsid w:val="005C42DC"/>
    <w:rsid w:val="005C5AEB"/>
    <w:rsid w:val="005D27B3"/>
    <w:rsid w:val="005E0A3F"/>
    <w:rsid w:val="005E5732"/>
    <w:rsid w:val="005E6883"/>
    <w:rsid w:val="005E772F"/>
    <w:rsid w:val="005F38F0"/>
    <w:rsid w:val="005F4ECA"/>
    <w:rsid w:val="006041BE"/>
    <w:rsid w:val="006043C7"/>
    <w:rsid w:val="0061105B"/>
    <w:rsid w:val="00624B52"/>
    <w:rsid w:val="00630794"/>
    <w:rsid w:val="006312C2"/>
    <w:rsid w:val="00631DF4"/>
    <w:rsid w:val="00634175"/>
    <w:rsid w:val="006408AC"/>
    <w:rsid w:val="006460AA"/>
    <w:rsid w:val="006511B6"/>
    <w:rsid w:val="00657FF8"/>
    <w:rsid w:val="00663A5C"/>
    <w:rsid w:val="00670D99"/>
    <w:rsid w:val="00670E2B"/>
    <w:rsid w:val="006734BB"/>
    <w:rsid w:val="0067697A"/>
    <w:rsid w:val="006821EB"/>
    <w:rsid w:val="00687C96"/>
    <w:rsid w:val="006B2286"/>
    <w:rsid w:val="006B56BB"/>
    <w:rsid w:val="006C77A8"/>
    <w:rsid w:val="006D4098"/>
    <w:rsid w:val="006D6257"/>
    <w:rsid w:val="006D7681"/>
    <w:rsid w:val="006D7B2E"/>
    <w:rsid w:val="006E02EA"/>
    <w:rsid w:val="006E0968"/>
    <w:rsid w:val="006E09DF"/>
    <w:rsid w:val="006E2AF6"/>
    <w:rsid w:val="00701275"/>
    <w:rsid w:val="00702926"/>
    <w:rsid w:val="00707F56"/>
    <w:rsid w:val="00713558"/>
    <w:rsid w:val="00720D08"/>
    <w:rsid w:val="007263B9"/>
    <w:rsid w:val="007334F8"/>
    <w:rsid w:val="007339CD"/>
    <w:rsid w:val="007359D8"/>
    <w:rsid w:val="007362D4"/>
    <w:rsid w:val="00763B1A"/>
    <w:rsid w:val="0076672A"/>
    <w:rsid w:val="00772601"/>
    <w:rsid w:val="00775E45"/>
    <w:rsid w:val="00776E74"/>
    <w:rsid w:val="00785169"/>
    <w:rsid w:val="0079249E"/>
    <w:rsid w:val="007954AB"/>
    <w:rsid w:val="007A14C5"/>
    <w:rsid w:val="007A4A10"/>
    <w:rsid w:val="007B1760"/>
    <w:rsid w:val="007B3034"/>
    <w:rsid w:val="007C142A"/>
    <w:rsid w:val="007C1FDC"/>
    <w:rsid w:val="007C689D"/>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18B7"/>
    <w:rsid w:val="00873D90"/>
    <w:rsid w:val="00873FC8"/>
    <w:rsid w:val="008812FA"/>
    <w:rsid w:val="00884C63"/>
    <w:rsid w:val="00885908"/>
    <w:rsid w:val="008864B7"/>
    <w:rsid w:val="0089677E"/>
    <w:rsid w:val="008A7438"/>
    <w:rsid w:val="008B1334"/>
    <w:rsid w:val="008B25C7"/>
    <w:rsid w:val="008C0278"/>
    <w:rsid w:val="008C05C6"/>
    <w:rsid w:val="008C24E9"/>
    <w:rsid w:val="008D0533"/>
    <w:rsid w:val="008D42CB"/>
    <w:rsid w:val="008D48C9"/>
    <w:rsid w:val="008D6381"/>
    <w:rsid w:val="008E0C77"/>
    <w:rsid w:val="008E625F"/>
    <w:rsid w:val="008F264D"/>
    <w:rsid w:val="00902CC8"/>
    <w:rsid w:val="009040E9"/>
    <w:rsid w:val="009074E1"/>
    <w:rsid w:val="009112F7"/>
    <w:rsid w:val="00912211"/>
    <w:rsid w:val="009122AF"/>
    <w:rsid w:val="00912D54"/>
    <w:rsid w:val="0091389F"/>
    <w:rsid w:val="009140F3"/>
    <w:rsid w:val="009208F7"/>
    <w:rsid w:val="00920BCF"/>
    <w:rsid w:val="00921649"/>
    <w:rsid w:val="00922517"/>
    <w:rsid w:val="00922722"/>
    <w:rsid w:val="009261E6"/>
    <w:rsid w:val="009268E1"/>
    <w:rsid w:val="009271EE"/>
    <w:rsid w:val="009344AE"/>
    <w:rsid w:val="009344DE"/>
    <w:rsid w:val="00945E7F"/>
    <w:rsid w:val="00946F50"/>
    <w:rsid w:val="009557C1"/>
    <w:rsid w:val="00960D6E"/>
    <w:rsid w:val="00974B59"/>
    <w:rsid w:val="0098340B"/>
    <w:rsid w:val="00986830"/>
    <w:rsid w:val="00986A23"/>
    <w:rsid w:val="009924C3"/>
    <w:rsid w:val="00993102"/>
    <w:rsid w:val="009A5F8E"/>
    <w:rsid w:val="009B1570"/>
    <w:rsid w:val="009B399B"/>
    <w:rsid w:val="009C6F10"/>
    <w:rsid w:val="009D148F"/>
    <w:rsid w:val="009D3D70"/>
    <w:rsid w:val="009E3FF1"/>
    <w:rsid w:val="009E6937"/>
    <w:rsid w:val="009E6F7E"/>
    <w:rsid w:val="009E7A57"/>
    <w:rsid w:val="009F4803"/>
    <w:rsid w:val="009F4F6A"/>
    <w:rsid w:val="00A00009"/>
    <w:rsid w:val="00A07507"/>
    <w:rsid w:val="00A13EB5"/>
    <w:rsid w:val="00A16E36"/>
    <w:rsid w:val="00A21415"/>
    <w:rsid w:val="00A21600"/>
    <w:rsid w:val="00A24961"/>
    <w:rsid w:val="00A24B10"/>
    <w:rsid w:val="00A25F20"/>
    <w:rsid w:val="00A277EF"/>
    <w:rsid w:val="00A30E9B"/>
    <w:rsid w:val="00A31D54"/>
    <w:rsid w:val="00A362A4"/>
    <w:rsid w:val="00A4512D"/>
    <w:rsid w:val="00A50244"/>
    <w:rsid w:val="00A627D7"/>
    <w:rsid w:val="00A656C7"/>
    <w:rsid w:val="00A705AF"/>
    <w:rsid w:val="00A719F6"/>
    <w:rsid w:val="00A72454"/>
    <w:rsid w:val="00A77696"/>
    <w:rsid w:val="00A80557"/>
    <w:rsid w:val="00A81D33"/>
    <w:rsid w:val="00A8341C"/>
    <w:rsid w:val="00A930AE"/>
    <w:rsid w:val="00A9665F"/>
    <w:rsid w:val="00AA1A95"/>
    <w:rsid w:val="00AA260F"/>
    <w:rsid w:val="00AB07F4"/>
    <w:rsid w:val="00AB1EE7"/>
    <w:rsid w:val="00AB47AB"/>
    <w:rsid w:val="00AB4B37"/>
    <w:rsid w:val="00AB5762"/>
    <w:rsid w:val="00AC2679"/>
    <w:rsid w:val="00AC4BE4"/>
    <w:rsid w:val="00AD05E6"/>
    <w:rsid w:val="00AD0D3F"/>
    <w:rsid w:val="00AE08F5"/>
    <w:rsid w:val="00AE1D7D"/>
    <w:rsid w:val="00AE2A8B"/>
    <w:rsid w:val="00AE3F64"/>
    <w:rsid w:val="00AF7386"/>
    <w:rsid w:val="00AF7934"/>
    <w:rsid w:val="00AF7DCD"/>
    <w:rsid w:val="00B00B81"/>
    <w:rsid w:val="00B04580"/>
    <w:rsid w:val="00B04B09"/>
    <w:rsid w:val="00B16A51"/>
    <w:rsid w:val="00B20D4F"/>
    <w:rsid w:val="00B2330C"/>
    <w:rsid w:val="00B32222"/>
    <w:rsid w:val="00B3618D"/>
    <w:rsid w:val="00B36233"/>
    <w:rsid w:val="00B42851"/>
    <w:rsid w:val="00B45AC7"/>
    <w:rsid w:val="00B5372F"/>
    <w:rsid w:val="00B53987"/>
    <w:rsid w:val="00B61129"/>
    <w:rsid w:val="00B67E7F"/>
    <w:rsid w:val="00B81CA3"/>
    <w:rsid w:val="00B82348"/>
    <w:rsid w:val="00B839B2"/>
    <w:rsid w:val="00B846F8"/>
    <w:rsid w:val="00B94252"/>
    <w:rsid w:val="00B9715A"/>
    <w:rsid w:val="00BA14BE"/>
    <w:rsid w:val="00BA2732"/>
    <w:rsid w:val="00BA293D"/>
    <w:rsid w:val="00BA49BC"/>
    <w:rsid w:val="00BA56B7"/>
    <w:rsid w:val="00BA7A1E"/>
    <w:rsid w:val="00BB2F6C"/>
    <w:rsid w:val="00BB3875"/>
    <w:rsid w:val="00BB5860"/>
    <w:rsid w:val="00BB6AAD"/>
    <w:rsid w:val="00BC1677"/>
    <w:rsid w:val="00BC4A19"/>
    <w:rsid w:val="00BC4E6D"/>
    <w:rsid w:val="00BD0617"/>
    <w:rsid w:val="00BD2E9B"/>
    <w:rsid w:val="00BD6126"/>
    <w:rsid w:val="00BD7FB2"/>
    <w:rsid w:val="00C00930"/>
    <w:rsid w:val="00C060AD"/>
    <w:rsid w:val="00C0777E"/>
    <w:rsid w:val="00C113BF"/>
    <w:rsid w:val="00C2176E"/>
    <w:rsid w:val="00C23430"/>
    <w:rsid w:val="00C27D67"/>
    <w:rsid w:val="00C4631F"/>
    <w:rsid w:val="00C47CDE"/>
    <w:rsid w:val="00C50E16"/>
    <w:rsid w:val="00C55258"/>
    <w:rsid w:val="00C80F0A"/>
    <w:rsid w:val="00C82EEB"/>
    <w:rsid w:val="00C971DC"/>
    <w:rsid w:val="00CA16B7"/>
    <w:rsid w:val="00CA56DC"/>
    <w:rsid w:val="00CA62AE"/>
    <w:rsid w:val="00CA6F72"/>
    <w:rsid w:val="00CB4C20"/>
    <w:rsid w:val="00CB5B1A"/>
    <w:rsid w:val="00CC220B"/>
    <w:rsid w:val="00CC5C43"/>
    <w:rsid w:val="00CD02AE"/>
    <w:rsid w:val="00CD2A4F"/>
    <w:rsid w:val="00CE03CA"/>
    <w:rsid w:val="00CE217A"/>
    <w:rsid w:val="00CE22F1"/>
    <w:rsid w:val="00CE50F2"/>
    <w:rsid w:val="00CE6502"/>
    <w:rsid w:val="00CE6CA8"/>
    <w:rsid w:val="00CF4906"/>
    <w:rsid w:val="00CF7D3C"/>
    <w:rsid w:val="00D01F09"/>
    <w:rsid w:val="00D147EB"/>
    <w:rsid w:val="00D2373A"/>
    <w:rsid w:val="00D34667"/>
    <w:rsid w:val="00D401E1"/>
    <w:rsid w:val="00D408B4"/>
    <w:rsid w:val="00D44330"/>
    <w:rsid w:val="00D524C8"/>
    <w:rsid w:val="00D52FE0"/>
    <w:rsid w:val="00D61B67"/>
    <w:rsid w:val="00D70E24"/>
    <w:rsid w:val="00D72AEF"/>
    <w:rsid w:val="00D72B61"/>
    <w:rsid w:val="00D95929"/>
    <w:rsid w:val="00DA3D1D"/>
    <w:rsid w:val="00DB6286"/>
    <w:rsid w:val="00DB645F"/>
    <w:rsid w:val="00DB76E9"/>
    <w:rsid w:val="00DC0A67"/>
    <w:rsid w:val="00DC1D5E"/>
    <w:rsid w:val="00DC5220"/>
    <w:rsid w:val="00DD2061"/>
    <w:rsid w:val="00DD7DAB"/>
    <w:rsid w:val="00DE3355"/>
    <w:rsid w:val="00DE680B"/>
    <w:rsid w:val="00DF0C60"/>
    <w:rsid w:val="00DF486F"/>
    <w:rsid w:val="00DF5B5B"/>
    <w:rsid w:val="00DF7619"/>
    <w:rsid w:val="00E042D8"/>
    <w:rsid w:val="00E07EE7"/>
    <w:rsid w:val="00E1103B"/>
    <w:rsid w:val="00E17B44"/>
    <w:rsid w:val="00E20F27"/>
    <w:rsid w:val="00E22443"/>
    <w:rsid w:val="00E25B1F"/>
    <w:rsid w:val="00E27FEA"/>
    <w:rsid w:val="00E4086F"/>
    <w:rsid w:val="00E43B3C"/>
    <w:rsid w:val="00E50188"/>
    <w:rsid w:val="00E50BB3"/>
    <w:rsid w:val="00E515CB"/>
    <w:rsid w:val="00E52260"/>
    <w:rsid w:val="00E552D8"/>
    <w:rsid w:val="00E62545"/>
    <w:rsid w:val="00E639B6"/>
    <w:rsid w:val="00E6434B"/>
    <w:rsid w:val="00E643FA"/>
    <w:rsid w:val="00E6463D"/>
    <w:rsid w:val="00E72E9B"/>
    <w:rsid w:val="00E850C3"/>
    <w:rsid w:val="00E87DF2"/>
    <w:rsid w:val="00E9462E"/>
    <w:rsid w:val="00EA470E"/>
    <w:rsid w:val="00EA47A7"/>
    <w:rsid w:val="00EA57EB"/>
    <w:rsid w:val="00EB3226"/>
    <w:rsid w:val="00EC213A"/>
    <w:rsid w:val="00EC501C"/>
    <w:rsid w:val="00EC61C3"/>
    <w:rsid w:val="00EC7744"/>
    <w:rsid w:val="00ED0DAD"/>
    <w:rsid w:val="00ED0F46"/>
    <w:rsid w:val="00ED2373"/>
    <w:rsid w:val="00EE3E8A"/>
    <w:rsid w:val="00EE7248"/>
    <w:rsid w:val="00EF58B8"/>
    <w:rsid w:val="00EF6ECA"/>
    <w:rsid w:val="00F024E1"/>
    <w:rsid w:val="00F06C10"/>
    <w:rsid w:val="00F1096F"/>
    <w:rsid w:val="00F12589"/>
    <w:rsid w:val="00F12595"/>
    <w:rsid w:val="00F134D9"/>
    <w:rsid w:val="00F1403D"/>
    <w:rsid w:val="00F1463F"/>
    <w:rsid w:val="00F21302"/>
    <w:rsid w:val="00F2430D"/>
    <w:rsid w:val="00F26F89"/>
    <w:rsid w:val="00F321DE"/>
    <w:rsid w:val="00F33777"/>
    <w:rsid w:val="00F40648"/>
    <w:rsid w:val="00F468E2"/>
    <w:rsid w:val="00F47DA2"/>
    <w:rsid w:val="00F519FC"/>
    <w:rsid w:val="00F56807"/>
    <w:rsid w:val="00F6239D"/>
    <w:rsid w:val="00F65940"/>
    <w:rsid w:val="00F715D2"/>
    <w:rsid w:val="00F7274F"/>
    <w:rsid w:val="00F74E84"/>
    <w:rsid w:val="00F76FA8"/>
    <w:rsid w:val="00F84B30"/>
    <w:rsid w:val="00F93F08"/>
    <w:rsid w:val="00F94CED"/>
    <w:rsid w:val="00FA02BB"/>
    <w:rsid w:val="00FA2CEE"/>
    <w:rsid w:val="00FA318C"/>
    <w:rsid w:val="00FB6F92"/>
    <w:rsid w:val="00FC026E"/>
    <w:rsid w:val="00FC2682"/>
    <w:rsid w:val="00FC3C51"/>
    <w:rsid w:val="00FC5124"/>
    <w:rsid w:val="00FD4731"/>
    <w:rsid w:val="00FD6768"/>
    <w:rsid w:val="00FE32B1"/>
    <w:rsid w:val="00FF0AB0"/>
    <w:rsid w:val="00FF28AC"/>
    <w:rsid w:val="00FF3EF7"/>
    <w:rsid w:val="00FF4915"/>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39958"/>
  <w15:docId w15:val="{3EE45815-3A88-4CAF-9E7A-0881EC5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1"/>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aliases w:val="Table Gridbeth,Summary box,ASD Table"/>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uiPriority w:val="99"/>
    <w:semiHidden/>
    <w:unhideWhenUsed/>
    <w:rsid w:val="00540168"/>
    <w:rPr>
      <w:sz w:val="16"/>
      <w:szCs w:val="16"/>
    </w:rPr>
  </w:style>
  <w:style w:type="paragraph" w:styleId="CommentText">
    <w:name w:val="annotation text"/>
    <w:basedOn w:val="Normal"/>
    <w:link w:val="CommentTextChar"/>
    <w:uiPriority w:val="99"/>
    <w:unhideWhenUsed/>
    <w:rsid w:val="00540168"/>
    <w:pPr>
      <w:spacing w:line="240" w:lineRule="auto"/>
    </w:pPr>
    <w:rPr>
      <w:sz w:val="20"/>
      <w:szCs w:val="20"/>
    </w:rPr>
  </w:style>
  <w:style w:type="character" w:customStyle="1" w:styleId="CommentTextChar">
    <w:name w:val="Comment Text Char"/>
    <w:basedOn w:val="DefaultParagraphFont"/>
    <w:link w:val="CommentText"/>
    <w:uiPriority w:val="99"/>
    <w:rsid w:val="00540168"/>
    <w:rPr>
      <w:rFonts w:ascii="Arial" w:hAnsi="Arial"/>
      <w:color w:val="000000" w:themeColor="text1"/>
      <w:lang w:eastAsia="en-US"/>
    </w:rPr>
  </w:style>
  <w:style w:type="paragraph" w:customStyle="1" w:styleId="TableParagraph">
    <w:name w:val="Table Paragraph"/>
    <w:basedOn w:val="Normal"/>
    <w:uiPriority w:val="1"/>
    <w:qFormat/>
    <w:rsid w:val="00540168"/>
    <w:pPr>
      <w:widowControl w:val="0"/>
      <w:autoSpaceDE w:val="0"/>
      <w:autoSpaceDN w:val="0"/>
      <w:spacing w:before="121" w:after="0" w:line="240" w:lineRule="auto"/>
      <w:ind w:left="107"/>
    </w:pPr>
    <w:rPr>
      <w:rFonts w:ascii="Calibri" w:eastAsia="Calibri" w:hAnsi="Calibri" w:cs="Calibri"/>
      <w:color w:val="auto"/>
      <w:szCs w:val="22"/>
    </w:rPr>
  </w:style>
  <w:style w:type="paragraph" w:customStyle="1" w:styleId="p">
    <w:name w:val="p"/>
    <w:basedOn w:val="Normal"/>
    <w:rsid w:val="009B399B"/>
    <w:pPr>
      <w:spacing w:before="100" w:beforeAutospacing="1" w:after="100" w:afterAutospacing="1" w:line="240" w:lineRule="auto"/>
    </w:pPr>
    <w:rPr>
      <w:rFonts w:ascii="Times New Roman" w:hAnsi="Times New Roman"/>
      <w:color w:val="auto"/>
      <w:sz w:val="24"/>
      <w:lang w:eastAsia="en-AU"/>
    </w:rPr>
  </w:style>
  <w:style w:type="paragraph" w:customStyle="1" w:styleId="PBACTableText">
    <w:name w:val="PBAC Table Text"/>
    <w:basedOn w:val="Normal"/>
    <w:link w:val="PBACTableTextChar"/>
    <w:qFormat/>
    <w:rsid w:val="00B82348"/>
    <w:pPr>
      <w:spacing w:before="40" w:after="40" w:line="240" w:lineRule="auto"/>
    </w:pPr>
    <w:rPr>
      <w:rFonts w:ascii="Arial Narrow" w:hAnsi="Arial Narrow"/>
      <w:color w:val="auto"/>
      <w:sz w:val="20"/>
      <w:szCs w:val="20"/>
    </w:rPr>
  </w:style>
  <w:style w:type="character" w:customStyle="1" w:styleId="PBACTableTextChar">
    <w:name w:val="PBAC Table Text Char"/>
    <w:basedOn w:val="DefaultParagraphFont"/>
    <w:link w:val="PBACTableText"/>
    <w:rsid w:val="00B82348"/>
    <w:rPr>
      <w:rFonts w:ascii="Arial Narrow" w:hAnsi="Arial Narrow"/>
      <w:lang w:eastAsia="en-US"/>
    </w:rPr>
  </w:style>
  <w:style w:type="paragraph" w:styleId="CommentSubject">
    <w:name w:val="annotation subject"/>
    <w:basedOn w:val="CommentText"/>
    <w:next w:val="CommentText"/>
    <w:link w:val="CommentSubjectChar"/>
    <w:semiHidden/>
    <w:unhideWhenUsed/>
    <w:rsid w:val="00B82348"/>
    <w:rPr>
      <w:b/>
      <w:bCs/>
    </w:rPr>
  </w:style>
  <w:style w:type="character" w:customStyle="1" w:styleId="CommentSubjectChar">
    <w:name w:val="Comment Subject Char"/>
    <w:basedOn w:val="CommentTextChar"/>
    <w:link w:val="CommentSubject"/>
    <w:semiHidden/>
    <w:rsid w:val="00B82348"/>
    <w:rPr>
      <w:rFonts w:ascii="Arial" w:hAnsi="Arial"/>
      <w:b/>
      <w:bCs/>
      <w:color w:val="000000" w:themeColor="text1"/>
      <w:lang w:eastAsia="en-US"/>
    </w:rPr>
  </w:style>
  <w:style w:type="character" w:styleId="FollowedHyperlink">
    <w:name w:val="FollowedHyperlink"/>
    <w:basedOn w:val="DefaultParagraphFont"/>
    <w:semiHidden/>
    <w:unhideWhenUsed/>
    <w:rsid w:val="00341CA8"/>
    <w:rPr>
      <w:color w:val="800080" w:themeColor="followedHyperlink"/>
      <w:u w:val="single"/>
    </w:rPr>
  </w:style>
  <w:style w:type="character" w:styleId="UnresolvedMention">
    <w:name w:val="Unresolved Mention"/>
    <w:basedOn w:val="DefaultParagraphFont"/>
    <w:uiPriority w:val="99"/>
    <w:semiHidden/>
    <w:unhideWhenUsed/>
    <w:rsid w:val="00EC61C3"/>
    <w:rPr>
      <w:color w:val="605E5C"/>
      <w:shd w:val="clear" w:color="auto" w:fill="E1DFDD"/>
    </w:rPr>
  </w:style>
  <w:style w:type="paragraph" w:styleId="Revision">
    <w:name w:val="Revision"/>
    <w:hidden/>
    <w:uiPriority w:val="99"/>
    <w:semiHidden/>
    <w:rsid w:val="00037F76"/>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9929340">
      <w:bodyDiv w:val="1"/>
      <w:marLeft w:val="0"/>
      <w:marRight w:val="0"/>
      <w:marTop w:val="0"/>
      <w:marBottom w:val="0"/>
      <w:divBdr>
        <w:top w:val="none" w:sz="0" w:space="0" w:color="auto"/>
        <w:left w:val="none" w:sz="0" w:space="0" w:color="auto"/>
        <w:bottom w:val="none" w:sz="0" w:space="0" w:color="auto"/>
        <w:right w:val="none" w:sz="0" w:space="0" w:color="auto"/>
      </w:divBdr>
    </w:div>
    <w:div w:id="97433432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JONEOR\AppData\Local\Microsoft\Windows\INetCache\Content.Outlook\HTSER82H\www.health.gov.au\resources\publications\procedure-guidance-for-medicines-funded-through-the-life-saving-drugs-program-lsd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bs.gov.au/info/industry/listing/elements/pbac-meetings/psd/2022-03/sebelipase-alfa-solution-concentrate-for-i-v-infusion-20-mg-in-10-mL-%20Kanum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kan\AppData\Local\Hewlett-Packard\HP%20TRIM\TEMP\HPTRIM.16876\D23-528190%20%20DRAFT%20-%20life-saving-drugs-program-eliglustat-sanofi-outcome-statement%20-%20April%202023.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2022-04-04T06:50:44+00:00</Last_x0020_reviewed>
    <_dlc_DocId xmlns="d29d5f7a-be03-4e9c-abe5-c85ece0a2186">INTCOMMS-1466148216-18</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Contact_x0020_email xmlns="7b0f5f5d-7db3-4d3b-b63b-ce18a6ecc538" xsi:nil="true"/>
    <Content_x0020_owner xmlns="7b0f5f5d-7db3-4d3b-b63b-ce18a6ecc53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6" ma:contentTypeDescription="Create a new document." ma:contentTypeScope="" ma:versionID="e4d51341971d8978b25a1d7d38c1225c">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0c4b8217d84c5e004a7df76e0833a701"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Content_x0020_owner" minOccurs="0"/>
                <xsd:element ref="ns3:Contact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Content_x0020_owner" ma:index="30" nillable="true" ma:displayName="Content owner" ma:internalName="Content_x0020_owner">
      <xsd:simpleType>
        <xsd:restriction base="dms:Text"/>
      </xsd:simpleType>
    </xsd:element>
    <xsd:element name="Contact_x0020_email" ma:index="31" nillable="true" ma:displayName="Contact email" ma:internalName="Contact_x0020_emai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microsoft.com/sharepoint/v3"/>
    <ds:schemaRef ds:uri="http://purl.org/dc/terms/"/>
    <ds:schemaRef ds:uri="http://schemas.openxmlformats.org/package/2006/metadata/core-properties"/>
    <ds:schemaRef ds:uri="7b0f5f5d-7db3-4d3b-b63b-ce18a6ecc53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29d5f7a-be03-4e9c-abe5-c85ece0a2186"/>
    <ds:schemaRef ds:uri="http://www.w3.org/XML/1998/namespace"/>
  </ds:schemaRefs>
</ds:datastoreItem>
</file>

<file path=customXml/itemProps3.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4.xml><?xml version="1.0" encoding="utf-8"?>
<ds:datastoreItem xmlns:ds="http://schemas.openxmlformats.org/officeDocument/2006/customXml" ds:itemID="{7E884F82-FD17-4A55-AB91-52C0E4E2E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D23-528190  DRAFT - life-saving-drugs-program-eliglustat-sanofi-outcome-statement - April 2023.DOTX</Template>
  <TotalTime>0</TotalTime>
  <Pages>4</Pages>
  <Words>1458</Words>
  <Characters>8787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Life Saving Drugs Program – Sebelipase alfa (Kanuma®) outcome statement</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Sebelipase alfa (Kanuma®) outcome statement</dc:title>
  <dc:creator>Australian Government Department of Health and Aged Care</dc:creator>
  <cp:keywords>chronic conditions; medicines; life saving drugs program; </cp:keywords>
  <cp:lastModifiedBy>HAMLEY, Erynn</cp:lastModifiedBy>
  <cp:revision>2</cp:revision>
  <dcterms:created xsi:type="dcterms:W3CDTF">2023-04-20T07:48:00Z</dcterms:created>
  <dcterms:modified xsi:type="dcterms:W3CDTF">2023-04-20T07:48:00Z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