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A55B" w14:textId="77777777" w:rsidR="00160C00" w:rsidRDefault="00540168" w:rsidP="00540168">
      <w:pPr>
        <w:keepNext/>
        <w:spacing w:before="240" w:after="60" w:line="240" w:lineRule="auto"/>
        <w:outlineLvl w:val="0"/>
        <w:rPr>
          <w:rFonts w:cs="Arial"/>
          <w:color w:val="3F4A75"/>
          <w:kern w:val="28"/>
          <w:sz w:val="44"/>
          <w:szCs w:val="36"/>
        </w:rPr>
      </w:pPr>
      <w:r w:rsidRPr="00540168">
        <w:rPr>
          <w:rFonts w:cs="Arial"/>
          <w:color w:val="3F4A75"/>
          <w:kern w:val="28"/>
          <w:sz w:val="44"/>
          <w:szCs w:val="36"/>
        </w:rPr>
        <w:t xml:space="preserve">Life Saving Drugs Program (LSDP) </w:t>
      </w:r>
    </w:p>
    <w:p w14:paraId="51A0F744" w14:textId="71C16AFA" w:rsidR="00540168" w:rsidRPr="00540168" w:rsidRDefault="00160C00" w:rsidP="00540168">
      <w:pPr>
        <w:keepNext/>
        <w:spacing w:before="240" w:after="60" w:line="240" w:lineRule="auto"/>
        <w:outlineLvl w:val="0"/>
        <w:rPr>
          <w:rFonts w:cs="Arial"/>
          <w:color w:val="3F4A75"/>
          <w:kern w:val="28"/>
          <w:sz w:val="44"/>
          <w:szCs w:val="36"/>
        </w:rPr>
      </w:pPr>
      <w:r>
        <w:rPr>
          <w:rFonts w:cs="Arial"/>
          <w:color w:val="3F4A75"/>
          <w:kern w:val="28"/>
          <w:sz w:val="44"/>
          <w:szCs w:val="36"/>
        </w:rPr>
        <w:t>E</w:t>
      </w:r>
      <w:r w:rsidR="00540168" w:rsidRPr="00540168">
        <w:rPr>
          <w:rFonts w:cs="Arial"/>
          <w:color w:val="3F4A75"/>
          <w:kern w:val="28"/>
          <w:sz w:val="44"/>
          <w:szCs w:val="36"/>
        </w:rPr>
        <w:t>liglustat (</w:t>
      </w:r>
      <w:proofErr w:type="spellStart"/>
      <w:r w:rsidR="00540168" w:rsidRPr="00540168">
        <w:rPr>
          <w:rFonts w:cs="Arial"/>
          <w:color w:val="3F4A75"/>
          <w:kern w:val="28"/>
          <w:sz w:val="44"/>
          <w:szCs w:val="36"/>
        </w:rPr>
        <w:t>Cerdelga</w:t>
      </w:r>
      <w:proofErr w:type="spellEnd"/>
      <w:r w:rsidR="00540168" w:rsidRPr="00540168">
        <w:rPr>
          <w:rFonts w:cs="Arial"/>
          <w:color w:val="3F4A75"/>
          <w:kern w:val="28"/>
          <w:sz w:val="44"/>
          <w:szCs w:val="36"/>
          <w:vertAlign w:val="superscript"/>
        </w:rPr>
        <w:t>®</w:t>
      </w:r>
      <w:r w:rsidR="00540168" w:rsidRPr="00540168">
        <w:rPr>
          <w:rFonts w:cs="Arial"/>
          <w:color w:val="3F4A75"/>
          <w:kern w:val="28"/>
          <w:sz w:val="44"/>
          <w:szCs w:val="36"/>
        </w:rPr>
        <w:t>) outcome statement</w:t>
      </w:r>
    </w:p>
    <w:p w14:paraId="273AD880" w14:textId="77777777" w:rsidR="00540168" w:rsidRPr="00540168" w:rsidRDefault="00540168" w:rsidP="00540168">
      <w:pPr>
        <w:keepNext/>
        <w:spacing w:before="240" w:after="60" w:line="240" w:lineRule="auto"/>
        <w:outlineLvl w:val="1"/>
        <w:rPr>
          <w:rFonts w:cs="Arial"/>
          <w:iCs/>
          <w:color w:val="358189"/>
          <w:sz w:val="36"/>
          <w:szCs w:val="28"/>
        </w:rPr>
      </w:pPr>
      <w:r w:rsidRPr="00540168">
        <w:rPr>
          <w:rFonts w:cs="Arial"/>
          <w:iCs/>
          <w:color w:val="358189"/>
          <w:sz w:val="36"/>
          <w:szCs w:val="28"/>
        </w:rPr>
        <w:t>Overview:</w:t>
      </w:r>
    </w:p>
    <w:p w14:paraId="17907674" w14:textId="1537B843" w:rsidR="00540168" w:rsidRPr="00540168" w:rsidRDefault="00540168" w:rsidP="00540168">
      <w:pPr>
        <w:rPr>
          <w:sz w:val="21"/>
          <w:szCs w:val="21"/>
        </w:rPr>
      </w:pPr>
      <w:r w:rsidRPr="00540168">
        <w:rPr>
          <w:sz w:val="21"/>
          <w:szCs w:val="21"/>
        </w:rPr>
        <w:t xml:space="preserve">The LSDP Expert Panel (the </w:t>
      </w:r>
      <w:r w:rsidR="009552AE">
        <w:rPr>
          <w:sz w:val="21"/>
          <w:szCs w:val="21"/>
        </w:rPr>
        <w:t xml:space="preserve">Expert </w:t>
      </w:r>
      <w:r w:rsidRPr="00540168">
        <w:rPr>
          <w:sz w:val="21"/>
          <w:szCs w:val="21"/>
        </w:rPr>
        <w:t xml:space="preserve">Panel) advises the Chief Medical Officer (CMO) on new medicine applications to the LSDP. Eliglustat was </w:t>
      </w:r>
      <w:r w:rsidR="00A767DE">
        <w:rPr>
          <w:sz w:val="21"/>
          <w:szCs w:val="21"/>
        </w:rPr>
        <w:t>re-</w:t>
      </w:r>
      <w:r w:rsidRPr="00540168">
        <w:rPr>
          <w:sz w:val="21"/>
          <w:szCs w:val="21"/>
        </w:rPr>
        <w:t xml:space="preserve">considered for listing on the LSDP at the </w:t>
      </w:r>
      <w:r w:rsidR="009552AE">
        <w:rPr>
          <w:sz w:val="21"/>
          <w:szCs w:val="21"/>
        </w:rPr>
        <w:t xml:space="preserve">Expert </w:t>
      </w:r>
      <w:r w:rsidRPr="00540168">
        <w:rPr>
          <w:sz w:val="21"/>
          <w:szCs w:val="21"/>
        </w:rPr>
        <w:t>Panel’s meeting</w:t>
      </w:r>
      <w:r w:rsidR="00160C00">
        <w:rPr>
          <w:sz w:val="21"/>
          <w:szCs w:val="21"/>
        </w:rPr>
        <w:t>s</w:t>
      </w:r>
      <w:r w:rsidRPr="00540168">
        <w:rPr>
          <w:sz w:val="21"/>
          <w:szCs w:val="21"/>
        </w:rPr>
        <w:t xml:space="preserve"> on 18 February 2022</w:t>
      </w:r>
      <w:r w:rsidR="00160C00">
        <w:rPr>
          <w:sz w:val="21"/>
          <w:szCs w:val="21"/>
        </w:rPr>
        <w:t xml:space="preserve">, </w:t>
      </w:r>
      <w:r w:rsidR="00761FE1">
        <w:rPr>
          <w:sz w:val="21"/>
          <w:szCs w:val="21"/>
        </w:rPr>
        <w:t xml:space="preserve">24 </w:t>
      </w:r>
      <w:r w:rsidR="00160C00">
        <w:rPr>
          <w:sz w:val="21"/>
          <w:szCs w:val="21"/>
        </w:rPr>
        <w:t xml:space="preserve">June 2022 and out of session, and the CMO recommended eliglustat for listing on the LSDP in December 2022. </w:t>
      </w:r>
    </w:p>
    <w:p w14:paraId="1C1CEC5A" w14:textId="77777777" w:rsidR="00540168" w:rsidRPr="00540168" w:rsidRDefault="00540168" w:rsidP="00540168">
      <w:pPr>
        <w:keepNext/>
        <w:spacing w:before="240" w:after="60" w:line="240" w:lineRule="auto"/>
        <w:outlineLvl w:val="1"/>
        <w:rPr>
          <w:rFonts w:cs="Arial"/>
          <w:iCs/>
          <w:color w:val="358189"/>
          <w:sz w:val="36"/>
          <w:szCs w:val="28"/>
        </w:rPr>
      </w:pPr>
      <w:bookmarkStart w:id="0" w:name="Background:"/>
      <w:bookmarkEnd w:id="0"/>
      <w:r w:rsidRPr="00540168">
        <w:rPr>
          <w:rFonts w:cs="Arial"/>
          <w:iCs/>
          <w:color w:val="358189"/>
          <w:sz w:val="36"/>
          <w:szCs w:val="28"/>
        </w:rPr>
        <w:t>Background:</w:t>
      </w:r>
    </w:p>
    <w:p w14:paraId="1CA3F29E" w14:textId="76270B65" w:rsidR="00540168" w:rsidRPr="00540168" w:rsidRDefault="00540168" w:rsidP="00540168">
      <w:pPr>
        <w:rPr>
          <w:sz w:val="21"/>
          <w:szCs w:val="21"/>
        </w:rPr>
      </w:pPr>
      <w:r w:rsidRPr="00540168">
        <w:rPr>
          <w:sz w:val="21"/>
          <w:szCs w:val="21"/>
        </w:rPr>
        <w:t xml:space="preserve">Eliglustat is approved by the Therapeutic Goods Administration (TGA) for use in patients with Gaucher disease (type 1). </w:t>
      </w:r>
      <w:bookmarkStart w:id="1" w:name="Pharmaceutical_Benefits_Advisory_Committ"/>
      <w:bookmarkEnd w:id="1"/>
      <w:r w:rsidRPr="00540168">
        <w:rPr>
          <w:sz w:val="21"/>
          <w:szCs w:val="21"/>
        </w:rPr>
        <w:t>Gaucher disease (type 1) is an inherited disorder, caused by mutations in the GBA gene. The GBA gene codes for the enzyme beta</w:t>
      </w:r>
      <w:r w:rsidR="00160C00">
        <w:rPr>
          <w:sz w:val="21"/>
          <w:szCs w:val="21"/>
        </w:rPr>
        <w:noBreakHyphen/>
      </w:r>
      <w:r w:rsidRPr="00540168">
        <w:rPr>
          <w:sz w:val="21"/>
          <w:szCs w:val="21"/>
        </w:rPr>
        <w:t xml:space="preserve">glucocerebrosidase, which is used to break down the fatty substance glucocerebroside into glucose and a simpler fat molecule, ceramide. Tissues and organs are damaged by the abnormal accumulation and storage of these substances, causing the characteristic features of Gaucher disease – </w:t>
      </w:r>
      <w:r w:rsidR="00761FE1">
        <w:rPr>
          <w:sz w:val="21"/>
          <w:szCs w:val="21"/>
        </w:rPr>
        <w:t xml:space="preserve">abnormalities in the bones, liver and blood, and </w:t>
      </w:r>
      <w:r w:rsidRPr="00540168">
        <w:rPr>
          <w:sz w:val="21"/>
          <w:szCs w:val="21"/>
        </w:rPr>
        <w:t>lung disease.</w:t>
      </w:r>
    </w:p>
    <w:p w14:paraId="589F5A88" w14:textId="77777777" w:rsidR="00540168" w:rsidRPr="00540168" w:rsidRDefault="00540168" w:rsidP="00540168">
      <w:pPr>
        <w:keepNext/>
        <w:spacing w:before="240" w:after="60" w:line="240" w:lineRule="auto"/>
        <w:outlineLvl w:val="1"/>
        <w:rPr>
          <w:rFonts w:cs="Arial"/>
          <w:iCs/>
          <w:color w:val="358189"/>
          <w:sz w:val="36"/>
          <w:szCs w:val="28"/>
        </w:rPr>
      </w:pPr>
      <w:r w:rsidRPr="00540168">
        <w:rPr>
          <w:rFonts w:cs="Arial"/>
          <w:iCs/>
          <w:color w:val="358189"/>
          <w:sz w:val="36"/>
          <w:szCs w:val="28"/>
        </w:rPr>
        <w:t>Pharmaceutical Benefits Advisory Committee (PBAC) Consideration:</w:t>
      </w:r>
    </w:p>
    <w:p w14:paraId="3F2A01A3" w14:textId="37EEC7E7" w:rsidR="00CE3CFF" w:rsidRPr="00CE3CFF" w:rsidRDefault="00540168" w:rsidP="00CE3CFF">
      <w:pPr>
        <w:rPr>
          <w:sz w:val="21"/>
          <w:szCs w:val="21"/>
        </w:rPr>
      </w:pPr>
      <w:r w:rsidRPr="00540168">
        <w:rPr>
          <w:sz w:val="21"/>
          <w:szCs w:val="21"/>
        </w:rPr>
        <w:t xml:space="preserve">At its July 2015 meeting, PBAC considered a submission from Sanofi requesting the listing of eliglustat on the Pharmaceutical Benefits Scheme (PBS) for the treatment of patients with Gaucher disease (type 1). PBAC did not recommend the requested listing of eliglustat on the basis that ‘clinically important inferiority could not be excluded with confidence’. </w:t>
      </w:r>
      <w:r w:rsidR="00CE3CFF" w:rsidRPr="00CE3CFF">
        <w:rPr>
          <w:sz w:val="21"/>
          <w:szCs w:val="21"/>
        </w:rPr>
        <w:t xml:space="preserve">PBAC noted the submission’s request that consideration be given to including </w:t>
      </w:r>
      <w:r w:rsidR="00CE3CFF">
        <w:rPr>
          <w:sz w:val="21"/>
          <w:szCs w:val="21"/>
        </w:rPr>
        <w:t>eliglustat</w:t>
      </w:r>
      <w:r w:rsidR="00CE3CFF" w:rsidRPr="00CE3CFF">
        <w:rPr>
          <w:sz w:val="21"/>
          <w:szCs w:val="21"/>
        </w:rPr>
        <w:t xml:space="preserve"> on the</w:t>
      </w:r>
      <w:r w:rsidR="00CE3CFF">
        <w:rPr>
          <w:sz w:val="21"/>
          <w:szCs w:val="21"/>
        </w:rPr>
        <w:t xml:space="preserve"> </w:t>
      </w:r>
      <w:r w:rsidR="00CE3CFF" w:rsidRPr="00CE3CFF">
        <w:rPr>
          <w:sz w:val="21"/>
          <w:szCs w:val="21"/>
        </w:rPr>
        <w:t>LSDP and further noted that</w:t>
      </w:r>
      <w:r w:rsidR="00CE3CFF">
        <w:rPr>
          <w:sz w:val="21"/>
          <w:szCs w:val="21"/>
        </w:rPr>
        <w:t>, at that time,</w:t>
      </w:r>
      <w:r w:rsidR="00CE3CFF" w:rsidRPr="00CE3CFF">
        <w:rPr>
          <w:sz w:val="21"/>
          <w:szCs w:val="21"/>
        </w:rPr>
        <w:t xml:space="preserve"> the CMO was responsible for advising the Minister on drugs proposed for inclusion on the LSDP.</w:t>
      </w:r>
    </w:p>
    <w:p w14:paraId="74610A04" w14:textId="6EC9D978" w:rsidR="00540168" w:rsidRPr="00540168" w:rsidRDefault="00540168" w:rsidP="00540168">
      <w:pPr>
        <w:rPr>
          <w:sz w:val="21"/>
          <w:szCs w:val="21"/>
        </w:rPr>
      </w:pPr>
      <w:r w:rsidRPr="00540168">
        <w:rPr>
          <w:sz w:val="21"/>
          <w:szCs w:val="21"/>
        </w:rPr>
        <w:t xml:space="preserve">Further information on PBAC’s consideration of eliglustat including reasons for rejection is available in the PBAC Public Summary Document: </w:t>
      </w:r>
      <w:hyperlink r:id="rId11" w:history="1">
        <w:r w:rsidR="00160C00" w:rsidRPr="003F557B">
          <w:rPr>
            <w:rStyle w:val="Hyperlink"/>
            <w:sz w:val="21"/>
            <w:szCs w:val="21"/>
          </w:rPr>
          <w:t>www.pbs.gov.au/pbs/industry/listing/elements/pbac-meetings/psd/2015-07/eliglustat-psd-july-2015</w:t>
        </w:r>
      </w:hyperlink>
      <w:r w:rsidR="003860F6" w:rsidRPr="003860F6">
        <w:rPr>
          <w:color w:val="auto"/>
          <w:sz w:val="21"/>
          <w:szCs w:val="21"/>
        </w:rPr>
        <w:t>.</w:t>
      </w:r>
    </w:p>
    <w:p w14:paraId="49CA29E6" w14:textId="410E27C0" w:rsidR="00540168" w:rsidRPr="00540168" w:rsidRDefault="00BE78BE" w:rsidP="00540168">
      <w:pPr>
        <w:keepNext/>
        <w:spacing w:before="240" w:after="60" w:line="240" w:lineRule="auto"/>
        <w:outlineLvl w:val="1"/>
        <w:rPr>
          <w:rFonts w:cs="Arial"/>
          <w:iCs/>
          <w:color w:val="358189"/>
          <w:sz w:val="36"/>
          <w:szCs w:val="28"/>
        </w:rPr>
      </w:pPr>
      <w:bookmarkStart w:id="2" w:name="Consumer_Input:"/>
      <w:bookmarkEnd w:id="2"/>
      <w:r>
        <w:rPr>
          <w:rFonts w:cs="Arial"/>
          <w:iCs/>
          <w:color w:val="358189"/>
          <w:sz w:val="36"/>
          <w:szCs w:val="28"/>
        </w:rPr>
        <w:t xml:space="preserve">Previous </w:t>
      </w:r>
      <w:r w:rsidR="00F9052E">
        <w:rPr>
          <w:rFonts w:cs="Arial"/>
          <w:iCs/>
          <w:color w:val="358189"/>
          <w:sz w:val="36"/>
          <w:szCs w:val="28"/>
        </w:rPr>
        <w:t xml:space="preserve">CMO </w:t>
      </w:r>
      <w:r w:rsidR="00540168" w:rsidRPr="00540168">
        <w:rPr>
          <w:rFonts w:cs="Arial"/>
          <w:iCs/>
          <w:color w:val="358189"/>
          <w:sz w:val="36"/>
          <w:szCs w:val="28"/>
        </w:rPr>
        <w:t>Consideration:</w:t>
      </w:r>
    </w:p>
    <w:p w14:paraId="2FCE6EFF" w14:textId="4BB7BE72" w:rsidR="00C8097D" w:rsidRDefault="003860F6">
      <w:pPr>
        <w:widowControl w:val="0"/>
        <w:autoSpaceDE w:val="0"/>
        <w:autoSpaceDN w:val="0"/>
        <w:ind w:right="159"/>
        <w:rPr>
          <w:rFonts w:eastAsia="Calibri" w:cs="Arial"/>
          <w:color w:val="auto"/>
          <w:sz w:val="21"/>
          <w:szCs w:val="21"/>
        </w:rPr>
      </w:pPr>
      <w:r>
        <w:rPr>
          <w:rFonts w:eastAsia="Calibri" w:cs="Arial"/>
          <w:color w:val="auto"/>
          <w:sz w:val="21"/>
          <w:szCs w:val="21"/>
        </w:rPr>
        <w:t>I</w:t>
      </w:r>
      <w:r w:rsidRPr="00540168">
        <w:rPr>
          <w:rFonts w:eastAsia="Calibri" w:cs="Arial"/>
          <w:color w:val="auto"/>
          <w:sz w:val="21"/>
          <w:szCs w:val="21"/>
        </w:rPr>
        <w:t xml:space="preserve">n </w:t>
      </w:r>
      <w:r>
        <w:rPr>
          <w:rFonts w:eastAsia="Calibri" w:cs="Arial"/>
          <w:color w:val="auto"/>
          <w:sz w:val="21"/>
          <w:szCs w:val="21"/>
        </w:rPr>
        <w:t>July</w:t>
      </w:r>
      <w:r w:rsidRPr="00540168">
        <w:rPr>
          <w:rFonts w:eastAsia="Calibri" w:cs="Arial"/>
          <w:color w:val="auto"/>
          <w:sz w:val="21"/>
          <w:szCs w:val="21"/>
        </w:rPr>
        <w:t xml:space="preserve"> 2017</w:t>
      </w:r>
      <w:r>
        <w:rPr>
          <w:rFonts w:eastAsia="Calibri" w:cs="Arial"/>
          <w:color w:val="auto"/>
          <w:sz w:val="21"/>
          <w:szCs w:val="21"/>
        </w:rPr>
        <w:t>, p</w:t>
      </w:r>
      <w:r w:rsidR="00F9052E">
        <w:rPr>
          <w:rFonts w:eastAsia="Calibri" w:cs="Arial"/>
          <w:color w:val="auto"/>
          <w:sz w:val="21"/>
          <w:szCs w:val="21"/>
        </w:rPr>
        <w:t xml:space="preserve">rior to the establishment of the </w:t>
      </w:r>
      <w:r w:rsidR="009552AE">
        <w:rPr>
          <w:rFonts w:eastAsia="Calibri" w:cs="Arial"/>
          <w:color w:val="auto"/>
          <w:sz w:val="21"/>
          <w:szCs w:val="21"/>
        </w:rPr>
        <w:t xml:space="preserve">Expert </w:t>
      </w:r>
      <w:r w:rsidR="00F9052E">
        <w:rPr>
          <w:rFonts w:eastAsia="Calibri" w:cs="Arial"/>
          <w:color w:val="auto"/>
          <w:sz w:val="21"/>
          <w:szCs w:val="21"/>
        </w:rPr>
        <w:t>Panel</w:t>
      </w:r>
      <w:r>
        <w:rPr>
          <w:rFonts w:eastAsia="Calibri" w:cs="Arial"/>
          <w:color w:val="auto"/>
          <w:sz w:val="21"/>
          <w:szCs w:val="21"/>
        </w:rPr>
        <w:t>,</w:t>
      </w:r>
      <w:r w:rsidR="00F9052E">
        <w:rPr>
          <w:rFonts w:eastAsia="Calibri" w:cs="Arial"/>
          <w:color w:val="auto"/>
          <w:sz w:val="21"/>
          <w:szCs w:val="21"/>
        </w:rPr>
        <w:t xml:space="preserve"> t</w:t>
      </w:r>
      <w:r w:rsidR="00540168" w:rsidRPr="00540168">
        <w:rPr>
          <w:rFonts w:eastAsia="Calibri" w:cs="Arial"/>
          <w:color w:val="auto"/>
          <w:sz w:val="21"/>
          <w:szCs w:val="21"/>
        </w:rPr>
        <w:t xml:space="preserve">he </w:t>
      </w:r>
      <w:r w:rsidR="00F9052E">
        <w:rPr>
          <w:rFonts w:eastAsia="Calibri" w:cs="Arial"/>
          <w:color w:val="auto"/>
          <w:sz w:val="21"/>
          <w:szCs w:val="21"/>
        </w:rPr>
        <w:t xml:space="preserve">CMO recommended the </w:t>
      </w:r>
      <w:r w:rsidR="00540168" w:rsidRPr="00540168">
        <w:rPr>
          <w:rFonts w:eastAsia="Calibri" w:cs="Arial"/>
          <w:color w:val="auto"/>
          <w:sz w:val="21"/>
          <w:szCs w:val="21"/>
        </w:rPr>
        <w:t>listing of eliglustat on the LSDP</w:t>
      </w:r>
      <w:r w:rsidR="00C8097D">
        <w:rPr>
          <w:rFonts w:eastAsia="Calibri" w:cs="Arial"/>
          <w:color w:val="auto"/>
          <w:sz w:val="21"/>
          <w:szCs w:val="21"/>
        </w:rPr>
        <w:t xml:space="preserve"> </w:t>
      </w:r>
      <w:r w:rsidR="00C8097D" w:rsidRPr="00C8097D">
        <w:rPr>
          <w:rFonts w:eastAsia="Calibri" w:cs="Arial"/>
          <w:color w:val="auto"/>
          <w:sz w:val="21"/>
          <w:szCs w:val="21"/>
        </w:rPr>
        <w:t>in a strict second line setting for Gaucher disease</w:t>
      </w:r>
      <w:r w:rsidR="00C8097D">
        <w:rPr>
          <w:rFonts w:eastAsia="Calibri" w:cs="Arial"/>
          <w:color w:val="auto"/>
          <w:sz w:val="21"/>
          <w:szCs w:val="21"/>
        </w:rPr>
        <w:t xml:space="preserve"> (type 1)</w:t>
      </w:r>
      <w:r w:rsidR="00540168" w:rsidRPr="00540168">
        <w:rPr>
          <w:rFonts w:eastAsia="Calibri" w:cs="Arial"/>
          <w:color w:val="auto"/>
          <w:sz w:val="21"/>
          <w:szCs w:val="21"/>
        </w:rPr>
        <w:t xml:space="preserve">. </w:t>
      </w:r>
      <w:r w:rsidR="00F9052E">
        <w:rPr>
          <w:rFonts w:eastAsia="Calibri" w:cs="Arial"/>
          <w:color w:val="auto"/>
          <w:sz w:val="21"/>
          <w:szCs w:val="21"/>
        </w:rPr>
        <w:t>N</w:t>
      </w:r>
      <w:r w:rsidR="00540168" w:rsidRPr="00540168">
        <w:rPr>
          <w:rFonts w:eastAsia="Calibri" w:cs="Arial"/>
          <w:color w:val="auto"/>
          <w:sz w:val="21"/>
          <w:szCs w:val="21"/>
        </w:rPr>
        <w:t xml:space="preserve">egotiations ended when the Department and the sponsor were not able to agree on the place in therapy for </w:t>
      </w:r>
      <w:hyperlink r:id="rId12" w:history="1">
        <w:r w:rsidR="00540168" w:rsidRPr="00540168">
          <w:rPr>
            <w:rFonts w:eastAsia="Calibri" w:cs="Arial"/>
            <w:color w:val="0000FF" w:themeColor="hyperlink"/>
            <w:sz w:val="21"/>
            <w:szCs w:val="21"/>
            <w:u w:val="single"/>
          </w:rPr>
          <w:t>eliglustat</w:t>
        </w:r>
      </w:hyperlink>
      <w:r w:rsidR="00540168" w:rsidRPr="00540168">
        <w:rPr>
          <w:rFonts w:eastAsia="Calibri" w:cs="Arial"/>
          <w:color w:val="auto"/>
          <w:sz w:val="21"/>
          <w:szCs w:val="21"/>
        </w:rPr>
        <w:t xml:space="preserve">. </w:t>
      </w:r>
    </w:p>
    <w:p w14:paraId="38217A0E" w14:textId="7BA310A8" w:rsidR="00C8097D" w:rsidRPr="009552AE" w:rsidRDefault="009552AE">
      <w:pPr>
        <w:widowControl w:val="0"/>
        <w:autoSpaceDE w:val="0"/>
        <w:autoSpaceDN w:val="0"/>
        <w:ind w:right="159"/>
        <w:rPr>
          <w:rFonts w:cs="Arial"/>
          <w:iCs/>
          <w:color w:val="358189"/>
          <w:sz w:val="36"/>
          <w:szCs w:val="28"/>
        </w:rPr>
      </w:pPr>
      <w:r>
        <w:rPr>
          <w:rFonts w:cs="Arial"/>
          <w:iCs/>
          <w:color w:val="358189"/>
          <w:sz w:val="36"/>
          <w:szCs w:val="28"/>
        </w:rPr>
        <w:br/>
      </w:r>
      <w:r>
        <w:rPr>
          <w:rFonts w:cs="Arial"/>
          <w:iCs/>
          <w:color w:val="358189"/>
          <w:sz w:val="36"/>
          <w:szCs w:val="28"/>
        </w:rPr>
        <w:lastRenderedPageBreak/>
        <w:t xml:space="preserve">Expert </w:t>
      </w:r>
      <w:r w:rsidR="00C8097D" w:rsidRPr="009552AE">
        <w:rPr>
          <w:rFonts w:cs="Arial"/>
          <w:iCs/>
          <w:color w:val="358189"/>
          <w:sz w:val="36"/>
          <w:szCs w:val="28"/>
        </w:rPr>
        <w:t>Panel Consideration:</w:t>
      </w:r>
    </w:p>
    <w:p w14:paraId="6BB62C80" w14:textId="2CEAE6EB" w:rsidR="002F0F06" w:rsidRPr="00540168" w:rsidRDefault="00C8097D" w:rsidP="009552AE">
      <w:pPr>
        <w:widowControl w:val="0"/>
        <w:autoSpaceDE w:val="0"/>
        <w:autoSpaceDN w:val="0"/>
        <w:ind w:right="159"/>
        <w:rPr>
          <w:rFonts w:eastAsia="Calibri" w:cs="Arial"/>
          <w:color w:val="auto"/>
          <w:sz w:val="21"/>
          <w:szCs w:val="21"/>
        </w:rPr>
      </w:pPr>
      <w:r>
        <w:rPr>
          <w:rFonts w:eastAsia="Calibri" w:cs="Arial"/>
          <w:color w:val="auto"/>
          <w:sz w:val="21"/>
          <w:szCs w:val="21"/>
        </w:rPr>
        <w:t>The</w:t>
      </w:r>
      <w:r w:rsidR="009552AE">
        <w:rPr>
          <w:rFonts w:eastAsia="Calibri" w:cs="Arial"/>
          <w:color w:val="auto"/>
          <w:sz w:val="21"/>
          <w:szCs w:val="21"/>
        </w:rPr>
        <w:t xml:space="preserve"> Expert</w:t>
      </w:r>
      <w:r>
        <w:rPr>
          <w:rFonts w:eastAsia="Calibri" w:cs="Arial"/>
          <w:color w:val="auto"/>
          <w:sz w:val="21"/>
          <w:szCs w:val="21"/>
        </w:rPr>
        <w:t xml:space="preserve"> Panel was established in June 2018</w:t>
      </w:r>
      <w:r w:rsidR="00CF2102">
        <w:rPr>
          <w:rFonts w:eastAsia="Calibri" w:cs="Arial"/>
          <w:color w:val="auto"/>
          <w:sz w:val="21"/>
          <w:szCs w:val="21"/>
        </w:rPr>
        <w:t>.</w:t>
      </w:r>
      <w:r>
        <w:rPr>
          <w:rFonts w:eastAsia="Calibri" w:cs="Arial"/>
          <w:color w:val="auto"/>
          <w:sz w:val="21"/>
          <w:szCs w:val="21"/>
        </w:rPr>
        <w:t xml:space="preserve"> </w:t>
      </w:r>
      <w:r w:rsidR="00CF2102">
        <w:rPr>
          <w:rFonts w:eastAsia="Calibri" w:cs="Arial"/>
          <w:color w:val="auto"/>
          <w:sz w:val="21"/>
          <w:szCs w:val="21"/>
        </w:rPr>
        <w:t>A</w:t>
      </w:r>
      <w:r w:rsidR="00F9052E">
        <w:rPr>
          <w:rFonts w:eastAsia="Calibri" w:cs="Arial"/>
          <w:color w:val="auto"/>
          <w:sz w:val="21"/>
          <w:szCs w:val="21"/>
        </w:rPr>
        <w:t>t the request of the sponsor</w:t>
      </w:r>
      <w:r w:rsidR="00CF2102">
        <w:rPr>
          <w:rFonts w:eastAsia="Calibri" w:cs="Arial"/>
          <w:color w:val="auto"/>
          <w:sz w:val="21"/>
          <w:szCs w:val="21"/>
        </w:rPr>
        <w:t>,</w:t>
      </w:r>
      <w:r w:rsidR="00F9052E">
        <w:rPr>
          <w:rFonts w:eastAsia="Calibri" w:cs="Arial"/>
          <w:color w:val="auto"/>
          <w:sz w:val="21"/>
          <w:szCs w:val="21"/>
        </w:rPr>
        <w:t xml:space="preserve"> t</w:t>
      </w:r>
      <w:r w:rsidR="00540168" w:rsidRPr="00540168">
        <w:rPr>
          <w:rFonts w:eastAsia="Calibri" w:cs="Arial"/>
          <w:color w:val="auto"/>
          <w:sz w:val="21"/>
          <w:szCs w:val="21"/>
        </w:rPr>
        <w:t xml:space="preserve">he </w:t>
      </w:r>
      <w:r w:rsidR="009552AE">
        <w:rPr>
          <w:rFonts w:eastAsia="Calibri" w:cs="Arial"/>
          <w:color w:val="auto"/>
          <w:sz w:val="21"/>
          <w:szCs w:val="21"/>
        </w:rPr>
        <w:t xml:space="preserve">Expert </w:t>
      </w:r>
      <w:r w:rsidR="00540168" w:rsidRPr="00540168">
        <w:rPr>
          <w:rFonts w:eastAsia="Calibri" w:cs="Arial"/>
          <w:color w:val="auto"/>
          <w:sz w:val="21"/>
          <w:szCs w:val="21"/>
        </w:rPr>
        <w:t xml:space="preserve">Panel </w:t>
      </w:r>
      <w:r w:rsidR="002F0F06">
        <w:rPr>
          <w:rFonts w:eastAsia="Calibri" w:cs="Arial"/>
          <w:color w:val="auto"/>
          <w:sz w:val="21"/>
          <w:szCs w:val="21"/>
        </w:rPr>
        <w:t>re</w:t>
      </w:r>
      <w:r w:rsidR="00540168" w:rsidRPr="00540168">
        <w:rPr>
          <w:rFonts w:eastAsia="Calibri" w:cs="Arial"/>
          <w:color w:val="auto"/>
          <w:sz w:val="21"/>
          <w:szCs w:val="21"/>
        </w:rPr>
        <w:t xml:space="preserve">considered </w:t>
      </w:r>
      <w:r w:rsidR="002F0F06">
        <w:rPr>
          <w:rFonts w:eastAsia="Calibri" w:cs="Arial"/>
          <w:color w:val="auto"/>
          <w:sz w:val="21"/>
          <w:szCs w:val="21"/>
        </w:rPr>
        <w:t xml:space="preserve">the application for </w:t>
      </w:r>
      <w:r w:rsidR="00540168" w:rsidRPr="00540168">
        <w:rPr>
          <w:rFonts w:eastAsia="Calibri" w:cs="Arial"/>
          <w:color w:val="auto"/>
          <w:sz w:val="21"/>
          <w:szCs w:val="21"/>
        </w:rPr>
        <w:t>eliglustat</w:t>
      </w:r>
      <w:r w:rsidR="002F0F06">
        <w:rPr>
          <w:rFonts w:eastAsia="Calibri" w:cs="Arial"/>
          <w:color w:val="auto"/>
          <w:sz w:val="21"/>
          <w:szCs w:val="21"/>
        </w:rPr>
        <w:t xml:space="preserve"> </w:t>
      </w:r>
      <w:r w:rsidR="00540168" w:rsidRPr="00540168">
        <w:rPr>
          <w:rFonts w:eastAsia="Calibri" w:cs="Arial"/>
          <w:color w:val="auto"/>
          <w:sz w:val="21"/>
          <w:szCs w:val="21"/>
        </w:rPr>
        <w:t>in</w:t>
      </w:r>
      <w:r>
        <w:rPr>
          <w:rFonts w:eastAsia="Calibri" w:cs="Arial"/>
          <w:color w:val="auto"/>
          <w:sz w:val="21"/>
          <w:szCs w:val="21"/>
        </w:rPr>
        <w:t xml:space="preserve"> </w:t>
      </w:r>
      <w:r w:rsidR="00540168" w:rsidRPr="00540168">
        <w:rPr>
          <w:rFonts w:eastAsia="Calibri" w:cs="Arial"/>
          <w:color w:val="auto"/>
          <w:sz w:val="21"/>
          <w:szCs w:val="21"/>
        </w:rPr>
        <w:t xml:space="preserve">November 2019. </w:t>
      </w:r>
      <w:r w:rsidR="00F9052E" w:rsidRPr="00F9052E">
        <w:rPr>
          <w:rFonts w:eastAsia="Calibri" w:cs="Arial"/>
          <w:color w:val="auto"/>
          <w:sz w:val="21"/>
          <w:szCs w:val="21"/>
        </w:rPr>
        <w:t xml:space="preserve">The </w:t>
      </w:r>
      <w:r w:rsidR="009552AE">
        <w:rPr>
          <w:rFonts w:eastAsia="Calibri" w:cs="Arial"/>
          <w:color w:val="auto"/>
          <w:sz w:val="21"/>
          <w:szCs w:val="21"/>
        </w:rPr>
        <w:t xml:space="preserve">Expert </w:t>
      </w:r>
      <w:r w:rsidR="00F9052E" w:rsidRPr="00F9052E">
        <w:rPr>
          <w:rFonts w:eastAsia="Calibri" w:cs="Arial"/>
          <w:color w:val="auto"/>
          <w:sz w:val="21"/>
          <w:szCs w:val="21"/>
        </w:rPr>
        <w:t xml:space="preserve">Panel deferred its decision until the Government-agreed outcomes from the Gaucher disease LSDP medicines review were known. Following </w:t>
      </w:r>
      <w:r w:rsidR="00160C00">
        <w:rPr>
          <w:rFonts w:eastAsia="Calibri" w:cs="Arial"/>
          <w:color w:val="auto"/>
          <w:sz w:val="21"/>
          <w:szCs w:val="21"/>
        </w:rPr>
        <w:t>completion of the Gaucher disease review</w:t>
      </w:r>
      <w:r w:rsidR="00F9052E" w:rsidRPr="00F9052E">
        <w:rPr>
          <w:rFonts w:eastAsia="Calibri" w:cs="Arial"/>
          <w:color w:val="auto"/>
          <w:sz w:val="21"/>
          <w:szCs w:val="21"/>
        </w:rPr>
        <w:t xml:space="preserve">, the </w:t>
      </w:r>
      <w:r w:rsidR="009552AE">
        <w:rPr>
          <w:rFonts w:eastAsia="Calibri" w:cs="Arial"/>
          <w:color w:val="auto"/>
          <w:sz w:val="21"/>
          <w:szCs w:val="21"/>
        </w:rPr>
        <w:t xml:space="preserve">Expert </w:t>
      </w:r>
      <w:r w:rsidR="00F9052E" w:rsidRPr="00F9052E">
        <w:rPr>
          <w:rFonts w:eastAsia="Calibri" w:cs="Arial"/>
          <w:color w:val="auto"/>
          <w:sz w:val="21"/>
          <w:szCs w:val="21"/>
        </w:rPr>
        <w:t xml:space="preserve">Panel reconsidered eliglustat </w:t>
      </w:r>
      <w:r w:rsidR="00160C00">
        <w:rPr>
          <w:rFonts w:eastAsia="Calibri" w:cs="Arial"/>
          <w:color w:val="auto"/>
          <w:sz w:val="21"/>
          <w:szCs w:val="21"/>
        </w:rPr>
        <w:t xml:space="preserve">at its February 2022 and June 2022 meetings and out of session. </w:t>
      </w:r>
      <w:r>
        <w:rPr>
          <w:rFonts w:eastAsia="Calibri" w:cs="Arial"/>
          <w:color w:val="auto"/>
          <w:sz w:val="21"/>
          <w:szCs w:val="21"/>
        </w:rPr>
        <w:t xml:space="preserve">The </w:t>
      </w:r>
      <w:r w:rsidR="002F2349">
        <w:rPr>
          <w:rFonts w:eastAsia="Calibri" w:cs="Arial"/>
          <w:color w:val="auto"/>
          <w:sz w:val="21"/>
          <w:szCs w:val="21"/>
        </w:rPr>
        <w:t xml:space="preserve">Expert </w:t>
      </w:r>
      <w:r>
        <w:rPr>
          <w:rFonts w:eastAsia="Calibri" w:cs="Arial"/>
          <w:color w:val="auto"/>
          <w:sz w:val="21"/>
          <w:szCs w:val="21"/>
        </w:rPr>
        <w:t>Panel accepted the CMO’s previous position regarding eliglustat’s eligibility</w:t>
      </w:r>
      <w:r w:rsidR="00CF2102">
        <w:rPr>
          <w:rFonts w:eastAsia="Calibri" w:cs="Arial"/>
          <w:color w:val="auto"/>
          <w:sz w:val="21"/>
          <w:szCs w:val="21"/>
        </w:rPr>
        <w:t xml:space="preserve"> for the LSDP. Rather than a strict second line setting, the </w:t>
      </w:r>
      <w:r w:rsidR="009552AE">
        <w:rPr>
          <w:rFonts w:eastAsia="Calibri" w:cs="Arial"/>
          <w:color w:val="auto"/>
          <w:sz w:val="21"/>
          <w:szCs w:val="21"/>
        </w:rPr>
        <w:t xml:space="preserve">Expert </w:t>
      </w:r>
      <w:r w:rsidR="00CF2102">
        <w:rPr>
          <w:rFonts w:eastAsia="Calibri" w:cs="Arial"/>
          <w:color w:val="auto"/>
          <w:sz w:val="21"/>
          <w:szCs w:val="21"/>
        </w:rPr>
        <w:t xml:space="preserve">Panel agreed that </w:t>
      </w:r>
      <w:r w:rsidR="009552AE">
        <w:rPr>
          <w:rFonts w:eastAsia="Calibri" w:cs="Arial"/>
          <w:color w:val="auto"/>
          <w:sz w:val="21"/>
          <w:szCs w:val="21"/>
        </w:rPr>
        <w:t>Gaucher</w:t>
      </w:r>
      <w:r w:rsidR="00CF2102">
        <w:rPr>
          <w:rFonts w:eastAsia="Calibri" w:cs="Arial"/>
          <w:color w:val="auto"/>
          <w:sz w:val="21"/>
          <w:szCs w:val="21"/>
        </w:rPr>
        <w:t xml:space="preserve"> disease (type 1) patients could access eliglustat after 12 months of treatment with enzyme replacement therapy. </w:t>
      </w:r>
      <w:r w:rsidR="00160C00">
        <w:rPr>
          <w:rFonts w:eastAsia="Calibri" w:cs="Arial"/>
          <w:color w:val="auto"/>
          <w:sz w:val="21"/>
          <w:szCs w:val="21"/>
        </w:rPr>
        <w:t>I</w:t>
      </w:r>
      <w:r w:rsidR="00F9052E" w:rsidRPr="00F9052E">
        <w:rPr>
          <w:rFonts w:eastAsia="Calibri" w:cs="Arial"/>
          <w:color w:val="auto"/>
          <w:sz w:val="21"/>
          <w:szCs w:val="21"/>
        </w:rPr>
        <w:t>n December 2022 the sponsor and the Department agreed on a price for eliglustat</w:t>
      </w:r>
      <w:r w:rsidR="00160C00">
        <w:rPr>
          <w:rFonts w:eastAsia="Calibri" w:cs="Arial"/>
          <w:color w:val="auto"/>
          <w:sz w:val="21"/>
          <w:szCs w:val="21"/>
        </w:rPr>
        <w:t xml:space="preserve"> based on the</w:t>
      </w:r>
      <w:r w:rsidR="009552AE">
        <w:rPr>
          <w:rFonts w:eastAsia="Calibri" w:cs="Arial"/>
          <w:color w:val="auto"/>
          <w:sz w:val="21"/>
          <w:szCs w:val="21"/>
        </w:rPr>
        <w:t xml:space="preserve"> Expert</w:t>
      </w:r>
      <w:r w:rsidR="00160C00">
        <w:rPr>
          <w:rFonts w:eastAsia="Calibri" w:cs="Arial"/>
          <w:color w:val="auto"/>
          <w:sz w:val="21"/>
          <w:szCs w:val="21"/>
        </w:rPr>
        <w:t xml:space="preserve"> Panel’s recommendations</w:t>
      </w:r>
      <w:r w:rsidR="00F9052E" w:rsidRPr="00F9052E">
        <w:rPr>
          <w:rFonts w:eastAsia="Calibri" w:cs="Arial"/>
          <w:color w:val="auto"/>
          <w:sz w:val="21"/>
          <w:szCs w:val="21"/>
        </w:rPr>
        <w:t>.</w:t>
      </w:r>
    </w:p>
    <w:p w14:paraId="201A39C2" w14:textId="77777777" w:rsidR="00F9052E" w:rsidRPr="00540168" w:rsidRDefault="00F9052E" w:rsidP="00F9052E">
      <w:pPr>
        <w:keepNext/>
        <w:spacing w:before="180" w:after="60" w:line="240" w:lineRule="auto"/>
        <w:outlineLvl w:val="2"/>
        <w:rPr>
          <w:rFonts w:cs="Arial"/>
          <w:color w:val="358189"/>
          <w:sz w:val="32"/>
          <w:szCs w:val="26"/>
        </w:rPr>
      </w:pPr>
      <w:bookmarkStart w:id="3" w:name="Funding_Criteria"/>
      <w:bookmarkStart w:id="4" w:name="Pricing_issues"/>
      <w:bookmarkEnd w:id="3"/>
      <w:bookmarkEnd w:id="4"/>
      <w:r w:rsidRPr="00674F21">
        <w:rPr>
          <w:rFonts w:cs="Arial"/>
          <w:iCs/>
          <w:color w:val="358189"/>
          <w:sz w:val="36"/>
          <w:szCs w:val="28"/>
        </w:rPr>
        <w:t>Pricing issues:</w:t>
      </w:r>
    </w:p>
    <w:p w14:paraId="2926988D" w14:textId="77777777" w:rsidR="00540168" w:rsidRPr="00540168" w:rsidRDefault="00540168" w:rsidP="009552A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line="259" w:lineRule="auto"/>
        <w:ind w:left="227" w:right="227"/>
        <w:rPr>
          <w:szCs w:val="21"/>
        </w:rPr>
      </w:pPr>
      <w:r w:rsidRPr="00540168">
        <w:rPr>
          <w:szCs w:val="21"/>
        </w:rPr>
        <w:t>Note</w:t>
      </w:r>
      <w:r w:rsidRPr="00540168">
        <w:rPr>
          <w:spacing w:val="-2"/>
          <w:szCs w:val="21"/>
        </w:rPr>
        <w:t xml:space="preserve"> </w:t>
      </w:r>
      <w:r w:rsidRPr="00540168">
        <w:rPr>
          <w:szCs w:val="21"/>
        </w:rPr>
        <w:t>that</w:t>
      </w:r>
      <w:r w:rsidRPr="00540168">
        <w:rPr>
          <w:spacing w:val="-1"/>
          <w:szCs w:val="21"/>
        </w:rPr>
        <w:t xml:space="preserve"> </w:t>
      </w:r>
      <w:r w:rsidRPr="00540168">
        <w:rPr>
          <w:szCs w:val="21"/>
        </w:rPr>
        <w:t>the</w:t>
      </w:r>
      <w:r w:rsidRPr="00540168">
        <w:rPr>
          <w:spacing w:val="-5"/>
          <w:szCs w:val="21"/>
        </w:rPr>
        <w:t xml:space="preserve"> </w:t>
      </w:r>
      <w:r w:rsidRPr="00540168">
        <w:rPr>
          <w:szCs w:val="21"/>
        </w:rPr>
        <w:t>price</w:t>
      </w:r>
      <w:r w:rsidRPr="00540168">
        <w:rPr>
          <w:spacing w:val="-2"/>
          <w:szCs w:val="21"/>
        </w:rPr>
        <w:t xml:space="preserve"> </w:t>
      </w:r>
      <w:r w:rsidRPr="00540168">
        <w:rPr>
          <w:szCs w:val="21"/>
        </w:rPr>
        <w:t>of</w:t>
      </w:r>
      <w:r w:rsidRPr="00540168">
        <w:rPr>
          <w:spacing w:val="-4"/>
          <w:szCs w:val="21"/>
        </w:rPr>
        <w:t xml:space="preserve"> </w:t>
      </w:r>
      <w:r w:rsidRPr="00540168">
        <w:rPr>
          <w:szCs w:val="21"/>
        </w:rPr>
        <w:t>all</w:t>
      </w:r>
      <w:r w:rsidRPr="00540168">
        <w:rPr>
          <w:spacing w:val="-5"/>
          <w:szCs w:val="21"/>
        </w:rPr>
        <w:t xml:space="preserve"> </w:t>
      </w:r>
      <w:r w:rsidRPr="00540168">
        <w:rPr>
          <w:szCs w:val="21"/>
        </w:rPr>
        <w:t>LSDP</w:t>
      </w:r>
      <w:r w:rsidRPr="00540168">
        <w:rPr>
          <w:spacing w:val="-2"/>
          <w:szCs w:val="21"/>
        </w:rPr>
        <w:t xml:space="preserve"> </w:t>
      </w:r>
      <w:r w:rsidRPr="00540168">
        <w:rPr>
          <w:szCs w:val="21"/>
        </w:rPr>
        <w:t>medicines</w:t>
      </w:r>
      <w:r w:rsidRPr="00540168">
        <w:rPr>
          <w:spacing w:val="-2"/>
          <w:szCs w:val="21"/>
        </w:rPr>
        <w:t xml:space="preserve"> </w:t>
      </w:r>
      <w:proofErr w:type="gramStart"/>
      <w:r w:rsidRPr="00540168">
        <w:rPr>
          <w:szCs w:val="21"/>
        </w:rPr>
        <w:t>are</w:t>
      </w:r>
      <w:proofErr w:type="gramEnd"/>
      <w:r w:rsidRPr="00540168">
        <w:rPr>
          <w:spacing w:val="-2"/>
          <w:szCs w:val="21"/>
        </w:rPr>
        <w:t xml:space="preserve"> </w:t>
      </w:r>
      <w:r w:rsidRPr="00540168">
        <w:rPr>
          <w:szCs w:val="21"/>
        </w:rPr>
        <w:t>subject</w:t>
      </w:r>
      <w:r w:rsidRPr="00540168">
        <w:rPr>
          <w:spacing w:val="-4"/>
          <w:szCs w:val="21"/>
        </w:rPr>
        <w:t xml:space="preserve"> </w:t>
      </w:r>
      <w:r w:rsidRPr="00540168">
        <w:rPr>
          <w:szCs w:val="21"/>
        </w:rPr>
        <w:t>to</w:t>
      </w:r>
      <w:r w:rsidRPr="00540168">
        <w:rPr>
          <w:spacing w:val="-3"/>
          <w:szCs w:val="21"/>
        </w:rPr>
        <w:t xml:space="preserve"> </w:t>
      </w:r>
      <w:r w:rsidRPr="00540168">
        <w:rPr>
          <w:szCs w:val="21"/>
        </w:rPr>
        <w:t>commercial</w:t>
      </w:r>
      <w:r w:rsidRPr="00540168">
        <w:rPr>
          <w:spacing w:val="-2"/>
          <w:szCs w:val="21"/>
        </w:rPr>
        <w:t xml:space="preserve"> </w:t>
      </w:r>
      <w:r w:rsidRPr="00540168">
        <w:rPr>
          <w:szCs w:val="21"/>
        </w:rPr>
        <w:t>in</w:t>
      </w:r>
      <w:r w:rsidRPr="00540168">
        <w:rPr>
          <w:spacing w:val="-6"/>
          <w:szCs w:val="21"/>
        </w:rPr>
        <w:t xml:space="preserve"> </w:t>
      </w:r>
      <w:r w:rsidRPr="00540168">
        <w:rPr>
          <w:szCs w:val="21"/>
        </w:rPr>
        <w:t xml:space="preserve">confidence </w:t>
      </w:r>
      <w:r w:rsidRPr="00540168">
        <w:rPr>
          <w:spacing w:val="-2"/>
          <w:szCs w:val="21"/>
        </w:rPr>
        <w:t>arrangements.</w:t>
      </w:r>
    </w:p>
    <w:p w14:paraId="48B7213B" w14:textId="77777777" w:rsidR="00F9052E" w:rsidRPr="00540168" w:rsidRDefault="00F9052E" w:rsidP="00F9052E">
      <w:pPr>
        <w:keepNext/>
        <w:spacing w:before="240" w:after="60" w:line="240" w:lineRule="auto"/>
        <w:outlineLvl w:val="1"/>
        <w:rPr>
          <w:rFonts w:cs="Arial"/>
          <w:iCs/>
          <w:color w:val="358189"/>
          <w:sz w:val="36"/>
          <w:szCs w:val="28"/>
        </w:rPr>
      </w:pPr>
      <w:r w:rsidRPr="00540168">
        <w:rPr>
          <w:rFonts w:cs="Arial"/>
          <w:iCs/>
          <w:color w:val="358189"/>
          <w:sz w:val="36"/>
          <w:szCs w:val="28"/>
        </w:rPr>
        <w:t>Consumer Input:</w:t>
      </w:r>
    </w:p>
    <w:p w14:paraId="34829D44" w14:textId="64E748D0" w:rsidR="00F9052E" w:rsidRPr="00540168" w:rsidRDefault="00F9052E" w:rsidP="00F9052E">
      <w:pPr>
        <w:rPr>
          <w:sz w:val="21"/>
          <w:szCs w:val="21"/>
        </w:rPr>
      </w:pPr>
      <w:r w:rsidRPr="00540168">
        <w:rPr>
          <w:sz w:val="21"/>
          <w:szCs w:val="21"/>
        </w:rPr>
        <w:t xml:space="preserve">The </w:t>
      </w:r>
      <w:r w:rsidR="009552AE">
        <w:rPr>
          <w:rFonts w:eastAsia="Calibri" w:cs="Arial"/>
          <w:color w:val="auto"/>
          <w:sz w:val="21"/>
          <w:szCs w:val="21"/>
        </w:rPr>
        <w:t xml:space="preserve">Expert </w:t>
      </w:r>
      <w:r w:rsidRPr="00540168">
        <w:rPr>
          <w:sz w:val="21"/>
          <w:szCs w:val="21"/>
        </w:rPr>
        <w:t xml:space="preserve">Panel noted the </w:t>
      </w:r>
      <w:r w:rsidR="007B6475">
        <w:rPr>
          <w:sz w:val="21"/>
          <w:szCs w:val="21"/>
        </w:rPr>
        <w:t>stakeholder</w:t>
      </w:r>
      <w:r w:rsidR="007B6475" w:rsidRPr="00540168">
        <w:rPr>
          <w:sz w:val="21"/>
          <w:szCs w:val="21"/>
        </w:rPr>
        <w:t xml:space="preserve"> </w:t>
      </w:r>
      <w:r w:rsidRPr="00540168">
        <w:rPr>
          <w:sz w:val="21"/>
          <w:szCs w:val="21"/>
        </w:rPr>
        <w:t xml:space="preserve">input from the LSDP application. The </w:t>
      </w:r>
      <w:r w:rsidR="009552AE">
        <w:rPr>
          <w:rFonts w:eastAsia="Calibri" w:cs="Arial"/>
          <w:color w:val="auto"/>
          <w:sz w:val="21"/>
          <w:szCs w:val="21"/>
        </w:rPr>
        <w:t xml:space="preserve">Expert </w:t>
      </w:r>
      <w:r w:rsidRPr="00540168">
        <w:rPr>
          <w:sz w:val="21"/>
          <w:szCs w:val="21"/>
        </w:rPr>
        <w:t>Panel found the insight provided by the stakeholders was informative and contributed to its deliberations.</w:t>
      </w:r>
    </w:p>
    <w:p w14:paraId="11D80276" w14:textId="77777777" w:rsidR="00540168" w:rsidRPr="00540168" w:rsidRDefault="00540168" w:rsidP="00540168">
      <w:pPr>
        <w:keepNext/>
        <w:spacing w:before="240" w:after="60" w:line="240" w:lineRule="auto"/>
        <w:outlineLvl w:val="1"/>
        <w:rPr>
          <w:rFonts w:cs="Arial"/>
          <w:iCs/>
          <w:color w:val="358189"/>
          <w:sz w:val="36"/>
          <w:szCs w:val="28"/>
        </w:rPr>
      </w:pPr>
      <w:r w:rsidRPr="00540168">
        <w:rPr>
          <w:rFonts w:cs="Arial"/>
          <w:iCs/>
          <w:color w:val="358189"/>
          <w:sz w:val="36"/>
          <w:szCs w:val="28"/>
        </w:rPr>
        <w:t>Treatment</w:t>
      </w:r>
      <w:r w:rsidRPr="00540168">
        <w:rPr>
          <w:rFonts w:cs="Arial"/>
          <w:iCs/>
          <w:color w:val="358189"/>
          <w:spacing w:val="-1"/>
          <w:sz w:val="36"/>
          <w:szCs w:val="28"/>
        </w:rPr>
        <w:t xml:space="preserve"> </w:t>
      </w:r>
      <w:r w:rsidRPr="00540168">
        <w:rPr>
          <w:rFonts w:cs="Arial"/>
          <w:iCs/>
          <w:color w:val="358189"/>
          <w:sz w:val="36"/>
          <w:szCs w:val="28"/>
        </w:rPr>
        <w:t>Guidelines:</w:t>
      </w:r>
    </w:p>
    <w:p w14:paraId="26E32AA8" w14:textId="77777777" w:rsidR="00540168" w:rsidRPr="00540168" w:rsidRDefault="00540168" w:rsidP="00540168">
      <w:pPr>
        <w:autoSpaceDE w:val="0"/>
        <w:autoSpaceDN w:val="0"/>
        <w:adjustRightInd w:val="0"/>
        <w:rPr>
          <w:rFonts w:eastAsia="Calibri" w:cs="Arial"/>
          <w:iCs/>
          <w:sz w:val="21"/>
          <w:szCs w:val="21"/>
        </w:rPr>
      </w:pPr>
      <w:r w:rsidRPr="00540168">
        <w:rPr>
          <w:rFonts w:eastAsia="Calibri" w:cs="Arial"/>
          <w:iCs/>
          <w:sz w:val="21"/>
          <w:szCs w:val="21"/>
        </w:rPr>
        <w:t>The diagnosis of Gaucher disease (type 1) must be established by the demonstration of specific deficiency of glucocerebrosidase enzyme activity in leukocytes or cultured skin fibroblasts, or by the presence of mutations in the glucocerebrosidase gene, known to result in severe deficiency of enzyme activity, in tissue or peripheral blood leukocytes.</w:t>
      </w:r>
    </w:p>
    <w:p w14:paraId="73E834F0" w14:textId="77777777" w:rsidR="00540168" w:rsidRPr="00540168" w:rsidRDefault="00540168" w:rsidP="00540168">
      <w:pPr>
        <w:autoSpaceDE w:val="0"/>
        <w:autoSpaceDN w:val="0"/>
        <w:adjustRightInd w:val="0"/>
        <w:rPr>
          <w:rFonts w:eastAsia="Calibri" w:cs="Arial"/>
          <w:iCs/>
          <w:sz w:val="21"/>
          <w:szCs w:val="21"/>
        </w:rPr>
      </w:pPr>
      <w:r w:rsidRPr="00540168">
        <w:rPr>
          <w:rFonts w:eastAsia="Calibri" w:cs="Arial"/>
          <w:iCs/>
          <w:sz w:val="21"/>
          <w:szCs w:val="21"/>
        </w:rPr>
        <w:t>The patient must satisfy at least one of the following criteria to be eligible for treatment with eliglustat:</w:t>
      </w:r>
    </w:p>
    <w:p w14:paraId="2E43C716" w14:textId="77777777" w:rsidR="00540168" w:rsidRPr="00540168" w:rsidRDefault="00540168" w:rsidP="00540168">
      <w:pPr>
        <w:autoSpaceDE w:val="0"/>
        <w:autoSpaceDN w:val="0"/>
        <w:adjustRightInd w:val="0"/>
        <w:rPr>
          <w:rFonts w:eastAsia="Calibri" w:cs="Arial"/>
          <w:iCs/>
          <w:sz w:val="21"/>
          <w:szCs w:val="21"/>
        </w:rPr>
      </w:pPr>
      <w:r w:rsidRPr="00540168">
        <w:rPr>
          <w:rFonts w:eastAsia="Calibri" w:cs="Arial"/>
          <w:iCs/>
          <w:sz w:val="21"/>
          <w:szCs w:val="21"/>
        </w:rPr>
        <w:t>Symptomatic Gaucher disease (type 1) with any of the disease manifestations listed below:</w:t>
      </w:r>
    </w:p>
    <w:p w14:paraId="7939600B" w14:textId="77777777" w:rsidR="00540168" w:rsidRPr="00540168" w:rsidRDefault="00540168" w:rsidP="00540168">
      <w:pPr>
        <w:numPr>
          <w:ilvl w:val="0"/>
          <w:numId w:val="27"/>
        </w:numPr>
        <w:autoSpaceDE w:val="0"/>
        <w:autoSpaceDN w:val="0"/>
        <w:adjustRightInd w:val="0"/>
        <w:spacing w:before="0" w:after="160" w:line="259" w:lineRule="auto"/>
        <w:contextualSpacing/>
        <w:rPr>
          <w:rFonts w:eastAsia="Calibri" w:cs="Arial"/>
          <w:iCs/>
          <w:sz w:val="21"/>
          <w:szCs w:val="21"/>
        </w:rPr>
      </w:pPr>
      <w:r w:rsidRPr="00540168">
        <w:rPr>
          <w:rFonts w:eastAsia="Calibri" w:cs="Arial"/>
          <w:iCs/>
          <w:sz w:val="21"/>
          <w:szCs w:val="21"/>
        </w:rPr>
        <w:t xml:space="preserve">Skeletal: Evidence of skeletal disease beyond mild osteopenia or Erlenmeyer flask deformity, as assessed by symptoms, skeletal </w:t>
      </w:r>
      <w:proofErr w:type="gramStart"/>
      <w:r w:rsidRPr="00540168">
        <w:rPr>
          <w:rFonts w:eastAsia="Calibri" w:cs="Arial"/>
          <w:iCs/>
          <w:sz w:val="21"/>
          <w:szCs w:val="21"/>
        </w:rPr>
        <w:t>survey</w:t>
      </w:r>
      <w:proofErr w:type="gramEnd"/>
      <w:r w:rsidRPr="00540168">
        <w:rPr>
          <w:rFonts w:eastAsia="Calibri" w:cs="Arial"/>
          <w:iCs/>
          <w:sz w:val="21"/>
          <w:szCs w:val="21"/>
        </w:rPr>
        <w:t xml:space="preserve"> and MRI.</w:t>
      </w:r>
    </w:p>
    <w:p w14:paraId="29268A05" w14:textId="77777777" w:rsidR="00540168" w:rsidRPr="00540168" w:rsidRDefault="00540168" w:rsidP="3FC349FF">
      <w:pPr>
        <w:numPr>
          <w:ilvl w:val="0"/>
          <w:numId w:val="27"/>
        </w:numPr>
        <w:autoSpaceDE w:val="0"/>
        <w:autoSpaceDN w:val="0"/>
        <w:adjustRightInd w:val="0"/>
        <w:spacing w:before="0" w:after="160" w:line="259" w:lineRule="auto"/>
        <w:contextualSpacing/>
        <w:rPr>
          <w:rFonts w:eastAsia="Calibri" w:cs="Arial"/>
          <w:sz w:val="21"/>
          <w:szCs w:val="21"/>
        </w:rPr>
      </w:pPr>
      <w:r w:rsidRPr="3FC349FF">
        <w:rPr>
          <w:rFonts w:eastAsia="Calibri" w:cs="Arial"/>
          <w:sz w:val="21"/>
          <w:szCs w:val="21"/>
        </w:rPr>
        <w:t xml:space="preserve">Haematological complications: Haemoglobin &lt;105g/L for females and &lt; 115g/L for males (at least 2 measurements more than 1 month apart and having excluded other causes, </w:t>
      </w:r>
      <w:proofErr w:type="gramStart"/>
      <w:r w:rsidRPr="3FC349FF">
        <w:rPr>
          <w:rFonts w:eastAsia="Calibri" w:cs="Arial"/>
          <w:sz w:val="21"/>
          <w:szCs w:val="21"/>
        </w:rPr>
        <w:t>e.g.</w:t>
      </w:r>
      <w:proofErr w:type="gramEnd"/>
      <w:r w:rsidRPr="3FC349FF">
        <w:rPr>
          <w:rFonts w:eastAsia="Calibri" w:cs="Arial"/>
          <w:sz w:val="21"/>
          <w:szCs w:val="21"/>
        </w:rPr>
        <w:t xml:space="preserve"> iron deficiency); or platelet count &lt; 120 x10</w:t>
      </w:r>
      <w:r w:rsidRPr="00BA7FB3">
        <w:rPr>
          <w:rFonts w:eastAsia="Calibri" w:cs="Arial"/>
          <w:sz w:val="21"/>
          <w:szCs w:val="21"/>
          <w:vertAlign w:val="superscript"/>
        </w:rPr>
        <w:t>9</w:t>
      </w:r>
      <w:r w:rsidRPr="3FC349FF">
        <w:rPr>
          <w:rFonts w:eastAsia="Calibri" w:cs="Arial"/>
          <w:sz w:val="21"/>
          <w:szCs w:val="21"/>
        </w:rPr>
        <w:t xml:space="preserve">/L on at least 2 occasions (more than </w:t>
      </w:r>
      <w:r>
        <w:rPr>
          <w:rFonts w:eastAsia="Calibri"/>
        </w:rPr>
        <w:br/>
      </w:r>
      <w:r w:rsidRPr="3FC349FF">
        <w:rPr>
          <w:rFonts w:eastAsia="Calibri" w:cs="Arial"/>
          <w:sz w:val="21"/>
          <w:szCs w:val="21"/>
        </w:rPr>
        <w:t>1 month apart).</w:t>
      </w:r>
    </w:p>
    <w:p w14:paraId="4689BDC1" w14:textId="47023944" w:rsidR="00540168" w:rsidRPr="00540168" w:rsidRDefault="00540168" w:rsidP="3FC349FF">
      <w:pPr>
        <w:numPr>
          <w:ilvl w:val="0"/>
          <w:numId w:val="27"/>
        </w:numPr>
        <w:autoSpaceDE w:val="0"/>
        <w:autoSpaceDN w:val="0"/>
        <w:adjustRightInd w:val="0"/>
        <w:spacing w:before="0" w:after="160" w:line="259" w:lineRule="auto"/>
        <w:contextualSpacing/>
        <w:rPr>
          <w:rFonts w:eastAsia="Calibri" w:cs="Arial"/>
          <w:sz w:val="21"/>
          <w:szCs w:val="21"/>
        </w:rPr>
      </w:pPr>
      <w:r w:rsidRPr="3FC349FF">
        <w:rPr>
          <w:rFonts w:eastAsia="Calibri" w:cs="Arial"/>
          <w:sz w:val="21"/>
          <w:szCs w:val="21"/>
        </w:rPr>
        <w:t xml:space="preserve">Gastrointestinal complications: liver volume (CT or MRI) </w:t>
      </w:r>
      <w:r w:rsidR="00790D6F">
        <w:rPr>
          <w:rFonts w:cs="Arial"/>
        </w:rPr>
        <w:t>≥</w:t>
      </w:r>
      <w:r w:rsidRPr="3FC349FF">
        <w:rPr>
          <w:rFonts w:eastAsia="Calibri" w:cs="Arial"/>
          <w:sz w:val="21"/>
          <w:szCs w:val="21"/>
        </w:rPr>
        <w:t xml:space="preserve">1.25 x normal; or spleen volume (CT or MRI) </w:t>
      </w:r>
      <w:r w:rsidR="4B45A909" w:rsidRPr="3FC349FF">
        <w:rPr>
          <w:rFonts w:eastAsia="Arial" w:cs="Arial"/>
          <w:sz w:val="21"/>
          <w:szCs w:val="21"/>
        </w:rPr>
        <w:t xml:space="preserve">&gt; </w:t>
      </w:r>
      <w:r w:rsidRPr="3FC349FF">
        <w:rPr>
          <w:rFonts w:eastAsia="Calibri" w:cs="Arial"/>
          <w:sz w:val="21"/>
          <w:szCs w:val="21"/>
        </w:rPr>
        <w:t xml:space="preserve">5x normal. Patients under 16 years of age with symptomatic Gaucher disease with any relevant physical signs may be treated prior to confirmation of the type of Gaucher disease. Formal ophthalmologic review and neurodevelopmental status reports should be provided with the application. </w:t>
      </w:r>
    </w:p>
    <w:p w14:paraId="2D416A15" w14:textId="77777777" w:rsidR="00540168" w:rsidRPr="00540168" w:rsidRDefault="00540168" w:rsidP="00540168">
      <w:pPr>
        <w:autoSpaceDE w:val="0"/>
        <w:autoSpaceDN w:val="0"/>
        <w:adjustRightInd w:val="0"/>
        <w:spacing w:after="160" w:line="259" w:lineRule="auto"/>
        <w:contextualSpacing/>
        <w:rPr>
          <w:rFonts w:eastAsia="Calibri" w:cs="Arial"/>
          <w:iCs/>
          <w:sz w:val="21"/>
          <w:szCs w:val="21"/>
        </w:rPr>
      </w:pPr>
    </w:p>
    <w:p w14:paraId="00BF274D" w14:textId="77777777" w:rsidR="00650FB0" w:rsidRDefault="00650FB0">
      <w:pPr>
        <w:spacing w:before="0" w:after="0" w:line="240" w:lineRule="auto"/>
        <w:rPr>
          <w:rFonts w:eastAsia="Calibri" w:cs="Arial"/>
          <w:iCs/>
          <w:sz w:val="21"/>
          <w:szCs w:val="21"/>
        </w:rPr>
      </w:pPr>
      <w:r>
        <w:rPr>
          <w:rFonts w:eastAsia="Calibri" w:cs="Arial"/>
          <w:iCs/>
          <w:sz w:val="21"/>
          <w:szCs w:val="21"/>
        </w:rPr>
        <w:br w:type="page"/>
      </w:r>
    </w:p>
    <w:p w14:paraId="418F80B8" w14:textId="14C911DE" w:rsidR="00540168" w:rsidRPr="00540168" w:rsidRDefault="00D11424" w:rsidP="00540168">
      <w:pPr>
        <w:autoSpaceDE w:val="0"/>
        <w:autoSpaceDN w:val="0"/>
        <w:adjustRightInd w:val="0"/>
        <w:spacing w:after="160" w:line="259" w:lineRule="auto"/>
        <w:contextualSpacing/>
        <w:rPr>
          <w:rFonts w:eastAsia="Calibri" w:cs="Arial"/>
          <w:iCs/>
          <w:sz w:val="21"/>
          <w:szCs w:val="21"/>
        </w:rPr>
      </w:pPr>
      <w:r>
        <w:rPr>
          <w:rFonts w:eastAsia="Calibri" w:cs="Arial"/>
          <w:iCs/>
          <w:sz w:val="21"/>
          <w:szCs w:val="21"/>
        </w:rPr>
        <w:lastRenderedPageBreak/>
        <w:t>A</w:t>
      </w:r>
      <w:r w:rsidR="00540168" w:rsidRPr="00540168">
        <w:rPr>
          <w:rFonts w:eastAsia="Calibri" w:cs="Arial"/>
          <w:iCs/>
          <w:sz w:val="21"/>
          <w:szCs w:val="21"/>
        </w:rPr>
        <w:t>dditional eligibility requirements for access to subsidised eliglustat:</w:t>
      </w:r>
    </w:p>
    <w:p w14:paraId="3949EB8F" w14:textId="77777777" w:rsidR="00540168" w:rsidRPr="00540168" w:rsidRDefault="00540168" w:rsidP="00540168">
      <w:pPr>
        <w:numPr>
          <w:ilvl w:val="0"/>
          <w:numId w:val="28"/>
        </w:numPr>
        <w:autoSpaceDE w:val="0"/>
        <w:autoSpaceDN w:val="0"/>
        <w:adjustRightInd w:val="0"/>
        <w:spacing w:before="0" w:after="160" w:line="259" w:lineRule="auto"/>
        <w:contextualSpacing/>
        <w:rPr>
          <w:rFonts w:eastAsia="Calibri" w:cs="Arial"/>
          <w:iCs/>
          <w:sz w:val="21"/>
          <w:szCs w:val="21"/>
        </w:rPr>
      </w:pPr>
      <w:r w:rsidRPr="00540168">
        <w:rPr>
          <w:rFonts w:eastAsia="Calibri" w:cs="Arial"/>
          <w:iCs/>
          <w:sz w:val="21"/>
          <w:szCs w:val="21"/>
        </w:rPr>
        <w:t>Patients must have had ERT for at least 12 months before commencing eliglustat; or be intolerant to ERT; or be unable to receive intravenous infusions; and</w:t>
      </w:r>
    </w:p>
    <w:p w14:paraId="63DEA92F" w14:textId="77777777" w:rsidR="001069FD" w:rsidRDefault="00540168" w:rsidP="001069FD">
      <w:pPr>
        <w:numPr>
          <w:ilvl w:val="0"/>
          <w:numId w:val="28"/>
        </w:numPr>
        <w:autoSpaceDE w:val="0"/>
        <w:autoSpaceDN w:val="0"/>
        <w:adjustRightInd w:val="0"/>
        <w:spacing w:before="0" w:after="160" w:line="259" w:lineRule="auto"/>
        <w:contextualSpacing/>
        <w:rPr>
          <w:rFonts w:eastAsia="Calibri" w:cs="Arial"/>
          <w:iCs/>
          <w:sz w:val="21"/>
          <w:szCs w:val="21"/>
        </w:rPr>
      </w:pPr>
      <w:r w:rsidRPr="00540168">
        <w:rPr>
          <w:rFonts w:eastAsia="Calibri" w:cs="Arial"/>
          <w:iCs/>
          <w:sz w:val="21"/>
          <w:szCs w:val="21"/>
        </w:rPr>
        <w:t xml:space="preserve">patients must be 18 years or older. </w:t>
      </w:r>
    </w:p>
    <w:p w14:paraId="700D60EA" w14:textId="77777777" w:rsidR="001069FD" w:rsidRPr="001069FD" w:rsidRDefault="001069FD" w:rsidP="00674F21">
      <w:pPr>
        <w:autoSpaceDE w:val="0"/>
        <w:autoSpaceDN w:val="0"/>
        <w:adjustRightInd w:val="0"/>
        <w:spacing w:before="0" w:after="160" w:line="259" w:lineRule="auto"/>
        <w:contextualSpacing/>
        <w:rPr>
          <w:rFonts w:eastAsia="Calibri" w:cs="Arial"/>
          <w:iCs/>
          <w:sz w:val="21"/>
          <w:szCs w:val="21"/>
        </w:rPr>
      </w:pPr>
    </w:p>
    <w:p w14:paraId="4C4BDFFA" w14:textId="77777777" w:rsidR="00540168" w:rsidRPr="00540168" w:rsidRDefault="00540168" w:rsidP="00540168">
      <w:pPr>
        <w:keepNext/>
        <w:spacing w:before="180" w:after="60" w:line="240" w:lineRule="auto"/>
        <w:outlineLvl w:val="2"/>
        <w:rPr>
          <w:rFonts w:eastAsia="Calibri" w:cs="Arial"/>
          <w:color w:val="358189"/>
          <w:sz w:val="36"/>
          <w:szCs w:val="36"/>
        </w:rPr>
      </w:pPr>
      <w:r w:rsidRPr="00540168">
        <w:rPr>
          <w:rFonts w:eastAsia="Calibri" w:cs="Arial"/>
          <w:color w:val="358189"/>
          <w:sz w:val="36"/>
          <w:szCs w:val="36"/>
        </w:rPr>
        <w:t>Management of</w:t>
      </w:r>
      <w:r w:rsidRPr="00540168">
        <w:rPr>
          <w:rFonts w:eastAsia="Calibri" w:cs="Arial"/>
          <w:color w:val="358189"/>
          <w:spacing w:val="-1"/>
          <w:sz w:val="36"/>
          <w:szCs w:val="36"/>
        </w:rPr>
        <w:t xml:space="preserve"> </w:t>
      </w:r>
      <w:r w:rsidRPr="00540168">
        <w:rPr>
          <w:rFonts w:eastAsia="Calibri" w:cs="Arial"/>
          <w:color w:val="358189"/>
          <w:sz w:val="36"/>
          <w:szCs w:val="36"/>
        </w:rPr>
        <w:t>Uncertainties:</w:t>
      </w:r>
    </w:p>
    <w:p w14:paraId="15DC541D" w14:textId="77777777" w:rsidR="00540168" w:rsidRPr="00540168" w:rsidRDefault="00540168" w:rsidP="00540168">
      <w:pPr>
        <w:widowControl w:val="0"/>
        <w:autoSpaceDE w:val="0"/>
        <w:autoSpaceDN w:val="0"/>
        <w:rPr>
          <w:rFonts w:eastAsia="Calibri" w:cs="Arial"/>
          <w:sz w:val="21"/>
          <w:szCs w:val="21"/>
        </w:rPr>
      </w:pPr>
      <w:r w:rsidRPr="00540168">
        <w:rPr>
          <w:rFonts w:eastAsia="Calibri" w:cs="Arial"/>
          <w:sz w:val="21"/>
          <w:szCs w:val="21"/>
        </w:rPr>
        <w:t>To address uncertainties, clinical data will be collected through initial and ongoing applications to the LSDP. In line with LSDP policy and to manage uncertainties, a review of eliglustat</w:t>
      </w:r>
      <w:r w:rsidRPr="00540168">
        <w:rPr>
          <w:rFonts w:eastAsia="Calibri" w:cs="Arial"/>
          <w:spacing w:val="-1"/>
          <w:sz w:val="21"/>
          <w:szCs w:val="21"/>
        </w:rPr>
        <w:t xml:space="preserve"> </w:t>
      </w:r>
      <w:r w:rsidR="00D11424" w:rsidRPr="00540168">
        <w:rPr>
          <w:rFonts w:eastAsia="Calibri" w:cs="Arial"/>
          <w:sz w:val="21"/>
          <w:szCs w:val="21"/>
        </w:rPr>
        <w:t>will</w:t>
      </w:r>
      <w:r w:rsidR="00D11424" w:rsidRPr="00540168">
        <w:rPr>
          <w:rFonts w:eastAsia="Calibri" w:cs="Arial"/>
          <w:spacing w:val="-3"/>
          <w:sz w:val="21"/>
          <w:szCs w:val="21"/>
        </w:rPr>
        <w:t xml:space="preserve"> </w:t>
      </w:r>
      <w:r w:rsidR="00D11424" w:rsidRPr="00540168">
        <w:rPr>
          <w:rFonts w:eastAsia="Calibri" w:cs="Arial"/>
          <w:sz w:val="21"/>
          <w:szCs w:val="21"/>
        </w:rPr>
        <w:t>be</w:t>
      </w:r>
      <w:r w:rsidR="00D11424" w:rsidRPr="00540168">
        <w:rPr>
          <w:rFonts w:eastAsia="Calibri" w:cs="Arial"/>
          <w:spacing w:val="-1"/>
          <w:sz w:val="21"/>
          <w:szCs w:val="21"/>
        </w:rPr>
        <w:t xml:space="preserve"> </w:t>
      </w:r>
      <w:r w:rsidR="00D11424" w:rsidRPr="00540168">
        <w:rPr>
          <w:rFonts w:eastAsia="Calibri" w:cs="Arial"/>
          <w:sz w:val="21"/>
          <w:szCs w:val="21"/>
        </w:rPr>
        <w:t xml:space="preserve">conducted </w:t>
      </w:r>
      <w:r w:rsidRPr="00540168">
        <w:rPr>
          <w:rFonts w:eastAsia="Calibri" w:cs="Arial"/>
          <w:sz w:val="21"/>
          <w:szCs w:val="21"/>
        </w:rPr>
        <w:t>24</w:t>
      </w:r>
      <w:r w:rsidRPr="00540168">
        <w:rPr>
          <w:rFonts w:eastAsia="Calibri" w:cs="Arial"/>
          <w:spacing w:val="-1"/>
          <w:sz w:val="21"/>
          <w:szCs w:val="21"/>
        </w:rPr>
        <w:t xml:space="preserve"> </w:t>
      </w:r>
      <w:r w:rsidRPr="00540168">
        <w:rPr>
          <w:rFonts w:eastAsia="Calibri" w:cs="Arial"/>
          <w:sz w:val="21"/>
          <w:szCs w:val="21"/>
        </w:rPr>
        <w:t>months</w:t>
      </w:r>
      <w:r w:rsidRPr="00540168">
        <w:rPr>
          <w:rFonts w:eastAsia="Calibri" w:cs="Arial"/>
          <w:spacing w:val="-4"/>
          <w:sz w:val="21"/>
          <w:szCs w:val="21"/>
        </w:rPr>
        <w:t xml:space="preserve"> </w:t>
      </w:r>
      <w:r w:rsidRPr="00540168">
        <w:rPr>
          <w:rFonts w:eastAsia="Calibri" w:cs="Arial"/>
          <w:sz w:val="21"/>
          <w:szCs w:val="21"/>
        </w:rPr>
        <w:t>after</w:t>
      </w:r>
      <w:r w:rsidRPr="00540168">
        <w:rPr>
          <w:rFonts w:eastAsia="Calibri" w:cs="Arial"/>
          <w:spacing w:val="-4"/>
          <w:sz w:val="21"/>
          <w:szCs w:val="21"/>
        </w:rPr>
        <w:t xml:space="preserve"> </w:t>
      </w:r>
      <w:r w:rsidRPr="00540168">
        <w:rPr>
          <w:rFonts w:eastAsia="Calibri" w:cs="Arial"/>
          <w:sz w:val="21"/>
          <w:szCs w:val="21"/>
        </w:rPr>
        <w:t>listing</w:t>
      </w:r>
      <w:r w:rsidRPr="00540168">
        <w:rPr>
          <w:rFonts w:eastAsia="Calibri" w:cs="Arial"/>
          <w:spacing w:val="-4"/>
          <w:sz w:val="21"/>
          <w:szCs w:val="21"/>
        </w:rPr>
        <w:t xml:space="preserve"> </w:t>
      </w:r>
      <w:r w:rsidRPr="00540168">
        <w:rPr>
          <w:rFonts w:eastAsia="Calibri" w:cs="Arial"/>
          <w:sz w:val="21"/>
          <w:szCs w:val="21"/>
        </w:rPr>
        <w:t>to</w:t>
      </w:r>
      <w:r w:rsidRPr="00540168">
        <w:rPr>
          <w:rFonts w:eastAsia="Calibri" w:cs="Arial"/>
          <w:spacing w:val="-3"/>
          <w:sz w:val="21"/>
          <w:szCs w:val="21"/>
        </w:rPr>
        <w:t xml:space="preserve"> </w:t>
      </w:r>
      <w:r w:rsidRPr="00540168">
        <w:rPr>
          <w:rFonts w:eastAsia="Calibri" w:cs="Arial"/>
          <w:sz w:val="21"/>
          <w:szCs w:val="21"/>
        </w:rPr>
        <w:t>ensure</w:t>
      </w:r>
      <w:r w:rsidRPr="00540168">
        <w:rPr>
          <w:rFonts w:eastAsia="Calibri" w:cs="Arial"/>
          <w:spacing w:val="-3"/>
          <w:sz w:val="21"/>
          <w:szCs w:val="21"/>
        </w:rPr>
        <w:t xml:space="preserve"> </w:t>
      </w:r>
      <w:r w:rsidRPr="00540168">
        <w:rPr>
          <w:rFonts w:eastAsia="Calibri" w:cs="Arial"/>
          <w:sz w:val="21"/>
          <w:szCs w:val="21"/>
        </w:rPr>
        <w:t>use</w:t>
      </w:r>
      <w:r w:rsidRPr="00540168">
        <w:rPr>
          <w:rFonts w:eastAsia="Calibri" w:cs="Arial"/>
          <w:spacing w:val="-3"/>
          <w:sz w:val="21"/>
          <w:szCs w:val="21"/>
        </w:rPr>
        <w:t xml:space="preserve"> </w:t>
      </w:r>
      <w:r w:rsidRPr="00540168">
        <w:rPr>
          <w:rFonts w:eastAsia="Calibri" w:cs="Arial"/>
          <w:sz w:val="21"/>
          <w:szCs w:val="21"/>
        </w:rPr>
        <w:t>and</w:t>
      </w:r>
      <w:r w:rsidRPr="00540168">
        <w:rPr>
          <w:rFonts w:eastAsia="Calibri" w:cs="Arial"/>
          <w:spacing w:val="-3"/>
          <w:sz w:val="21"/>
          <w:szCs w:val="21"/>
        </w:rPr>
        <w:t xml:space="preserve"> </w:t>
      </w:r>
      <w:r w:rsidRPr="00540168">
        <w:rPr>
          <w:rFonts w:eastAsia="Calibri" w:cs="Arial"/>
          <w:sz w:val="21"/>
          <w:szCs w:val="21"/>
        </w:rPr>
        <w:t>performance</w:t>
      </w:r>
      <w:r w:rsidRPr="00540168">
        <w:rPr>
          <w:rFonts w:eastAsia="Calibri" w:cs="Arial"/>
          <w:spacing w:val="-1"/>
          <w:sz w:val="21"/>
          <w:szCs w:val="21"/>
        </w:rPr>
        <w:t xml:space="preserve"> </w:t>
      </w:r>
      <w:r w:rsidRPr="00540168">
        <w:rPr>
          <w:rFonts w:eastAsia="Calibri" w:cs="Arial"/>
          <w:sz w:val="21"/>
          <w:szCs w:val="21"/>
        </w:rPr>
        <w:t>of the medicine is in line with the expectations at the time of listing.</w:t>
      </w:r>
    </w:p>
    <w:p w14:paraId="40938B4A" w14:textId="77777777" w:rsidR="00540168" w:rsidRPr="00540168" w:rsidRDefault="00540168" w:rsidP="00540168">
      <w:pPr>
        <w:keepNext/>
        <w:spacing w:before="240" w:after="60" w:line="240" w:lineRule="auto"/>
        <w:outlineLvl w:val="1"/>
        <w:rPr>
          <w:rFonts w:cs="Arial"/>
          <w:iCs/>
          <w:color w:val="358189"/>
          <w:sz w:val="36"/>
          <w:szCs w:val="28"/>
        </w:rPr>
      </w:pPr>
      <w:r w:rsidRPr="00540168">
        <w:rPr>
          <w:rFonts w:cs="Arial"/>
          <w:iCs/>
          <w:color w:val="358189"/>
          <w:sz w:val="36"/>
          <w:szCs w:val="28"/>
        </w:rPr>
        <w:t>Context:</w:t>
      </w:r>
    </w:p>
    <w:p w14:paraId="77537CE8" w14:textId="7BE32320" w:rsidR="00540168" w:rsidRPr="00540168" w:rsidRDefault="00540168" w:rsidP="00540168">
      <w:pPr>
        <w:rPr>
          <w:sz w:val="21"/>
          <w:szCs w:val="21"/>
        </w:rPr>
      </w:pPr>
      <w:r w:rsidRPr="00540168">
        <w:rPr>
          <w:sz w:val="21"/>
          <w:szCs w:val="21"/>
        </w:rPr>
        <w:t>The LSDP provides access for eligible patients with rare and life-threatening diseases to essential and very expensive medicines. The LSDP provides eligible patients with access to these life</w:t>
      </w:r>
      <w:r w:rsidR="002F2349">
        <w:rPr>
          <w:sz w:val="21"/>
          <w:szCs w:val="21"/>
        </w:rPr>
        <w:noBreakHyphen/>
      </w:r>
      <w:r w:rsidRPr="00540168">
        <w:rPr>
          <w:sz w:val="21"/>
          <w:szCs w:val="21"/>
        </w:rPr>
        <w:t>saving medicines at no expense to the patients or their families.</w:t>
      </w:r>
    </w:p>
    <w:p w14:paraId="58EBC71E" w14:textId="77777777" w:rsidR="00540168" w:rsidRPr="00540168" w:rsidRDefault="00540168" w:rsidP="00540168">
      <w:pPr>
        <w:rPr>
          <w:sz w:val="21"/>
          <w:szCs w:val="21"/>
        </w:rPr>
      </w:pPr>
      <w:r w:rsidRPr="00540168">
        <w:rPr>
          <w:sz w:val="21"/>
          <w:szCs w:val="21"/>
        </w:rPr>
        <w:t>Before being considered for inclusion on the LSDP, a drug must first be considered by PBAC and accepted as clinically effective but rejected for PBS listing because it fails to meet the required cost effectiveness criteria.</w:t>
      </w:r>
    </w:p>
    <w:p w14:paraId="6842A708" w14:textId="373B1BB3" w:rsidR="00540168" w:rsidRPr="00540168" w:rsidRDefault="00540168" w:rsidP="00540168">
      <w:pPr>
        <w:rPr>
          <w:sz w:val="21"/>
          <w:szCs w:val="21"/>
        </w:rPr>
      </w:pPr>
      <w:r w:rsidRPr="00540168">
        <w:rPr>
          <w:sz w:val="21"/>
          <w:szCs w:val="21"/>
        </w:rPr>
        <w:t xml:space="preserve">All applications for new medicines seeking funding through the LSDP are considered by the </w:t>
      </w:r>
      <w:r w:rsidR="009552AE">
        <w:rPr>
          <w:rFonts w:eastAsia="Calibri" w:cs="Arial"/>
          <w:color w:val="auto"/>
          <w:sz w:val="21"/>
          <w:szCs w:val="21"/>
        </w:rPr>
        <w:t xml:space="preserve">Expert </w:t>
      </w:r>
      <w:r w:rsidRPr="00540168">
        <w:rPr>
          <w:sz w:val="21"/>
          <w:szCs w:val="21"/>
        </w:rPr>
        <w:t xml:space="preserve">Panel. The role of the </w:t>
      </w:r>
      <w:r w:rsidR="009552AE">
        <w:rPr>
          <w:rFonts w:eastAsia="Calibri" w:cs="Arial"/>
          <w:color w:val="auto"/>
          <w:sz w:val="21"/>
          <w:szCs w:val="21"/>
        </w:rPr>
        <w:t xml:space="preserve">Expert </w:t>
      </w:r>
      <w:r w:rsidRPr="00540168">
        <w:rPr>
          <w:sz w:val="21"/>
          <w:szCs w:val="21"/>
        </w:rPr>
        <w:t>Panel is to provide advice and assistance to the CMO on a range of matters relating to new medicines seeking funding, including assessment of how the medicine addresses the LSDP criteria, guidelines for medicine use and testing requirements, suitable pricing arrangements, and data collection required for future reviews.</w:t>
      </w:r>
    </w:p>
    <w:p w14:paraId="600ED5A4" w14:textId="71A2720C" w:rsidR="00540168" w:rsidRPr="00540168" w:rsidRDefault="00540168" w:rsidP="00540168">
      <w:pPr>
        <w:rPr>
          <w:sz w:val="21"/>
          <w:szCs w:val="21"/>
        </w:rPr>
      </w:pPr>
      <w:r w:rsidRPr="00540168">
        <w:rPr>
          <w:sz w:val="21"/>
          <w:szCs w:val="21"/>
        </w:rPr>
        <w:t xml:space="preserve">After receiving advice from the </w:t>
      </w:r>
      <w:r w:rsidR="009552AE">
        <w:rPr>
          <w:rFonts w:eastAsia="Calibri" w:cs="Arial"/>
          <w:color w:val="auto"/>
          <w:sz w:val="21"/>
          <w:szCs w:val="21"/>
        </w:rPr>
        <w:t xml:space="preserve">Expert </w:t>
      </w:r>
      <w:r w:rsidRPr="00540168">
        <w:rPr>
          <w:sz w:val="21"/>
          <w:szCs w:val="21"/>
        </w:rPr>
        <w:t>Panel, the CMO advises the Minister for Health and Aged Care on medicines proposed to be included on the LSDP.</w:t>
      </w:r>
    </w:p>
    <w:p w14:paraId="3426D875" w14:textId="7FFE3642" w:rsidR="00540168" w:rsidRPr="00540168" w:rsidRDefault="00540168" w:rsidP="00540168">
      <w:pPr>
        <w:rPr>
          <w:sz w:val="21"/>
          <w:szCs w:val="21"/>
        </w:rPr>
      </w:pPr>
      <w:r w:rsidRPr="00540168">
        <w:rPr>
          <w:sz w:val="21"/>
          <w:szCs w:val="21"/>
        </w:rPr>
        <w:t xml:space="preserve">This document aims to provide an overview of the evidence considered by the </w:t>
      </w:r>
      <w:r w:rsidR="009552AE">
        <w:rPr>
          <w:rFonts w:eastAsia="Calibri" w:cs="Arial"/>
          <w:color w:val="auto"/>
          <w:sz w:val="21"/>
          <w:szCs w:val="21"/>
        </w:rPr>
        <w:t xml:space="preserve">Expert </w:t>
      </w:r>
      <w:r w:rsidRPr="00540168">
        <w:rPr>
          <w:sz w:val="21"/>
          <w:szCs w:val="21"/>
        </w:rPr>
        <w:t>Panel and CMO during their assessment of medicines.</w:t>
      </w:r>
    </w:p>
    <w:p w14:paraId="514ADF36" w14:textId="781018AB" w:rsidR="00540168" w:rsidRPr="00540168" w:rsidRDefault="00540168" w:rsidP="00540168">
      <w:pPr>
        <w:rPr>
          <w:sz w:val="21"/>
          <w:szCs w:val="21"/>
        </w:rPr>
      </w:pPr>
      <w:r w:rsidRPr="00540168">
        <w:rPr>
          <w:sz w:val="21"/>
          <w:szCs w:val="21"/>
        </w:rPr>
        <w:t xml:space="preserve">For more information on the process for new medicines seeking funding through the LSDP, refer to the LSDP Procedure guidance: </w:t>
      </w:r>
      <w:hyperlink r:id="rId13" w:history="1">
        <w:r w:rsidR="00F43FE8" w:rsidRPr="003F557B">
          <w:rPr>
            <w:rStyle w:val="Hyperlink"/>
            <w:sz w:val="21"/>
            <w:szCs w:val="21"/>
          </w:rPr>
          <w:t>www.health.gov.au/resources/publications/procedure-guidance-for-medicines-funded-through-the-life-saving-drugs-program-lsdp</w:t>
        </w:r>
      </w:hyperlink>
    </w:p>
    <w:p w14:paraId="40620B3C" w14:textId="77777777" w:rsidR="00540168" w:rsidRPr="00540168" w:rsidRDefault="00540168" w:rsidP="00540168">
      <w:pPr>
        <w:keepNext/>
        <w:spacing w:before="240" w:after="60" w:line="240" w:lineRule="auto"/>
        <w:outlineLvl w:val="1"/>
        <w:rPr>
          <w:rFonts w:cs="Arial"/>
          <w:iCs/>
          <w:color w:val="358189"/>
          <w:sz w:val="36"/>
          <w:szCs w:val="28"/>
        </w:rPr>
      </w:pPr>
      <w:r w:rsidRPr="00540168">
        <w:rPr>
          <w:rFonts w:cs="Arial"/>
          <w:iCs/>
          <w:color w:val="358189"/>
          <w:sz w:val="36"/>
          <w:szCs w:val="28"/>
        </w:rPr>
        <w:t>Sponsor’s Comment:</w:t>
      </w:r>
    </w:p>
    <w:p w14:paraId="0220A788" w14:textId="2F0676F1" w:rsidR="009040E9" w:rsidRPr="00AA409A" w:rsidRDefault="007C6E04" w:rsidP="00540168">
      <w:pPr>
        <w:rPr>
          <w:sz w:val="21"/>
          <w:szCs w:val="21"/>
        </w:rPr>
      </w:pPr>
      <w:r w:rsidRPr="00AA409A">
        <w:rPr>
          <w:sz w:val="21"/>
          <w:szCs w:val="21"/>
        </w:rPr>
        <w:t xml:space="preserve">Sanofi welcomes </w:t>
      </w:r>
      <w:r w:rsidR="000E6B4A" w:rsidRPr="00AA409A">
        <w:rPr>
          <w:sz w:val="21"/>
          <w:szCs w:val="21"/>
        </w:rPr>
        <w:t xml:space="preserve">the LSDP Expert Panel’s advice to the CMO, and the CMO’s recommendation to list </w:t>
      </w:r>
      <w:proofErr w:type="spellStart"/>
      <w:r w:rsidR="00FA05D8" w:rsidRPr="00AA409A">
        <w:rPr>
          <w:sz w:val="21"/>
          <w:szCs w:val="21"/>
        </w:rPr>
        <w:t>Cerdelga</w:t>
      </w:r>
      <w:proofErr w:type="spellEnd"/>
      <w:r w:rsidR="00FA05D8" w:rsidRPr="00AA409A">
        <w:rPr>
          <w:sz w:val="21"/>
          <w:szCs w:val="21"/>
        </w:rPr>
        <w:t xml:space="preserve"> (</w:t>
      </w:r>
      <w:r w:rsidR="000E6B4A" w:rsidRPr="00AA409A">
        <w:rPr>
          <w:sz w:val="21"/>
          <w:szCs w:val="21"/>
        </w:rPr>
        <w:t>eliglustat</w:t>
      </w:r>
      <w:r w:rsidR="00FA05D8" w:rsidRPr="00AA409A">
        <w:rPr>
          <w:sz w:val="21"/>
          <w:szCs w:val="21"/>
        </w:rPr>
        <w:t>)</w:t>
      </w:r>
      <w:r w:rsidR="000E6B4A" w:rsidRPr="00AA409A">
        <w:rPr>
          <w:sz w:val="21"/>
          <w:szCs w:val="21"/>
        </w:rPr>
        <w:t xml:space="preserve"> on the LSDP. </w:t>
      </w:r>
      <w:proofErr w:type="spellStart"/>
      <w:r w:rsidR="00FA05D8" w:rsidRPr="00AA409A">
        <w:rPr>
          <w:sz w:val="21"/>
          <w:szCs w:val="21"/>
        </w:rPr>
        <w:t>Cerdelga</w:t>
      </w:r>
      <w:proofErr w:type="spellEnd"/>
      <w:r w:rsidR="00725EBC" w:rsidRPr="00AA409A">
        <w:rPr>
          <w:sz w:val="21"/>
          <w:szCs w:val="21"/>
        </w:rPr>
        <w:t xml:space="preserve"> provides an oral option for </w:t>
      </w:r>
      <w:r w:rsidR="003D03AB" w:rsidRPr="00AA409A">
        <w:rPr>
          <w:sz w:val="21"/>
          <w:szCs w:val="21"/>
        </w:rPr>
        <w:t xml:space="preserve">people living with </w:t>
      </w:r>
      <w:r w:rsidR="00725EBC" w:rsidRPr="00AA409A">
        <w:rPr>
          <w:sz w:val="21"/>
          <w:szCs w:val="21"/>
        </w:rPr>
        <w:t xml:space="preserve">Gaucher </w:t>
      </w:r>
      <w:r w:rsidR="00EA74AC" w:rsidRPr="00AA409A">
        <w:rPr>
          <w:sz w:val="21"/>
          <w:szCs w:val="21"/>
        </w:rPr>
        <w:t>d</w:t>
      </w:r>
      <w:r w:rsidR="00725EBC" w:rsidRPr="00AA409A">
        <w:rPr>
          <w:sz w:val="21"/>
          <w:szCs w:val="21"/>
        </w:rPr>
        <w:t xml:space="preserve">isease </w:t>
      </w:r>
      <w:r w:rsidR="003D03AB" w:rsidRPr="00AA409A">
        <w:rPr>
          <w:sz w:val="21"/>
          <w:szCs w:val="21"/>
        </w:rPr>
        <w:t>(type 1)</w:t>
      </w:r>
      <w:r w:rsidR="00725EBC" w:rsidRPr="00AA409A">
        <w:rPr>
          <w:sz w:val="21"/>
          <w:szCs w:val="21"/>
        </w:rPr>
        <w:t xml:space="preserve">. </w:t>
      </w:r>
    </w:p>
    <w:sectPr w:rsidR="009040E9" w:rsidRPr="00AA409A" w:rsidSect="00B53987">
      <w:headerReference w:type="even" r:id="rId14"/>
      <w:headerReference w:type="default"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DCFB" w14:textId="77777777" w:rsidR="004D496C" w:rsidRDefault="004D496C" w:rsidP="006B56BB">
      <w:r>
        <w:separator/>
      </w:r>
    </w:p>
    <w:p w14:paraId="06B26AD2" w14:textId="77777777" w:rsidR="004D496C" w:rsidRDefault="004D496C"/>
  </w:endnote>
  <w:endnote w:type="continuationSeparator" w:id="0">
    <w:p w14:paraId="1714BF37" w14:textId="77777777" w:rsidR="004D496C" w:rsidRDefault="004D496C" w:rsidP="006B56BB">
      <w:r>
        <w:continuationSeparator/>
      </w:r>
    </w:p>
    <w:p w14:paraId="11F86FCF" w14:textId="77777777" w:rsidR="004D496C" w:rsidRDefault="004D496C"/>
  </w:endnote>
  <w:endnote w:type="continuationNotice" w:id="1">
    <w:p w14:paraId="4ED937D4" w14:textId="77777777" w:rsidR="004D496C" w:rsidRDefault="004D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5E5C" w14:textId="77777777" w:rsidR="00E372EE" w:rsidRDefault="00E372EE" w:rsidP="00E372EE">
    <w:pPr>
      <w:pStyle w:val="Footer"/>
      <w:jc w:val="left"/>
    </w:pPr>
    <w:r>
      <w:t>Life Saving Drugs Program – Eliglustat (</w:t>
    </w:r>
    <w:proofErr w:type="spellStart"/>
    <w:r>
      <w:t>Cerdelga</w:t>
    </w:r>
    <w:proofErr w:type="spellEnd"/>
    <w:r w:rsidRPr="00E372EE">
      <w:rPr>
        <w:vertAlign w:val="superscript"/>
      </w:rPr>
      <w:t>®</w:t>
    </w:r>
    <w:r>
      <w:t xml:space="preserve">) </w:t>
    </w:r>
    <w:r w:rsidR="003860F6">
      <w:t xml:space="preserve">2022 </w:t>
    </w:r>
    <w:r>
      <w:t>outcome statement</w:t>
    </w:r>
  </w:p>
  <w:p w14:paraId="35DC9F9A" w14:textId="77777777" w:rsidR="00B53987" w:rsidRDefault="00124ACB" w:rsidP="00B53987">
    <w:pPr>
      <w:pStyle w:val="Footer"/>
    </w:pP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B21C" w14:textId="4857A96B" w:rsidR="00B53987" w:rsidRDefault="00E372EE" w:rsidP="00E372EE">
    <w:pPr>
      <w:pStyle w:val="Footer"/>
      <w:jc w:val="left"/>
    </w:pPr>
    <w:bookmarkStart w:id="5" w:name="_Hlk128395045"/>
    <w:r>
      <w:t>Life Saving Drugs Program – Eliglustat (</w:t>
    </w:r>
    <w:proofErr w:type="spellStart"/>
    <w:r>
      <w:t>Cerdelga</w:t>
    </w:r>
    <w:proofErr w:type="spellEnd"/>
    <w:r w:rsidRPr="00E372EE">
      <w:rPr>
        <w:vertAlign w:val="superscript"/>
      </w:rPr>
      <w:t>®</w:t>
    </w:r>
    <w:r>
      <w:t>)</w:t>
    </w:r>
    <w:r w:rsidR="00871921">
      <w:t xml:space="preserve"> 2022</w:t>
    </w:r>
    <w:r>
      <w:t xml:space="preserve"> outcome statement</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864F" w14:textId="77777777" w:rsidR="004D496C" w:rsidRDefault="004D496C" w:rsidP="006B56BB">
      <w:r>
        <w:separator/>
      </w:r>
    </w:p>
    <w:p w14:paraId="42BA74CB" w14:textId="77777777" w:rsidR="004D496C" w:rsidRDefault="004D496C"/>
  </w:footnote>
  <w:footnote w:type="continuationSeparator" w:id="0">
    <w:p w14:paraId="7C9B82C0" w14:textId="77777777" w:rsidR="004D496C" w:rsidRDefault="004D496C" w:rsidP="006B56BB">
      <w:r>
        <w:continuationSeparator/>
      </w:r>
    </w:p>
    <w:p w14:paraId="74F3F084" w14:textId="77777777" w:rsidR="004D496C" w:rsidRDefault="004D496C"/>
  </w:footnote>
  <w:footnote w:type="continuationNotice" w:id="1">
    <w:p w14:paraId="4BC551EC" w14:textId="77777777" w:rsidR="004D496C" w:rsidRDefault="004D4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4943" w14:textId="05D2F35C" w:rsidR="00120C18" w:rsidRDefault="009006CB">
    <w:pPr>
      <w:pStyle w:val="Header"/>
    </w:pPr>
    <w:r>
      <w:rPr>
        <w:noProof/>
      </w:rPr>
      <mc:AlternateContent>
        <mc:Choice Requires="wps">
          <w:drawing>
            <wp:anchor distT="0" distB="0" distL="0" distR="0" simplePos="0" relativeHeight="251658241" behindDoc="0" locked="0" layoutInCell="1" allowOverlap="1" wp14:anchorId="08CEBCA2" wp14:editId="7A38DF02">
              <wp:simplePos x="635" y="635"/>
              <wp:positionH relativeFrom="page">
                <wp:align>center</wp:align>
              </wp:positionH>
              <wp:positionV relativeFrom="page">
                <wp:align>top</wp:align>
              </wp:positionV>
              <wp:extent cx="443865" cy="443865"/>
              <wp:effectExtent l="0" t="0" r="13335" b="12065"/>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EA5B6D" w14:textId="7EC22CAD" w:rsidR="009006CB" w:rsidRPr="00BA7FB3" w:rsidRDefault="009006CB" w:rsidP="00BA7FB3">
                          <w:pPr>
                            <w:spacing w:after="0"/>
                            <w:rPr>
                              <w:rFonts w:ascii="Calibri" w:eastAsia="Calibri" w:hAnsi="Calibri" w:cs="Calibri"/>
                              <w:noProof/>
                              <w:color w:val="4A569E"/>
                              <w:sz w:val="20"/>
                              <w:szCs w:val="20"/>
                            </w:rPr>
                          </w:pPr>
                          <w:r w:rsidRPr="00BA7FB3">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EBCA2"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9EA5B6D" w14:textId="7EC22CAD" w:rsidR="009006CB" w:rsidRPr="00BA7FB3" w:rsidRDefault="009006CB" w:rsidP="00BA7FB3">
                    <w:pPr>
                      <w:spacing w:after="0"/>
                      <w:rPr>
                        <w:rFonts w:ascii="Calibri" w:eastAsia="Calibri" w:hAnsi="Calibri" w:cs="Calibri"/>
                        <w:noProof/>
                        <w:color w:val="4A569E"/>
                        <w:sz w:val="20"/>
                        <w:szCs w:val="20"/>
                      </w:rPr>
                    </w:pPr>
                    <w:r w:rsidRPr="00BA7FB3">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2FF2" w14:textId="4930347F" w:rsidR="008E0C77" w:rsidRDefault="009006CB" w:rsidP="008E0C77">
    <w:pPr>
      <w:pStyle w:val="Headertext"/>
      <w:spacing w:after="180"/>
      <w:jc w:val="left"/>
    </w:pPr>
    <w:r>
      <w:rPr>
        <w:noProof/>
      </w:rPr>
      <mc:AlternateContent>
        <mc:Choice Requires="wps">
          <w:drawing>
            <wp:anchor distT="0" distB="0" distL="0" distR="0" simplePos="0" relativeHeight="251658242" behindDoc="0" locked="0" layoutInCell="1" allowOverlap="1" wp14:anchorId="156A3F86" wp14:editId="36E7B4AD">
              <wp:simplePos x="635" y="635"/>
              <wp:positionH relativeFrom="page">
                <wp:align>center</wp:align>
              </wp:positionH>
              <wp:positionV relativeFrom="page">
                <wp:align>top</wp:align>
              </wp:positionV>
              <wp:extent cx="443865" cy="443865"/>
              <wp:effectExtent l="0" t="0" r="13335" b="12065"/>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4304C" w14:textId="57120C65" w:rsidR="009006CB" w:rsidRPr="00BA7FB3" w:rsidRDefault="009006CB" w:rsidP="00BA7FB3">
                          <w:pPr>
                            <w:spacing w:after="0"/>
                            <w:rPr>
                              <w:rFonts w:ascii="Calibri" w:eastAsia="Calibri" w:hAnsi="Calibri" w:cs="Calibri"/>
                              <w:noProof/>
                              <w:color w:val="4A569E"/>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A3F86"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F4304C" w14:textId="57120C65" w:rsidR="009006CB" w:rsidRPr="00BA7FB3" w:rsidRDefault="009006CB" w:rsidP="00BA7FB3">
                    <w:pPr>
                      <w:spacing w:after="0"/>
                      <w:rPr>
                        <w:rFonts w:ascii="Calibri" w:eastAsia="Calibri" w:hAnsi="Calibri" w:cs="Calibri"/>
                        <w:noProof/>
                        <w:color w:val="4A569E"/>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0E46" w14:textId="595AD004" w:rsidR="00B53987" w:rsidRDefault="009006CB">
    <w:pPr>
      <w:pStyle w:val="Header"/>
    </w:pPr>
    <w:r>
      <w:rPr>
        <w:noProof/>
        <w:lang w:eastAsia="en-AU"/>
      </w:rPr>
      <mc:AlternateContent>
        <mc:Choice Requires="wps">
          <w:drawing>
            <wp:anchor distT="0" distB="0" distL="0" distR="0" simplePos="0" relativeHeight="251658240" behindDoc="0" locked="0" layoutInCell="1" allowOverlap="1" wp14:anchorId="3FCD6EFE" wp14:editId="422C4C92">
              <wp:simplePos x="0" y="0"/>
              <wp:positionH relativeFrom="page">
                <wp:posOffset>3650776</wp:posOffset>
              </wp:positionH>
              <wp:positionV relativeFrom="page">
                <wp:align>top</wp:align>
              </wp:positionV>
              <wp:extent cx="138392" cy="443865"/>
              <wp:effectExtent l="0" t="0" r="14605" b="12065"/>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8392" cy="443865"/>
                      </a:xfrm>
                      <a:prstGeom prst="rect">
                        <a:avLst/>
                      </a:prstGeom>
                      <a:noFill/>
                      <a:ln>
                        <a:noFill/>
                      </a:ln>
                    </wps:spPr>
                    <wps:txbx>
                      <w:txbxContent>
                        <w:p w14:paraId="617B3E1C" w14:textId="38824233" w:rsidR="009006CB" w:rsidRPr="00BA7FB3" w:rsidRDefault="009006CB" w:rsidP="00BA7FB3">
                          <w:pPr>
                            <w:spacing w:after="0"/>
                            <w:rPr>
                              <w:rFonts w:ascii="Calibri" w:eastAsia="Calibri" w:hAnsi="Calibri" w:cs="Calibri"/>
                              <w:noProof/>
                              <w:color w:val="4A569E"/>
                              <w:sz w:val="20"/>
                              <w:szCs w:val="20"/>
                            </w:rPr>
                          </w:pP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CD6EFE" id="_x0000_t202" coordsize="21600,21600" o:spt="202" path="m,l,21600r21600,l21600,xe">
              <v:stroke joinstyle="miter"/>
              <v:path gradientshapeok="t" o:connecttype="rect"/>
            </v:shapetype>
            <v:shape id="Text Box 1" o:spid="_x0000_s1028" type="#_x0000_t202" alt="Internal" style="position:absolute;margin-left:287.45pt;margin-top:0;width:10.9pt;height:34.95pt;z-index:251658240;visibility:visible;mso-wrap-style:square;mso-width-percent:0;mso-wrap-distance-left:0;mso-wrap-distance-top:0;mso-wrap-distance-right:0;mso-wrap-distance-bottom:0;mso-position-horizontal:absolute;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" filled="f" stroked="f">
              <v:textbox style="mso-fit-shape-to-text:t" inset="0,15pt,0,0">
                <w:txbxContent>
                  <w:p w14:paraId="617B3E1C" w14:textId="38824233" w:rsidR="009006CB" w:rsidRPr="00BA7FB3" w:rsidRDefault="009006CB" w:rsidP="00BA7FB3">
                    <w:pPr>
                      <w:spacing w:after="0"/>
                      <w:rPr>
                        <w:rFonts w:ascii="Calibri" w:eastAsia="Calibri" w:hAnsi="Calibri" w:cs="Calibri"/>
                        <w:noProof/>
                        <w:color w:val="4A569E"/>
                        <w:sz w:val="20"/>
                        <w:szCs w:val="20"/>
                      </w:rPr>
                    </w:pPr>
                  </w:p>
                </w:txbxContent>
              </v:textbox>
              <w10:wrap anchorx="page" anchory="page"/>
            </v:shape>
          </w:pict>
        </mc:Fallback>
      </mc:AlternateContent>
    </w:r>
    <w:r w:rsidR="00B53987">
      <w:rPr>
        <w:noProof/>
        <w:lang w:eastAsia="en-AU"/>
      </w:rPr>
      <w:drawing>
        <wp:inline distT="0" distB="0" distL="0" distR="0" wp14:anchorId="443DA307" wp14:editId="0BA40AF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99004FD"/>
    <w:multiLevelType w:val="hybridMultilevel"/>
    <w:tmpl w:val="0E9E42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C670A0"/>
    <w:multiLevelType w:val="hybridMultilevel"/>
    <w:tmpl w:val="6598E3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1"/>
  </w:num>
  <w:num w:numId="19">
    <w:abstractNumId w:val="12"/>
  </w:num>
  <w:num w:numId="20">
    <w:abstractNumId w:val="10"/>
  </w:num>
  <w:num w:numId="21">
    <w:abstractNumId w:val="12"/>
  </w:num>
  <w:num w:numId="22">
    <w:abstractNumId w:val="20"/>
  </w:num>
  <w:num w:numId="23">
    <w:abstractNumId w:val="17"/>
  </w:num>
  <w:num w:numId="24">
    <w:abstractNumId w:val="19"/>
  </w:num>
  <w:num w:numId="25">
    <w:abstractNumId w:val="8"/>
  </w:num>
  <w:num w:numId="26">
    <w:abstractNumId w:val="16"/>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00"/>
    <w:rsid w:val="00003743"/>
    <w:rsid w:val="000047B4"/>
    <w:rsid w:val="00005712"/>
    <w:rsid w:val="00006DF3"/>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B6982"/>
    <w:rsid w:val="000C4B16"/>
    <w:rsid w:val="000C50C3"/>
    <w:rsid w:val="000C5E14"/>
    <w:rsid w:val="000D21F6"/>
    <w:rsid w:val="000D4500"/>
    <w:rsid w:val="000D7AEA"/>
    <w:rsid w:val="000E2C66"/>
    <w:rsid w:val="000E4C1E"/>
    <w:rsid w:val="000E6B4A"/>
    <w:rsid w:val="000F123C"/>
    <w:rsid w:val="000F2FED"/>
    <w:rsid w:val="000F6086"/>
    <w:rsid w:val="0010616D"/>
    <w:rsid w:val="001069FD"/>
    <w:rsid w:val="00110478"/>
    <w:rsid w:val="0011711B"/>
    <w:rsid w:val="00117F8A"/>
    <w:rsid w:val="00120C18"/>
    <w:rsid w:val="00121B9B"/>
    <w:rsid w:val="00122ADC"/>
    <w:rsid w:val="00124ACB"/>
    <w:rsid w:val="00130F59"/>
    <w:rsid w:val="00133EC0"/>
    <w:rsid w:val="00141CE5"/>
    <w:rsid w:val="00144908"/>
    <w:rsid w:val="00156D96"/>
    <w:rsid w:val="001571C7"/>
    <w:rsid w:val="00160C00"/>
    <w:rsid w:val="00161094"/>
    <w:rsid w:val="0017665C"/>
    <w:rsid w:val="00177AD2"/>
    <w:rsid w:val="001815A8"/>
    <w:rsid w:val="00182A17"/>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09"/>
    <w:rsid w:val="00220E5F"/>
    <w:rsid w:val="002212B5"/>
    <w:rsid w:val="00226668"/>
    <w:rsid w:val="0023285A"/>
    <w:rsid w:val="00233809"/>
    <w:rsid w:val="00240046"/>
    <w:rsid w:val="0024797F"/>
    <w:rsid w:val="0025119E"/>
    <w:rsid w:val="00251269"/>
    <w:rsid w:val="00252036"/>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1E05"/>
    <w:rsid w:val="002E1A1D"/>
    <w:rsid w:val="002E4081"/>
    <w:rsid w:val="002E5B78"/>
    <w:rsid w:val="002F0F06"/>
    <w:rsid w:val="002F2349"/>
    <w:rsid w:val="002F3AE3"/>
    <w:rsid w:val="0030464B"/>
    <w:rsid w:val="0030786C"/>
    <w:rsid w:val="003103ED"/>
    <w:rsid w:val="003233DE"/>
    <w:rsid w:val="0032466B"/>
    <w:rsid w:val="003330EB"/>
    <w:rsid w:val="003415FD"/>
    <w:rsid w:val="003429F0"/>
    <w:rsid w:val="00345A82"/>
    <w:rsid w:val="0035097A"/>
    <w:rsid w:val="003540A4"/>
    <w:rsid w:val="00357BCC"/>
    <w:rsid w:val="00360E4E"/>
    <w:rsid w:val="0036585E"/>
    <w:rsid w:val="00370AAA"/>
    <w:rsid w:val="00375F77"/>
    <w:rsid w:val="00381BBE"/>
    <w:rsid w:val="00382903"/>
    <w:rsid w:val="003846FF"/>
    <w:rsid w:val="003857D4"/>
    <w:rsid w:val="00385AD4"/>
    <w:rsid w:val="003860F6"/>
    <w:rsid w:val="00386E28"/>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03AB"/>
    <w:rsid w:val="003D17F9"/>
    <w:rsid w:val="003D2D88"/>
    <w:rsid w:val="003D41EA"/>
    <w:rsid w:val="003D4850"/>
    <w:rsid w:val="003D535A"/>
    <w:rsid w:val="003E457B"/>
    <w:rsid w:val="003E5265"/>
    <w:rsid w:val="003F0955"/>
    <w:rsid w:val="003F5F4D"/>
    <w:rsid w:val="003F646F"/>
    <w:rsid w:val="00400F00"/>
    <w:rsid w:val="00404F8B"/>
    <w:rsid w:val="00405256"/>
    <w:rsid w:val="00410031"/>
    <w:rsid w:val="0041062E"/>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67CC0"/>
    <w:rsid w:val="0048593C"/>
    <w:rsid w:val="004867E2"/>
    <w:rsid w:val="004929A9"/>
    <w:rsid w:val="004A2362"/>
    <w:rsid w:val="004A78D9"/>
    <w:rsid w:val="004B493F"/>
    <w:rsid w:val="004C1BCD"/>
    <w:rsid w:val="004C6BCF"/>
    <w:rsid w:val="004D496C"/>
    <w:rsid w:val="004D58BF"/>
    <w:rsid w:val="004E4335"/>
    <w:rsid w:val="004F13EE"/>
    <w:rsid w:val="004F2022"/>
    <w:rsid w:val="004F7C05"/>
    <w:rsid w:val="00501C94"/>
    <w:rsid w:val="00505735"/>
    <w:rsid w:val="00506432"/>
    <w:rsid w:val="00506E82"/>
    <w:rsid w:val="0052051D"/>
    <w:rsid w:val="00540168"/>
    <w:rsid w:val="00545EE6"/>
    <w:rsid w:val="005550E7"/>
    <w:rsid w:val="00555810"/>
    <w:rsid w:val="005564FB"/>
    <w:rsid w:val="005572C7"/>
    <w:rsid w:val="005650ED"/>
    <w:rsid w:val="005663E6"/>
    <w:rsid w:val="00575754"/>
    <w:rsid w:val="00575E42"/>
    <w:rsid w:val="00581FBA"/>
    <w:rsid w:val="00591E20"/>
    <w:rsid w:val="005933DC"/>
    <w:rsid w:val="00595408"/>
    <w:rsid w:val="00595E84"/>
    <w:rsid w:val="005A0C59"/>
    <w:rsid w:val="005A48EB"/>
    <w:rsid w:val="005A6CFB"/>
    <w:rsid w:val="005C1BAE"/>
    <w:rsid w:val="005C2C38"/>
    <w:rsid w:val="005C5AEB"/>
    <w:rsid w:val="005E0A3F"/>
    <w:rsid w:val="005E4153"/>
    <w:rsid w:val="005E6883"/>
    <w:rsid w:val="005E772F"/>
    <w:rsid w:val="005F4ECA"/>
    <w:rsid w:val="006041BE"/>
    <w:rsid w:val="006043C7"/>
    <w:rsid w:val="00624B52"/>
    <w:rsid w:val="00630794"/>
    <w:rsid w:val="00631DF4"/>
    <w:rsid w:val="00634175"/>
    <w:rsid w:val="006408AC"/>
    <w:rsid w:val="00650FB0"/>
    <w:rsid w:val="006511B6"/>
    <w:rsid w:val="006522D8"/>
    <w:rsid w:val="00657FF8"/>
    <w:rsid w:val="00670D99"/>
    <w:rsid w:val="00670E2B"/>
    <w:rsid w:val="006734BB"/>
    <w:rsid w:val="00674F21"/>
    <w:rsid w:val="0067697A"/>
    <w:rsid w:val="006821EB"/>
    <w:rsid w:val="00687C96"/>
    <w:rsid w:val="006927F8"/>
    <w:rsid w:val="006A7A60"/>
    <w:rsid w:val="006B2286"/>
    <w:rsid w:val="006B56BB"/>
    <w:rsid w:val="006C01F8"/>
    <w:rsid w:val="006C77A8"/>
    <w:rsid w:val="006D4098"/>
    <w:rsid w:val="006D6257"/>
    <w:rsid w:val="006D7681"/>
    <w:rsid w:val="006D7B2E"/>
    <w:rsid w:val="006E02EA"/>
    <w:rsid w:val="006E0968"/>
    <w:rsid w:val="006E2AF6"/>
    <w:rsid w:val="006E3E82"/>
    <w:rsid w:val="00701275"/>
    <w:rsid w:val="00707F56"/>
    <w:rsid w:val="00713558"/>
    <w:rsid w:val="00720D08"/>
    <w:rsid w:val="00725EBC"/>
    <w:rsid w:val="007263B9"/>
    <w:rsid w:val="007334F8"/>
    <w:rsid w:val="007339CD"/>
    <w:rsid w:val="007359D8"/>
    <w:rsid w:val="007362D4"/>
    <w:rsid w:val="00761FE1"/>
    <w:rsid w:val="0076672A"/>
    <w:rsid w:val="00775E45"/>
    <w:rsid w:val="00776E74"/>
    <w:rsid w:val="00785169"/>
    <w:rsid w:val="00790D6F"/>
    <w:rsid w:val="007954AB"/>
    <w:rsid w:val="007A14C5"/>
    <w:rsid w:val="007A4A10"/>
    <w:rsid w:val="007B1760"/>
    <w:rsid w:val="007B6475"/>
    <w:rsid w:val="007C1FDC"/>
    <w:rsid w:val="007C45C7"/>
    <w:rsid w:val="007C6D9C"/>
    <w:rsid w:val="007C6E04"/>
    <w:rsid w:val="007C7DDB"/>
    <w:rsid w:val="007D2CC7"/>
    <w:rsid w:val="007D673D"/>
    <w:rsid w:val="007E0FB8"/>
    <w:rsid w:val="007E4D09"/>
    <w:rsid w:val="007F2220"/>
    <w:rsid w:val="007F4B3E"/>
    <w:rsid w:val="008127AF"/>
    <w:rsid w:val="00812B46"/>
    <w:rsid w:val="00815242"/>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1921"/>
    <w:rsid w:val="00871DDA"/>
    <w:rsid w:val="00873D90"/>
    <w:rsid w:val="00873FC8"/>
    <w:rsid w:val="00884C63"/>
    <w:rsid w:val="00885908"/>
    <w:rsid w:val="008864B7"/>
    <w:rsid w:val="0089677E"/>
    <w:rsid w:val="008A0848"/>
    <w:rsid w:val="008A7438"/>
    <w:rsid w:val="008B1334"/>
    <w:rsid w:val="008B25C7"/>
    <w:rsid w:val="008C0278"/>
    <w:rsid w:val="008C24E9"/>
    <w:rsid w:val="008D0533"/>
    <w:rsid w:val="008D42CB"/>
    <w:rsid w:val="008D48C9"/>
    <w:rsid w:val="008D6381"/>
    <w:rsid w:val="008E0C77"/>
    <w:rsid w:val="008E625F"/>
    <w:rsid w:val="008F264D"/>
    <w:rsid w:val="009006CB"/>
    <w:rsid w:val="009040E9"/>
    <w:rsid w:val="009074E1"/>
    <w:rsid w:val="009112F7"/>
    <w:rsid w:val="009122AF"/>
    <w:rsid w:val="00912D54"/>
    <w:rsid w:val="0091389F"/>
    <w:rsid w:val="009208F7"/>
    <w:rsid w:val="00921649"/>
    <w:rsid w:val="00922517"/>
    <w:rsid w:val="00922722"/>
    <w:rsid w:val="0092600B"/>
    <w:rsid w:val="009261E6"/>
    <w:rsid w:val="009268E1"/>
    <w:rsid w:val="009271EE"/>
    <w:rsid w:val="009344AE"/>
    <w:rsid w:val="009344DE"/>
    <w:rsid w:val="00945E7F"/>
    <w:rsid w:val="009552AE"/>
    <w:rsid w:val="009557C1"/>
    <w:rsid w:val="00960D6E"/>
    <w:rsid w:val="00974B59"/>
    <w:rsid w:val="0098340B"/>
    <w:rsid w:val="00986830"/>
    <w:rsid w:val="009924C3"/>
    <w:rsid w:val="00993102"/>
    <w:rsid w:val="009A66C5"/>
    <w:rsid w:val="009B1570"/>
    <w:rsid w:val="009C43F5"/>
    <w:rsid w:val="009C6F10"/>
    <w:rsid w:val="009D148F"/>
    <w:rsid w:val="009D3A38"/>
    <w:rsid w:val="009D3D70"/>
    <w:rsid w:val="009E6F7E"/>
    <w:rsid w:val="009E7A57"/>
    <w:rsid w:val="009F4803"/>
    <w:rsid w:val="009F4F6A"/>
    <w:rsid w:val="00A13EB5"/>
    <w:rsid w:val="00A15EE9"/>
    <w:rsid w:val="00A16E36"/>
    <w:rsid w:val="00A24961"/>
    <w:rsid w:val="00A24B10"/>
    <w:rsid w:val="00A277EF"/>
    <w:rsid w:val="00A30E9B"/>
    <w:rsid w:val="00A4512D"/>
    <w:rsid w:val="00A50244"/>
    <w:rsid w:val="00A51969"/>
    <w:rsid w:val="00A627D7"/>
    <w:rsid w:val="00A656C7"/>
    <w:rsid w:val="00A705AF"/>
    <w:rsid w:val="00A719F6"/>
    <w:rsid w:val="00A72454"/>
    <w:rsid w:val="00A767DE"/>
    <w:rsid w:val="00A77696"/>
    <w:rsid w:val="00A80557"/>
    <w:rsid w:val="00A81D33"/>
    <w:rsid w:val="00A8341C"/>
    <w:rsid w:val="00A930AE"/>
    <w:rsid w:val="00AA1A95"/>
    <w:rsid w:val="00AA260F"/>
    <w:rsid w:val="00AA3B29"/>
    <w:rsid w:val="00AA409A"/>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69CB"/>
    <w:rsid w:val="00B32222"/>
    <w:rsid w:val="00B3618D"/>
    <w:rsid w:val="00B36233"/>
    <w:rsid w:val="00B42851"/>
    <w:rsid w:val="00B45AC7"/>
    <w:rsid w:val="00B5372F"/>
    <w:rsid w:val="00B53987"/>
    <w:rsid w:val="00B61129"/>
    <w:rsid w:val="00B67E7F"/>
    <w:rsid w:val="00B72C4F"/>
    <w:rsid w:val="00B839B2"/>
    <w:rsid w:val="00B94252"/>
    <w:rsid w:val="00B9715A"/>
    <w:rsid w:val="00BA14BE"/>
    <w:rsid w:val="00BA2732"/>
    <w:rsid w:val="00BA293D"/>
    <w:rsid w:val="00BA49BC"/>
    <w:rsid w:val="00BA56B7"/>
    <w:rsid w:val="00BA7A1E"/>
    <w:rsid w:val="00BA7FB3"/>
    <w:rsid w:val="00BB2F6C"/>
    <w:rsid w:val="00BB3875"/>
    <w:rsid w:val="00BB5860"/>
    <w:rsid w:val="00BB6AAD"/>
    <w:rsid w:val="00BC4A19"/>
    <w:rsid w:val="00BC4E6D"/>
    <w:rsid w:val="00BD0617"/>
    <w:rsid w:val="00BD2E9B"/>
    <w:rsid w:val="00BD6126"/>
    <w:rsid w:val="00BD7FB2"/>
    <w:rsid w:val="00BE024E"/>
    <w:rsid w:val="00BE78BE"/>
    <w:rsid w:val="00BF68BC"/>
    <w:rsid w:val="00C00930"/>
    <w:rsid w:val="00C060AD"/>
    <w:rsid w:val="00C113BF"/>
    <w:rsid w:val="00C2176E"/>
    <w:rsid w:val="00C23430"/>
    <w:rsid w:val="00C27D67"/>
    <w:rsid w:val="00C4631F"/>
    <w:rsid w:val="00C47CDE"/>
    <w:rsid w:val="00C50E16"/>
    <w:rsid w:val="00C55258"/>
    <w:rsid w:val="00C8097D"/>
    <w:rsid w:val="00C82EEB"/>
    <w:rsid w:val="00C961D4"/>
    <w:rsid w:val="00C971DC"/>
    <w:rsid w:val="00CA16B7"/>
    <w:rsid w:val="00CA62AE"/>
    <w:rsid w:val="00CB5B1A"/>
    <w:rsid w:val="00CC220B"/>
    <w:rsid w:val="00CC3E96"/>
    <w:rsid w:val="00CC5C43"/>
    <w:rsid w:val="00CD02AE"/>
    <w:rsid w:val="00CD2A4F"/>
    <w:rsid w:val="00CE03CA"/>
    <w:rsid w:val="00CE22F1"/>
    <w:rsid w:val="00CE3CFF"/>
    <w:rsid w:val="00CE50F2"/>
    <w:rsid w:val="00CE6502"/>
    <w:rsid w:val="00CF2102"/>
    <w:rsid w:val="00CF6AD3"/>
    <w:rsid w:val="00CF7D3C"/>
    <w:rsid w:val="00D01F09"/>
    <w:rsid w:val="00D11424"/>
    <w:rsid w:val="00D147EB"/>
    <w:rsid w:val="00D34667"/>
    <w:rsid w:val="00D351DB"/>
    <w:rsid w:val="00D401E1"/>
    <w:rsid w:val="00D408B4"/>
    <w:rsid w:val="00D44330"/>
    <w:rsid w:val="00D524C8"/>
    <w:rsid w:val="00D70E24"/>
    <w:rsid w:val="00D72B61"/>
    <w:rsid w:val="00D963ED"/>
    <w:rsid w:val="00DA3D1D"/>
    <w:rsid w:val="00DB6286"/>
    <w:rsid w:val="00DB645F"/>
    <w:rsid w:val="00DB76E9"/>
    <w:rsid w:val="00DC0466"/>
    <w:rsid w:val="00DC0A67"/>
    <w:rsid w:val="00DC1D5E"/>
    <w:rsid w:val="00DC48FA"/>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5F1B"/>
    <w:rsid w:val="00E27FEA"/>
    <w:rsid w:val="00E34A8F"/>
    <w:rsid w:val="00E372EE"/>
    <w:rsid w:val="00E4086F"/>
    <w:rsid w:val="00E41DC7"/>
    <w:rsid w:val="00E43B3C"/>
    <w:rsid w:val="00E50188"/>
    <w:rsid w:val="00E50BB3"/>
    <w:rsid w:val="00E515CB"/>
    <w:rsid w:val="00E5186E"/>
    <w:rsid w:val="00E52260"/>
    <w:rsid w:val="00E639B6"/>
    <w:rsid w:val="00E6434B"/>
    <w:rsid w:val="00E6463D"/>
    <w:rsid w:val="00E72E9B"/>
    <w:rsid w:val="00E850C3"/>
    <w:rsid w:val="00E87DF2"/>
    <w:rsid w:val="00E9462E"/>
    <w:rsid w:val="00EA470E"/>
    <w:rsid w:val="00EA47A7"/>
    <w:rsid w:val="00EA57EB"/>
    <w:rsid w:val="00EA74AC"/>
    <w:rsid w:val="00EB3226"/>
    <w:rsid w:val="00EB5918"/>
    <w:rsid w:val="00EC213A"/>
    <w:rsid w:val="00EC7744"/>
    <w:rsid w:val="00ED0DAD"/>
    <w:rsid w:val="00ED0F46"/>
    <w:rsid w:val="00ED2373"/>
    <w:rsid w:val="00EE3E8A"/>
    <w:rsid w:val="00EF58B8"/>
    <w:rsid w:val="00EF6ECA"/>
    <w:rsid w:val="00F024E1"/>
    <w:rsid w:val="00F04D0E"/>
    <w:rsid w:val="00F06C10"/>
    <w:rsid w:val="00F1096F"/>
    <w:rsid w:val="00F12589"/>
    <w:rsid w:val="00F12595"/>
    <w:rsid w:val="00F134D9"/>
    <w:rsid w:val="00F1403D"/>
    <w:rsid w:val="00F1463F"/>
    <w:rsid w:val="00F21302"/>
    <w:rsid w:val="00F2430D"/>
    <w:rsid w:val="00F321DE"/>
    <w:rsid w:val="00F33777"/>
    <w:rsid w:val="00F40648"/>
    <w:rsid w:val="00F43FE8"/>
    <w:rsid w:val="00F47DA2"/>
    <w:rsid w:val="00F519FC"/>
    <w:rsid w:val="00F6239D"/>
    <w:rsid w:val="00F715D2"/>
    <w:rsid w:val="00F7274F"/>
    <w:rsid w:val="00F74E84"/>
    <w:rsid w:val="00F76FA8"/>
    <w:rsid w:val="00F9052E"/>
    <w:rsid w:val="00F93F08"/>
    <w:rsid w:val="00F94CED"/>
    <w:rsid w:val="00FA02BB"/>
    <w:rsid w:val="00FA05D8"/>
    <w:rsid w:val="00FA2CEE"/>
    <w:rsid w:val="00FA318C"/>
    <w:rsid w:val="00FA7218"/>
    <w:rsid w:val="00FB6F92"/>
    <w:rsid w:val="00FC026E"/>
    <w:rsid w:val="00FC5124"/>
    <w:rsid w:val="00FD4731"/>
    <w:rsid w:val="00FD6768"/>
    <w:rsid w:val="00FF0AB0"/>
    <w:rsid w:val="00FF28AC"/>
    <w:rsid w:val="00FF777D"/>
    <w:rsid w:val="00FF7F62"/>
    <w:rsid w:val="011F03B8"/>
    <w:rsid w:val="03D17866"/>
    <w:rsid w:val="0EE3E4EC"/>
    <w:rsid w:val="14EC6B37"/>
    <w:rsid w:val="1CBA9145"/>
    <w:rsid w:val="1EA59FE3"/>
    <w:rsid w:val="20417044"/>
    <w:rsid w:val="2B04006D"/>
    <w:rsid w:val="30F52132"/>
    <w:rsid w:val="359F9A92"/>
    <w:rsid w:val="3A6D2A39"/>
    <w:rsid w:val="3FC349FF"/>
    <w:rsid w:val="469659C5"/>
    <w:rsid w:val="4783FC12"/>
    <w:rsid w:val="4B45A909"/>
    <w:rsid w:val="4B863CB9"/>
    <w:rsid w:val="517A3A7F"/>
    <w:rsid w:val="59A95466"/>
    <w:rsid w:val="5E77020B"/>
    <w:rsid w:val="5F77DB8D"/>
    <w:rsid w:val="658998DC"/>
    <w:rsid w:val="758E4C73"/>
    <w:rsid w:val="7C8DAD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537B8"/>
  <w15:docId w15:val="{A522DEED-C06D-49C4-A964-06EBFBFE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1"/>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540168"/>
    <w:rPr>
      <w:sz w:val="16"/>
      <w:szCs w:val="16"/>
    </w:rPr>
  </w:style>
  <w:style w:type="paragraph" w:styleId="CommentText">
    <w:name w:val="annotation text"/>
    <w:basedOn w:val="Normal"/>
    <w:link w:val="CommentTextChar"/>
    <w:uiPriority w:val="99"/>
    <w:semiHidden/>
    <w:unhideWhenUsed/>
    <w:rsid w:val="00540168"/>
    <w:pPr>
      <w:spacing w:line="240" w:lineRule="auto"/>
    </w:pPr>
    <w:rPr>
      <w:sz w:val="20"/>
      <w:szCs w:val="20"/>
    </w:rPr>
  </w:style>
  <w:style w:type="character" w:customStyle="1" w:styleId="CommentTextChar">
    <w:name w:val="Comment Text Char"/>
    <w:basedOn w:val="DefaultParagraphFont"/>
    <w:link w:val="CommentText"/>
    <w:uiPriority w:val="99"/>
    <w:semiHidden/>
    <w:rsid w:val="00540168"/>
    <w:rPr>
      <w:rFonts w:ascii="Arial" w:hAnsi="Arial"/>
      <w:color w:val="000000" w:themeColor="text1"/>
      <w:lang w:eastAsia="en-US"/>
    </w:rPr>
  </w:style>
  <w:style w:type="paragraph" w:customStyle="1" w:styleId="TableParagraph">
    <w:name w:val="Table Paragraph"/>
    <w:basedOn w:val="Normal"/>
    <w:uiPriority w:val="1"/>
    <w:qFormat/>
    <w:rsid w:val="00540168"/>
    <w:pPr>
      <w:widowControl w:val="0"/>
      <w:autoSpaceDE w:val="0"/>
      <w:autoSpaceDN w:val="0"/>
      <w:spacing w:before="121" w:after="0" w:line="240" w:lineRule="auto"/>
      <w:ind w:left="107"/>
    </w:pPr>
    <w:rPr>
      <w:rFonts w:ascii="Calibri" w:eastAsia="Calibri" w:hAnsi="Calibri" w:cs="Calibri"/>
      <w:color w:val="auto"/>
      <w:szCs w:val="22"/>
    </w:rPr>
  </w:style>
  <w:style w:type="paragraph" w:styleId="CommentSubject">
    <w:name w:val="annotation subject"/>
    <w:basedOn w:val="CommentText"/>
    <w:next w:val="CommentText"/>
    <w:link w:val="CommentSubjectChar"/>
    <w:semiHidden/>
    <w:unhideWhenUsed/>
    <w:rsid w:val="00F9052E"/>
    <w:rPr>
      <w:b/>
      <w:bCs/>
    </w:rPr>
  </w:style>
  <w:style w:type="character" w:customStyle="1" w:styleId="CommentSubjectChar">
    <w:name w:val="Comment Subject Char"/>
    <w:basedOn w:val="CommentTextChar"/>
    <w:link w:val="CommentSubject"/>
    <w:semiHidden/>
    <w:rsid w:val="00F9052E"/>
    <w:rPr>
      <w:rFonts w:ascii="Arial" w:hAnsi="Arial"/>
      <w:b/>
      <w:bCs/>
      <w:color w:val="000000" w:themeColor="text1"/>
      <w:lang w:eastAsia="en-US"/>
    </w:rPr>
  </w:style>
  <w:style w:type="character" w:styleId="UnresolvedMention">
    <w:name w:val="Unresolved Mention"/>
    <w:basedOn w:val="DefaultParagraphFont"/>
    <w:uiPriority w:val="99"/>
    <w:unhideWhenUsed/>
    <w:rsid w:val="00160C00"/>
    <w:rPr>
      <w:color w:val="605E5C"/>
      <w:shd w:val="clear" w:color="auto" w:fill="E1DFDD"/>
    </w:rPr>
  </w:style>
  <w:style w:type="character" w:styleId="FollowedHyperlink">
    <w:name w:val="FollowedHyperlink"/>
    <w:basedOn w:val="DefaultParagraphFont"/>
    <w:semiHidden/>
    <w:unhideWhenUsed/>
    <w:rsid w:val="00160C00"/>
    <w:rPr>
      <w:color w:val="800080" w:themeColor="followedHyperlink"/>
      <w:u w:val="single"/>
    </w:rPr>
  </w:style>
  <w:style w:type="paragraph" w:styleId="Revision">
    <w:name w:val="Revision"/>
    <w:hidden/>
    <w:uiPriority w:val="99"/>
    <w:semiHidden/>
    <w:rsid w:val="006522D8"/>
    <w:rPr>
      <w:rFonts w:ascii="Arial" w:hAnsi="Arial"/>
      <w:color w:val="000000" w:themeColor="text1"/>
      <w:sz w:val="22"/>
      <w:szCs w:val="24"/>
      <w:lang w:eastAsia="en-US"/>
    </w:rPr>
  </w:style>
  <w:style w:type="character" w:styleId="Mention">
    <w:name w:val="Mention"/>
    <w:basedOn w:val="DefaultParagraphFont"/>
    <w:uiPriority w:val="99"/>
    <w:unhideWhenUsed/>
    <w:rsid w:val="003103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BW0017\AppData\Local\Microsoft\Windows\INetCache\Content.Outlook\00QCJGCR\www.health.gov.au\resources\publications\procedure-guidance-for-medicines-funded-through-the-life-saving-drugs-program-lsd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life-saving-drugs-program-eliglustat-cerdelgar-outcome-stat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bs.gov.au/pbs/industry/listing/elements/pbac-meetings/psd/2015-07/eliglustat-psd-july-201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ann\AppData\Local\Microsoft\Windows\INetCache\Content.Outlook\90A06A9Z\DRAFT%20-%20life-saving-drugs-program-eliglustat-sanofi-outcome-statement%20-%20April%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5EE5A67B39ED44842A2801690972A6" ma:contentTypeVersion="6" ma:contentTypeDescription="Create a new document." ma:contentTypeScope="" ma:versionID="1b60483dc0cf0b27b3c261cdfdb2ed09">
  <xsd:schema xmlns:xsd="http://www.w3.org/2001/XMLSchema" xmlns:xs="http://www.w3.org/2001/XMLSchema" xmlns:p="http://schemas.microsoft.com/office/2006/metadata/properties" xmlns:ns2="75423754-6337-4043-84e6-9fee266f352f" xmlns:ns3="23022732-4ea3-423f-8d72-ebb960ebd247" targetNamespace="http://schemas.microsoft.com/office/2006/metadata/properties" ma:root="true" ma:fieldsID="8b71de35eb15d62d20040267e4bd7d00" ns2:_="" ns3:_="">
    <xsd:import namespace="75423754-6337-4043-84e6-9fee266f352f"/>
    <xsd:import namespace="23022732-4ea3-423f-8d72-ebb960ebd2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23754-6337-4043-84e6-9fee266f3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22732-4ea3-423f-8d72-ebb960ebd2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23022732-4ea3-423f-8d72-ebb960ebd247"/>
    <ds:schemaRef ds:uri="75423754-6337-4043-84e6-9fee266f352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770E8E7F-CA3F-4471-8AD8-4B85085B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23754-6337-4043-84e6-9fee266f352f"/>
    <ds:schemaRef ds:uri="23022732-4ea3-423f-8d72-ebb960ebd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 life-saving-drugs-program-eliglustat-sanofi-outcome-statement - April 2023.DOTX</Template>
  <TotalTime>1</TotalTime>
  <Pages>3</Pages>
  <Words>1072</Words>
  <Characters>6614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Life Saving Drugs Program – Eliglustat (Cerdelga®) outcome statement</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Eliglustat (Cerdelga®) outcome statement</dc:title>
  <dc:subject/>
  <dc:creator>Australian Government Department of Health and Aged Care</dc:creator>
  <cp:keywords>chronic conditions; medicines; life saving drugs program</cp:keywords>
  <cp:lastModifiedBy>HAMLEY, Erynn</cp:lastModifiedBy>
  <cp:revision>2</cp:revision>
  <dcterms:created xsi:type="dcterms:W3CDTF">2023-04-18T04:51:00Z</dcterms:created>
  <dcterms:modified xsi:type="dcterms:W3CDTF">2023-04-18T04:51:00Z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0x010100CC5EE5A67B39ED44842A2801690972A6</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ClassificationContentMarkingHeaderShapeIds">
    <vt:lpwstr>1,2,3</vt:lpwstr>
  </property>
  <property fmtid="{D5CDD505-2E9C-101B-9397-08002B2CF9AE}" pid="10" name="ClassificationContentMarkingHeaderFontProps">
    <vt:lpwstr>#4a569e,10,Calibri</vt:lpwstr>
  </property>
  <property fmtid="{D5CDD505-2E9C-101B-9397-08002B2CF9AE}" pid="11" name="ClassificationContentMarkingHeaderText">
    <vt:lpwstr>Internal</vt:lpwstr>
  </property>
  <property fmtid="{D5CDD505-2E9C-101B-9397-08002B2CF9AE}" pid="12" name="MSIP_Label_9e3dcb88-8425-4e1d-b1a3-bd5572915bbc_Enabled">
    <vt:lpwstr>true</vt:lpwstr>
  </property>
  <property fmtid="{D5CDD505-2E9C-101B-9397-08002B2CF9AE}" pid="13" name="MSIP_Label_9e3dcb88-8425-4e1d-b1a3-bd5572915bbc_SetDate">
    <vt:lpwstr>2023-03-28T03:37:03Z</vt:lpwstr>
  </property>
  <property fmtid="{D5CDD505-2E9C-101B-9397-08002B2CF9AE}" pid="14" name="MSIP_Label_9e3dcb88-8425-4e1d-b1a3-bd5572915bbc_Method">
    <vt:lpwstr>Standard</vt:lpwstr>
  </property>
  <property fmtid="{D5CDD505-2E9C-101B-9397-08002B2CF9AE}" pid="15" name="MSIP_Label_9e3dcb88-8425-4e1d-b1a3-bd5572915bbc_Name">
    <vt:lpwstr>Internal</vt:lpwstr>
  </property>
  <property fmtid="{D5CDD505-2E9C-101B-9397-08002B2CF9AE}" pid="16" name="MSIP_Label_9e3dcb88-8425-4e1d-b1a3-bd5572915bbc_SiteId">
    <vt:lpwstr>aca3c8d6-aa71-4e1a-a10e-03572fc58c0b</vt:lpwstr>
  </property>
  <property fmtid="{D5CDD505-2E9C-101B-9397-08002B2CF9AE}" pid="17" name="MSIP_Label_9e3dcb88-8425-4e1d-b1a3-bd5572915bbc_ActionId">
    <vt:lpwstr>9b789e26-9fcd-4234-8c8f-d23200e2371f</vt:lpwstr>
  </property>
  <property fmtid="{D5CDD505-2E9C-101B-9397-08002B2CF9AE}" pid="18" name="MSIP_Label_9e3dcb88-8425-4e1d-b1a3-bd5572915bbc_ContentBits">
    <vt:lpwstr>1</vt:lpwstr>
  </property>
</Properties>
</file>