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C00DF" w14:textId="5274DE7B" w:rsidR="00647F00" w:rsidRDefault="00FD227C" w:rsidP="00A603CF">
      <w:r>
        <w:rPr>
          <w:noProof/>
        </w:rPr>
        <w:drawing>
          <wp:anchor distT="0" distB="0" distL="114300" distR="114300" simplePos="0" relativeHeight="251659264" behindDoc="1" locked="0" layoutInCell="1" allowOverlap="1" wp14:anchorId="6C0403D6" wp14:editId="4A24371C">
            <wp:simplePos x="0" y="0"/>
            <wp:positionH relativeFrom="column">
              <wp:posOffset>2992645</wp:posOffset>
            </wp:positionH>
            <wp:positionV relativeFrom="paragraph">
              <wp:posOffset>297180</wp:posOffset>
            </wp:positionV>
            <wp:extent cx="2707640" cy="987425"/>
            <wp:effectExtent l="0" t="0" r="0" b="0"/>
            <wp:wrapNone/>
            <wp:docPr id="23" name="Picture 23" descr="Australian Government Department of Health - Healthy Food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ustralian Government Department of Health - Healthy Food Partnership"/>
                    <pic:cNvPicPr/>
                  </pic:nvPicPr>
                  <pic:blipFill rotWithShape="1">
                    <a:blip r:embed="rId8"/>
                    <a:srcRect l="37562"/>
                    <a:stretch/>
                  </pic:blipFill>
                  <pic:spPr bwMode="auto">
                    <a:xfrm>
                      <a:off x="0" y="0"/>
                      <a:ext cx="2707640" cy="98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D265260" wp14:editId="1784AD24">
            <wp:simplePos x="0" y="0"/>
            <wp:positionH relativeFrom="column">
              <wp:posOffset>3479</wp:posOffset>
            </wp:positionH>
            <wp:positionV relativeFrom="paragraph">
              <wp:posOffset>297677</wp:posOffset>
            </wp:positionV>
            <wp:extent cx="2671445" cy="807085"/>
            <wp:effectExtent l="0" t="0" r="0" b="0"/>
            <wp:wrapNone/>
            <wp:docPr id="2" name="Picture 2" descr="Australian Government Department of Health and Aged Care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Department of Health and Aged Care logo.">
                      <a:extLst>
                        <a:ext uri="{C183D7F6-B498-43B3-948B-1728B52AA6E4}">
                          <adec:decorative xmlns:adec="http://schemas.microsoft.com/office/drawing/2017/decorative" val="0"/>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1445" cy="807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A1F4F" w14:textId="0707D4A1" w:rsidR="00647F00" w:rsidRDefault="00EC6B5A" w:rsidP="00FD227C">
      <w:pPr>
        <w:pStyle w:val="Subtitle"/>
        <w:spacing w:before="3600"/>
      </w:pPr>
      <w:r>
        <w:t>Healthy Food Partnership</w:t>
      </w:r>
    </w:p>
    <w:p w14:paraId="22E011A9" w14:textId="29E310BA" w:rsidR="00A603CF" w:rsidRDefault="00EC6B5A" w:rsidP="00A603CF">
      <w:pPr>
        <w:pStyle w:val="Title"/>
      </w:pPr>
      <w:r>
        <w:t>Industry Guide to Voluntary</w:t>
      </w:r>
      <w:r w:rsidR="006620C8">
        <w:t> </w:t>
      </w:r>
      <w:r>
        <w:t>Serving Size Reduction</w:t>
      </w:r>
    </w:p>
    <w:p w14:paraId="6035C1A5" w14:textId="77777777" w:rsidR="00A603CF" w:rsidRDefault="00A603CF" w:rsidP="00894852">
      <w:pPr>
        <w:rPr>
          <w:rFonts w:eastAsiaTheme="majorEastAsia"/>
        </w:rPr>
      </w:pPr>
      <w:r>
        <w:br w:type="page"/>
      </w:r>
    </w:p>
    <w:p w14:paraId="091252D2" w14:textId="77777777" w:rsidR="00647F00" w:rsidRDefault="00EC6B5A" w:rsidP="008B47AD">
      <w:pPr>
        <w:pStyle w:val="TOCHeading"/>
      </w:pPr>
      <w:r>
        <w:lastRenderedPageBreak/>
        <w:t>Contents</w:t>
      </w:r>
    </w:p>
    <w:p w14:paraId="7CAA39F0" w14:textId="34C232B3" w:rsidR="00894852" w:rsidRDefault="00C15EE1">
      <w:pPr>
        <w:pStyle w:val="TOC1"/>
        <w:rPr>
          <w:rFonts w:asciiTheme="minorHAnsi" w:hAnsiTheme="minorHAnsi"/>
          <w:b w:val="0"/>
          <w:noProof/>
          <w:color w:val="auto"/>
          <w:sz w:val="22"/>
        </w:rPr>
      </w:pPr>
      <w:r w:rsidRPr="00C15EE1">
        <w:fldChar w:fldCharType="begin"/>
      </w:r>
      <w:r w:rsidRPr="00C15EE1">
        <w:instrText xml:space="preserve"> TOC \h \z \t "Heading 1,1,Heading 2,2" </w:instrText>
      </w:r>
      <w:r w:rsidRPr="00C15EE1">
        <w:fldChar w:fldCharType="separate"/>
      </w:r>
      <w:hyperlink w:anchor="_Toc106974796" w:history="1">
        <w:r w:rsidR="00894852" w:rsidRPr="00B337B1">
          <w:rPr>
            <w:rStyle w:val="Hyperlink"/>
            <w:noProof/>
          </w:rPr>
          <w:t>Section 1 - Evidence for change</w:t>
        </w:r>
        <w:r w:rsidR="00894852">
          <w:rPr>
            <w:noProof/>
            <w:webHidden/>
          </w:rPr>
          <w:tab/>
        </w:r>
        <w:r w:rsidR="00894852">
          <w:rPr>
            <w:noProof/>
            <w:webHidden/>
          </w:rPr>
          <w:fldChar w:fldCharType="begin"/>
        </w:r>
        <w:r w:rsidR="00894852">
          <w:rPr>
            <w:noProof/>
            <w:webHidden/>
          </w:rPr>
          <w:instrText xml:space="preserve"> PAGEREF _Toc106974796 \h </w:instrText>
        </w:r>
        <w:r w:rsidR="00894852">
          <w:rPr>
            <w:noProof/>
            <w:webHidden/>
          </w:rPr>
        </w:r>
        <w:r w:rsidR="00894852">
          <w:rPr>
            <w:noProof/>
            <w:webHidden/>
          </w:rPr>
          <w:fldChar w:fldCharType="separate"/>
        </w:r>
        <w:r w:rsidR="00045DD7">
          <w:rPr>
            <w:noProof/>
            <w:webHidden/>
          </w:rPr>
          <w:t>3</w:t>
        </w:r>
        <w:r w:rsidR="00894852">
          <w:rPr>
            <w:noProof/>
            <w:webHidden/>
          </w:rPr>
          <w:fldChar w:fldCharType="end"/>
        </w:r>
      </w:hyperlink>
    </w:p>
    <w:p w14:paraId="297DB276" w14:textId="45614C7B" w:rsidR="00894852" w:rsidRDefault="00FD227C">
      <w:pPr>
        <w:pStyle w:val="TOC2"/>
        <w:rPr>
          <w:rFonts w:asciiTheme="minorHAnsi" w:hAnsiTheme="minorHAnsi"/>
          <w:noProof/>
          <w:color w:val="auto"/>
        </w:rPr>
      </w:pPr>
      <w:hyperlink w:anchor="_Toc106974797" w:history="1">
        <w:r w:rsidR="00894852" w:rsidRPr="00B337B1">
          <w:rPr>
            <w:rStyle w:val="Hyperlink"/>
            <w:noProof/>
          </w:rPr>
          <w:t>Introduction</w:t>
        </w:r>
        <w:r w:rsidR="00894852">
          <w:rPr>
            <w:noProof/>
            <w:webHidden/>
          </w:rPr>
          <w:tab/>
        </w:r>
        <w:r w:rsidR="00894852">
          <w:rPr>
            <w:noProof/>
            <w:webHidden/>
          </w:rPr>
          <w:fldChar w:fldCharType="begin"/>
        </w:r>
        <w:r w:rsidR="00894852">
          <w:rPr>
            <w:noProof/>
            <w:webHidden/>
          </w:rPr>
          <w:instrText xml:space="preserve"> PAGEREF _Toc106974797 \h </w:instrText>
        </w:r>
        <w:r w:rsidR="00894852">
          <w:rPr>
            <w:noProof/>
            <w:webHidden/>
          </w:rPr>
        </w:r>
        <w:r w:rsidR="00894852">
          <w:rPr>
            <w:noProof/>
            <w:webHidden/>
          </w:rPr>
          <w:fldChar w:fldCharType="separate"/>
        </w:r>
        <w:r w:rsidR="00045DD7">
          <w:rPr>
            <w:noProof/>
            <w:webHidden/>
          </w:rPr>
          <w:t>3</w:t>
        </w:r>
        <w:r w:rsidR="00894852">
          <w:rPr>
            <w:noProof/>
            <w:webHidden/>
          </w:rPr>
          <w:fldChar w:fldCharType="end"/>
        </w:r>
      </w:hyperlink>
    </w:p>
    <w:p w14:paraId="56341F86" w14:textId="0DBD477F" w:rsidR="00894852" w:rsidRDefault="00FD227C">
      <w:pPr>
        <w:pStyle w:val="TOC2"/>
        <w:rPr>
          <w:rFonts w:asciiTheme="minorHAnsi" w:hAnsiTheme="minorHAnsi"/>
          <w:noProof/>
          <w:color w:val="auto"/>
        </w:rPr>
      </w:pPr>
      <w:hyperlink w:anchor="_Toc106974798" w:history="1">
        <w:r w:rsidR="00894852" w:rsidRPr="00B337B1">
          <w:rPr>
            <w:rStyle w:val="Hyperlink"/>
            <w:noProof/>
          </w:rPr>
          <w:t xml:space="preserve">Eating </w:t>
        </w:r>
        <w:r w:rsidR="00894852" w:rsidRPr="00B337B1">
          <w:rPr>
            <w:rStyle w:val="Hyperlink"/>
            <w:iCs/>
            <w:noProof/>
          </w:rPr>
          <w:t>patterns</w:t>
        </w:r>
        <w:r w:rsidR="00894852" w:rsidRPr="00B337B1">
          <w:rPr>
            <w:rStyle w:val="Hyperlink"/>
            <w:noProof/>
          </w:rPr>
          <w:t xml:space="preserve"> in Australia</w:t>
        </w:r>
        <w:r w:rsidR="00894852">
          <w:rPr>
            <w:noProof/>
            <w:webHidden/>
          </w:rPr>
          <w:tab/>
        </w:r>
        <w:r w:rsidR="00894852">
          <w:rPr>
            <w:noProof/>
            <w:webHidden/>
          </w:rPr>
          <w:fldChar w:fldCharType="begin"/>
        </w:r>
        <w:r w:rsidR="00894852">
          <w:rPr>
            <w:noProof/>
            <w:webHidden/>
          </w:rPr>
          <w:instrText xml:space="preserve"> PAGEREF _Toc106974798 \h </w:instrText>
        </w:r>
        <w:r w:rsidR="00894852">
          <w:rPr>
            <w:noProof/>
            <w:webHidden/>
          </w:rPr>
        </w:r>
        <w:r w:rsidR="00894852">
          <w:rPr>
            <w:noProof/>
            <w:webHidden/>
          </w:rPr>
          <w:fldChar w:fldCharType="separate"/>
        </w:r>
        <w:r w:rsidR="00045DD7">
          <w:rPr>
            <w:noProof/>
            <w:webHidden/>
          </w:rPr>
          <w:t>3</w:t>
        </w:r>
        <w:r w:rsidR="00894852">
          <w:rPr>
            <w:noProof/>
            <w:webHidden/>
          </w:rPr>
          <w:fldChar w:fldCharType="end"/>
        </w:r>
      </w:hyperlink>
    </w:p>
    <w:p w14:paraId="28AA3C89" w14:textId="74AFE720" w:rsidR="00894852" w:rsidRDefault="00FD227C">
      <w:pPr>
        <w:pStyle w:val="TOC2"/>
        <w:rPr>
          <w:rFonts w:asciiTheme="minorHAnsi" w:hAnsiTheme="minorHAnsi"/>
          <w:noProof/>
          <w:color w:val="auto"/>
        </w:rPr>
      </w:pPr>
      <w:hyperlink w:anchor="_Toc106974799" w:history="1">
        <w:r w:rsidR="00894852" w:rsidRPr="00B337B1">
          <w:rPr>
            <w:rStyle w:val="Hyperlink"/>
            <w:noProof/>
          </w:rPr>
          <w:t xml:space="preserve">Portion sizes have </w:t>
        </w:r>
        <w:r w:rsidR="00894852" w:rsidRPr="00B337B1">
          <w:rPr>
            <w:rStyle w:val="Hyperlink"/>
            <w:iCs/>
            <w:noProof/>
          </w:rPr>
          <w:t>increased</w:t>
        </w:r>
        <w:r w:rsidR="00894852" w:rsidRPr="00B337B1">
          <w:rPr>
            <w:rStyle w:val="Hyperlink"/>
            <w:noProof/>
          </w:rPr>
          <w:t xml:space="preserve"> over time</w:t>
        </w:r>
        <w:r w:rsidR="00894852">
          <w:rPr>
            <w:noProof/>
            <w:webHidden/>
          </w:rPr>
          <w:tab/>
        </w:r>
        <w:r w:rsidR="00894852">
          <w:rPr>
            <w:noProof/>
            <w:webHidden/>
          </w:rPr>
          <w:fldChar w:fldCharType="begin"/>
        </w:r>
        <w:r w:rsidR="00894852">
          <w:rPr>
            <w:noProof/>
            <w:webHidden/>
          </w:rPr>
          <w:instrText xml:space="preserve"> PAGEREF _Toc106974799 \h </w:instrText>
        </w:r>
        <w:r w:rsidR="00894852">
          <w:rPr>
            <w:noProof/>
            <w:webHidden/>
          </w:rPr>
        </w:r>
        <w:r w:rsidR="00894852">
          <w:rPr>
            <w:noProof/>
            <w:webHidden/>
          </w:rPr>
          <w:fldChar w:fldCharType="separate"/>
        </w:r>
        <w:r w:rsidR="00045DD7">
          <w:rPr>
            <w:noProof/>
            <w:webHidden/>
          </w:rPr>
          <w:t>3</w:t>
        </w:r>
        <w:r w:rsidR="00894852">
          <w:rPr>
            <w:noProof/>
            <w:webHidden/>
          </w:rPr>
          <w:fldChar w:fldCharType="end"/>
        </w:r>
      </w:hyperlink>
    </w:p>
    <w:p w14:paraId="25E119FB" w14:textId="3B612014" w:rsidR="00894852" w:rsidRDefault="00FD227C">
      <w:pPr>
        <w:pStyle w:val="TOC2"/>
        <w:rPr>
          <w:rFonts w:asciiTheme="minorHAnsi" w:hAnsiTheme="minorHAnsi"/>
          <w:noProof/>
          <w:color w:val="auto"/>
        </w:rPr>
      </w:pPr>
      <w:hyperlink w:anchor="_Toc106974800" w:history="1">
        <w:r w:rsidR="00894852" w:rsidRPr="00B337B1">
          <w:rPr>
            <w:rStyle w:val="Hyperlink"/>
            <w:iCs/>
            <w:noProof/>
          </w:rPr>
          <w:t>Larger</w:t>
        </w:r>
        <w:r w:rsidR="00894852" w:rsidRPr="00B337B1">
          <w:rPr>
            <w:rStyle w:val="Hyperlink"/>
            <w:noProof/>
          </w:rPr>
          <w:t xml:space="preserve"> serving sizes result in </w:t>
        </w:r>
        <w:r w:rsidR="00894852" w:rsidRPr="00B337B1">
          <w:rPr>
            <w:rStyle w:val="Hyperlink"/>
            <w:iCs/>
            <w:noProof/>
          </w:rPr>
          <w:t>higher</w:t>
        </w:r>
        <w:r w:rsidR="00894852" w:rsidRPr="00B337B1">
          <w:rPr>
            <w:rStyle w:val="Hyperlink"/>
            <w:noProof/>
          </w:rPr>
          <w:t xml:space="preserve"> energy intakes</w:t>
        </w:r>
        <w:r w:rsidR="00894852">
          <w:rPr>
            <w:noProof/>
            <w:webHidden/>
          </w:rPr>
          <w:tab/>
        </w:r>
        <w:r w:rsidR="00894852">
          <w:rPr>
            <w:noProof/>
            <w:webHidden/>
          </w:rPr>
          <w:fldChar w:fldCharType="begin"/>
        </w:r>
        <w:r w:rsidR="00894852">
          <w:rPr>
            <w:noProof/>
            <w:webHidden/>
          </w:rPr>
          <w:instrText xml:space="preserve"> PAGEREF _Toc106974800 \h </w:instrText>
        </w:r>
        <w:r w:rsidR="00894852">
          <w:rPr>
            <w:noProof/>
            <w:webHidden/>
          </w:rPr>
        </w:r>
        <w:r w:rsidR="00894852">
          <w:rPr>
            <w:noProof/>
            <w:webHidden/>
          </w:rPr>
          <w:fldChar w:fldCharType="separate"/>
        </w:r>
        <w:r w:rsidR="00045DD7">
          <w:rPr>
            <w:noProof/>
            <w:webHidden/>
          </w:rPr>
          <w:t>4</w:t>
        </w:r>
        <w:r w:rsidR="00894852">
          <w:rPr>
            <w:noProof/>
            <w:webHidden/>
          </w:rPr>
          <w:fldChar w:fldCharType="end"/>
        </w:r>
      </w:hyperlink>
    </w:p>
    <w:p w14:paraId="47AE6D3A" w14:textId="0397EF33" w:rsidR="00894852" w:rsidRDefault="00FD227C">
      <w:pPr>
        <w:pStyle w:val="TOC2"/>
        <w:rPr>
          <w:rFonts w:asciiTheme="minorHAnsi" w:hAnsiTheme="minorHAnsi"/>
          <w:noProof/>
          <w:color w:val="auto"/>
        </w:rPr>
      </w:pPr>
      <w:hyperlink w:anchor="_Toc106974801" w:history="1">
        <w:r w:rsidR="00894852" w:rsidRPr="00B337B1">
          <w:rPr>
            <w:rStyle w:val="Hyperlink"/>
            <w:iCs/>
            <w:noProof/>
          </w:rPr>
          <w:t>Different</w:t>
        </w:r>
        <w:r w:rsidR="00894852" w:rsidRPr="00B337B1">
          <w:rPr>
            <w:rStyle w:val="Hyperlink"/>
            <w:noProof/>
          </w:rPr>
          <w:t xml:space="preserve"> serving sizes for different </w:t>
        </w:r>
        <w:r w:rsidR="00894852" w:rsidRPr="00B337B1">
          <w:rPr>
            <w:rStyle w:val="Hyperlink"/>
            <w:iCs/>
            <w:noProof/>
          </w:rPr>
          <w:t>environments</w:t>
        </w:r>
        <w:r w:rsidR="00894852">
          <w:rPr>
            <w:noProof/>
            <w:webHidden/>
          </w:rPr>
          <w:tab/>
        </w:r>
        <w:r w:rsidR="00894852">
          <w:rPr>
            <w:noProof/>
            <w:webHidden/>
          </w:rPr>
          <w:fldChar w:fldCharType="begin"/>
        </w:r>
        <w:r w:rsidR="00894852">
          <w:rPr>
            <w:noProof/>
            <w:webHidden/>
          </w:rPr>
          <w:instrText xml:space="preserve"> PAGEREF _Toc106974801 \h </w:instrText>
        </w:r>
        <w:r w:rsidR="00894852">
          <w:rPr>
            <w:noProof/>
            <w:webHidden/>
          </w:rPr>
        </w:r>
        <w:r w:rsidR="00894852">
          <w:rPr>
            <w:noProof/>
            <w:webHidden/>
          </w:rPr>
          <w:fldChar w:fldCharType="separate"/>
        </w:r>
        <w:r w:rsidR="00045DD7">
          <w:rPr>
            <w:noProof/>
            <w:webHidden/>
          </w:rPr>
          <w:t>4</w:t>
        </w:r>
        <w:r w:rsidR="00894852">
          <w:rPr>
            <w:noProof/>
            <w:webHidden/>
          </w:rPr>
          <w:fldChar w:fldCharType="end"/>
        </w:r>
      </w:hyperlink>
    </w:p>
    <w:p w14:paraId="09A12902" w14:textId="4EA4F41E" w:rsidR="00894852" w:rsidRDefault="00FD227C">
      <w:pPr>
        <w:pStyle w:val="TOC2"/>
        <w:rPr>
          <w:rFonts w:asciiTheme="minorHAnsi" w:hAnsiTheme="minorHAnsi"/>
          <w:noProof/>
          <w:color w:val="auto"/>
        </w:rPr>
      </w:pPr>
      <w:hyperlink w:anchor="_Toc106974802" w:history="1">
        <w:r w:rsidR="00894852" w:rsidRPr="00B337B1">
          <w:rPr>
            <w:rStyle w:val="Hyperlink"/>
            <w:iCs/>
            <w:noProof/>
          </w:rPr>
          <w:t>Where</w:t>
        </w:r>
        <w:r w:rsidR="00894852" w:rsidRPr="00B337B1">
          <w:rPr>
            <w:rStyle w:val="Hyperlink"/>
            <w:noProof/>
          </w:rPr>
          <w:t xml:space="preserve"> to start</w:t>
        </w:r>
        <w:r w:rsidR="00894852">
          <w:rPr>
            <w:noProof/>
            <w:webHidden/>
          </w:rPr>
          <w:tab/>
        </w:r>
        <w:r w:rsidR="00894852">
          <w:rPr>
            <w:noProof/>
            <w:webHidden/>
          </w:rPr>
          <w:fldChar w:fldCharType="begin"/>
        </w:r>
        <w:r w:rsidR="00894852">
          <w:rPr>
            <w:noProof/>
            <w:webHidden/>
          </w:rPr>
          <w:instrText xml:space="preserve"> PAGEREF _Toc106974802 \h </w:instrText>
        </w:r>
        <w:r w:rsidR="00894852">
          <w:rPr>
            <w:noProof/>
            <w:webHidden/>
          </w:rPr>
        </w:r>
        <w:r w:rsidR="00894852">
          <w:rPr>
            <w:noProof/>
            <w:webHidden/>
          </w:rPr>
          <w:fldChar w:fldCharType="separate"/>
        </w:r>
        <w:r w:rsidR="00045DD7">
          <w:rPr>
            <w:noProof/>
            <w:webHidden/>
          </w:rPr>
          <w:t>4</w:t>
        </w:r>
        <w:r w:rsidR="00894852">
          <w:rPr>
            <w:noProof/>
            <w:webHidden/>
          </w:rPr>
          <w:fldChar w:fldCharType="end"/>
        </w:r>
      </w:hyperlink>
    </w:p>
    <w:p w14:paraId="06AEEA87" w14:textId="77DB4192" w:rsidR="00894852" w:rsidRDefault="00FD227C">
      <w:pPr>
        <w:pStyle w:val="TOC2"/>
        <w:rPr>
          <w:rFonts w:asciiTheme="minorHAnsi" w:hAnsiTheme="minorHAnsi"/>
          <w:noProof/>
          <w:color w:val="auto"/>
        </w:rPr>
      </w:pPr>
      <w:hyperlink w:anchor="_Toc106974803" w:history="1">
        <w:r w:rsidR="00894852" w:rsidRPr="00B337B1">
          <w:rPr>
            <w:rStyle w:val="Hyperlink"/>
            <w:iCs/>
            <w:noProof/>
          </w:rPr>
          <w:t>Tips</w:t>
        </w:r>
        <w:r w:rsidR="00894852" w:rsidRPr="00B337B1">
          <w:rPr>
            <w:rStyle w:val="Hyperlink"/>
            <w:noProof/>
          </w:rPr>
          <w:t xml:space="preserve"> for implementation</w:t>
        </w:r>
        <w:r w:rsidR="00894852">
          <w:rPr>
            <w:noProof/>
            <w:webHidden/>
          </w:rPr>
          <w:tab/>
        </w:r>
        <w:r w:rsidR="00894852">
          <w:rPr>
            <w:noProof/>
            <w:webHidden/>
          </w:rPr>
          <w:fldChar w:fldCharType="begin"/>
        </w:r>
        <w:r w:rsidR="00894852">
          <w:rPr>
            <w:noProof/>
            <w:webHidden/>
          </w:rPr>
          <w:instrText xml:space="preserve"> PAGEREF _Toc106974803 \h </w:instrText>
        </w:r>
        <w:r w:rsidR="00894852">
          <w:rPr>
            <w:noProof/>
            <w:webHidden/>
          </w:rPr>
        </w:r>
        <w:r w:rsidR="00894852">
          <w:rPr>
            <w:noProof/>
            <w:webHidden/>
          </w:rPr>
          <w:fldChar w:fldCharType="separate"/>
        </w:r>
        <w:r w:rsidR="00045DD7">
          <w:rPr>
            <w:noProof/>
            <w:webHidden/>
          </w:rPr>
          <w:t>4</w:t>
        </w:r>
        <w:r w:rsidR="00894852">
          <w:rPr>
            <w:noProof/>
            <w:webHidden/>
          </w:rPr>
          <w:fldChar w:fldCharType="end"/>
        </w:r>
      </w:hyperlink>
    </w:p>
    <w:p w14:paraId="7F67E460" w14:textId="4BB94CD9" w:rsidR="00894852" w:rsidRDefault="00FD227C">
      <w:pPr>
        <w:pStyle w:val="TOC2"/>
        <w:rPr>
          <w:rFonts w:asciiTheme="minorHAnsi" w:hAnsiTheme="minorHAnsi"/>
          <w:noProof/>
          <w:color w:val="auto"/>
        </w:rPr>
      </w:pPr>
      <w:hyperlink w:anchor="_Toc106974804" w:history="1">
        <w:r w:rsidR="00894852" w:rsidRPr="00B337B1">
          <w:rPr>
            <w:rStyle w:val="Hyperlink"/>
            <w:noProof/>
          </w:rPr>
          <w:t>Glossary</w:t>
        </w:r>
        <w:r w:rsidR="00894852">
          <w:rPr>
            <w:noProof/>
            <w:webHidden/>
          </w:rPr>
          <w:tab/>
        </w:r>
        <w:r w:rsidR="00894852">
          <w:rPr>
            <w:noProof/>
            <w:webHidden/>
          </w:rPr>
          <w:fldChar w:fldCharType="begin"/>
        </w:r>
        <w:r w:rsidR="00894852">
          <w:rPr>
            <w:noProof/>
            <w:webHidden/>
          </w:rPr>
          <w:instrText xml:space="preserve"> PAGEREF _Toc106974804 \h </w:instrText>
        </w:r>
        <w:r w:rsidR="00894852">
          <w:rPr>
            <w:noProof/>
            <w:webHidden/>
          </w:rPr>
        </w:r>
        <w:r w:rsidR="00894852">
          <w:rPr>
            <w:noProof/>
            <w:webHidden/>
          </w:rPr>
          <w:fldChar w:fldCharType="separate"/>
        </w:r>
        <w:r w:rsidR="00045DD7">
          <w:rPr>
            <w:noProof/>
            <w:webHidden/>
          </w:rPr>
          <w:t>5</w:t>
        </w:r>
        <w:r w:rsidR="00894852">
          <w:rPr>
            <w:noProof/>
            <w:webHidden/>
          </w:rPr>
          <w:fldChar w:fldCharType="end"/>
        </w:r>
      </w:hyperlink>
    </w:p>
    <w:p w14:paraId="4FB144F0" w14:textId="73A18615" w:rsidR="00894852" w:rsidRDefault="00FD227C">
      <w:pPr>
        <w:pStyle w:val="TOC1"/>
        <w:rPr>
          <w:rFonts w:asciiTheme="minorHAnsi" w:hAnsiTheme="minorHAnsi"/>
          <w:b w:val="0"/>
          <w:noProof/>
          <w:color w:val="auto"/>
          <w:sz w:val="22"/>
        </w:rPr>
      </w:pPr>
      <w:hyperlink w:anchor="_Toc106974805" w:history="1">
        <w:r w:rsidR="00894852" w:rsidRPr="00B337B1">
          <w:rPr>
            <w:rStyle w:val="Hyperlink"/>
            <w:noProof/>
          </w:rPr>
          <w:t>Section 2 - Food categories</w:t>
        </w:r>
        <w:r w:rsidR="00894852">
          <w:rPr>
            <w:noProof/>
            <w:webHidden/>
          </w:rPr>
          <w:tab/>
        </w:r>
        <w:r w:rsidR="00894852">
          <w:rPr>
            <w:noProof/>
            <w:webHidden/>
          </w:rPr>
          <w:fldChar w:fldCharType="begin"/>
        </w:r>
        <w:r w:rsidR="00894852">
          <w:rPr>
            <w:noProof/>
            <w:webHidden/>
          </w:rPr>
          <w:instrText xml:space="preserve"> PAGEREF _Toc106974805 \h </w:instrText>
        </w:r>
        <w:r w:rsidR="00894852">
          <w:rPr>
            <w:noProof/>
            <w:webHidden/>
          </w:rPr>
        </w:r>
        <w:r w:rsidR="00894852">
          <w:rPr>
            <w:noProof/>
            <w:webHidden/>
          </w:rPr>
          <w:fldChar w:fldCharType="separate"/>
        </w:r>
        <w:r w:rsidR="00045DD7">
          <w:rPr>
            <w:noProof/>
            <w:webHidden/>
          </w:rPr>
          <w:t>7</w:t>
        </w:r>
        <w:r w:rsidR="00894852">
          <w:rPr>
            <w:noProof/>
            <w:webHidden/>
          </w:rPr>
          <w:fldChar w:fldCharType="end"/>
        </w:r>
      </w:hyperlink>
    </w:p>
    <w:p w14:paraId="5EAE9403" w14:textId="72BE0F95" w:rsidR="00894852" w:rsidRDefault="00FD227C">
      <w:pPr>
        <w:pStyle w:val="TOC2"/>
        <w:rPr>
          <w:rFonts w:asciiTheme="minorHAnsi" w:hAnsiTheme="minorHAnsi"/>
          <w:noProof/>
          <w:color w:val="auto"/>
        </w:rPr>
      </w:pPr>
      <w:hyperlink w:anchor="_Toc106974806" w:history="1">
        <w:r w:rsidR="00894852" w:rsidRPr="00B337B1">
          <w:rPr>
            <w:rStyle w:val="Hyperlink"/>
            <w:noProof/>
          </w:rPr>
          <w:t>Cakes, muffins and slices • Retail</w:t>
        </w:r>
        <w:r w:rsidR="00894852">
          <w:rPr>
            <w:noProof/>
            <w:webHidden/>
          </w:rPr>
          <w:tab/>
        </w:r>
        <w:r w:rsidR="00894852">
          <w:rPr>
            <w:noProof/>
            <w:webHidden/>
          </w:rPr>
          <w:fldChar w:fldCharType="begin"/>
        </w:r>
        <w:r w:rsidR="00894852">
          <w:rPr>
            <w:noProof/>
            <w:webHidden/>
          </w:rPr>
          <w:instrText xml:space="preserve"> PAGEREF _Toc106974806 \h </w:instrText>
        </w:r>
        <w:r w:rsidR="00894852">
          <w:rPr>
            <w:noProof/>
            <w:webHidden/>
          </w:rPr>
        </w:r>
        <w:r w:rsidR="00894852">
          <w:rPr>
            <w:noProof/>
            <w:webHidden/>
          </w:rPr>
          <w:fldChar w:fldCharType="separate"/>
        </w:r>
        <w:r w:rsidR="00045DD7">
          <w:rPr>
            <w:noProof/>
            <w:webHidden/>
          </w:rPr>
          <w:t>8</w:t>
        </w:r>
        <w:r w:rsidR="00894852">
          <w:rPr>
            <w:noProof/>
            <w:webHidden/>
          </w:rPr>
          <w:fldChar w:fldCharType="end"/>
        </w:r>
      </w:hyperlink>
    </w:p>
    <w:p w14:paraId="6A711559" w14:textId="1A3AC923" w:rsidR="00894852" w:rsidRDefault="00FD227C">
      <w:pPr>
        <w:pStyle w:val="TOC2"/>
        <w:rPr>
          <w:rFonts w:asciiTheme="minorHAnsi" w:hAnsiTheme="minorHAnsi"/>
          <w:noProof/>
          <w:color w:val="auto"/>
        </w:rPr>
      </w:pPr>
      <w:hyperlink w:anchor="_Toc106974807" w:history="1">
        <w:r w:rsidR="00894852" w:rsidRPr="00B337B1">
          <w:rPr>
            <w:rStyle w:val="Hyperlink"/>
            <w:noProof/>
          </w:rPr>
          <w:t>Cakes, muffins and slices • Out of Home</w:t>
        </w:r>
        <w:r w:rsidR="00894852">
          <w:rPr>
            <w:noProof/>
            <w:webHidden/>
          </w:rPr>
          <w:tab/>
        </w:r>
        <w:r w:rsidR="00894852">
          <w:rPr>
            <w:noProof/>
            <w:webHidden/>
          </w:rPr>
          <w:fldChar w:fldCharType="begin"/>
        </w:r>
        <w:r w:rsidR="00894852">
          <w:rPr>
            <w:noProof/>
            <w:webHidden/>
          </w:rPr>
          <w:instrText xml:space="preserve"> PAGEREF _Toc106974807 \h </w:instrText>
        </w:r>
        <w:r w:rsidR="00894852">
          <w:rPr>
            <w:noProof/>
            <w:webHidden/>
          </w:rPr>
        </w:r>
        <w:r w:rsidR="00894852">
          <w:rPr>
            <w:noProof/>
            <w:webHidden/>
          </w:rPr>
          <w:fldChar w:fldCharType="separate"/>
        </w:r>
        <w:r w:rsidR="00045DD7">
          <w:rPr>
            <w:noProof/>
            <w:webHidden/>
          </w:rPr>
          <w:t>11</w:t>
        </w:r>
        <w:r w:rsidR="00894852">
          <w:rPr>
            <w:noProof/>
            <w:webHidden/>
          </w:rPr>
          <w:fldChar w:fldCharType="end"/>
        </w:r>
      </w:hyperlink>
    </w:p>
    <w:p w14:paraId="0F4CE481" w14:textId="7DDD6D98" w:rsidR="00894852" w:rsidRDefault="00FD227C">
      <w:pPr>
        <w:pStyle w:val="TOC2"/>
        <w:rPr>
          <w:rFonts w:asciiTheme="minorHAnsi" w:hAnsiTheme="minorHAnsi"/>
          <w:noProof/>
          <w:color w:val="auto"/>
        </w:rPr>
      </w:pPr>
      <w:hyperlink w:anchor="_Toc106974808" w:history="1">
        <w:r w:rsidR="00894852" w:rsidRPr="00B337B1">
          <w:rPr>
            <w:rStyle w:val="Hyperlink"/>
            <w:noProof/>
          </w:rPr>
          <w:t>Chilled beverages • Out of Home</w:t>
        </w:r>
        <w:r w:rsidR="00894852">
          <w:rPr>
            <w:noProof/>
            <w:webHidden/>
          </w:rPr>
          <w:tab/>
        </w:r>
        <w:r w:rsidR="00894852">
          <w:rPr>
            <w:noProof/>
            <w:webHidden/>
          </w:rPr>
          <w:fldChar w:fldCharType="begin"/>
        </w:r>
        <w:r w:rsidR="00894852">
          <w:rPr>
            <w:noProof/>
            <w:webHidden/>
          </w:rPr>
          <w:instrText xml:space="preserve"> PAGEREF _Toc106974808 \h </w:instrText>
        </w:r>
        <w:r w:rsidR="00894852">
          <w:rPr>
            <w:noProof/>
            <w:webHidden/>
          </w:rPr>
        </w:r>
        <w:r w:rsidR="00894852">
          <w:rPr>
            <w:noProof/>
            <w:webHidden/>
          </w:rPr>
          <w:fldChar w:fldCharType="separate"/>
        </w:r>
        <w:r w:rsidR="00045DD7">
          <w:rPr>
            <w:noProof/>
            <w:webHidden/>
          </w:rPr>
          <w:t>14</w:t>
        </w:r>
        <w:r w:rsidR="00894852">
          <w:rPr>
            <w:noProof/>
            <w:webHidden/>
          </w:rPr>
          <w:fldChar w:fldCharType="end"/>
        </w:r>
      </w:hyperlink>
    </w:p>
    <w:p w14:paraId="13E6F54B" w14:textId="6F94F7DE" w:rsidR="00894852" w:rsidRDefault="00FD227C">
      <w:pPr>
        <w:pStyle w:val="TOC2"/>
        <w:rPr>
          <w:rFonts w:asciiTheme="minorHAnsi" w:hAnsiTheme="minorHAnsi"/>
          <w:noProof/>
          <w:color w:val="auto"/>
        </w:rPr>
      </w:pPr>
      <w:hyperlink w:anchor="_Toc106974809" w:history="1">
        <w:r w:rsidR="00894852" w:rsidRPr="00B337B1">
          <w:rPr>
            <w:rStyle w:val="Hyperlink"/>
            <w:noProof/>
          </w:rPr>
          <w:t>Chocolate and chocolate-alternative</w:t>
        </w:r>
        <w:r w:rsidR="00894852" w:rsidRPr="00B337B1">
          <w:rPr>
            <w:rStyle w:val="Hyperlink"/>
            <w:rFonts w:ascii="Cambria Math" w:hAnsi="Cambria Math" w:cs="Cambria Math"/>
            <w:noProof/>
          </w:rPr>
          <w:t>‑</w:t>
        </w:r>
        <w:r w:rsidR="00894852" w:rsidRPr="00B337B1">
          <w:rPr>
            <w:rStyle w:val="Hyperlink"/>
            <w:noProof/>
          </w:rPr>
          <w:t>based confectionery • Retail</w:t>
        </w:r>
        <w:r w:rsidR="00894852">
          <w:rPr>
            <w:noProof/>
            <w:webHidden/>
          </w:rPr>
          <w:tab/>
        </w:r>
        <w:r w:rsidR="00894852">
          <w:rPr>
            <w:noProof/>
            <w:webHidden/>
          </w:rPr>
          <w:fldChar w:fldCharType="begin"/>
        </w:r>
        <w:r w:rsidR="00894852">
          <w:rPr>
            <w:noProof/>
            <w:webHidden/>
          </w:rPr>
          <w:instrText xml:space="preserve"> PAGEREF _Toc106974809 \h </w:instrText>
        </w:r>
        <w:r w:rsidR="00894852">
          <w:rPr>
            <w:noProof/>
            <w:webHidden/>
          </w:rPr>
        </w:r>
        <w:r w:rsidR="00894852">
          <w:rPr>
            <w:noProof/>
            <w:webHidden/>
          </w:rPr>
          <w:fldChar w:fldCharType="separate"/>
        </w:r>
        <w:r w:rsidR="00045DD7">
          <w:rPr>
            <w:noProof/>
            <w:webHidden/>
          </w:rPr>
          <w:t>17</w:t>
        </w:r>
        <w:r w:rsidR="00894852">
          <w:rPr>
            <w:noProof/>
            <w:webHidden/>
          </w:rPr>
          <w:fldChar w:fldCharType="end"/>
        </w:r>
      </w:hyperlink>
    </w:p>
    <w:p w14:paraId="1E5CFC37" w14:textId="5993CEE0" w:rsidR="00894852" w:rsidRDefault="00FD227C">
      <w:pPr>
        <w:pStyle w:val="TOC2"/>
        <w:rPr>
          <w:rFonts w:asciiTheme="minorHAnsi" w:hAnsiTheme="minorHAnsi"/>
          <w:noProof/>
          <w:color w:val="auto"/>
        </w:rPr>
      </w:pPr>
      <w:hyperlink w:anchor="_Toc106974810" w:history="1">
        <w:r w:rsidR="00894852" w:rsidRPr="00B337B1">
          <w:rPr>
            <w:rStyle w:val="Hyperlink"/>
            <w:noProof/>
          </w:rPr>
          <w:t>Crumbed and battered proteins • Out of Home</w:t>
        </w:r>
        <w:r w:rsidR="00894852">
          <w:rPr>
            <w:noProof/>
            <w:webHidden/>
          </w:rPr>
          <w:tab/>
        </w:r>
        <w:r w:rsidR="00894852">
          <w:rPr>
            <w:noProof/>
            <w:webHidden/>
          </w:rPr>
          <w:fldChar w:fldCharType="begin"/>
        </w:r>
        <w:r w:rsidR="00894852">
          <w:rPr>
            <w:noProof/>
            <w:webHidden/>
          </w:rPr>
          <w:instrText xml:space="preserve"> PAGEREF _Toc106974810 \h </w:instrText>
        </w:r>
        <w:r w:rsidR="00894852">
          <w:rPr>
            <w:noProof/>
            <w:webHidden/>
          </w:rPr>
        </w:r>
        <w:r w:rsidR="00894852">
          <w:rPr>
            <w:noProof/>
            <w:webHidden/>
          </w:rPr>
          <w:fldChar w:fldCharType="separate"/>
        </w:r>
        <w:r w:rsidR="00045DD7">
          <w:rPr>
            <w:noProof/>
            <w:webHidden/>
          </w:rPr>
          <w:t>21</w:t>
        </w:r>
        <w:r w:rsidR="00894852">
          <w:rPr>
            <w:noProof/>
            <w:webHidden/>
          </w:rPr>
          <w:fldChar w:fldCharType="end"/>
        </w:r>
      </w:hyperlink>
    </w:p>
    <w:p w14:paraId="704485C5" w14:textId="589A0CE0" w:rsidR="00894852" w:rsidRDefault="00FD227C">
      <w:pPr>
        <w:pStyle w:val="TOC2"/>
        <w:rPr>
          <w:rFonts w:asciiTheme="minorHAnsi" w:hAnsiTheme="minorHAnsi"/>
          <w:noProof/>
          <w:color w:val="auto"/>
        </w:rPr>
      </w:pPr>
      <w:hyperlink w:anchor="_Toc106974811" w:history="1">
        <w:r w:rsidR="00894852" w:rsidRPr="00B337B1">
          <w:rPr>
            <w:rStyle w:val="Hyperlink"/>
            <w:noProof/>
          </w:rPr>
          <w:t>Hot potato chips, fries and wedges • Out of Home</w:t>
        </w:r>
        <w:r w:rsidR="00894852">
          <w:rPr>
            <w:noProof/>
            <w:webHidden/>
          </w:rPr>
          <w:tab/>
        </w:r>
        <w:r w:rsidR="00894852">
          <w:rPr>
            <w:noProof/>
            <w:webHidden/>
          </w:rPr>
          <w:fldChar w:fldCharType="begin"/>
        </w:r>
        <w:r w:rsidR="00894852">
          <w:rPr>
            <w:noProof/>
            <w:webHidden/>
          </w:rPr>
          <w:instrText xml:space="preserve"> PAGEREF _Toc106974811 \h </w:instrText>
        </w:r>
        <w:r w:rsidR="00894852">
          <w:rPr>
            <w:noProof/>
            <w:webHidden/>
          </w:rPr>
        </w:r>
        <w:r w:rsidR="00894852">
          <w:rPr>
            <w:noProof/>
            <w:webHidden/>
          </w:rPr>
          <w:fldChar w:fldCharType="separate"/>
        </w:r>
        <w:r w:rsidR="00045DD7">
          <w:rPr>
            <w:noProof/>
            <w:webHidden/>
          </w:rPr>
          <w:t>23</w:t>
        </w:r>
        <w:r w:rsidR="00894852">
          <w:rPr>
            <w:noProof/>
            <w:webHidden/>
          </w:rPr>
          <w:fldChar w:fldCharType="end"/>
        </w:r>
      </w:hyperlink>
    </w:p>
    <w:p w14:paraId="0FCCD4D3" w14:textId="45F22117" w:rsidR="00894852" w:rsidRDefault="00FD227C">
      <w:pPr>
        <w:pStyle w:val="TOC2"/>
        <w:rPr>
          <w:rFonts w:asciiTheme="minorHAnsi" w:hAnsiTheme="minorHAnsi"/>
          <w:noProof/>
          <w:color w:val="auto"/>
        </w:rPr>
      </w:pPr>
      <w:hyperlink w:anchor="_Toc106974812" w:history="1">
        <w:r w:rsidR="00894852" w:rsidRPr="00B337B1">
          <w:rPr>
            <w:rStyle w:val="Hyperlink"/>
            <w:noProof/>
          </w:rPr>
          <w:t>Out of Home</w:t>
        </w:r>
        <w:r w:rsidR="00894852">
          <w:rPr>
            <w:noProof/>
            <w:webHidden/>
          </w:rPr>
          <w:tab/>
        </w:r>
        <w:r w:rsidR="00894852">
          <w:rPr>
            <w:noProof/>
            <w:webHidden/>
          </w:rPr>
          <w:fldChar w:fldCharType="begin"/>
        </w:r>
        <w:r w:rsidR="00894852">
          <w:rPr>
            <w:noProof/>
            <w:webHidden/>
          </w:rPr>
          <w:instrText xml:space="preserve"> PAGEREF _Toc106974812 \h </w:instrText>
        </w:r>
        <w:r w:rsidR="00894852">
          <w:rPr>
            <w:noProof/>
            <w:webHidden/>
          </w:rPr>
        </w:r>
        <w:r w:rsidR="00894852">
          <w:rPr>
            <w:noProof/>
            <w:webHidden/>
          </w:rPr>
          <w:fldChar w:fldCharType="separate"/>
        </w:r>
        <w:r w:rsidR="00045DD7">
          <w:rPr>
            <w:noProof/>
            <w:webHidden/>
          </w:rPr>
          <w:t>27</w:t>
        </w:r>
        <w:r w:rsidR="00894852">
          <w:rPr>
            <w:noProof/>
            <w:webHidden/>
          </w:rPr>
          <w:fldChar w:fldCharType="end"/>
        </w:r>
      </w:hyperlink>
    </w:p>
    <w:p w14:paraId="400D58AD" w14:textId="263B7D28" w:rsidR="00894852" w:rsidRDefault="00FD227C">
      <w:pPr>
        <w:pStyle w:val="TOC2"/>
        <w:rPr>
          <w:rFonts w:asciiTheme="minorHAnsi" w:hAnsiTheme="minorHAnsi"/>
          <w:noProof/>
          <w:color w:val="auto"/>
        </w:rPr>
      </w:pPr>
      <w:hyperlink w:anchor="_Toc106974813" w:history="1">
        <w:r w:rsidR="00894852" w:rsidRPr="00B337B1">
          <w:rPr>
            <w:rStyle w:val="Hyperlink"/>
            <w:noProof/>
          </w:rPr>
          <w:t>Hot potato chips, fries and wedges - share serve</w:t>
        </w:r>
        <w:r w:rsidR="00894852">
          <w:rPr>
            <w:noProof/>
            <w:webHidden/>
          </w:rPr>
          <w:tab/>
        </w:r>
        <w:r w:rsidR="00894852">
          <w:rPr>
            <w:noProof/>
            <w:webHidden/>
          </w:rPr>
          <w:fldChar w:fldCharType="begin"/>
        </w:r>
        <w:r w:rsidR="00894852">
          <w:rPr>
            <w:noProof/>
            <w:webHidden/>
          </w:rPr>
          <w:instrText xml:space="preserve"> PAGEREF _Toc106974813 \h </w:instrText>
        </w:r>
        <w:r w:rsidR="00894852">
          <w:rPr>
            <w:noProof/>
            <w:webHidden/>
          </w:rPr>
        </w:r>
        <w:r w:rsidR="00894852">
          <w:rPr>
            <w:noProof/>
            <w:webHidden/>
          </w:rPr>
          <w:fldChar w:fldCharType="separate"/>
        </w:r>
        <w:r w:rsidR="00045DD7">
          <w:rPr>
            <w:noProof/>
            <w:webHidden/>
          </w:rPr>
          <w:t>27</w:t>
        </w:r>
        <w:r w:rsidR="00894852">
          <w:rPr>
            <w:noProof/>
            <w:webHidden/>
          </w:rPr>
          <w:fldChar w:fldCharType="end"/>
        </w:r>
      </w:hyperlink>
    </w:p>
    <w:p w14:paraId="5B0FBD43" w14:textId="44C63C90" w:rsidR="00894852" w:rsidRDefault="00FD227C">
      <w:pPr>
        <w:pStyle w:val="TOC2"/>
        <w:rPr>
          <w:rFonts w:asciiTheme="minorHAnsi" w:hAnsiTheme="minorHAnsi"/>
          <w:noProof/>
          <w:color w:val="auto"/>
        </w:rPr>
      </w:pPr>
      <w:hyperlink w:anchor="_Toc106974814" w:history="1">
        <w:r w:rsidR="00894852" w:rsidRPr="00B337B1">
          <w:rPr>
            <w:rStyle w:val="Hyperlink"/>
            <w:noProof/>
          </w:rPr>
          <w:t>Ice-cream, ice-cream confections and frozen desserts • Retail</w:t>
        </w:r>
        <w:r w:rsidR="00894852">
          <w:rPr>
            <w:noProof/>
            <w:webHidden/>
          </w:rPr>
          <w:tab/>
        </w:r>
        <w:r w:rsidR="00894852">
          <w:rPr>
            <w:noProof/>
            <w:webHidden/>
          </w:rPr>
          <w:fldChar w:fldCharType="begin"/>
        </w:r>
        <w:r w:rsidR="00894852">
          <w:rPr>
            <w:noProof/>
            <w:webHidden/>
          </w:rPr>
          <w:instrText xml:space="preserve"> PAGEREF _Toc106974814 \h </w:instrText>
        </w:r>
        <w:r w:rsidR="00894852">
          <w:rPr>
            <w:noProof/>
            <w:webHidden/>
          </w:rPr>
        </w:r>
        <w:r w:rsidR="00894852">
          <w:rPr>
            <w:noProof/>
            <w:webHidden/>
          </w:rPr>
          <w:fldChar w:fldCharType="separate"/>
        </w:r>
        <w:r w:rsidR="00045DD7">
          <w:rPr>
            <w:noProof/>
            <w:webHidden/>
          </w:rPr>
          <w:t>28</w:t>
        </w:r>
        <w:r w:rsidR="00894852">
          <w:rPr>
            <w:noProof/>
            <w:webHidden/>
          </w:rPr>
          <w:fldChar w:fldCharType="end"/>
        </w:r>
      </w:hyperlink>
    </w:p>
    <w:p w14:paraId="05DC9A12" w14:textId="2E6B58FD" w:rsidR="00894852" w:rsidRDefault="00FD227C">
      <w:pPr>
        <w:pStyle w:val="TOC2"/>
        <w:rPr>
          <w:rFonts w:asciiTheme="minorHAnsi" w:hAnsiTheme="minorHAnsi"/>
          <w:noProof/>
          <w:color w:val="auto"/>
        </w:rPr>
      </w:pPr>
      <w:hyperlink w:anchor="_Toc106974815" w:history="1">
        <w:r w:rsidR="00894852" w:rsidRPr="00B337B1">
          <w:rPr>
            <w:rStyle w:val="Hyperlink"/>
            <w:noProof/>
          </w:rPr>
          <w:t>Pizza • Out of Home</w:t>
        </w:r>
        <w:r w:rsidR="00894852">
          <w:rPr>
            <w:noProof/>
            <w:webHidden/>
          </w:rPr>
          <w:tab/>
        </w:r>
        <w:r w:rsidR="00894852">
          <w:rPr>
            <w:noProof/>
            <w:webHidden/>
          </w:rPr>
          <w:fldChar w:fldCharType="begin"/>
        </w:r>
        <w:r w:rsidR="00894852">
          <w:rPr>
            <w:noProof/>
            <w:webHidden/>
          </w:rPr>
          <w:instrText xml:space="preserve"> PAGEREF _Toc106974815 \h </w:instrText>
        </w:r>
        <w:r w:rsidR="00894852">
          <w:rPr>
            <w:noProof/>
            <w:webHidden/>
          </w:rPr>
        </w:r>
        <w:r w:rsidR="00894852">
          <w:rPr>
            <w:noProof/>
            <w:webHidden/>
          </w:rPr>
          <w:fldChar w:fldCharType="separate"/>
        </w:r>
        <w:r w:rsidR="00045DD7">
          <w:rPr>
            <w:noProof/>
            <w:webHidden/>
          </w:rPr>
          <w:t>31</w:t>
        </w:r>
        <w:r w:rsidR="00894852">
          <w:rPr>
            <w:noProof/>
            <w:webHidden/>
          </w:rPr>
          <w:fldChar w:fldCharType="end"/>
        </w:r>
      </w:hyperlink>
    </w:p>
    <w:p w14:paraId="7B0F5923" w14:textId="2543E412" w:rsidR="00894852" w:rsidRDefault="00FD227C">
      <w:pPr>
        <w:pStyle w:val="TOC2"/>
        <w:rPr>
          <w:rFonts w:asciiTheme="minorHAnsi" w:hAnsiTheme="minorHAnsi"/>
          <w:noProof/>
          <w:color w:val="auto"/>
        </w:rPr>
      </w:pPr>
      <w:hyperlink w:anchor="_Toc106974816" w:history="1">
        <w:r w:rsidR="00894852" w:rsidRPr="00B337B1">
          <w:rPr>
            <w:rStyle w:val="Hyperlink"/>
            <w:noProof/>
          </w:rPr>
          <w:t>Savoury pastry products – pies, rolls and filled pastries • Retail and Out of Home</w:t>
        </w:r>
        <w:r w:rsidR="00894852">
          <w:rPr>
            <w:noProof/>
            <w:webHidden/>
          </w:rPr>
          <w:tab/>
        </w:r>
        <w:r w:rsidR="00894852">
          <w:rPr>
            <w:noProof/>
            <w:webHidden/>
          </w:rPr>
          <w:fldChar w:fldCharType="begin"/>
        </w:r>
        <w:r w:rsidR="00894852">
          <w:rPr>
            <w:noProof/>
            <w:webHidden/>
          </w:rPr>
          <w:instrText xml:space="preserve"> PAGEREF _Toc106974816 \h </w:instrText>
        </w:r>
        <w:r w:rsidR="00894852">
          <w:rPr>
            <w:noProof/>
            <w:webHidden/>
          </w:rPr>
        </w:r>
        <w:r w:rsidR="00894852">
          <w:rPr>
            <w:noProof/>
            <w:webHidden/>
          </w:rPr>
          <w:fldChar w:fldCharType="separate"/>
        </w:r>
        <w:r w:rsidR="00045DD7">
          <w:rPr>
            <w:noProof/>
            <w:webHidden/>
          </w:rPr>
          <w:t>33</w:t>
        </w:r>
        <w:r w:rsidR="00894852">
          <w:rPr>
            <w:noProof/>
            <w:webHidden/>
          </w:rPr>
          <w:fldChar w:fldCharType="end"/>
        </w:r>
      </w:hyperlink>
    </w:p>
    <w:p w14:paraId="16DB8130" w14:textId="1B542C3E" w:rsidR="00894852" w:rsidRDefault="00FD227C">
      <w:pPr>
        <w:pStyle w:val="TOC2"/>
        <w:rPr>
          <w:rFonts w:asciiTheme="minorHAnsi" w:hAnsiTheme="minorHAnsi"/>
          <w:noProof/>
          <w:color w:val="auto"/>
        </w:rPr>
      </w:pPr>
      <w:hyperlink w:anchor="_Toc106974817" w:history="1">
        <w:r w:rsidR="00894852" w:rsidRPr="00B337B1">
          <w:rPr>
            <w:rStyle w:val="Hyperlink"/>
            <w:noProof/>
          </w:rPr>
          <w:t>Sweet biscuits • Retail</w:t>
        </w:r>
        <w:r w:rsidR="00894852">
          <w:rPr>
            <w:noProof/>
            <w:webHidden/>
          </w:rPr>
          <w:tab/>
        </w:r>
        <w:r w:rsidR="00894852">
          <w:rPr>
            <w:noProof/>
            <w:webHidden/>
          </w:rPr>
          <w:fldChar w:fldCharType="begin"/>
        </w:r>
        <w:r w:rsidR="00894852">
          <w:rPr>
            <w:noProof/>
            <w:webHidden/>
          </w:rPr>
          <w:instrText xml:space="preserve"> PAGEREF _Toc106974817 \h </w:instrText>
        </w:r>
        <w:r w:rsidR="00894852">
          <w:rPr>
            <w:noProof/>
            <w:webHidden/>
          </w:rPr>
        </w:r>
        <w:r w:rsidR="00894852">
          <w:rPr>
            <w:noProof/>
            <w:webHidden/>
          </w:rPr>
          <w:fldChar w:fldCharType="separate"/>
        </w:r>
        <w:r w:rsidR="00045DD7">
          <w:rPr>
            <w:noProof/>
            <w:webHidden/>
          </w:rPr>
          <w:t>35</w:t>
        </w:r>
        <w:r w:rsidR="00894852">
          <w:rPr>
            <w:noProof/>
            <w:webHidden/>
          </w:rPr>
          <w:fldChar w:fldCharType="end"/>
        </w:r>
      </w:hyperlink>
    </w:p>
    <w:p w14:paraId="7DF7D072" w14:textId="777688EB" w:rsidR="00894852" w:rsidRDefault="00FD227C">
      <w:pPr>
        <w:pStyle w:val="TOC2"/>
        <w:rPr>
          <w:rFonts w:asciiTheme="minorHAnsi" w:hAnsiTheme="minorHAnsi"/>
          <w:noProof/>
          <w:color w:val="auto"/>
        </w:rPr>
      </w:pPr>
      <w:hyperlink w:anchor="_Toc106974818" w:history="1">
        <w:r w:rsidR="00894852" w:rsidRPr="00B337B1">
          <w:rPr>
            <w:rStyle w:val="Hyperlink"/>
            <w:noProof/>
          </w:rPr>
          <w:t>Sweet biscuits • Out of Home</w:t>
        </w:r>
        <w:r w:rsidR="00894852">
          <w:rPr>
            <w:noProof/>
            <w:webHidden/>
          </w:rPr>
          <w:tab/>
        </w:r>
        <w:r w:rsidR="00894852">
          <w:rPr>
            <w:noProof/>
            <w:webHidden/>
          </w:rPr>
          <w:fldChar w:fldCharType="begin"/>
        </w:r>
        <w:r w:rsidR="00894852">
          <w:rPr>
            <w:noProof/>
            <w:webHidden/>
          </w:rPr>
          <w:instrText xml:space="preserve"> PAGEREF _Toc106974818 \h </w:instrText>
        </w:r>
        <w:r w:rsidR="00894852">
          <w:rPr>
            <w:noProof/>
            <w:webHidden/>
          </w:rPr>
        </w:r>
        <w:r w:rsidR="00894852">
          <w:rPr>
            <w:noProof/>
            <w:webHidden/>
          </w:rPr>
          <w:fldChar w:fldCharType="separate"/>
        </w:r>
        <w:r w:rsidR="00045DD7">
          <w:rPr>
            <w:noProof/>
            <w:webHidden/>
          </w:rPr>
          <w:t>37</w:t>
        </w:r>
        <w:r w:rsidR="00894852">
          <w:rPr>
            <w:noProof/>
            <w:webHidden/>
          </w:rPr>
          <w:fldChar w:fldCharType="end"/>
        </w:r>
      </w:hyperlink>
    </w:p>
    <w:p w14:paraId="2704A698" w14:textId="2F739B57" w:rsidR="00894852" w:rsidRDefault="00FD227C">
      <w:pPr>
        <w:pStyle w:val="TOC2"/>
        <w:rPr>
          <w:rFonts w:asciiTheme="minorHAnsi" w:hAnsiTheme="minorHAnsi"/>
          <w:noProof/>
          <w:color w:val="auto"/>
        </w:rPr>
      </w:pPr>
      <w:hyperlink w:anchor="_Toc106974819" w:history="1">
        <w:r w:rsidR="00894852" w:rsidRPr="00B337B1">
          <w:rPr>
            <w:rStyle w:val="Hyperlink"/>
            <w:noProof/>
          </w:rPr>
          <w:t>Prop measurements</w:t>
        </w:r>
        <w:r w:rsidR="00894852">
          <w:rPr>
            <w:noProof/>
            <w:webHidden/>
          </w:rPr>
          <w:tab/>
        </w:r>
        <w:r w:rsidR="00894852">
          <w:rPr>
            <w:noProof/>
            <w:webHidden/>
          </w:rPr>
          <w:fldChar w:fldCharType="begin"/>
        </w:r>
        <w:r w:rsidR="00894852">
          <w:rPr>
            <w:noProof/>
            <w:webHidden/>
          </w:rPr>
          <w:instrText xml:space="preserve"> PAGEREF _Toc106974819 \h </w:instrText>
        </w:r>
        <w:r w:rsidR="00894852">
          <w:rPr>
            <w:noProof/>
            <w:webHidden/>
          </w:rPr>
        </w:r>
        <w:r w:rsidR="00894852">
          <w:rPr>
            <w:noProof/>
            <w:webHidden/>
          </w:rPr>
          <w:fldChar w:fldCharType="separate"/>
        </w:r>
        <w:r w:rsidR="00045DD7">
          <w:rPr>
            <w:noProof/>
            <w:webHidden/>
          </w:rPr>
          <w:t>39</w:t>
        </w:r>
        <w:r w:rsidR="00894852">
          <w:rPr>
            <w:noProof/>
            <w:webHidden/>
          </w:rPr>
          <w:fldChar w:fldCharType="end"/>
        </w:r>
      </w:hyperlink>
    </w:p>
    <w:p w14:paraId="7877CE63" w14:textId="0A9C9F47" w:rsidR="00894852" w:rsidRDefault="00FD227C">
      <w:pPr>
        <w:pStyle w:val="TOC2"/>
        <w:rPr>
          <w:rFonts w:asciiTheme="minorHAnsi" w:hAnsiTheme="minorHAnsi"/>
          <w:noProof/>
          <w:color w:val="auto"/>
        </w:rPr>
      </w:pPr>
      <w:hyperlink w:anchor="_Toc106974820" w:history="1">
        <w:r w:rsidR="00894852" w:rsidRPr="00B337B1">
          <w:rPr>
            <w:rStyle w:val="Hyperlink"/>
            <w:iCs/>
            <w:noProof/>
          </w:rPr>
          <w:t>References</w:t>
        </w:r>
        <w:r w:rsidR="00894852">
          <w:rPr>
            <w:noProof/>
            <w:webHidden/>
          </w:rPr>
          <w:tab/>
        </w:r>
        <w:r w:rsidR="00894852">
          <w:rPr>
            <w:noProof/>
            <w:webHidden/>
          </w:rPr>
          <w:fldChar w:fldCharType="begin"/>
        </w:r>
        <w:r w:rsidR="00894852">
          <w:rPr>
            <w:noProof/>
            <w:webHidden/>
          </w:rPr>
          <w:instrText xml:space="preserve"> PAGEREF _Toc106974820 \h </w:instrText>
        </w:r>
        <w:r w:rsidR="00894852">
          <w:rPr>
            <w:noProof/>
            <w:webHidden/>
          </w:rPr>
        </w:r>
        <w:r w:rsidR="00894852">
          <w:rPr>
            <w:noProof/>
            <w:webHidden/>
          </w:rPr>
          <w:fldChar w:fldCharType="separate"/>
        </w:r>
        <w:r w:rsidR="00045DD7">
          <w:rPr>
            <w:noProof/>
            <w:webHidden/>
          </w:rPr>
          <w:t>41</w:t>
        </w:r>
        <w:r w:rsidR="00894852">
          <w:rPr>
            <w:noProof/>
            <w:webHidden/>
          </w:rPr>
          <w:fldChar w:fldCharType="end"/>
        </w:r>
      </w:hyperlink>
    </w:p>
    <w:p w14:paraId="3FF6D150" w14:textId="27359C82" w:rsidR="00C15EE1" w:rsidRPr="00C15EE1" w:rsidRDefault="00C15EE1" w:rsidP="00C15EE1">
      <w:r w:rsidRPr="00C15EE1">
        <w:fldChar w:fldCharType="end"/>
      </w:r>
    </w:p>
    <w:p w14:paraId="3E1A2D4E" w14:textId="58D44A49" w:rsidR="006620C8" w:rsidRDefault="006620C8" w:rsidP="00C15EE1">
      <w:r>
        <w:br w:type="page"/>
      </w:r>
    </w:p>
    <w:p w14:paraId="281EECF2" w14:textId="408B1BD7" w:rsidR="00647F00" w:rsidRDefault="00EC6B5A" w:rsidP="006620C8">
      <w:pPr>
        <w:pStyle w:val="Heading1"/>
      </w:pPr>
      <w:bookmarkStart w:id="0" w:name="_Toc106974796"/>
      <w:r>
        <w:lastRenderedPageBreak/>
        <w:t>Section 1</w:t>
      </w:r>
      <w:r w:rsidR="006620C8">
        <w:t xml:space="preserve"> - </w:t>
      </w:r>
      <w:r>
        <w:t>Evidence for change</w:t>
      </w:r>
      <w:bookmarkEnd w:id="0"/>
    </w:p>
    <w:p w14:paraId="4574D0FD" w14:textId="77777777" w:rsidR="00647F00" w:rsidRDefault="00EC6B5A" w:rsidP="006620C8">
      <w:pPr>
        <w:pStyle w:val="Heading2"/>
      </w:pPr>
      <w:bookmarkStart w:id="1" w:name="_Toc106974797"/>
      <w:r>
        <w:t>Introduction</w:t>
      </w:r>
      <w:bookmarkEnd w:id="1"/>
    </w:p>
    <w:p w14:paraId="2D8241EB" w14:textId="77777777" w:rsidR="00647F00" w:rsidRDefault="00EC6B5A" w:rsidP="00F54E9D">
      <w:pPr>
        <w:pStyle w:val="IntroPara"/>
      </w:pPr>
      <w:r>
        <w:t xml:space="preserve">This Guide provides </w:t>
      </w:r>
      <w:r w:rsidRPr="002707C6">
        <w:rPr>
          <w:rStyle w:val="Pink"/>
        </w:rPr>
        <w:t>practical solutions</w:t>
      </w:r>
      <w:r>
        <w:t xml:space="preserve"> to support the food industry to reduce the serving sizes for a number of discretionary foods and beverages in retail and out of home sectors.</w:t>
      </w:r>
    </w:p>
    <w:p w14:paraId="7FC69CA4" w14:textId="0FF9DF6F" w:rsidR="00647F00" w:rsidRDefault="00EC6B5A" w:rsidP="00F54E9D">
      <w:pPr>
        <w:pStyle w:val="Box2Text"/>
        <w:rPr>
          <w:rStyle w:val="Hyperlink"/>
        </w:rPr>
      </w:pPr>
      <w:r>
        <w:t>The Guide was developed by the Healthy Food Partnership. Fu</w:t>
      </w:r>
      <w:r w:rsidR="00E46B37">
        <w:t xml:space="preserve">rther </w:t>
      </w:r>
      <w:r>
        <w:t xml:space="preserve">information </w:t>
      </w:r>
      <w:r w:rsidR="00E46B37">
        <w:t xml:space="preserve">on the Healthy Food Partnership, including information on how this Guide was developed, </w:t>
      </w:r>
      <w:r>
        <w:t>is available at:</w:t>
      </w:r>
      <w:r w:rsidR="00F54E9D">
        <w:t xml:space="preserve"> </w:t>
      </w:r>
      <w:hyperlink r:id="rId10" w:history="1">
        <w:r w:rsidRPr="005F364A">
          <w:rPr>
            <w:rStyle w:val="Hyperlink"/>
            <w:i w:val="0"/>
            <w:iCs/>
          </w:rPr>
          <w:t>health.gov.au/initiatives-and-programs/healthy-food-partnership</w:t>
        </w:r>
      </w:hyperlink>
      <w:r>
        <w:rPr>
          <w:rStyle w:val="Hyperlink"/>
        </w:rPr>
        <w:t xml:space="preserve"> </w:t>
      </w:r>
    </w:p>
    <w:p w14:paraId="01744E2C" w14:textId="77777777" w:rsidR="00647F00" w:rsidRPr="00F54E9D" w:rsidRDefault="00EC6B5A" w:rsidP="00F54E9D">
      <w:pPr>
        <w:pStyle w:val="Heading2"/>
      </w:pPr>
      <w:bookmarkStart w:id="2" w:name="_Toc106974798"/>
      <w:r w:rsidRPr="00F54E9D">
        <w:t xml:space="preserve">Eating </w:t>
      </w:r>
      <w:r w:rsidRPr="002707C6">
        <w:rPr>
          <w:rStyle w:val="ItalicGreen"/>
        </w:rPr>
        <w:t>patterns</w:t>
      </w:r>
      <w:r w:rsidRPr="00F54E9D">
        <w:t xml:space="preserve"> in Australia</w:t>
      </w:r>
      <w:bookmarkEnd w:id="2"/>
    </w:p>
    <w:p w14:paraId="65E79492" w14:textId="03096C8D" w:rsidR="00647F00" w:rsidRDefault="00EC6B5A" w:rsidP="00F54E9D">
      <w:r>
        <w:t>Poor eating patterns are a leading contributor to disease burden in Australia.</w:t>
      </w:r>
      <w:r w:rsidR="00B75F0A">
        <w:rPr>
          <w:rStyle w:val="EndnoteReference"/>
        </w:rPr>
        <w:endnoteReference w:id="1"/>
      </w:r>
      <w:r>
        <w:t xml:space="preserve"> Australians of all ages frequently do not consume recommended servings of the five food </w:t>
      </w:r>
      <w:proofErr w:type="gramStart"/>
      <w:r>
        <w:t>groups, and</w:t>
      </w:r>
      <w:proofErr w:type="gramEnd"/>
      <w:r>
        <w:t xml:space="preserve"> consume too many discretionary foods and beverages. Consumption of discretionary food and beverages accounts for over one-third of total energy intake in Australian adults.</w:t>
      </w:r>
      <w:r w:rsidR="00B75F0A">
        <w:rPr>
          <w:rStyle w:val="EndnoteReference"/>
        </w:rPr>
        <w:endnoteReference w:id="2"/>
      </w:r>
      <w:r>
        <w:t xml:space="preserve"> Poor eating patterns can result in excess intake of energy, saturated fat, added sugars and sodium (salt), and inadequate intake of vegetables, fruit and wholegrains. Together these can increase the risk of obesity and related chronic diseases such as cardiovascular disease and type 2 diabetes.</w:t>
      </w:r>
    </w:p>
    <w:p w14:paraId="003B93CA" w14:textId="43155FAD" w:rsidR="00647F00" w:rsidRPr="00F54E9D" w:rsidRDefault="00EC6B5A" w:rsidP="00F54E9D">
      <w:pPr>
        <w:pStyle w:val="Box2Text"/>
      </w:pPr>
      <w:r w:rsidRPr="00F54E9D">
        <w:t xml:space="preserve">Current dietary recommendations in the Australian Dietary Guidelines focus on </w:t>
      </w:r>
      <w:r w:rsidRPr="002707C6">
        <w:rPr>
          <w:rStyle w:val="Pink"/>
        </w:rPr>
        <w:t>achieving</w:t>
      </w:r>
      <w:r w:rsidRPr="00F54E9D">
        <w:t xml:space="preserve"> and </w:t>
      </w:r>
      <w:r w:rsidRPr="002707C6">
        <w:rPr>
          <w:rStyle w:val="Pink"/>
        </w:rPr>
        <w:t>maintaining a healthy weight</w:t>
      </w:r>
      <w:r w:rsidRPr="00F54E9D">
        <w:t>. The Guidelines encourage the intake of the five food groups foods and reducing saturated fat, added sugar, sodium (salt) and alcohol intake.</w:t>
      </w:r>
      <w:r w:rsidR="00B75F0A">
        <w:rPr>
          <w:rStyle w:val="EndnoteReference"/>
        </w:rPr>
        <w:endnoteReference w:id="3"/>
      </w:r>
      <w:r w:rsidRPr="00F54E9D">
        <w:t xml:space="preserve"> A complementary approach is to support the community to reduce serving sizes and portion sizes of discretionary food and beverages.</w:t>
      </w:r>
    </w:p>
    <w:p w14:paraId="08A156CC" w14:textId="77777777" w:rsidR="00647F00" w:rsidRPr="00F54E9D" w:rsidRDefault="00EC6B5A" w:rsidP="00F54E9D">
      <w:pPr>
        <w:pStyle w:val="Heading2"/>
      </w:pPr>
      <w:bookmarkStart w:id="3" w:name="_Toc106974799"/>
      <w:r w:rsidRPr="00F54E9D">
        <w:t xml:space="preserve">Portion sizes have </w:t>
      </w:r>
      <w:r w:rsidRPr="00D26D3F">
        <w:rPr>
          <w:rStyle w:val="ItalicGreen"/>
        </w:rPr>
        <w:t>increased</w:t>
      </w:r>
      <w:r w:rsidRPr="00F54E9D">
        <w:t xml:space="preserve"> over time</w:t>
      </w:r>
      <w:bookmarkEnd w:id="3"/>
    </w:p>
    <w:p w14:paraId="308B7C3F" w14:textId="77777777" w:rsidR="00647F00" w:rsidRDefault="00EC6B5A" w:rsidP="002707C6">
      <w:pPr>
        <w:pStyle w:val="Box2Text"/>
      </w:pPr>
      <w:r>
        <w:t xml:space="preserve">In Australia, </w:t>
      </w:r>
      <w:r w:rsidRPr="002707C6">
        <w:rPr>
          <w:rStyle w:val="Pink"/>
        </w:rPr>
        <w:t>serving sizes</w:t>
      </w:r>
      <w:r>
        <w:t xml:space="preserve"> (amount provided) and </w:t>
      </w:r>
      <w:r w:rsidRPr="002707C6">
        <w:rPr>
          <w:rStyle w:val="Pink"/>
        </w:rPr>
        <w:t>portion sizes</w:t>
      </w:r>
      <w:r>
        <w:t xml:space="preserve"> (amount consumed per eating occasion) of many discretionary foods and beverages have increased over recent decades. </w:t>
      </w:r>
    </w:p>
    <w:p w14:paraId="722A3E36" w14:textId="235909EE" w:rsidR="00647F00" w:rsidRDefault="00EC6B5A" w:rsidP="002707C6">
      <w:r>
        <w:t>Between the 1995 and 2011–2012 national dietary surveys, portion sizes increased for more than half of the discretionary foods and beverages surveyed.</w:t>
      </w:r>
      <w:bookmarkStart w:id="4" w:name="_Ref106972044"/>
      <w:r w:rsidR="00B75F0A">
        <w:rPr>
          <w:rStyle w:val="EndnoteReference"/>
        </w:rPr>
        <w:endnoteReference w:id="4"/>
      </w:r>
      <w:bookmarkEnd w:id="4"/>
      <w:r>
        <w:t xml:space="preserve"> These increases were consistent across age groups, gender, and socioeconomic status. Serving sizes of many out of home foods such as savoury pastries, sugar-sweetened beverages and cakes have also increased over the recent years.</w:t>
      </w:r>
      <w:r w:rsidR="00B75F0A">
        <w:rPr>
          <w:rStyle w:val="EndnoteReference"/>
        </w:rPr>
        <w:endnoteReference w:id="5"/>
      </w:r>
    </w:p>
    <w:p w14:paraId="59A19D8E" w14:textId="77777777" w:rsidR="00647F00" w:rsidRPr="002707C6" w:rsidRDefault="00EC6B5A" w:rsidP="002707C6">
      <w:pPr>
        <w:pStyle w:val="Heading2"/>
      </w:pPr>
      <w:bookmarkStart w:id="5" w:name="_Toc106974800"/>
      <w:r w:rsidRPr="002707C6">
        <w:rPr>
          <w:rStyle w:val="ItalicGreen"/>
        </w:rPr>
        <w:lastRenderedPageBreak/>
        <w:t>Larger</w:t>
      </w:r>
      <w:r w:rsidRPr="002707C6">
        <w:t xml:space="preserve"> serving sizes result in </w:t>
      </w:r>
      <w:r w:rsidRPr="002707C6">
        <w:rPr>
          <w:rStyle w:val="ItalicGreen"/>
        </w:rPr>
        <w:t>higher</w:t>
      </w:r>
      <w:r w:rsidRPr="002707C6">
        <w:t xml:space="preserve"> energy intakes</w:t>
      </w:r>
      <w:bookmarkEnd w:id="5"/>
    </w:p>
    <w:p w14:paraId="28264374" w14:textId="14685905" w:rsidR="00647F00" w:rsidRDefault="00EC6B5A" w:rsidP="002707C6">
      <w:r>
        <w:t>Adults and children generally consume more food and drink when offered larger serving sizes, known as the ‘portion size effect’.</w:t>
      </w:r>
      <w:r w:rsidR="00B75F0A">
        <w:rPr>
          <w:rStyle w:val="EndnoteReference"/>
        </w:rPr>
        <w:endnoteReference w:id="6"/>
      </w:r>
      <w:r>
        <w:t xml:space="preserve"> This particularly applies to palatable discretionary foods and beverages. Consumption of large portion sizes results in higher energy intakes at mealtimes, and over the day.</w:t>
      </w:r>
      <w:r w:rsidR="00B75F0A">
        <w:rPr>
          <w:rStyle w:val="EndnoteReference"/>
        </w:rPr>
        <w:endnoteReference w:id="7"/>
      </w:r>
      <w:r>
        <w:t xml:space="preserve"> Over time, this increases the risk of overweight and obesity. </w:t>
      </w:r>
    </w:p>
    <w:p w14:paraId="5EF67E13" w14:textId="320214FA" w:rsidR="00647F00" w:rsidRDefault="00EC6B5A" w:rsidP="002707C6">
      <w:r>
        <w:t>Many factors contribute to the quantity of food and beverage consumed, including the food’s presentation, how it is consumed, how the serving size is perceived, and other factors that influence these perceptions. C</w:t>
      </w:r>
      <w:r w:rsidR="00D43B59">
        <w:t>onsumers</w:t>
      </w:r>
      <w:r>
        <w:t xml:space="preserve"> may rely on the amounts served or contained in a package as a practical cue to determine intake, together with other factors such as taste and value for money.</w:t>
      </w:r>
      <w:r w:rsidR="00B75F0A">
        <w:rPr>
          <w:rStyle w:val="EndnoteReference"/>
        </w:rPr>
        <w:endnoteReference w:id="8"/>
      </w:r>
    </w:p>
    <w:p w14:paraId="314F7CF0" w14:textId="05FE70A4" w:rsidR="00647F00" w:rsidRDefault="00EC6B5A" w:rsidP="002707C6">
      <w:pPr>
        <w:pStyle w:val="Box2Text"/>
      </w:pPr>
      <w:r>
        <w:t xml:space="preserve">Eliminating larger portion sizes from the diet has been estimated to reduce energy intake by </w:t>
      </w:r>
      <w:r>
        <w:rPr>
          <w:rStyle w:val="Pink"/>
        </w:rPr>
        <w:t>12–16%</w:t>
      </w:r>
      <w:r>
        <w:t xml:space="preserve"> in the United Kingdom and</w:t>
      </w:r>
      <w:r>
        <w:rPr>
          <w:rStyle w:val="Pink"/>
        </w:rPr>
        <w:t xml:space="preserve"> 22–29%</w:t>
      </w:r>
      <w:r>
        <w:t xml:space="preserve"> in the United States of America.</w:t>
      </w:r>
      <w:r w:rsidR="00B75F0A">
        <w:rPr>
          <w:rStyle w:val="EndnoteReference"/>
        </w:rPr>
        <w:endnoteReference w:id="9"/>
      </w:r>
      <w:r>
        <w:t xml:space="preserve"> Reducing portion sizes relies upon the efforts of the food industry to reduce the sizes of servings available.</w:t>
      </w:r>
    </w:p>
    <w:p w14:paraId="5178DB74" w14:textId="77777777" w:rsidR="00647F00" w:rsidRPr="002707C6" w:rsidRDefault="00EC6B5A" w:rsidP="002707C6">
      <w:pPr>
        <w:pStyle w:val="Heading2"/>
      </w:pPr>
      <w:bookmarkStart w:id="6" w:name="_Toc106974801"/>
      <w:r w:rsidRPr="002707C6">
        <w:rPr>
          <w:rStyle w:val="ItalicGreen"/>
        </w:rPr>
        <w:t>Different</w:t>
      </w:r>
      <w:r w:rsidRPr="002707C6">
        <w:t xml:space="preserve"> serving sizes for different </w:t>
      </w:r>
      <w:r w:rsidRPr="002707C6">
        <w:rPr>
          <w:rStyle w:val="ItalicGreen"/>
        </w:rPr>
        <w:t>environments</w:t>
      </w:r>
      <w:bookmarkEnd w:id="6"/>
    </w:p>
    <w:p w14:paraId="2487C9EF" w14:textId="74BE5162" w:rsidR="00647F00" w:rsidRDefault="00EC6B5A" w:rsidP="002707C6">
      <w:r>
        <w:t xml:space="preserve">Foods and beverages purchased in </w:t>
      </w:r>
      <w:r w:rsidRPr="003A6EB6">
        <w:rPr>
          <w:b/>
          <w:bCs/>
        </w:rPr>
        <w:t>retail</w:t>
      </w:r>
      <w:r>
        <w:t xml:space="preserve"> settings are different to those purchased in the </w:t>
      </w:r>
      <w:r w:rsidRPr="003A6EB6">
        <w:rPr>
          <w:b/>
          <w:bCs/>
        </w:rPr>
        <w:t>out of home</w:t>
      </w:r>
      <w:r>
        <w:t xml:space="preserve"> sector. Frequently, the size of restaurant or takeaway serving sizes are larger than those purchased from supermarkets. For example, the average biscuit sold in a café is about twice the size of those purchased from retail outlets.</w:t>
      </w:r>
      <w:bookmarkStart w:id="7" w:name="_Ref106972396"/>
      <w:r w:rsidR="00AD7342">
        <w:rPr>
          <w:rStyle w:val="EndnoteReference"/>
        </w:rPr>
        <w:endnoteReference w:id="10"/>
      </w:r>
      <w:bookmarkEnd w:id="7"/>
      <w:r>
        <w:t xml:space="preserve"> Due to the changing retail environment, café style biscuits with a larger serving size are becoming more common. </w:t>
      </w:r>
    </w:p>
    <w:p w14:paraId="085A92AB" w14:textId="77777777" w:rsidR="00647F00" w:rsidRDefault="00EC6B5A" w:rsidP="002707C6">
      <w:pPr>
        <w:pStyle w:val="Box2Text"/>
      </w:pPr>
      <w:r>
        <w:t xml:space="preserve">This Guide </w:t>
      </w:r>
      <w:proofErr w:type="gramStart"/>
      <w:r>
        <w:t>takes into account</w:t>
      </w:r>
      <w:proofErr w:type="gramEnd"/>
      <w:r>
        <w:t xml:space="preserve"> the different settings in which foods are sold and recommends different serving sizes across </w:t>
      </w:r>
      <w:r w:rsidRPr="002707C6">
        <w:rPr>
          <w:rStyle w:val="Pink"/>
        </w:rPr>
        <w:t>retail</w:t>
      </w:r>
      <w:r>
        <w:t xml:space="preserve"> settings and the </w:t>
      </w:r>
      <w:r>
        <w:rPr>
          <w:rStyle w:val="Pink"/>
        </w:rPr>
        <w:t>out of home</w:t>
      </w:r>
      <w:r>
        <w:t xml:space="preserve"> sector to</w:t>
      </w:r>
      <w:r>
        <w:rPr>
          <w:rFonts w:ascii="Raleway-Light" w:hAnsi="Raleway-Light" w:cs="Raleway-Light"/>
          <w:b/>
          <w:bCs/>
        </w:rPr>
        <w:t> </w:t>
      </w:r>
      <w:r>
        <w:t>encourage reduced serving sizes.</w:t>
      </w:r>
    </w:p>
    <w:p w14:paraId="15B9707B" w14:textId="77777777" w:rsidR="00647F00" w:rsidRPr="002707C6" w:rsidRDefault="00EC6B5A" w:rsidP="002707C6">
      <w:pPr>
        <w:pStyle w:val="Heading2"/>
      </w:pPr>
      <w:bookmarkStart w:id="8" w:name="_Toc106974802"/>
      <w:r w:rsidRPr="002707C6">
        <w:rPr>
          <w:rStyle w:val="ItalicGreen"/>
        </w:rPr>
        <w:t>Where</w:t>
      </w:r>
      <w:r w:rsidRPr="002707C6">
        <w:t xml:space="preserve"> to start</w:t>
      </w:r>
      <w:bookmarkEnd w:id="8"/>
    </w:p>
    <w:p w14:paraId="24258AB0" w14:textId="0D500332" w:rsidR="00647F00" w:rsidRDefault="00EC6B5A" w:rsidP="002707C6">
      <w:pPr>
        <w:pStyle w:val="List1Numbered1"/>
      </w:pPr>
      <w:r w:rsidRPr="002707C6">
        <w:rPr>
          <w:b/>
          <w:bCs/>
        </w:rPr>
        <w:t>CONSIDER</w:t>
      </w:r>
      <w:r>
        <w:t xml:space="preserve"> which of your products require a serving size reduction.</w:t>
      </w:r>
    </w:p>
    <w:p w14:paraId="1BE3A31D" w14:textId="72035418" w:rsidR="00647F00" w:rsidRDefault="00EC6B5A" w:rsidP="002707C6">
      <w:pPr>
        <w:pStyle w:val="List1Numbered1"/>
      </w:pPr>
      <w:r w:rsidRPr="002707C6">
        <w:rPr>
          <w:b/>
          <w:bCs/>
        </w:rPr>
        <w:t>INVESTIGATE</w:t>
      </w:r>
      <w:r>
        <w:t xml:space="preserve"> mini and smaller sized products from your existing product range as point of difference.</w:t>
      </w:r>
    </w:p>
    <w:p w14:paraId="6EE4282F" w14:textId="574B87E7" w:rsidR="00647F00" w:rsidRDefault="00EC6B5A" w:rsidP="002707C6">
      <w:pPr>
        <w:pStyle w:val="List1Numbered1"/>
      </w:pPr>
      <w:r w:rsidRPr="002707C6">
        <w:rPr>
          <w:b/>
          <w:bCs/>
        </w:rPr>
        <w:t>RETHINK</w:t>
      </w:r>
      <w:r w:rsidR="002707C6">
        <w:t xml:space="preserve"> </w:t>
      </w:r>
      <w:r>
        <w:t>how</w:t>
      </w:r>
      <w:r>
        <w:rPr>
          <w:rFonts w:ascii="Arial" w:hAnsi="Arial" w:cs="Arial"/>
        </w:rPr>
        <w:t> </w:t>
      </w:r>
      <w:r>
        <w:t>you serve or package products.</w:t>
      </w:r>
    </w:p>
    <w:p w14:paraId="4B067834" w14:textId="0D8B7855" w:rsidR="00647F00" w:rsidRDefault="00EC6B5A" w:rsidP="002707C6">
      <w:pPr>
        <w:pStyle w:val="List1Numbered1"/>
      </w:pPr>
      <w:r w:rsidRPr="002707C6">
        <w:rPr>
          <w:b/>
          <w:bCs/>
        </w:rPr>
        <w:t>CREATE</w:t>
      </w:r>
      <w:r>
        <w:t xml:space="preserve"> your action plan with realistic timelines.</w:t>
      </w:r>
    </w:p>
    <w:p w14:paraId="0B26F244" w14:textId="3DFA6B5F" w:rsidR="00647F00" w:rsidRDefault="00EC6B5A" w:rsidP="002707C6">
      <w:pPr>
        <w:pStyle w:val="List1Numbered1"/>
      </w:pPr>
      <w:r w:rsidRPr="002707C6">
        <w:rPr>
          <w:b/>
          <w:bCs/>
        </w:rPr>
        <w:t>EVALUATE and REVIEW</w:t>
      </w:r>
      <w:r w:rsidR="002707C6">
        <w:t xml:space="preserve"> </w:t>
      </w:r>
      <w:r>
        <w:t>the implementation of your plan.</w:t>
      </w:r>
    </w:p>
    <w:p w14:paraId="7028C410" w14:textId="77777777" w:rsidR="00647F00" w:rsidRPr="008243DF" w:rsidRDefault="00EC6B5A" w:rsidP="008243DF">
      <w:pPr>
        <w:pStyle w:val="Heading2"/>
      </w:pPr>
      <w:bookmarkStart w:id="9" w:name="_Toc106974803"/>
      <w:r w:rsidRPr="008243DF">
        <w:rPr>
          <w:rStyle w:val="ItalicGreen"/>
        </w:rPr>
        <w:t>Tips</w:t>
      </w:r>
      <w:r w:rsidRPr="008243DF">
        <w:t xml:space="preserve"> for implementation</w:t>
      </w:r>
      <w:bookmarkEnd w:id="9"/>
    </w:p>
    <w:p w14:paraId="19468DD4" w14:textId="77777777" w:rsidR="00647F00" w:rsidRDefault="00EC6B5A" w:rsidP="008243DF">
      <w:pPr>
        <w:pStyle w:val="List1Numbered1"/>
        <w:numPr>
          <w:ilvl w:val="0"/>
          <w:numId w:val="11"/>
        </w:numPr>
      </w:pPr>
      <w:r>
        <w:t>Phase in new, smaller serving sizes to encourage consumer acceptance and choice.</w:t>
      </w:r>
    </w:p>
    <w:p w14:paraId="38CDFB54" w14:textId="77777777" w:rsidR="00647F00" w:rsidRDefault="00EC6B5A" w:rsidP="008243DF">
      <w:pPr>
        <w:pStyle w:val="List1Numbered1"/>
      </w:pPr>
      <w:r>
        <w:t>Make the smaller option the easier choice through placement and promotion.</w:t>
      </w:r>
    </w:p>
    <w:p w14:paraId="2BEA0D42" w14:textId="77777777" w:rsidR="00647F00" w:rsidRDefault="00EC6B5A" w:rsidP="008243DF">
      <w:pPr>
        <w:pStyle w:val="List1Numbered1"/>
      </w:pPr>
      <w:r>
        <w:lastRenderedPageBreak/>
        <w:t>Plan promotions to</w:t>
      </w:r>
      <w:r>
        <w:rPr>
          <w:rFonts w:ascii="Raleway-Light" w:hAnsi="Raleway-Light" w:cs="Raleway-Light"/>
          <w:color w:val="3C4543"/>
          <w:sz w:val="18"/>
          <w:szCs w:val="18"/>
        </w:rPr>
        <w:t> </w:t>
      </w:r>
      <w:r>
        <w:t>help nudge consumers to the appropriate choice.</w:t>
      </w:r>
    </w:p>
    <w:p w14:paraId="47C0D0CD" w14:textId="2F4B72F4" w:rsidR="00647F00" w:rsidRDefault="00EC6B5A" w:rsidP="008243DF">
      <w:pPr>
        <w:pStyle w:val="List1Numbered1"/>
      </w:pPr>
      <w:r>
        <w:t>A gradual serving size reduction is</w:t>
      </w:r>
      <w:r>
        <w:rPr>
          <w:rFonts w:ascii="Raleway-Light" w:hAnsi="Raleway-Light" w:cs="Raleway-Light"/>
          <w:color w:val="3C4543"/>
          <w:sz w:val="18"/>
          <w:szCs w:val="18"/>
        </w:rPr>
        <w:t> </w:t>
      </w:r>
      <w:r>
        <w:t>effective to bring c</w:t>
      </w:r>
      <w:r w:rsidR="00D43B59">
        <w:t>onsumers</w:t>
      </w:r>
      <w:r>
        <w:t xml:space="preserve"> on the journey. </w:t>
      </w:r>
    </w:p>
    <w:p w14:paraId="52AE7BAC" w14:textId="77777777" w:rsidR="00647F00" w:rsidRDefault="00EC6B5A" w:rsidP="008243DF">
      <w:pPr>
        <w:pStyle w:val="List1Numbered1"/>
      </w:pPr>
      <w:r>
        <w:t>Plate products sold in the out of home sector on smaller plates.</w:t>
      </w:r>
    </w:p>
    <w:p w14:paraId="52EFA73B" w14:textId="77777777" w:rsidR="00647F00" w:rsidRPr="008243DF" w:rsidRDefault="00EC6B5A" w:rsidP="008243DF">
      <w:pPr>
        <w:pStyle w:val="Heading2"/>
      </w:pPr>
      <w:bookmarkStart w:id="10" w:name="_Toc106974804"/>
      <w:r w:rsidRPr="008243DF">
        <w:t>Glossary</w:t>
      </w:r>
      <w:bookmarkEnd w:id="10"/>
    </w:p>
    <w:tbl>
      <w:tblPr>
        <w:tblStyle w:val="DefaultTable1"/>
        <w:tblW w:w="5000" w:type="pct"/>
        <w:tblLook w:val="0620" w:firstRow="1" w:lastRow="0" w:firstColumn="0" w:lastColumn="0" w:noHBand="1" w:noVBand="1"/>
      </w:tblPr>
      <w:tblGrid>
        <w:gridCol w:w="2122"/>
        <w:gridCol w:w="7516"/>
      </w:tblGrid>
      <w:tr w:rsidR="00647F00" w14:paraId="67CF12FC" w14:textId="77777777" w:rsidTr="00647F00">
        <w:trPr>
          <w:cnfStyle w:val="100000000000" w:firstRow="1" w:lastRow="0" w:firstColumn="0" w:lastColumn="0" w:oddVBand="0" w:evenVBand="0" w:oddHBand="0" w:evenHBand="0" w:firstRowFirstColumn="0" w:firstRowLastColumn="0" w:lastRowFirstColumn="0" w:lastRowLastColumn="0"/>
          <w:trHeight w:val="113"/>
          <w:tblHeader/>
        </w:trPr>
        <w:tc>
          <w:tcPr>
            <w:tcW w:w="1101" w:type="pct"/>
          </w:tcPr>
          <w:p w14:paraId="4EEF7586" w14:textId="77777777" w:rsidR="00647F00" w:rsidRDefault="00EC6B5A" w:rsidP="00001371">
            <w:r>
              <w:t>Term </w:t>
            </w:r>
          </w:p>
        </w:tc>
        <w:tc>
          <w:tcPr>
            <w:tcW w:w="3899" w:type="pct"/>
          </w:tcPr>
          <w:p w14:paraId="537C6F85" w14:textId="77777777" w:rsidR="00647F00" w:rsidRDefault="00EC6B5A" w:rsidP="00001371">
            <w:r>
              <w:t>Definition </w:t>
            </w:r>
          </w:p>
        </w:tc>
      </w:tr>
      <w:tr w:rsidR="00647F00" w14:paraId="04E9DD49" w14:textId="77777777" w:rsidTr="00647F00">
        <w:trPr>
          <w:trHeight w:val="113"/>
        </w:trPr>
        <w:tc>
          <w:tcPr>
            <w:tcW w:w="1101" w:type="pct"/>
            <w:tcBorders>
              <w:top w:val="single" w:sz="24" w:space="0" w:color="007835" w:themeColor="accent1"/>
            </w:tcBorders>
          </w:tcPr>
          <w:p w14:paraId="0E184D4E" w14:textId="57998E96" w:rsidR="00647F00" w:rsidRPr="002707C6" w:rsidRDefault="00EC6B5A" w:rsidP="00001371">
            <w:pPr>
              <w:rPr>
                <w:rStyle w:val="Pink"/>
              </w:rPr>
            </w:pPr>
            <w:r w:rsidRPr="002707C6">
              <w:rPr>
                <w:rStyle w:val="Pink"/>
              </w:rPr>
              <w:t>Discretionary food</w:t>
            </w:r>
            <w:r w:rsidR="00EA3CE5">
              <w:rPr>
                <w:rStyle w:val="Pink"/>
              </w:rPr>
              <w:t>s and beverages</w:t>
            </w:r>
            <w:r w:rsidRPr="002707C6">
              <w:rPr>
                <w:rStyle w:val="Pink"/>
              </w:rPr>
              <w:t> </w:t>
            </w:r>
          </w:p>
        </w:tc>
        <w:tc>
          <w:tcPr>
            <w:tcW w:w="3899" w:type="pct"/>
            <w:tcBorders>
              <w:top w:val="single" w:sz="24" w:space="0" w:color="007835" w:themeColor="accent1"/>
            </w:tcBorders>
          </w:tcPr>
          <w:p w14:paraId="555A5132" w14:textId="77777777" w:rsidR="00647F00" w:rsidRDefault="00EC6B5A" w:rsidP="00001371">
            <w:r>
              <w:t xml:space="preserve">This includes foods and/or beverages not necessary to provide the nutrients the body needs, but that may add variety to the diet. However, many of these are high in saturated fats, added sugars, sodium (salt) and/or alcohol and are therefore described as energy dense. </w:t>
            </w:r>
          </w:p>
        </w:tc>
      </w:tr>
      <w:tr w:rsidR="00647F00" w14:paraId="3534588E" w14:textId="77777777" w:rsidTr="00647F00">
        <w:trPr>
          <w:trHeight w:val="113"/>
        </w:trPr>
        <w:tc>
          <w:tcPr>
            <w:tcW w:w="1101" w:type="pct"/>
          </w:tcPr>
          <w:p w14:paraId="1ADADF23" w14:textId="77777777" w:rsidR="00647F00" w:rsidRPr="002707C6" w:rsidRDefault="00EC6B5A" w:rsidP="00001371">
            <w:pPr>
              <w:rPr>
                <w:rStyle w:val="Pink"/>
              </w:rPr>
            </w:pPr>
            <w:r w:rsidRPr="002707C6">
              <w:rPr>
                <w:rStyle w:val="Pink"/>
              </w:rPr>
              <w:t>Discretionary food serves</w:t>
            </w:r>
          </w:p>
        </w:tc>
        <w:tc>
          <w:tcPr>
            <w:tcW w:w="3899" w:type="pct"/>
          </w:tcPr>
          <w:p w14:paraId="59AEFC3C" w14:textId="77777777" w:rsidR="00647F00" w:rsidRDefault="00EC6B5A" w:rsidP="00001371">
            <w:r>
              <w:t>The Australian Dietary Guidelines defines one ‘serve’ of a discretionary food as the amount that contains 600kJ. Examples of discretionary foods that provide approximately 600kJ are:</w:t>
            </w:r>
          </w:p>
          <w:p w14:paraId="290F5E51" w14:textId="77777777" w:rsidR="00647F00" w:rsidRDefault="00EC6B5A" w:rsidP="00001371">
            <w:pPr>
              <w:pStyle w:val="Bullet1"/>
            </w:pPr>
            <w:r>
              <w:t>2 scoops of ice cream (75 g)</w:t>
            </w:r>
          </w:p>
          <w:p w14:paraId="4DA21F11" w14:textId="77777777" w:rsidR="00647F00" w:rsidRDefault="00EC6B5A" w:rsidP="00001371">
            <w:pPr>
              <w:pStyle w:val="Bullet1"/>
            </w:pPr>
            <w:r>
              <w:t xml:space="preserve">2–3 sweet biscuits </w:t>
            </w:r>
          </w:p>
          <w:p w14:paraId="5F8EC09E" w14:textId="77777777" w:rsidR="00647F00" w:rsidRDefault="00EC6B5A" w:rsidP="00001371">
            <w:pPr>
              <w:pStyle w:val="Bullet1"/>
            </w:pPr>
            <w:r>
              <w:t>1 slice (40 g) plain cake or small cake-type muffin</w:t>
            </w:r>
          </w:p>
          <w:p w14:paraId="02804764" w14:textId="77777777" w:rsidR="00647F00" w:rsidRDefault="00EC6B5A" w:rsidP="00001371">
            <w:pPr>
              <w:pStyle w:val="Bullet1"/>
            </w:pPr>
            <w:r>
              <w:t>½ small bar (25 g) of chocolate</w:t>
            </w:r>
          </w:p>
          <w:p w14:paraId="0E3F8094" w14:textId="77777777" w:rsidR="00647F00" w:rsidRDefault="00EC6B5A" w:rsidP="00001371">
            <w:r>
              <w:t>A ‘serve’ is different from a ‘serving’ (see Serving size below).</w:t>
            </w:r>
          </w:p>
        </w:tc>
      </w:tr>
      <w:tr w:rsidR="00647F00" w14:paraId="1A2236BA" w14:textId="77777777" w:rsidTr="00647F00">
        <w:trPr>
          <w:trHeight w:val="113"/>
        </w:trPr>
        <w:tc>
          <w:tcPr>
            <w:tcW w:w="1101" w:type="pct"/>
          </w:tcPr>
          <w:p w14:paraId="3435FF33" w14:textId="77777777" w:rsidR="00647F00" w:rsidRPr="002707C6" w:rsidRDefault="00EC6B5A" w:rsidP="00001371">
            <w:pPr>
              <w:rPr>
                <w:rStyle w:val="Pink"/>
              </w:rPr>
            </w:pPr>
            <w:r w:rsidRPr="002707C6">
              <w:rPr>
                <w:rStyle w:val="Pink"/>
              </w:rPr>
              <w:t>Five food groups</w:t>
            </w:r>
          </w:p>
        </w:tc>
        <w:tc>
          <w:tcPr>
            <w:tcW w:w="3899" w:type="pct"/>
          </w:tcPr>
          <w:p w14:paraId="168C2989" w14:textId="1C181161" w:rsidR="00647F00" w:rsidRDefault="00EA3CE5" w:rsidP="00001371">
            <w:r>
              <w:t xml:space="preserve">Five </w:t>
            </w:r>
            <w:r w:rsidR="001E31E2">
              <w:t>f</w:t>
            </w:r>
            <w:r>
              <w:t xml:space="preserve">ood </w:t>
            </w:r>
            <w:r w:rsidR="001E31E2">
              <w:t>g</w:t>
            </w:r>
            <w:r>
              <w:t>roups i</w:t>
            </w:r>
            <w:r w:rsidR="00EC6B5A">
              <w:t>nclude</w:t>
            </w:r>
            <w:r>
              <w:t xml:space="preserve"> vegetables, fruits, grains and cereals, lean meats and alternatives (poultry, fish, legumes, tofu, nuts and seeds), and dairy (milk, cheese and yoghurt). These</w:t>
            </w:r>
            <w:r w:rsidR="00EC6B5A">
              <w:t xml:space="preserve"> foods form the basis of a healthy diet, based on or developed with reference to recommended daily intakes.</w:t>
            </w:r>
          </w:p>
        </w:tc>
      </w:tr>
      <w:tr w:rsidR="00647F00" w14:paraId="05065DD6" w14:textId="77777777" w:rsidTr="00647F00">
        <w:trPr>
          <w:trHeight w:val="113"/>
        </w:trPr>
        <w:tc>
          <w:tcPr>
            <w:tcW w:w="1101" w:type="pct"/>
          </w:tcPr>
          <w:p w14:paraId="2D9A3BC3" w14:textId="77777777" w:rsidR="00647F00" w:rsidRPr="002707C6" w:rsidRDefault="00EC6B5A" w:rsidP="00001371">
            <w:pPr>
              <w:rPr>
                <w:rStyle w:val="Pink"/>
              </w:rPr>
            </w:pPr>
            <w:r w:rsidRPr="002707C6">
              <w:rPr>
                <w:rStyle w:val="Pink"/>
              </w:rPr>
              <w:t>Out of home</w:t>
            </w:r>
          </w:p>
        </w:tc>
        <w:tc>
          <w:tcPr>
            <w:tcW w:w="3899" w:type="pct"/>
          </w:tcPr>
          <w:p w14:paraId="10F3788A" w14:textId="35D69AD6" w:rsidR="00647F00" w:rsidRDefault="00EC6B5A" w:rsidP="00001371">
            <w:r>
              <w:t xml:space="preserve">Outlets where food and/or beverages are prepared for immediate consumption </w:t>
            </w:r>
            <w:proofErr w:type="gramStart"/>
            <w:r>
              <w:t>e.g.</w:t>
            </w:r>
            <w:proofErr w:type="gramEnd"/>
            <w:r>
              <w:t xml:space="preserve"> </w:t>
            </w:r>
            <w:r w:rsidR="00402E62" w:rsidRPr="00402E62">
              <w:t>cafés</w:t>
            </w:r>
            <w:r>
              <w:t xml:space="preserve"> (including those within a retail, petrol or convenience store), restaurants, pubs, clubs, quick-service restaurants, canteens, online businesses that sell food or beverage for takeaway or home delivery and retail ‘on the go’ products.</w:t>
            </w:r>
          </w:p>
          <w:p w14:paraId="676411A9" w14:textId="77777777" w:rsidR="00647F00" w:rsidRDefault="00EC6B5A" w:rsidP="00001371">
            <w:r>
              <w:t>Retail ‘on the go’ products include, but are not limited to, beverages (all varieties including smoothies, juices and </w:t>
            </w:r>
            <w:proofErr w:type="gramStart"/>
            <w:r>
              <w:t>soft-drinks</w:t>
            </w:r>
            <w:proofErr w:type="gramEnd"/>
            <w:r>
              <w:t> served in cups or glasses, but not prepacked, bottled or canned cold drinks), bakery items (predominantly loose pastries, cakes, biscuits, slices) and ready to eat options such as pizza, chicken nuggets and hot chips.</w:t>
            </w:r>
          </w:p>
        </w:tc>
      </w:tr>
      <w:tr w:rsidR="00647F00" w14:paraId="338EE882" w14:textId="77777777" w:rsidTr="00647F00">
        <w:trPr>
          <w:trHeight w:val="113"/>
        </w:trPr>
        <w:tc>
          <w:tcPr>
            <w:tcW w:w="1101" w:type="pct"/>
          </w:tcPr>
          <w:p w14:paraId="604A7B42" w14:textId="77777777" w:rsidR="00647F00" w:rsidRPr="002707C6" w:rsidRDefault="00EC6B5A" w:rsidP="00001371">
            <w:pPr>
              <w:rPr>
                <w:rStyle w:val="Pink"/>
              </w:rPr>
            </w:pPr>
            <w:r w:rsidRPr="002707C6">
              <w:rPr>
                <w:rStyle w:val="Pink"/>
              </w:rPr>
              <w:t>Non-nutritive sweetener</w:t>
            </w:r>
          </w:p>
        </w:tc>
        <w:tc>
          <w:tcPr>
            <w:tcW w:w="3899" w:type="pct"/>
          </w:tcPr>
          <w:p w14:paraId="24678CBD" w14:textId="77777777" w:rsidR="00647F00" w:rsidRDefault="00EC6B5A" w:rsidP="00001371">
            <w:r>
              <w:t>Non-nutritive sweeteners are often used as an alternative to different forms of sugar. They are energy (kilojoule or calorie) free. These include, but are not limited to, products such as aspartame, saccharine, sucralose and stevia.</w:t>
            </w:r>
          </w:p>
        </w:tc>
      </w:tr>
      <w:tr w:rsidR="00647F00" w14:paraId="17D29F86" w14:textId="77777777" w:rsidTr="00647F00">
        <w:trPr>
          <w:trHeight w:val="113"/>
        </w:trPr>
        <w:tc>
          <w:tcPr>
            <w:tcW w:w="1101" w:type="pct"/>
          </w:tcPr>
          <w:p w14:paraId="0C7A7F66" w14:textId="77777777" w:rsidR="00647F00" w:rsidRPr="002707C6" w:rsidRDefault="00EC6B5A" w:rsidP="00001371">
            <w:pPr>
              <w:rPr>
                <w:rStyle w:val="Pink"/>
              </w:rPr>
            </w:pPr>
            <w:r w:rsidRPr="002707C6">
              <w:rPr>
                <w:rStyle w:val="Pink"/>
              </w:rPr>
              <w:t>Partitioned products</w:t>
            </w:r>
          </w:p>
        </w:tc>
        <w:tc>
          <w:tcPr>
            <w:tcW w:w="3899" w:type="pct"/>
          </w:tcPr>
          <w:p w14:paraId="52761A0F" w14:textId="77777777" w:rsidR="00647F00" w:rsidRDefault="00EC6B5A" w:rsidP="00001371">
            <w:r>
              <w:t xml:space="preserve">Products that are packaged as one piece and are delineated by perforations or cut marks </w:t>
            </w:r>
            <w:proofErr w:type="gramStart"/>
            <w:r>
              <w:t>i.e.</w:t>
            </w:r>
            <w:proofErr w:type="gramEnd"/>
            <w:r>
              <w:t xml:space="preserve"> to signify the unit be divided into multiple portions e.g. a 70 g chocolate share bar with 3 chunks (each individual chunk/piece is approx. 23 g).</w:t>
            </w:r>
          </w:p>
        </w:tc>
      </w:tr>
      <w:tr w:rsidR="00647F00" w14:paraId="0A965ACC" w14:textId="77777777" w:rsidTr="00647F00">
        <w:trPr>
          <w:trHeight w:val="113"/>
        </w:trPr>
        <w:tc>
          <w:tcPr>
            <w:tcW w:w="1101" w:type="pct"/>
          </w:tcPr>
          <w:p w14:paraId="063E84A4" w14:textId="77777777" w:rsidR="00647F00" w:rsidRPr="002707C6" w:rsidRDefault="00EC6B5A" w:rsidP="00001371">
            <w:pPr>
              <w:rPr>
                <w:rStyle w:val="Pink"/>
              </w:rPr>
            </w:pPr>
            <w:r w:rsidRPr="002707C6">
              <w:rPr>
                <w:rStyle w:val="Pink"/>
              </w:rPr>
              <w:t>Plant-based and meat alternatives</w:t>
            </w:r>
          </w:p>
        </w:tc>
        <w:tc>
          <w:tcPr>
            <w:tcW w:w="3899" w:type="pct"/>
          </w:tcPr>
          <w:p w14:paraId="27733A75" w14:textId="77777777" w:rsidR="00647F00" w:rsidRDefault="00EC6B5A" w:rsidP="00001371">
            <w:r>
              <w:t>These are food sources of protein from plants. They may include foods such as legumes, tofu, soy, nuts, seeds, mycoprotein, and grains and cereals.</w:t>
            </w:r>
          </w:p>
        </w:tc>
      </w:tr>
      <w:tr w:rsidR="00647F00" w14:paraId="35E36C2D" w14:textId="77777777" w:rsidTr="00647F00">
        <w:trPr>
          <w:trHeight w:val="113"/>
        </w:trPr>
        <w:tc>
          <w:tcPr>
            <w:tcW w:w="1101" w:type="pct"/>
          </w:tcPr>
          <w:p w14:paraId="4525F1BE" w14:textId="77777777" w:rsidR="00647F00" w:rsidRPr="002707C6" w:rsidRDefault="00EC6B5A" w:rsidP="00001371">
            <w:pPr>
              <w:rPr>
                <w:rStyle w:val="Pink"/>
              </w:rPr>
            </w:pPr>
            <w:r w:rsidRPr="002707C6">
              <w:rPr>
                <w:rStyle w:val="Pink"/>
              </w:rPr>
              <w:t>Portioned products</w:t>
            </w:r>
          </w:p>
        </w:tc>
        <w:tc>
          <w:tcPr>
            <w:tcW w:w="3899" w:type="pct"/>
          </w:tcPr>
          <w:p w14:paraId="5BB7D140" w14:textId="77777777" w:rsidR="00647F00" w:rsidRDefault="00EC6B5A" w:rsidP="00001371">
            <w:r>
              <w:t xml:space="preserve">Products that contain two or more separate units within the same packaging as wrapped/portion controlled or unwrapped pieces </w:t>
            </w:r>
            <w:proofErr w:type="gramStart"/>
            <w:r>
              <w:t>e.g.</w:t>
            </w:r>
            <w:proofErr w:type="gramEnd"/>
            <w:r>
              <w:t xml:space="preserve"> a 64 g 2 pack with 2 x 32 g individual bars, a </w:t>
            </w:r>
            <w:proofErr w:type="spellStart"/>
            <w:r>
              <w:t>multibag</w:t>
            </w:r>
            <w:proofErr w:type="spellEnd"/>
            <w:r>
              <w:t xml:space="preserve"> of 15 g bite size bars or a box of individually wrapped ice-creams. </w:t>
            </w:r>
          </w:p>
        </w:tc>
      </w:tr>
      <w:tr w:rsidR="00647F00" w14:paraId="121FF03F" w14:textId="77777777" w:rsidTr="00647F00">
        <w:trPr>
          <w:trHeight w:val="113"/>
        </w:trPr>
        <w:tc>
          <w:tcPr>
            <w:tcW w:w="1101" w:type="pct"/>
          </w:tcPr>
          <w:p w14:paraId="70B9D1B6" w14:textId="77777777" w:rsidR="00647F00" w:rsidRPr="002707C6" w:rsidRDefault="00EC6B5A" w:rsidP="00001371">
            <w:pPr>
              <w:rPr>
                <w:rStyle w:val="Pink"/>
              </w:rPr>
            </w:pPr>
            <w:r w:rsidRPr="002707C6">
              <w:rPr>
                <w:rStyle w:val="Pink"/>
              </w:rPr>
              <w:t>Portion size  </w:t>
            </w:r>
          </w:p>
        </w:tc>
        <w:tc>
          <w:tcPr>
            <w:tcW w:w="3899" w:type="pct"/>
          </w:tcPr>
          <w:p w14:paraId="23AF2B61" w14:textId="77777777" w:rsidR="00647F00" w:rsidRDefault="00EC6B5A" w:rsidP="00001371">
            <w:r>
              <w:t>The size or amount of food and/or beverage selected by an individual from what is on offer. </w:t>
            </w:r>
          </w:p>
        </w:tc>
      </w:tr>
      <w:tr w:rsidR="00647F00" w14:paraId="47F655CF" w14:textId="77777777" w:rsidTr="00647F00">
        <w:trPr>
          <w:trHeight w:val="113"/>
        </w:trPr>
        <w:tc>
          <w:tcPr>
            <w:tcW w:w="1101" w:type="pct"/>
          </w:tcPr>
          <w:p w14:paraId="6E5069B7" w14:textId="77777777" w:rsidR="00647F00" w:rsidRPr="002707C6" w:rsidRDefault="00EC6B5A" w:rsidP="00001371">
            <w:pPr>
              <w:rPr>
                <w:rStyle w:val="Pink"/>
              </w:rPr>
            </w:pPr>
            <w:r w:rsidRPr="002707C6">
              <w:rPr>
                <w:rStyle w:val="Pink"/>
              </w:rPr>
              <w:t>Retail </w:t>
            </w:r>
          </w:p>
        </w:tc>
        <w:tc>
          <w:tcPr>
            <w:tcW w:w="3899" w:type="pct"/>
          </w:tcPr>
          <w:p w14:paraId="1DF4809A" w14:textId="77777777" w:rsidR="00647F00" w:rsidRDefault="00EC6B5A" w:rsidP="00001371">
            <w:r>
              <w:t>Food products sold in retail environments </w:t>
            </w:r>
            <w:proofErr w:type="gramStart"/>
            <w:r>
              <w:t>e.g.</w:t>
            </w:r>
            <w:proofErr w:type="gramEnd"/>
            <w:r>
              <w:t> supermarkets, petrol stations and convenience stores.  </w:t>
            </w:r>
          </w:p>
        </w:tc>
      </w:tr>
      <w:tr w:rsidR="00647F00" w14:paraId="0D0927A5" w14:textId="77777777" w:rsidTr="00647F00">
        <w:trPr>
          <w:trHeight w:val="113"/>
        </w:trPr>
        <w:tc>
          <w:tcPr>
            <w:tcW w:w="1101" w:type="pct"/>
          </w:tcPr>
          <w:p w14:paraId="5046B313" w14:textId="77777777" w:rsidR="00647F00" w:rsidRPr="002707C6" w:rsidRDefault="00EC6B5A" w:rsidP="00001371">
            <w:pPr>
              <w:rPr>
                <w:rStyle w:val="Pink"/>
              </w:rPr>
            </w:pPr>
            <w:r w:rsidRPr="002707C6">
              <w:rPr>
                <w:rStyle w:val="Pink"/>
              </w:rPr>
              <w:lastRenderedPageBreak/>
              <w:t>Serve size </w:t>
            </w:r>
          </w:p>
        </w:tc>
        <w:tc>
          <w:tcPr>
            <w:tcW w:w="3899" w:type="pct"/>
          </w:tcPr>
          <w:p w14:paraId="4350C7AE" w14:textId="557B3083" w:rsidR="00647F00" w:rsidRDefault="00EC6B5A" w:rsidP="00001371">
            <w:r>
              <w:t>A reference amount of a food and/or beverage described by the Australian Dietary Guidelines</w:t>
            </w:r>
            <w:r w:rsidR="00D153B1">
              <w:t xml:space="preserve"> and its companion document, the Eat for Health Educator Guide</w:t>
            </w:r>
            <w:r>
              <w:t>. </w:t>
            </w:r>
          </w:p>
        </w:tc>
      </w:tr>
      <w:tr w:rsidR="00647F00" w14:paraId="4793DF73" w14:textId="77777777" w:rsidTr="00647F00">
        <w:trPr>
          <w:trHeight w:val="113"/>
        </w:trPr>
        <w:tc>
          <w:tcPr>
            <w:tcW w:w="1101" w:type="pct"/>
          </w:tcPr>
          <w:p w14:paraId="334298B8" w14:textId="77777777" w:rsidR="00647F00" w:rsidRPr="002707C6" w:rsidRDefault="00EC6B5A" w:rsidP="00001371">
            <w:pPr>
              <w:rPr>
                <w:rStyle w:val="Pink"/>
              </w:rPr>
            </w:pPr>
            <w:r w:rsidRPr="002707C6">
              <w:rPr>
                <w:rStyle w:val="Pink"/>
              </w:rPr>
              <w:t>Serving size </w:t>
            </w:r>
          </w:p>
        </w:tc>
        <w:tc>
          <w:tcPr>
            <w:tcW w:w="3899" w:type="pct"/>
          </w:tcPr>
          <w:p w14:paraId="1CE99207" w14:textId="77777777" w:rsidR="00647F00" w:rsidRDefault="00EC6B5A" w:rsidP="00001371">
            <w:r>
              <w:t>The size or amount of a product (food and/or beverage), suggested by others, such as on-pack labelling by a manufacturer or provided by a food service business. </w:t>
            </w:r>
          </w:p>
        </w:tc>
      </w:tr>
      <w:tr w:rsidR="00647F00" w14:paraId="1F44AFB1" w14:textId="77777777" w:rsidTr="00647F00">
        <w:trPr>
          <w:trHeight w:val="113"/>
        </w:trPr>
        <w:tc>
          <w:tcPr>
            <w:tcW w:w="1101" w:type="pct"/>
          </w:tcPr>
          <w:p w14:paraId="0EF00E81" w14:textId="77777777" w:rsidR="00647F00" w:rsidRPr="002707C6" w:rsidRDefault="00EC6B5A" w:rsidP="00001371">
            <w:pPr>
              <w:rPr>
                <w:rStyle w:val="Pink"/>
              </w:rPr>
            </w:pPr>
            <w:r w:rsidRPr="002707C6">
              <w:rPr>
                <w:rStyle w:val="Pink"/>
              </w:rPr>
              <w:t>Single consumption bars (chocolate category)</w:t>
            </w:r>
          </w:p>
        </w:tc>
        <w:tc>
          <w:tcPr>
            <w:tcW w:w="3899" w:type="pct"/>
          </w:tcPr>
          <w:p w14:paraId="2A692888" w14:textId="77777777" w:rsidR="00647F00" w:rsidRDefault="00EC6B5A" w:rsidP="00001371">
            <w:r>
              <w:t>Chocolate products that are in one bar without portion control, </w:t>
            </w:r>
            <w:proofErr w:type="spellStart"/>
            <w:r>
              <w:t>portionability</w:t>
            </w:r>
            <w:proofErr w:type="spellEnd"/>
            <w:r>
              <w:t xml:space="preserve"> or partitioning. </w:t>
            </w:r>
          </w:p>
        </w:tc>
      </w:tr>
    </w:tbl>
    <w:p w14:paraId="2914DB50" w14:textId="33C21DB4" w:rsidR="00BB5B1B" w:rsidRDefault="00BB5B1B" w:rsidP="00BB5B1B"/>
    <w:p w14:paraId="38FA5E7A" w14:textId="77777777" w:rsidR="00BB5B1B" w:rsidRDefault="00BB5B1B">
      <w:r>
        <w:br w:type="page"/>
      </w:r>
    </w:p>
    <w:p w14:paraId="2F2D7EE9" w14:textId="4E75F116" w:rsidR="00647F00" w:rsidRDefault="00EC6B5A" w:rsidP="00BB5B1B">
      <w:pPr>
        <w:pStyle w:val="Heading1"/>
      </w:pPr>
      <w:bookmarkStart w:id="11" w:name="_Toc106974805"/>
      <w:r>
        <w:lastRenderedPageBreak/>
        <w:t>Section 2</w:t>
      </w:r>
      <w:r w:rsidR="00BB5B1B">
        <w:t xml:space="preserve"> - </w:t>
      </w:r>
      <w:r>
        <w:t>Food categories</w:t>
      </w:r>
      <w:bookmarkEnd w:id="11"/>
    </w:p>
    <w:p w14:paraId="5725636F" w14:textId="7F36990D" w:rsidR="00647F00" w:rsidRPr="00BB5B1B" w:rsidRDefault="0061333A" w:rsidP="00BB5B1B">
      <w:r>
        <w:t>Further</w:t>
      </w:r>
      <w:r w:rsidR="00EC6B5A" w:rsidRPr="00BB5B1B">
        <w:t xml:space="preserve"> information</w:t>
      </w:r>
      <w:r>
        <w:t xml:space="preserve"> on the Guide, including details category definitions,</w:t>
      </w:r>
      <w:r w:rsidR="00EC6B5A" w:rsidRPr="00BB5B1B">
        <w:t xml:space="preserve"> is available </w:t>
      </w:r>
      <w:r>
        <w:t xml:space="preserve">on </w:t>
      </w:r>
      <w:r w:rsidR="00EC6B5A" w:rsidRPr="00BB5B1B">
        <w:t>the</w:t>
      </w:r>
      <w:r>
        <w:t xml:space="preserve"> Healthy Food Partnership’s webpage at</w:t>
      </w:r>
      <w:r w:rsidR="00EC6B5A" w:rsidRPr="00BB5B1B">
        <w:t xml:space="preserve">: </w:t>
      </w:r>
      <w:hyperlink r:id="rId11" w:history="1">
        <w:r w:rsidR="00EC6B5A" w:rsidRPr="005F364A">
          <w:rPr>
            <w:rStyle w:val="Hyperlink"/>
            <w:i w:val="0"/>
            <w:iCs/>
          </w:rPr>
          <w:t>health.gov.au/initiatives-and-programs/healthy-food-partnership</w:t>
        </w:r>
      </w:hyperlink>
    </w:p>
    <w:p w14:paraId="7515B65B" w14:textId="2968329C" w:rsidR="00BB5B1B" w:rsidRDefault="00BB5B1B">
      <w:pPr>
        <w:rPr>
          <w:rStyle w:val="Pink"/>
        </w:rPr>
      </w:pPr>
      <w:r>
        <w:rPr>
          <w:rStyle w:val="Pink"/>
        </w:rPr>
        <w:br w:type="page"/>
      </w:r>
    </w:p>
    <w:p w14:paraId="3C62F8BC" w14:textId="77777777" w:rsidR="00647F00" w:rsidRPr="00BB5B1B" w:rsidRDefault="00EC6B5A" w:rsidP="00BB5B1B">
      <w:pPr>
        <w:pStyle w:val="Heading2"/>
      </w:pPr>
      <w:bookmarkStart w:id="12" w:name="_Toc106974806"/>
      <w:r w:rsidRPr="00BB5B1B">
        <w:lastRenderedPageBreak/>
        <w:t xml:space="preserve">Cakes, muffins and slices </w:t>
      </w:r>
      <w:r w:rsidRPr="00BB5B1B">
        <w:rPr>
          <w:rStyle w:val="Pink"/>
        </w:rPr>
        <w:t>• Retail</w:t>
      </w:r>
      <w:bookmarkEnd w:id="12"/>
    </w:p>
    <w:p w14:paraId="3BED2255" w14:textId="77777777" w:rsidR="00647F00" w:rsidRDefault="00EC6B5A" w:rsidP="00BB5B1B">
      <w:pPr>
        <w:pStyle w:val="Heading3"/>
      </w:pPr>
      <w:r>
        <w:t>Category definition</w:t>
      </w:r>
    </w:p>
    <w:p w14:paraId="134AEF26" w14:textId="77777777" w:rsidR="00647F00" w:rsidRDefault="00EC6B5A" w:rsidP="00BB5B1B">
      <w:r>
        <w:t xml:space="preserve">Freshly baked, frozen or shelf-stable cakes, muffins and slices sold in </w:t>
      </w:r>
      <w:r w:rsidRPr="003A6EB6">
        <w:rPr>
          <w:b/>
          <w:bCs/>
        </w:rPr>
        <w:t>retail</w:t>
      </w:r>
      <w:r>
        <w:t xml:space="preserve"> settings. Includes packet baking mixes. </w:t>
      </w:r>
    </w:p>
    <w:p w14:paraId="3CC5373B" w14:textId="77777777" w:rsidR="00647F00" w:rsidRPr="003A6EB6" w:rsidRDefault="00EC6B5A" w:rsidP="00BB5B1B">
      <w:pPr>
        <w:rPr>
          <w:b/>
          <w:bCs/>
        </w:rPr>
      </w:pPr>
      <w:r w:rsidRPr="003A6EB6">
        <w:rPr>
          <w:b/>
          <w:bCs/>
        </w:rPr>
        <w:t xml:space="preserve">Includes three sub-categories: </w:t>
      </w:r>
    </w:p>
    <w:p w14:paraId="74E4B5A3" w14:textId="77777777" w:rsidR="00647F00" w:rsidRDefault="00EC6B5A" w:rsidP="00BB5B1B">
      <w:pPr>
        <w:pStyle w:val="List1Numbered2"/>
      </w:pPr>
      <w:r>
        <w:t xml:space="preserve">Cakes </w:t>
      </w:r>
    </w:p>
    <w:p w14:paraId="05191AF1" w14:textId="77777777" w:rsidR="00647F00" w:rsidRDefault="00EC6B5A" w:rsidP="00BB5B1B">
      <w:pPr>
        <w:pStyle w:val="List1Numbered2"/>
      </w:pPr>
      <w:r>
        <w:t xml:space="preserve">Muffins </w:t>
      </w:r>
    </w:p>
    <w:p w14:paraId="2F2B323E" w14:textId="77777777" w:rsidR="00647F00" w:rsidRDefault="00EC6B5A" w:rsidP="00BB5B1B">
      <w:pPr>
        <w:pStyle w:val="List1Numbered2"/>
      </w:pPr>
      <w:r>
        <w:t>Slices</w:t>
      </w:r>
    </w:p>
    <w:p w14:paraId="27335230" w14:textId="77777777" w:rsidR="00647F00" w:rsidRDefault="00EC6B5A" w:rsidP="00BB5B1B">
      <w:pPr>
        <w:pStyle w:val="Box2Heading"/>
      </w:pPr>
      <w:r>
        <w:rPr>
          <w:rStyle w:val="Pink"/>
        </w:rPr>
        <w:t>Maximum serving size recommendation</w:t>
      </w:r>
    </w:p>
    <w:p w14:paraId="76E4B0DC" w14:textId="77777777" w:rsidR="00647F00" w:rsidRDefault="00EC6B5A" w:rsidP="00BB5B1B">
      <w:pPr>
        <w:pStyle w:val="Box2Text"/>
      </w:pPr>
      <w:r w:rsidRPr="003A6EB6">
        <w:rPr>
          <w:b/>
          <w:bCs/>
        </w:rPr>
        <w:t>Cakes (all types):</w:t>
      </w:r>
      <w:r>
        <w:t xml:space="preserve"> up to 90 g </w:t>
      </w:r>
    </w:p>
    <w:p w14:paraId="3E61D551" w14:textId="77777777" w:rsidR="00647F00" w:rsidRDefault="00EC6B5A" w:rsidP="00BB5B1B">
      <w:pPr>
        <w:pStyle w:val="Box2Text"/>
      </w:pPr>
      <w:r w:rsidRPr="003A6EB6">
        <w:rPr>
          <w:b/>
          <w:bCs/>
        </w:rPr>
        <w:t xml:space="preserve">Muffins: </w:t>
      </w:r>
      <w:r>
        <w:t xml:space="preserve">up to 90 g </w:t>
      </w:r>
    </w:p>
    <w:p w14:paraId="4A4165C2" w14:textId="77777777" w:rsidR="00647F00" w:rsidRDefault="00EC6B5A" w:rsidP="00BB5B1B">
      <w:pPr>
        <w:pStyle w:val="Box2Text"/>
      </w:pPr>
      <w:r w:rsidRPr="003A6EB6">
        <w:rPr>
          <w:b/>
          <w:bCs/>
        </w:rPr>
        <w:t xml:space="preserve">Slices: </w:t>
      </w:r>
      <w:r>
        <w:t>up to 45 g</w:t>
      </w:r>
    </w:p>
    <w:p w14:paraId="49E99B71" w14:textId="77777777" w:rsidR="00647F00" w:rsidRDefault="00EC6B5A" w:rsidP="00BB5B1B">
      <w:pPr>
        <w:pStyle w:val="Heading3"/>
      </w:pPr>
      <w:r>
        <w:t>Why this serving size?</w:t>
      </w:r>
    </w:p>
    <w:p w14:paraId="21FD2155" w14:textId="055E7C7F" w:rsidR="00647F00" w:rsidRDefault="00EC6B5A" w:rsidP="00BB5B1B">
      <w:pPr>
        <w:pStyle w:val="Bullet1"/>
      </w:pPr>
      <w:r>
        <w:t xml:space="preserve">Recognises that </w:t>
      </w:r>
      <w:r w:rsidRPr="003A6EB6">
        <w:rPr>
          <w:b/>
          <w:bCs/>
        </w:rPr>
        <w:t>serving sizes</w:t>
      </w:r>
      <w:r>
        <w:t xml:space="preserve"> have increased over time.</w:t>
      </w:r>
      <w:r w:rsidR="00406080" w:rsidRPr="00406080">
        <w:rPr>
          <w:rStyle w:val="EndnoteReference"/>
        </w:rPr>
        <w:fldChar w:fldCharType="begin"/>
      </w:r>
      <w:r w:rsidR="00406080" w:rsidRPr="00406080">
        <w:rPr>
          <w:rStyle w:val="EndnoteReference"/>
        </w:rPr>
        <w:instrText xml:space="preserve"> NOTEREF _Ref106972044 \h </w:instrText>
      </w:r>
      <w:r w:rsidR="00406080">
        <w:rPr>
          <w:rStyle w:val="EndnoteReference"/>
        </w:rPr>
        <w:instrText xml:space="preserve"> \* MERGEFORMAT </w:instrText>
      </w:r>
      <w:r w:rsidR="00406080" w:rsidRPr="00406080">
        <w:rPr>
          <w:rStyle w:val="EndnoteReference"/>
        </w:rPr>
      </w:r>
      <w:r w:rsidR="00406080" w:rsidRPr="00406080">
        <w:rPr>
          <w:rStyle w:val="EndnoteReference"/>
        </w:rPr>
        <w:fldChar w:fldCharType="separate"/>
      </w:r>
      <w:r w:rsidR="00406080" w:rsidRPr="00406080">
        <w:rPr>
          <w:rStyle w:val="EndnoteReference"/>
        </w:rPr>
        <w:t>4</w:t>
      </w:r>
      <w:r w:rsidR="00406080" w:rsidRPr="00406080">
        <w:rPr>
          <w:rStyle w:val="EndnoteReference"/>
        </w:rPr>
        <w:fldChar w:fldCharType="end"/>
      </w:r>
    </w:p>
    <w:p w14:paraId="06F48735" w14:textId="7A460EED" w:rsidR="00647F00" w:rsidRDefault="00EC6B5A" w:rsidP="00BB5B1B">
      <w:pPr>
        <w:pStyle w:val="Bullet1"/>
      </w:pPr>
      <w:r>
        <w:t>Accounts for differences in serving sizes within sub-category informed by market research.</w:t>
      </w:r>
      <w:bookmarkStart w:id="13" w:name="_Ref106972146"/>
      <w:r w:rsidR="00AD7342">
        <w:rPr>
          <w:rStyle w:val="EndnoteReference"/>
        </w:rPr>
        <w:endnoteReference w:id="11"/>
      </w:r>
      <w:bookmarkEnd w:id="13"/>
    </w:p>
    <w:p w14:paraId="6DF3C11C" w14:textId="56B724D5" w:rsidR="00647F00" w:rsidRDefault="00EC6B5A" w:rsidP="00BB5B1B">
      <w:pPr>
        <w:pStyle w:val="Bullet1"/>
      </w:pPr>
      <w:r>
        <w:t>Considers existing state and territory government guidance.</w:t>
      </w:r>
      <w:bookmarkStart w:id="14" w:name="_Ref106972179"/>
      <w:r w:rsidR="00AD7342">
        <w:rPr>
          <w:rStyle w:val="EndnoteReference"/>
        </w:rPr>
        <w:endnoteReference w:id="12"/>
      </w:r>
      <w:bookmarkEnd w:id="14"/>
      <w:r>
        <w:rPr>
          <w:rStyle w:val="EndnoteReference"/>
        </w:rPr>
        <w:t xml:space="preserve">, </w:t>
      </w:r>
      <w:bookmarkStart w:id="15" w:name="_Ref106972254"/>
      <w:r w:rsidR="00AD7342">
        <w:rPr>
          <w:rStyle w:val="EndnoteReference"/>
        </w:rPr>
        <w:endnoteReference w:id="13"/>
      </w:r>
      <w:bookmarkEnd w:id="15"/>
    </w:p>
    <w:p w14:paraId="3B444C9A" w14:textId="77777777" w:rsidR="00647F00" w:rsidRDefault="00EC6B5A" w:rsidP="00BB5B1B">
      <w:pPr>
        <w:pStyle w:val="Bullet1"/>
      </w:pPr>
      <w:r>
        <w:t>Considers consumer acceptance and takes a nudging approach.</w:t>
      </w:r>
    </w:p>
    <w:p w14:paraId="463B8C7B" w14:textId="77777777" w:rsidR="00647F00" w:rsidRDefault="00EC6B5A" w:rsidP="00BB5B1B">
      <w:pPr>
        <w:pStyle w:val="Box1Heading"/>
      </w:pPr>
      <w:r>
        <w:t>Tips for successful implementation</w:t>
      </w:r>
    </w:p>
    <w:p w14:paraId="75893108" w14:textId="4FBC69DC" w:rsidR="00647F00" w:rsidRDefault="00EC6B5A" w:rsidP="003D1289">
      <w:pPr>
        <w:pStyle w:val="Box1Bullet"/>
      </w:pPr>
      <w:r>
        <w:t xml:space="preserve">Provide pre-portioned cakes, muffins and slices. </w:t>
      </w:r>
    </w:p>
    <w:p w14:paraId="2B2B04C1" w14:textId="5536D244" w:rsidR="00647F00" w:rsidRDefault="00EC6B5A" w:rsidP="00BB5B1B">
      <w:pPr>
        <w:pStyle w:val="Box1Bullet"/>
      </w:pPr>
      <w:r>
        <w:t>Consider individual serving size and indicating cutting lines on whole cakes or outer packaging.</w:t>
      </w:r>
    </w:p>
    <w:p w14:paraId="2C623BE7" w14:textId="70024848" w:rsidR="00647F00" w:rsidRDefault="00EC6B5A" w:rsidP="00BB5B1B">
      <w:pPr>
        <w:pStyle w:val="Box1Bullet"/>
      </w:pPr>
      <w:r>
        <w:t>Consider on-pack labelling messages such as ‘share pack’ or ‘family pack’.</w:t>
      </w:r>
    </w:p>
    <w:p w14:paraId="4FA0D3F3" w14:textId="77777777" w:rsidR="00647F00" w:rsidRDefault="00EC6B5A" w:rsidP="00BB5B1B">
      <w:pPr>
        <w:pStyle w:val="Box1Heading"/>
      </w:pPr>
      <w:r>
        <w:t>Top tips</w:t>
      </w:r>
    </w:p>
    <w:p w14:paraId="67EFF29B" w14:textId="52C78F84" w:rsidR="00647F00" w:rsidRDefault="00EC6B5A" w:rsidP="00BB5B1B">
      <w:pPr>
        <w:pStyle w:val="Box1Bullet"/>
      </w:pPr>
      <w:r>
        <w:t xml:space="preserve">Pre-portioning cakes, muffins and slices encourages consumers to reduce their </w:t>
      </w:r>
      <w:r w:rsidRPr="003A6EB6">
        <w:rPr>
          <w:b/>
          <w:bCs/>
        </w:rPr>
        <w:t>discretionary food</w:t>
      </w:r>
      <w:r>
        <w:t xml:space="preserve"> intake. </w:t>
      </w:r>
    </w:p>
    <w:p w14:paraId="7B3B22A2" w14:textId="1EE2AD43" w:rsidR="00647F00" w:rsidRDefault="00005989">
      <w:pPr>
        <w:pStyle w:val="NoParagraphStyle"/>
      </w:pPr>
      <w:r>
        <w:rPr>
          <w:noProof/>
        </w:rPr>
        <w:lastRenderedPageBreak/>
        <w:drawing>
          <wp:inline distT="0" distB="0" distL="0" distR="0" wp14:anchorId="4303525B" wp14:editId="37F4F5D6">
            <wp:extent cx="3960000" cy="3379509"/>
            <wp:effectExtent l="0" t="0" r="2540" b="0"/>
            <wp:docPr id="1" name="Picture 1" descr="Photo showing a slice of cake with relative size to the 19.4 centimetr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showing a slice of cake with relative size to the 19.4 centimetre plate"/>
                    <pic:cNvPicPr>
                      <a:picLocks noChangeAspect="1" noChangeArrowheads="1"/>
                    </pic:cNvPicPr>
                  </pic:nvPicPr>
                  <pic:blipFill rotWithShape="1">
                    <a:blip r:embed="rId12">
                      <a:extLst>
                        <a:ext uri="{28A0092B-C50C-407E-A947-70E740481C1C}">
                          <a14:useLocalDpi xmlns:a14="http://schemas.microsoft.com/office/drawing/2010/main" val="0"/>
                        </a:ext>
                      </a:extLst>
                    </a:blip>
                    <a:srcRect t="25050" b="18004"/>
                    <a:stretch/>
                  </pic:blipFill>
                  <pic:spPr bwMode="auto">
                    <a:xfrm>
                      <a:off x="0" y="0"/>
                      <a:ext cx="3960000" cy="3379509"/>
                    </a:xfrm>
                    <a:prstGeom prst="rect">
                      <a:avLst/>
                    </a:prstGeom>
                    <a:noFill/>
                    <a:ln>
                      <a:noFill/>
                    </a:ln>
                    <a:extLst>
                      <a:ext uri="{53640926-AAD7-44D8-BBD7-CCE9431645EC}">
                        <a14:shadowObscured xmlns:a14="http://schemas.microsoft.com/office/drawing/2010/main"/>
                      </a:ext>
                    </a:extLst>
                  </pic:spPr>
                </pic:pic>
              </a:graphicData>
            </a:graphic>
          </wp:inline>
        </w:drawing>
      </w:r>
    </w:p>
    <w:p w14:paraId="26ACAA7F" w14:textId="04518667" w:rsidR="0034640A" w:rsidRDefault="00EC6B5A" w:rsidP="0034640A">
      <w:r>
        <w:t xml:space="preserve">Small prop plate is 19.4 cm. </w:t>
      </w:r>
    </w:p>
    <w:p w14:paraId="469DCA26" w14:textId="77777777" w:rsidR="0034640A" w:rsidRDefault="0034640A">
      <w:pPr>
        <w:suppressAutoHyphens w:val="0"/>
      </w:pPr>
      <w:r>
        <w:br w:type="page"/>
      </w:r>
    </w:p>
    <w:p w14:paraId="1CE3E59C" w14:textId="77777777" w:rsidR="0034640A" w:rsidRPr="0034640A" w:rsidRDefault="0034640A" w:rsidP="008B47AD">
      <w:pPr>
        <w:pStyle w:val="Heading2NoTOC"/>
        <w:rPr>
          <w:rStyle w:val="Pink"/>
        </w:rPr>
      </w:pPr>
      <w:r w:rsidRPr="0034640A">
        <w:rPr>
          <w:rStyle w:val="Pink"/>
        </w:rPr>
        <w:lastRenderedPageBreak/>
        <w:t>Retail</w:t>
      </w:r>
    </w:p>
    <w:p w14:paraId="5C6354F5" w14:textId="035CDF01" w:rsidR="00647F00" w:rsidRPr="0034640A" w:rsidRDefault="00EC6B5A" w:rsidP="008B47AD">
      <w:pPr>
        <w:pStyle w:val="Heading2NoTOC"/>
      </w:pPr>
      <w:r w:rsidRPr="0034640A">
        <w:t>Cakes, muffins and slices</w:t>
      </w:r>
    </w:p>
    <w:p w14:paraId="69BF3450" w14:textId="38524C8B" w:rsidR="00647F00" w:rsidRDefault="0034640A" w:rsidP="0034640A">
      <w:r>
        <w:rPr>
          <w:noProof/>
        </w:rPr>
        <w:drawing>
          <wp:inline distT="0" distB="0" distL="0" distR="0" wp14:anchorId="484F31C2" wp14:editId="3EAA85FE">
            <wp:extent cx="6120000" cy="2724370"/>
            <wp:effectExtent l="0" t="0" r="0" b="0"/>
            <wp:docPr id="29" name="Picture 29" descr="Photo showing a 90 gram slice of cake of 5 centimetres height, a 90 gram muffin of 6 centimetres height, and a 45 gram piece of caramel slice of 2 centimetres height.&#10;Photo showing a slice of cake of 9 centimetres length and 7 centimetres outside arc, a muffin of 8 centimetres diameter, and a piece of caramel slice of 5 centimetres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hoto showing a 90 gram slice of cake of 5 centimetres height, a 90 gram muffin of 6 centimetres height, and a 45 gram piece of caramel slice of 2 centimetres height.&#10;Photo showing a slice of cake of 9 centimetres length and 7 centimetres outside arc, a muffin of 8 centimetres diameter, and a piece of caramel slice of 5 centimetres square"/>
                    <pic:cNvPicPr/>
                  </pic:nvPicPr>
                  <pic:blipFill>
                    <a:blip r:embed="rId13"/>
                    <a:stretch>
                      <a:fillRect/>
                    </a:stretch>
                  </pic:blipFill>
                  <pic:spPr>
                    <a:xfrm>
                      <a:off x="0" y="0"/>
                      <a:ext cx="6120000" cy="2724370"/>
                    </a:xfrm>
                    <a:prstGeom prst="rect">
                      <a:avLst/>
                    </a:prstGeom>
                  </pic:spPr>
                </pic:pic>
              </a:graphicData>
            </a:graphic>
          </wp:inline>
        </w:drawing>
      </w:r>
    </w:p>
    <w:p w14:paraId="6746BDD2" w14:textId="77777777" w:rsidR="00647F00" w:rsidRDefault="00EC6B5A" w:rsidP="0034640A">
      <w:r>
        <w:t xml:space="preserve">Freshly baked, frozen or shelf-stable cakes, muffins and slices sold in </w:t>
      </w:r>
      <w:r w:rsidRPr="003A6EB6">
        <w:rPr>
          <w:b/>
          <w:bCs/>
        </w:rPr>
        <w:t>retail</w:t>
      </w:r>
      <w:r>
        <w:t xml:space="preserve"> settings. Includes packet baking mixes. </w:t>
      </w:r>
    </w:p>
    <w:p w14:paraId="1FED1C8C" w14:textId="77777777" w:rsidR="00647F00" w:rsidRPr="003A6EB6" w:rsidRDefault="00EC6B5A" w:rsidP="0034640A">
      <w:pPr>
        <w:rPr>
          <w:b/>
          <w:bCs/>
        </w:rPr>
      </w:pPr>
      <w:r w:rsidRPr="003A6EB6">
        <w:rPr>
          <w:b/>
          <w:bCs/>
        </w:rPr>
        <w:t xml:space="preserve">Includes three sub-categories: </w:t>
      </w:r>
    </w:p>
    <w:p w14:paraId="666CF8FB" w14:textId="77777777" w:rsidR="00647F00" w:rsidRDefault="00EC6B5A" w:rsidP="0034640A">
      <w:pPr>
        <w:pStyle w:val="List1Numbered2"/>
        <w:numPr>
          <w:ilvl w:val="1"/>
          <w:numId w:val="14"/>
        </w:numPr>
      </w:pPr>
      <w:r>
        <w:t xml:space="preserve">Cakes </w:t>
      </w:r>
    </w:p>
    <w:p w14:paraId="7D989204" w14:textId="77777777" w:rsidR="00647F00" w:rsidRDefault="00EC6B5A" w:rsidP="0034640A">
      <w:pPr>
        <w:pStyle w:val="List1Numbered2"/>
      </w:pPr>
      <w:r>
        <w:t xml:space="preserve">Muffins </w:t>
      </w:r>
    </w:p>
    <w:p w14:paraId="6126A5AD" w14:textId="77777777" w:rsidR="00647F00" w:rsidRDefault="00EC6B5A" w:rsidP="0034640A">
      <w:pPr>
        <w:pStyle w:val="List1Numbered2"/>
      </w:pPr>
      <w:r>
        <w:t>Slices</w:t>
      </w:r>
    </w:p>
    <w:p w14:paraId="22AED25D" w14:textId="77777777" w:rsidR="00647F00" w:rsidRDefault="00EC6B5A" w:rsidP="0034640A">
      <w:pPr>
        <w:pStyle w:val="Heading3"/>
      </w:pPr>
      <w:r>
        <w:t>Maximum serving size recommendation</w:t>
      </w:r>
    </w:p>
    <w:p w14:paraId="27C8FE92" w14:textId="77777777" w:rsidR="00647F00" w:rsidRDefault="00EC6B5A" w:rsidP="0034640A">
      <w:r>
        <w:t>(</w:t>
      </w:r>
      <w:proofErr w:type="gramStart"/>
      <w:r>
        <w:t>up</w:t>
      </w:r>
      <w:proofErr w:type="gramEnd"/>
      <w:r>
        <w:t xml:space="preserve"> to the weight indicated)</w:t>
      </w:r>
    </w:p>
    <w:p w14:paraId="64DAF723" w14:textId="377B78A4" w:rsidR="0034640A" w:rsidRDefault="00EC6B5A" w:rsidP="0034640A">
      <w:pPr>
        <w:pStyle w:val="Box2Text"/>
      </w:pPr>
      <w:r>
        <w:t xml:space="preserve">Dimensions are an approximation for size. </w:t>
      </w:r>
      <w:r w:rsidRPr="009E603A">
        <w:rPr>
          <w:b/>
          <w:bCs/>
        </w:rPr>
        <w:t>Follow weight measures for an accurate serving size.</w:t>
      </w:r>
    </w:p>
    <w:p w14:paraId="16CFEBA5" w14:textId="77777777" w:rsidR="0034640A" w:rsidRDefault="0034640A">
      <w:pPr>
        <w:suppressAutoHyphens w:val="0"/>
      </w:pPr>
      <w:r>
        <w:br w:type="page"/>
      </w:r>
    </w:p>
    <w:p w14:paraId="428B94BF" w14:textId="77777777" w:rsidR="00647F00" w:rsidRPr="0034640A" w:rsidRDefault="00EC6B5A" w:rsidP="0034640A">
      <w:pPr>
        <w:pStyle w:val="Heading2"/>
      </w:pPr>
      <w:bookmarkStart w:id="16" w:name="_Toc106974807"/>
      <w:r w:rsidRPr="0034640A">
        <w:lastRenderedPageBreak/>
        <w:t xml:space="preserve">Cakes, muffins and slices </w:t>
      </w:r>
      <w:r w:rsidRPr="0034640A">
        <w:rPr>
          <w:rStyle w:val="Pink"/>
        </w:rPr>
        <w:t>• Out of Home</w:t>
      </w:r>
      <w:bookmarkEnd w:id="16"/>
    </w:p>
    <w:p w14:paraId="7FD64DA2" w14:textId="77777777" w:rsidR="00647F00" w:rsidRDefault="00EC6B5A" w:rsidP="0034640A">
      <w:pPr>
        <w:pStyle w:val="Heading3"/>
      </w:pPr>
      <w:r>
        <w:t>Category definition</w:t>
      </w:r>
    </w:p>
    <w:p w14:paraId="5B6D2F6B" w14:textId="77777777" w:rsidR="00647F00" w:rsidRDefault="00EC6B5A" w:rsidP="0034640A">
      <w:r>
        <w:t xml:space="preserve">Freshly baked, frozen or shelf-stable cakes, muffins and slices sold in the </w:t>
      </w:r>
      <w:r w:rsidRPr="003A6EB6">
        <w:rPr>
          <w:b/>
          <w:bCs/>
        </w:rPr>
        <w:t>out of home</w:t>
      </w:r>
      <w:r>
        <w:t xml:space="preserve"> sector. </w:t>
      </w:r>
    </w:p>
    <w:p w14:paraId="06C1078C" w14:textId="77777777" w:rsidR="00647F00" w:rsidRPr="003A6EB6" w:rsidRDefault="00EC6B5A" w:rsidP="0034640A">
      <w:pPr>
        <w:rPr>
          <w:b/>
          <w:bCs/>
        </w:rPr>
      </w:pPr>
      <w:r w:rsidRPr="003A6EB6">
        <w:rPr>
          <w:b/>
          <w:bCs/>
        </w:rPr>
        <w:t xml:space="preserve">Includes four sub-categories: </w:t>
      </w:r>
    </w:p>
    <w:p w14:paraId="364B3A03" w14:textId="5F190B31" w:rsidR="00647F00" w:rsidRDefault="00EC6B5A" w:rsidP="0034640A">
      <w:pPr>
        <w:pStyle w:val="List1Numbered2"/>
        <w:numPr>
          <w:ilvl w:val="1"/>
          <w:numId w:val="15"/>
        </w:numPr>
      </w:pPr>
      <w:r>
        <w:t>Cakes – heavy weight</w:t>
      </w:r>
      <w:r w:rsidR="00784A36">
        <w:t xml:space="preserve"> (mud cakes and cheesecakes only)</w:t>
      </w:r>
    </w:p>
    <w:p w14:paraId="7EFD48BF" w14:textId="77777777" w:rsidR="00647F00" w:rsidRDefault="00EC6B5A" w:rsidP="0034640A">
      <w:pPr>
        <w:pStyle w:val="List1Numbered2"/>
      </w:pPr>
      <w:r>
        <w:t>Cakes – light-medium weight</w:t>
      </w:r>
    </w:p>
    <w:p w14:paraId="55DCC86A" w14:textId="77777777" w:rsidR="00647F00" w:rsidRDefault="00EC6B5A" w:rsidP="0034640A">
      <w:pPr>
        <w:pStyle w:val="List1Numbered2"/>
      </w:pPr>
      <w:r>
        <w:t xml:space="preserve">Muffins </w:t>
      </w:r>
    </w:p>
    <w:p w14:paraId="12015C42" w14:textId="77777777" w:rsidR="00647F00" w:rsidRDefault="00EC6B5A" w:rsidP="0034640A">
      <w:pPr>
        <w:pStyle w:val="List1Numbered2"/>
      </w:pPr>
      <w:r>
        <w:t>Slices</w:t>
      </w:r>
    </w:p>
    <w:p w14:paraId="593D09F8" w14:textId="77777777" w:rsidR="00647F00" w:rsidRPr="008B47AD" w:rsidRDefault="00EC6B5A" w:rsidP="008B47AD">
      <w:pPr>
        <w:pStyle w:val="Box2Heading"/>
      </w:pPr>
      <w:r w:rsidRPr="008B47AD">
        <w:t>Maximum serving size recommendation</w:t>
      </w:r>
    </w:p>
    <w:p w14:paraId="15B45F90" w14:textId="77777777" w:rsidR="00647F00" w:rsidRDefault="00EC6B5A" w:rsidP="008B47AD">
      <w:pPr>
        <w:pStyle w:val="Box2Text"/>
      </w:pPr>
      <w:r w:rsidRPr="003A6EB6">
        <w:rPr>
          <w:b/>
          <w:bCs/>
        </w:rPr>
        <w:t>Cakes – heavy weight:</w:t>
      </w:r>
      <w:r>
        <w:t xml:space="preserve"> up to 150 g</w:t>
      </w:r>
    </w:p>
    <w:p w14:paraId="43C2E371" w14:textId="77777777" w:rsidR="00647F00" w:rsidRDefault="00EC6B5A" w:rsidP="008B47AD">
      <w:pPr>
        <w:pStyle w:val="Box2Text"/>
      </w:pPr>
      <w:r w:rsidRPr="003A6EB6">
        <w:rPr>
          <w:b/>
          <w:bCs/>
        </w:rPr>
        <w:t>Cakes – light-medium weight:</w:t>
      </w:r>
      <w:r>
        <w:t xml:space="preserve"> up to 125 g </w:t>
      </w:r>
    </w:p>
    <w:p w14:paraId="269C2E82" w14:textId="77777777" w:rsidR="00647F00" w:rsidRDefault="00EC6B5A" w:rsidP="008B47AD">
      <w:pPr>
        <w:pStyle w:val="Box2Text"/>
      </w:pPr>
      <w:r w:rsidRPr="003A6EB6">
        <w:rPr>
          <w:b/>
          <w:bCs/>
        </w:rPr>
        <w:t>Muffins:</w:t>
      </w:r>
      <w:r>
        <w:t xml:space="preserve"> up to 150 g</w:t>
      </w:r>
    </w:p>
    <w:p w14:paraId="50B0FD81" w14:textId="77777777" w:rsidR="00647F00" w:rsidRDefault="00EC6B5A" w:rsidP="008B47AD">
      <w:pPr>
        <w:pStyle w:val="Box2Text"/>
      </w:pPr>
      <w:r w:rsidRPr="003A6EB6">
        <w:rPr>
          <w:b/>
          <w:bCs/>
        </w:rPr>
        <w:t>Slices:</w:t>
      </w:r>
      <w:r>
        <w:t xml:space="preserve"> up to 90 g</w:t>
      </w:r>
    </w:p>
    <w:p w14:paraId="30FA1442" w14:textId="77777777" w:rsidR="00647F00" w:rsidRDefault="00EC6B5A" w:rsidP="008B47AD">
      <w:pPr>
        <w:pStyle w:val="Heading3"/>
      </w:pPr>
      <w:r>
        <w:t>Why this serving size?</w:t>
      </w:r>
    </w:p>
    <w:p w14:paraId="04E7EC04" w14:textId="5588AF32" w:rsidR="00647F00" w:rsidRDefault="00EC6B5A" w:rsidP="008B47AD">
      <w:pPr>
        <w:pStyle w:val="Bullet1"/>
      </w:pPr>
      <w:r>
        <w:t>Recognises serving sizes have increased over time,</w:t>
      </w:r>
      <w:r w:rsidR="00406080" w:rsidRPr="00406080">
        <w:rPr>
          <w:rStyle w:val="EndnoteReference"/>
        </w:rPr>
        <w:fldChar w:fldCharType="begin"/>
      </w:r>
      <w:r w:rsidR="00406080" w:rsidRPr="00406080">
        <w:rPr>
          <w:rStyle w:val="EndnoteReference"/>
        </w:rPr>
        <w:instrText xml:space="preserve"> NOTEREF _Ref106972044 \h </w:instrText>
      </w:r>
      <w:r w:rsidR="00406080">
        <w:rPr>
          <w:rStyle w:val="EndnoteReference"/>
        </w:rPr>
        <w:instrText xml:space="preserve"> \* MERGEFORMAT </w:instrText>
      </w:r>
      <w:r w:rsidR="00406080" w:rsidRPr="00406080">
        <w:rPr>
          <w:rStyle w:val="EndnoteReference"/>
        </w:rPr>
      </w:r>
      <w:r w:rsidR="00406080" w:rsidRPr="00406080">
        <w:rPr>
          <w:rStyle w:val="EndnoteReference"/>
        </w:rPr>
        <w:fldChar w:fldCharType="separate"/>
      </w:r>
      <w:r w:rsidR="00406080" w:rsidRPr="00406080">
        <w:rPr>
          <w:rStyle w:val="EndnoteReference"/>
        </w:rPr>
        <w:t>4</w:t>
      </w:r>
      <w:r w:rsidR="00406080" w:rsidRPr="00406080">
        <w:rPr>
          <w:rStyle w:val="EndnoteReference"/>
        </w:rPr>
        <w:fldChar w:fldCharType="end"/>
      </w:r>
      <w:r>
        <w:t xml:space="preserve"> and differences between retail and </w:t>
      </w:r>
      <w:r w:rsidRPr="003A6EB6">
        <w:rPr>
          <w:b/>
          <w:bCs/>
        </w:rPr>
        <w:t>out of home</w:t>
      </w:r>
      <w:r>
        <w:t xml:space="preserve"> eating occasions.</w:t>
      </w:r>
      <w:r w:rsidR="00406080" w:rsidRPr="00406080">
        <w:rPr>
          <w:rStyle w:val="EndnoteReference"/>
        </w:rPr>
        <w:fldChar w:fldCharType="begin"/>
      </w:r>
      <w:r w:rsidR="00406080" w:rsidRPr="00406080">
        <w:rPr>
          <w:rStyle w:val="EndnoteReference"/>
        </w:rPr>
        <w:instrText xml:space="preserve"> NOTEREF _Ref106972146 \h </w:instrText>
      </w:r>
      <w:r w:rsidR="00406080">
        <w:rPr>
          <w:rStyle w:val="EndnoteReference"/>
        </w:rPr>
        <w:instrText xml:space="preserve"> \* MERGEFORMAT </w:instrText>
      </w:r>
      <w:r w:rsidR="00406080" w:rsidRPr="00406080">
        <w:rPr>
          <w:rStyle w:val="EndnoteReference"/>
        </w:rPr>
      </w:r>
      <w:r w:rsidR="00406080" w:rsidRPr="00406080">
        <w:rPr>
          <w:rStyle w:val="EndnoteReference"/>
        </w:rPr>
        <w:fldChar w:fldCharType="separate"/>
      </w:r>
      <w:r w:rsidR="00406080" w:rsidRPr="00406080">
        <w:rPr>
          <w:rStyle w:val="EndnoteReference"/>
        </w:rPr>
        <w:t>11</w:t>
      </w:r>
      <w:r w:rsidR="00406080" w:rsidRPr="00406080">
        <w:rPr>
          <w:rStyle w:val="EndnoteReference"/>
        </w:rPr>
        <w:fldChar w:fldCharType="end"/>
      </w:r>
    </w:p>
    <w:p w14:paraId="5056063B" w14:textId="4BC36EDF" w:rsidR="00647F00" w:rsidRDefault="00EC6B5A" w:rsidP="008B47AD">
      <w:pPr>
        <w:pStyle w:val="Bullet1"/>
      </w:pPr>
      <w:r>
        <w:t>Accounts for differences in serving sizes within sub-categories informed by market research.</w:t>
      </w:r>
      <w:bookmarkStart w:id="17" w:name="_Ref106972163"/>
      <w:r w:rsidR="00AD7342">
        <w:rPr>
          <w:rStyle w:val="EndnoteReference"/>
        </w:rPr>
        <w:endnoteReference w:id="14"/>
      </w:r>
      <w:bookmarkEnd w:id="17"/>
    </w:p>
    <w:p w14:paraId="0F39E8CB" w14:textId="038925EF" w:rsidR="00647F00" w:rsidRDefault="00EC6B5A" w:rsidP="008B47AD">
      <w:pPr>
        <w:pStyle w:val="Bullet1"/>
      </w:pPr>
      <w:r>
        <w:t>Aligns with international guidance.</w:t>
      </w:r>
      <w:bookmarkStart w:id="18" w:name="_Ref106972185"/>
      <w:r w:rsidR="00AD7342">
        <w:rPr>
          <w:rStyle w:val="EndnoteReference"/>
        </w:rPr>
        <w:endnoteReference w:id="15"/>
      </w:r>
      <w:bookmarkEnd w:id="18"/>
      <w:r>
        <w:rPr>
          <w:rStyle w:val="EndnoteReference"/>
        </w:rPr>
        <w:t xml:space="preserve">, </w:t>
      </w:r>
      <w:bookmarkStart w:id="19" w:name="_Ref106972192"/>
      <w:r w:rsidR="00AD7342">
        <w:rPr>
          <w:rStyle w:val="EndnoteReference"/>
        </w:rPr>
        <w:endnoteReference w:id="16"/>
      </w:r>
      <w:bookmarkEnd w:id="19"/>
    </w:p>
    <w:p w14:paraId="3BA461AD" w14:textId="77777777" w:rsidR="00647F00" w:rsidRDefault="00EC6B5A" w:rsidP="008B47AD">
      <w:pPr>
        <w:pStyle w:val="Bullet1"/>
      </w:pPr>
      <w:r>
        <w:t xml:space="preserve">Considers consumer acceptance and takes a nudging approach. </w:t>
      </w:r>
    </w:p>
    <w:p w14:paraId="2C4410F3" w14:textId="77777777" w:rsidR="00647F00" w:rsidRDefault="00EC6B5A" w:rsidP="008B47AD">
      <w:pPr>
        <w:pStyle w:val="Box1Heading"/>
      </w:pPr>
      <w:r>
        <w:t>Tips for successful implementation</w:t>
      </w:r>
    </w:p>
    <w:p w14:paraId="4A4B11B8" w14:textId="7F97BCE1" w:rsidR="00647F00" w:rsidRDefault="00EC6B5A" w:rsidP="008B47AD">
      <w:pPr>
        <w:pStyle w:val="Box1Bullet"/>
      </w:pPr>
      <w:r>
        <w:t>Plate up on smaller plates.</w:t>
      </w:r>
    </w:p>
    <w:p w14:paraId="3CF398B6" w14:textId="77777777" w:rsidR="00647F00" w:rsidRDefault="00EC6B5A" w:rsidP="008B47AD">
      <w:pPr>
        <w:pStyle w:val="Box1Heading"/>
      </w:pPr>
      <w:r>
        <w:t>Top tips</w:t>
      </w:r>
    </w:p>
    <w:p w14:paraId="683641ED" w14:textId="636A190D" w:rsidR="00647F00" w:rsidRDefault="00EC6B5A" w:rsidP="008B47AD">
      <w:pPr>
        <w:pStyle w:val="Box1Bullet"/>
      </w:pPr>
      <w:r>
        <w:t xml:space="preserve">Experiment with your existing deep muffin/cake/slice moulds, tins, cases or trays and reduce the height of your filling to reduce the overall serving size towards the target. </w:t>
      </w:r>
    </w:p>
    <w:p w14:paraId="048C09B4" w14:textId="2D368FD8" w:rsidR="00647F00" w:rsidRDefault="00EC6B5A" w:rsidP="008B47AD">
      <w:pPr>
        <w:pStyle w:val="Box1Bullet"/>
      </w:pPr>
      <w:r>
        <w:t>Offer and promote half size portions (mini) of cakes, muffins and slices.</w:t>
      </w:r>
    </w:p>
    <w:p w14:paraId="0B5CE163" w14:textId="74954150" w:rsidR="00647F00" w:rsidRDefault="00005989">
      <w:pPr>
        <w:pStyle w:val="NoParagraphStyle"/>
      </w:pPr>
      <w:r>
        <w:rPr>
          <w:noProof/>
        </w:rPr>
        <w:lastRenderedPageBreak/>
        <w:drawing>
          <wp:inline distT="0" distB="0" distL="0" distR="0" wp14:anchorId="7D95C73B" wp14:editId="34BF80A4">
            <wp:extent cx="3960000" cy="3624795"/>
            <wp:effectExtent l="0" t="0" r="2540" b="0"/>
            <wp:docPr id="4" name="Picture 4" descr="Photo showing a slice of cake with relative size to the 19.4 centimetr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showing a slice of cake with relative size to the 19.4 centimetre plate"/>
                    <pic:cNvPicPr>
                      <a:picLocks noChangeAspect="1" noChangeArrowheads="1"/>
                    </pic:cNvPicPr>
                  </pic:nvPicPr>
                  <pic:blipFill rotWithShape="1">
                    <a:blip r:embed="rId14">
                      <a:extLst>
                        <a:ext uri="{28A0092B-C50C-407E-A947-70E740481C1C}">
                          <a14:useLocalDpi xmlns:a14="http://schemas.microsoft.com/office/drawing/2010/main" val="0"/>
                        </a:ext>
                      </a:extLst>
                    </a:blip>
                    <a:srcRect t="26306" b="12735"/>
                    <a:stretch/>
                  </pic:blipFill>
                  <pic:spPr bwMode="auto">
                    <a:xfrm>
                      <a:off x="0" y="0"/>
                      <a:ext cx="3960000" cy="3624795"/>
                    </a:xfrm>
                    <a:prstGeom prst="rect">
                      <a:avLst/>
                    </a:prstGeom>
                    <a:noFill/>
                    <a:ln>
                      <a:noFill/>
                    </a:ln>
                    <a:extLst>
                      <a:ext uri="{53640926-AAD7-44D8-BBD7-CCE9431645EC}">
                        <a14:shadowObscured xmlns:a14="http://schemas.microsoft.com/office/drawing/2010/main"/>
                      </a:ext>
                    </a:extLst>
                  </pic:spPr>
                </pic:pic>
              </a:graphicData>
            </a:graphic>
          </wp:inline>
        </w:drawing>
      </w:r>
    </w:p>
    <w:p w14:paraId="053F3FC7" w14:textId="327E79B7" w:rsidR="008B47AD" w:rsidRDefault="00EC6B5A" w:rsidP="008B47AD">
      <w:r>
        <w:t xml:space="preserve">Small prop plate is 19.4 cm. </w:t>
      </w:r>
    </w:p>
    <w:p w14:paraId="391032DA" w14:textId="77777777" w:rsidR="008B47AD" w:rsidRDefault="008B47AD">
      <w:pPr>
        <w:suppressAutoHyphens w:val="0"/>
      </w:pPr>
      <w:r>
        <w:br w:type="page"/>
      </w:r>
    </w:p>
    <w:p w14:paraId="667E5A3B" w14:textId="77777777" w:rsidR="00647F00" w:rsidRPr="008B47AD" w:rsidRDefault="00EC6B5A" w:rsidP="008B47AD">
      <w:pPr>
        <w:pStyle w:val="Heading2NoTOC"/>
        <w:rPr>
          <w:rStyle w:val="Pink"/>
        </w:rPr>
      </w:pPr>
      <w:r w:rsidRPr="008B47AD">
        <w:rPr>
          <w:rStyle w:val="Pink"/>
        </w:rPr>
        <w:lastRenderedPageBreak/>
        <w:t>Out of Home</w:t>
      </w:r>
    </w:p>
    <w:p w14:paraId="18587855" w14:textId="77777777" w:rsidR="00647F00" w:rsidRPr="008B47AD" w:rsidRDefault="00EC6B5A" w:rsidP="008B47AD">
      <w:pPr>
        <w:pStyle w:val="Heading2NoTOC"/>
      </w:pPr>
      <w:r w:rsidRPr="008B47AD">
        <w:t>Cakes, muffins and slices</w:t>
      </w:r>
    </w:p>
    <w:p w14:paraId="150D01C4" w14:textId="46958923" w:rsidR="00647F00" w:rsidRDefault="009E603A" w:rsidP="008B47AD">
      <w:r>
        <w:rPr>
          <w:noProof/>
        </w:rPr>
        <w:drawing>
          <wp:inline distT="0" distB="0" distL="0" distR="0" wp14:anchorId="71BACF2A" wp14:editId="16A8E3B6">
            <wp:extent cx="6120000" cy="2335852"/>
            <wp:effectExtent l="0" t="0" r="0" b="7620"/>
            <wp:docPr id="30" name="Picture 30" descr="Photo showing a 150 gram slice of cake of 9 centimtres height, a 150 gram muffin of 8 centimetres height, a slice of  125 gram light bread cake, and a 90 gram piece of caramel slice of 2 centimetres height&#10;Photo showing an 18 centimetre cake with a slice removed, a slice of cake of 9 centimetres length and 5 centimetres outside arc, a slice of light bread cake or 10 centimetres square, a muffin of 10 centimetres diameter, and a piece of caramel slice of 6 centimetres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hoto showing a 150 gram slice of cake of 9 centimtres height, a 150 gram muffin of 8 centimetres height, a slice of  125 gram light bread cake, and a 90 gram piece of caramel slice of 2 centimetres height&#10;Photo showing an 18 centimetre cake with a slice removed, a slice of cake of 9 centimetres length and 5 centimetres outside arc, a slice of light bread cake or 10 centimetres square, a muffin of 10 centimetres diameter, and a piece of caramel slice of 6 centimetres square"/>
                    <pic:cNvPicPr/>
                  </pic:nvPicPr>
                  <pic:blipFill>
                    <a:blip r:embed="rId15"/>
                    <a:stretch>
                      <a:fillRect/>
                    </a:stretch>
                  </pic:blipFill>
                  <pic:spPr>
                    <a:xfrm>
                      <a:off x="0" y="0"/>
                      <a:ext cx="6120000" cy="2335852"/>
                    </a:xfrm>
                    <a:prstGeom prst="rect">
                      <a:avLst/>
                    </a:prstGeom>
                  </pic:spPr>
                </pic:pic>
              </a:graphicData>
            </a:graphic>
          </wp:inline>
        </w:drawing>
      </w:r>
    </w:p>
    <w:p w14:paraId="2F09681D" w14:textId="77777777" w:rsidR="00647F00" w:rsidRDefault="00EC6B5A" w:rsidP="008B47AD">
      <w:r>
        <w:t xml:space="preserve">Freshly baked, frozen or shelf-stable cakes, muffins and slices sold in the out of home sector. </w:t>
      </w:r>
    </w:p>
    <w:p w14:paraId="16EBE4F3" w14:textId="77777777" w:rsidR="00647F00" w:rsidRPr="003A6EB6" w:rsidRDefault="00EC6B5A" w:rsidP="008B47AD">
      <w:pPr>
        <w:rPr>
          <w:b/>
          <w:bCs/>
        </w:rPr>
      </w:pPr>
      <w:r w:rsidRPr="003A6EB6">
        <w:rPr>
          <w:b/>
          <w:bCs/>
        </w:rPr>
        <w:t xml:space="preserve">Includes four sub-categories: </w:t>
      </w:r>
    </w:p>
    <w:p w14:paraId="72BAEB88" w14:textId="35679309" w:rsidR="00647F00" w:rsidRDefault="00EC6B5A" w:rsidP="008B47AD">
      <w:pPr>
        <w:pStyle w:val="List1Numbered2"/>
        <w:numPr>
          <w:ilvl w:val="1"/>
          <w:numId w:val="16"/>
        </w:numPr>
      </w:pPr>
      <w:r>
        <w:t>Cakes – heavy weight</w:t>
      </w:r>
      <w:r w:rsidR="00784A36">
        <w:t xml:space="preserve"> (mud cakes and cheesecakes only)</w:t>
      </w:r>
      <w:r>
        <w:t xml:space="preserve"> </w:t>
      </w:r>
    </w:p>
    <w:p w14:paraId="07EAB586" w14:textId="77777777" w:rsidR="00647F00" w:rsidRDefault="00EC6B5A" w:rsidP="008B47AD">
      <w:pPr>
        <w:pStyle w:val="List1Numbered2"/>
      </w:pPr>
      <w:r>
        <w:t>Cakes – light-medium weight</w:t>
      </w:r>
    </w:p>
    <w:p w14:paraId="5242858F" w14:textId="77777777" w:rsidR="00647F00" w:rsidRDefault="00EC6B5A" w:rsidP="008B47AD">
      <w:pPr>
        <w:pStyle w:val="List1Numbered2"/>
      </w:pPr>
      <w:r>
        <w:t xml:space="preserve">Muffins </w:t>
      </w:r>
    </w:p>
    <w:p w14:paraId="5D0A9B69" w14:textId="77777777" w:rsidR="00647F00" w:rsidRDefault="00EC6B5A" w:rsidP="008B47AD">
      <w:pPr>
        <w:pStyle w:val="List1Numbered2"/>
      </w:pPr>
      <w:r>
        <w:t>Slices</w:t>
      </w:r>
    </w:p>
    <w:p w14:paraId="7AF8EA86" w14:textId="77777777" w:rsidR="00647F00" w:rsidRDefault="00EC6B5A" w:rsidP="009E603A">
      <w:pPr>
        <w:pStyle w:val="Heading3"/>
      </w:pPr>
      <w:r>
        <w:t>Maximum serving size recommendation</w:t>
      </w:r>
    </w:p>
    <w:p w14:paraId="3A4A1FA6" w14:textId="77777777" w:rsidR="00647F00" w:rsidRDefault="00EC6B5A" w:rsidP="009E603A">
      <w:r>
        <w:t>(</w:t>
      </w:r>
      <w:proofErr w:type="gramStart"/>
      <w:r>
        <w:t>up</w:t>
      </w:r>
      <w:proofErr w:type="gramEnd"/>
      <w:r>
        <w:t xml:space="preserve"> to the weight indicated)</w:t>
      </w:r>
    </w:p>
    <w:p w14:paraId="48ACFEA4" w14:textId="6C13DDFF" w:rsidR="009E603A" w:rsidRDefault="00EC6B5A" w:rsidP="009E603A">
      <w:pPr>
        <w:pStyle w:val="Box2Text"/>
        <w:rPr>
          <w:b/>
          <w:bCs/>
        </w:rPr>
      </w:pPr>
      <w:r>
        <w:t xml:space="preserve">Dimensions are an approximation for size. </w:t>
      </w:r>
      <w:r w:rsidRPr="009E603A">
        <w:rPr>
          <w:b/>
          <w:bCs/>
        </w:rPr>
        <w:t>Follow weight measures for an accurate serving size.</w:t>
      </w:r>
    </w:p>
    <w:p w14:paraId="513876B2" w14:textId="77777777" w:rsidR="009E603A" w:rsidRDefault="009E603A">
      <w:pPr>
        <w:suppressAutoHyphens w:val="0"/>
        <w:rPr>
          <w:b/>
          <w:bCs/>
        </w:rPr>
      </w:pPr>
      <w:r>
        <w:rPr>
          <w:b/>
          <w:bCs/>
        </w:rPr>
        <w:br w:type="page"/>
      </w:r>
    </w:p>
    <w:p w14:paraId="51A6E5BD" w14:textId="77777777" w:rsidR="00647F00" w:rsidRPr="009E603A" w:rsidRDefault="00EC6B5A" w:rsidP="009E603A">
      <w:pPr>
        <w:pStyle w:val="Heading2"/>
      </w:pPr>
      <w:bookmarkStart w:id="20" w:name="_Toc106974808"/>
      <w:r w:rsidRPr="009E603A">
        <w:lastRenderedPageBreak/>
        <w:t xml:space="preserve">Chilled beverages </w:t>
      </w:r>
      <w:r w:rsidRPr="009E603A">
        <w:rPr>
          <w:rStyle w:val="Pink"/>
        </w:rPr>
        <w:t>• Out of Home</w:t>
      </w:r>
      <w:bookmarkEnd w:id="20"/>
    </w:p>
    <w:p w14:paraId="0AC85962" w14:textId="77777777" w:rsidR="00647F00" w:rsidRDefault="00EC6B5A" w:rsidP="009E603A">
      <w:pPr>
        <w:pStyle w:val="Heading3"/>
      </w:pPr>
      <w:r>
        <w:t>Category definition</w:t>
      </w:r>
    </w:p>
    <w:p w14:paraId="4319B049" w14:textId="77777777" w:rsidR="00647F00" w:rsidRDefault="00EC6B5A" w:rsidP="006126D3">
      <w:r>
        <w:t>Chilled beverages portioned on site and served cold in the out of home sector. This includes beverages such as:</w:t>
      </w:r>
    </w:p>
    <w:p w14:paraId="4B8CB663" w14:textId="77777777" w:rsidR="00647F00" w:rsidRDefault="00EC6B5A" w:rsidP="006126D3">
      <w:pPr>
        <w:pStyle w:val="Bullet1"/>
      </w:pPr>
      <w:r>
        <w:t>Non-alcoholic beverages, soft drinks, fruit juice/drinks, and brewed soft drinks (defined in the Australia New Zealand Food Standards Code, Standard 2.6.2)</w:t>
      </w:r>
    </w:p>
    <w:p w14:paraId="703DD3F2" w14:textId="77777777" w:rsidR="00647F00" w:rsidRDefault="00EC6B5A" w:rsidP="006126D3">
      <w:pPr>
        <w:pStyle w:val="Bullet1"/>
      </w:pPr>
      <w:r>
        <w:t>Energy drinks (defined in Standard 2.6.4), and</w:t>
      </w:r>
    </w:p>
    <w:p w14:paraId="0EF8DEE8" w14:textId="77777777" w:rsidR="00647F00" w:rsidRDefault="00EC6B5A" w:rsidP="006126D3">
      <w:pPr>
        <w:pStyle w:val="Bullet1"/>
      </w:pPr>
      <w:r>
        <w:t xml:space="preserve">Sweetened dairy-based drinks (including plant-based dairy-alternatives). </w:t>
      </w:r>
    </w:p>
    <w:p w14:paraId="7C8C24A6" w14:textId="77777777" w:rsidR="00647F00" w:rsidRDefault="00EC6B5A" w:rsidP="006126D3">
      <w:r>
        <w:t xml:space="preserve">Includes </w:t>
      </w:r>
      <w:r w:rsidRPr="003A6EB6">
        <w:rPr>
          <w:b/>
          <w:bCs/>
        </w:rPr>
        <w:t>non-nutritive sweetened</w:t>
      </w:r>
      <w:r>
        <w:t xml:space="preserve"> varieties.</w:t>
      </w:r>
    </w:p>
    <w:p w14:paraId="2766E141" w14:textId="77777777" w:rsidR="00647F00" w:rsidRDefault="00EC6B5A" w:rsidP="006126D3">
      <w:pPr>
        <w:pStyle w:val="Box2Heading"/>
      </w:pPr>
      <w:r>
        <w:rPr>
          <w:rStyle w:val="Pink"/>
        </w:rPr>
        <w:t>Maximum serving size recommendation</w:t>
      </w:r>
    </w:p>
    <w:p w14:paraId="30DC3249" w14:textId="77777777" w:rsidR="00647F00" w:rsidRPr="003A6EB6" w:rsidRDefault="00EC6B5A" w:rsidP="006126D3">
      <w:pPr>
        <w:pStyle w:val="Box2Text"/>
        <w:rPr>
          <w:b/>
          <w:bCs/>
        </w:rPr>
      </w:pPr>
      <w:r w:rsidRPr="003A6EB6">
        <w:rPr>
          <w:b/>
          <w:bCs/>
        </w:rPr>
        <w:t>Up to 450 mL</w:t>
      </w:r>
    </w:p>
    <w:p w14:paraId="0A81F2CA" w14:textId="77777777" w:rsidR="00647F00" w:rsidRPr="006126D3" w:rsidRDefault="00EC6B5A" w:rsidP="006126D3">
      <w:pPr>
        <w:pStyle w:val="Box2Text"/>
        <w:rPr>
          <w:rStyle w:val="Pink"/>
          <w:b/>
          <w:bCs/>
        </w:rPr>
      </w:pPr>
      <w:r w:rsidRPr="006126D3">
        <w:rPr>
          <w:rStyle w:val="Pink"/>
          <w:b/>
          <w:bCs/>
        </w:rPr>
        <w:t>Additional guidance for meal deals</w:t>
      </w:r>
    </w:p>
    <w:p w14:paraId="364BE1CF" w14:textId="77777777" w:rsidR="00647F00" w:rsidRDefault="00EC6B5A" w:rsidP="006126D3">
      <w:pPr>
        <w:pStyle w:val="Box2Text"/>
      </w:pPr>
      <w:r>
        <w:t xml:space="preserve">It is also recommended the following guidance be adopted for pre-packaged beverages, depending on meal size ordered: </w:t>
      </w:r>
    </w:p>
    <w:p w14:paraId="1822A568" w14:textId="77777777" w:rsidR="00647F00" w:rsidRDefault="00EC6B5A" w:rsidP="006126D3">
      <w:pPr>
        <w:pStyle w:val="Box2Bullet"/>
      </w:pPr>
      <w:r w:rsidRPr="003A6EB6">
        <w:rPr>
          <w:b/>
          <w:bCs/>
        </w:rPr>
        <w:t>Small meal</w:t>
      </w:r>
      <w:r>
        <w:t xml:space="preserve"> </w:t>
      </w:r>
      <w:r>
        <w:br/>
        <w:t xml:space="preserve">200–250 mL bottle/can </w:t>
      </w:r>
    </w:p>
    <w:p w14:paraId="04304D25" w14:textId="77777777" w:rsidR="00647F00" w:rsidRDefault="00EC6B5A" w:rsidP="006126D3">
      <w:pPr>
        <w:pStyle w:val="Box2Bullet"/>
      </w:pPr>
      <w:r w:rsidRPr="003A6EB6">
        <w:rPr>
          <w:b/>
          <w:bCs/>
        </w:rPr>
        <w:t>Medium meal</w:t>
      </w:r>
      <w:r>
        <w:t xml:space="preserve"> </w:t>
      </w:r>
      <w:r>
        <w:br/>
        <w:t xml:space="preserve">300-375 mL bottle/can </w:t>
      </w:r>
    </w:p>
    <w:p w14:paraId="4C0C270F" w14:textId="77777777" w:rsidR="00647F00" w:rsidRDefault="00EC6B5A" w:rsidP="006126D3">
      <w:pPr>
        <w:pStyle w:val="Box2Bullet"/>
      </w:pPr>
      <w:r w:rsidRPr="003A6EB6">
        <w:rPr>
          <w:b/>
          <w:bCs/>
        </w:rPr>
        <w:t>Large meal</w:t>
      </w:r>
      <w:r>
        <w:t xml:space="preserve"> </w:t>
      </w:r>
      <w:r>
        <w:br/>
        <w:t>390–450 mL bottle/can</w:t>
      </w:r>
    </w:p>
    <w:p w14:paraId="09434125" w14:textId="77777777" w:rsidR="00647F00" w:rsidRDefault="00EC6B5A" w:rsidP="006126D3">
      <w:pPr>
        <w:pStyle w:val="Heading3"/>
      </w:pPr>
      <w:r>
        <w:t>Why this serving size?</w:t>
      </w:r>
    </w:p>
    <w:p w14:paraId="7426E1FC" w14:textId="4EDAD42F" w:rsidR="00647F00" w:rsidRDefault="00EC6B5A" w:rsidP="006126D3">
      <w:pPr>
        <w:pStyle w:val="Bullet1"/>
      </w:pPr>
      <w:r>
        <w:t>Sugar sweetened beverage consumption has been linked to obesity, poor dental health and diet-related chronic diseases. High levels of consumption are particularly noted in adolescents and young adults.</w:t>
      </w:r>
      <w:r w:rsidR="00AD7342">
        <w:rPr>
          <w:rStyle w:val="EndnoteReference"/>
        </w:rPr>
        <w:endnoteReference w:id="17"/>
      </w:r>
    </w:p>
    <w:p w14:paraId="12B86D92" w14:textId="77777777" w:rsidR="00647F00" w:rsidRDefault="00EC6B5A" w:rsidP="006126D3">
      <w:pPr>
        <w:pStyle w:val="Bullet1"/>
      </w:pPr>
      <w:r>
        <w:t xml:space="preserve">A maximum serving size is recommended as a strategy to deter the introduction of jumbo sizes and free refills. </w:t>
      </w:r>
    </w:p>
    <w:p w14:paraId="4850389B" w14:textId="07DE7C43" w:rsidR="00647F00" w:rsidRDefault="00EC6B5A" w:rsidP="006126D3">
      <w:pPr>
        <w:pStyle w:val="Bullet1"/>
      </w:pPr>
      <w:r>
        <w:t xml:space="preserve">In the </w:t>
      </w:r>
      <w:r w:rsidRPr="003A6EB6">
        <w:rPr>
          <w:b/>
          <w:bCs/>
        </w:rPr>
        <w:t>out of home</w:t>
      </w:r>
      <w:r>
        <w:t xml:space="preserve"> sector, the most frequently sold sizes are 390 mL and 600 mL,</w:t>
      </w:r>
      <w:r w:rsidR="00AD7342">
        <w:rPr>
          <w:rStyle w:val="EndnoteReference"/>
        </w:rPr>
        <w:endnoteReference w:id="18"/>
      </w:r>
      <w:r>
        <w:t xml:space="preserve"> much larger than those sold in the retail setting (375 mL followed by 200 mL and 300 mL).</w:t>
      </w:r>
      <w:r w:rsidR="00406080" w:rsidRPr="00406080">
        <w:rPr>
          <w:rStyle w:val="EndnoteReference"/>
        </w:rPr>
        <w:fldChar w:fldCharType="begin"/>
      </w:r>
      <w:r w:rsidR="00406080" w:rsidRPr="00406080">
        <w:rPr>
          <w:rStyle w:val="EndnoteReference"/>
        </w:rPr>
        <w:instrText xml:space="preserve"> NOTEREF _Ref106972163 \h </w:instrText>
      </w:r>
      <w:r w:rsidR="00406080">
        <w:rPr>
          <w:rStyle w:val="EndnoteReference"/>
        </w:rPr>
        <w:instrText xml:space="preserve"> \* MERGEFORMAT </w:instrText>
      </w:r>
      <w:r w:rsidR="00406080" w:rsidRPr="00406080">
        <w:rPr>
          <w:rStyle w:val="EndnoteReference"/>
        </w:rPr>
      </w:r>
      <w:r w:rsidR="00406080" w:rsidRPr="00406080">
        <w:rPr>
          <w:rStyle w:val="EndnoteReference"/>
        </w:rPr>
        <w:fldChar w:fldCharType="separate"/>
      </w:r>
      <w:r w:rsidR="00406080" w:rsidRPr="00406080">
        <w:rPr>
          <w:rStyle w:val="EndnoteReference"/>
        </w:rPr>
        <w:t>14</w:t>
      </w:r>
      <w:r w:rsidR="00406080" w:rsidRPr="00406080">
        <w:rPr>
          <w:rStyle w:val="EndnoteReference"/>
        </w:rPr>
        <w:fldChar w:fldCharType="end"/>
      </w:r>
    </w:p>
    <w:p w14:paraId="48985F7C" w14:textId="77777777" w:rsidR="00647F00" w:rsidRDefault="00EC6B5A" w:rsidP="006126D3">
      <w:pPr>
        <w:pStyle w:val="Box1Heading"/>
      </w:pPr>
      <w:r>
        <w:t>Tips for successful implementation</w:t>
      </w:r>
    </w:p>
    <w:p w14:paraId="1893F556" w14:textId="5BFFD2CB" w:rsidR="00647F00" w:rsidRDefault="00EC6B5A" w:rsidP="006126D3">
      <w:pPr>
        <w:pStyle w:val="Box1Bullet"/>
      </w:pPr>
      <w:r>
        <w:t>Introduce smaller options (around 200 mL).</w:t>
      </w:r>
    </w:p>
    <w:p w14:paraId="7F379D2F" w14:textId="3049A4C8" w:rsidR="00647F00" w:rsidRDefault="00EC6B5A" w:rsidP="006126D3">
      <w:pPr>
        <w:pStyle w:val="Box1Bullet"/>
      </w:pPr>
      <w:r>
        <w:t>Make the smaller option the easier choice through product placement and promotion.</w:t>
      </w:r>
    </w:p>
    <w:p w14:paraId="13961614" w14:textId="77777777" w:rsidR="00647F00" w:rsidRDefault="00EC6B5A" w:rsidP="003A6EB6">
      <w:pPr>
        <w:pStyle w:val="Box1Heading"/>
        <w:keepNext/>
      </w:pPr>
      <w:r>
        <w:lastRenderedPageBreak/>
        <w:t>Top tips</w:t>
      </w:r>
    </w:p>
    <w:p w14:paraId="7FD9B66F" w14:textId="3A661DFA" w:rsidR="006126D3" w:rsidRDefault="00EC6B5A" w:rsidP="006126D3">
      <w:pPr>
        <w:pStyle w:val="Box1Bullet"/>
      </w:pPr>
      <w:r>
        <w:t>Make water a readily available choice.</w:t>
      </w:r>
    </w:p>
    <w:p w14:paraId="7A98CD5E" w14:textId="357B7D83" w:rsidR="006126D3" w:rsidRDefault="00AC314F">
      <w:pPr>
        <w:suppressAutoHyphens w:val="0"/>
      </w:pPr>
      <w:r w:rsidRPr="00AC314F">
        <w:rPr>
          <w:noProof/>
        </w:rPr>
        <w:drawing>
          <wp:inline distT="0" distB="0" distL="0" distR="0" wp14:anchorId="0B52847B" wp14:editId="44E65228">
            <wp:extent cx="3599645" cy="5394688"/>
            <wp:effectExtent l="0" t="0" r="1270" b="0"/>
            <wp:docPr id="45" name="Picture 45" descr="Photo of a glass with a red drink being stirred by hand with a st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hoto of a glass with a red drink being stirred by hand with a straw"/>
                    <pic:cNvPicPr>
                      <a:picLocks noChangeAspect="1" noChangeArrowheads="1"/>
                    </pic:cNvPicPr>
                  </pic:nvPicPr>
                  <pic:blipFill rotWithShape="1">
                    <a:blip r:embed="rId16">
                      <a:extLst>
                        <a:ext uri="{28A0092B-C50C-407E-A947-70E740481C1C}">
                          <a14:useLocalDpi xmlns:a14="http://schemas.microsoft.com/office/drawing/2010/main" val="0"/>
                        </a:ext>
                      </a:extLst>
                    </a:blip>
                    <a:srcRect t="5580" b="9072"/>
                    <a:stretch/>
                  </pic:blipFill>
                  <pic:spPr bwMode="auto">
                    <a:xfrm>
                      <a:off x="0" y="0"/>
                      <a:ext cx="3600000" cy="5395220"/>
                    </a:xfrm>
                    <a:prstGeom prst="rect">
                      <a:avLst/>
                    </a:prstGeom>
                    <a:noFill/>
                    <a:ln>
                      <a:noFill/>
                    </a:ln>
                    <a:extLst>
                      <a:ext uri="{53640926-AAD7-44D8-BBD7-CCE9431645EC}">
                        <a14:shadowObscured xmlns:a14="http://schemas.microsoft.com/office/drawing/2010/main"/>
                      </a:ext>
                    </a:extLst>
                  </pic:spPr>
                </pic:pic>
              </a:graphicData>
            </a:graphic>
          </wp:inline>
        </w:drawing>
      </w:r>
      <w:r w:rsidR="006126D3">
        <w:br w:type="page"/>
      </w:r>
    </w:p>
    <w:p w14:paraId="5E38B0DD" w14:textId="77777777" w:rsidR="00647F00" w:rsidRPr="006126D3" w:rsidRDefault="00EC6B5A" w:rsidP="006126D3">
      <w:pPr>
        <w:pStyle w:val="Heading2NoTOC"/>
        <w:rPr>
          <w:rStyle w:val="Pink"/>
        </w:rPr>
      </w:pPr>
      <w:r w:rsidRPr="006126D3">
        <w:rPr>
          <w:rStyle w:val="Pink"/>
        </w:rPr>
        <w:lastRenderedPageBreak/>
        <w:t>Out of Home</w:t>
      </w:r>
    </w:p>
    <w:p w14:paraId="3FE607E5" w14:textId="77777777" w:rsidR="00647F00" w:rsidRDefault="00EC6B5A" w:rsidP="006126D3">
      <w:pPr>
        <w:pStyle w:val="Heading2NoTOC"/>
      </w:pPr>
      <w:r>
        <w:t>Chilled beverages</w:t>
      </w:r>
    </w:p>
    <w:p w14:paraId="76C9AE76" w14:textId="0B0A715D" w:rsidR="00647F00" w:rsidRDefault="006126D3" w:rsidP="006126D3">
      <w:r>
        <w:rPr>
          <w:noProof/>
        </w:rPr>
        <w:drawing>
          <wp:inline distT="0" distB="0" distL="0" distR="0" wp14:anchorId="2AABBB94" wp14:editId="0EEB021C">
            <wp:extent cx="6120000" cy="3201033"/>
            <wp:effectExtent l="0" t="0" r="0" b="0"/>
            <wp:docPr id="31" name="Picture 31" descr="A photo showing 4 beverage sizes: a 250ml small cup of 12 centimetres high by 8 centimetres diameter, a 375ml medium cup of 13 centimetres high by 9 centimetres diameter, a 450ml large cup of 17 centimetres high by 9 centimetres diameter, and a jumbo sized cup which is not re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hoto showing 4 beverage sizes: a 250ml small cup of 12 centimetres high by 8 centimetres diameter, a 375ml medium cup of 13 centimetres high by 9 centimetres diameter, a 450ml large cup of 17 centimetres high by 9 centimetres diameter, and a jumbo sized cup which is not recommended"/>
                    <pic:cNvPicPr/>
                  </pic:nvPicPr>
                  <pic:blipFill>
                    <a:blip r:embed="rId17"/>
                    <a:stretch>
                      <a:fillRect/>
                    </a:stretch>
                  </pic:blipFill>
                  <pic:spPr>
                    <a:xfrm>
                      <a:off x="0" y="0"/>
                      <a:ext cx="6120000" cy="3201033"/>
                    </a:xfrm>
                    <a:prstGeom prst="rect">
                      <a:avLst/>
                    </a:prstGeom>
                  </pic:spPr>
                </pic:pic>
              </a:graphicData>
            </a:graphic>
          </wp:inline>
        </w:drawing>
      </w:r>
    </w:p>
    <w:p w14:paraId="3236CFA4" w14:textId="77777777" w:rsidR="00647F00" w:rsidRDefault="00EC6B5A" w:rsidP="006126D3">
      <w:pPr>
        <w:pStyle w:val="List1Numbered2"/>
        <w:numPr>
          <w:ilvl w:val="1"/>
          <w:numId w:val="17"/>
        </w:numPr>
      </w:pPr>
      <w:r>
        <w:t>Small meal</w:t>
      </w:r>
    </w:p>
    <w:p w14:paraId="7BC89A45" w14:textId="77777777" w:rsidR="00647F00" w:rsidRDefault="00EC6B5A" w:rsidP="006126D3">
      <w:pPr>
        <w:pStyle w:val="List1Numbered2"/>
      </w:pPr>
      <w:r>
        <w:t>Medium meal</w:t>
      </w:r>
    </w:p>
    <w:p w14:paraId="59D34525" w14:textId="77777777" w:rsidR="00647F00" w:rsidRDefault="00EC6B5A" w:rsidP="006126D3">
      <w:pPr>
        <w:pStyle w:val="List1Numbered2"/>
      </w:pPr>
      <w:r>
        <w:t>Large meal</w:t>
      </w:r>
    </w:p>
    <w:p w14:paraId="191094DB" w14:textId="77777777" w:rsidR="00647F00" w:rsidRDefault="00EC6B5A" w:rsidP="006126D3">
      <w:pPr>
        <w:pStyle w:val="Heading3"/>
      </w:pPr>
      <w:r>
        <w:t>Maximum serving size recommendation</w:t>
      </w:r>
    </w:p>
    <w:p w14:paraId="2C2B4511" w14:textId="77777777" w:rsidR="00647F00" w:rsidRDefault="00EC6B5A" w:rsidP="006126D3">
      <w:r>
        <w:t>(</w:t>
      </w:r>
      <w:proofErr w:type="gramStart"/>
      <w:r>
        <w:t>up</w:t>
      </w:r>
      <w:proofErr w:type="gramEnd"/>
      <w:r>
        <w:t xml:space="preserve"> to the measure indicated)</w:t>
      </w:r>
    </w:p>
    <w:p w14:paraId="130556CC" w14:textId="091458C4" w:rsidR="006126D3" w:rsidRDefault="00EC6B5A" w:rsidP="006126D3">
      <w:pPr>
        <w:pStyle w:val="Box2Text"/>
        <w:rPr>
          <w:b/>
          <w:bCs/>
        </w:rPr>
      </w:pPr>
      <w:r>
        <w:t xml:space="preserve">Dimensions are an approximation for size. </w:t>
      </w:r>
      <w:r w:rsidRPr="006126D3">
        <w:rPr>
          <w:b/>
          <w:bCs/>
        </w:rPr>
        <w:t>Follow amount as an accurate serving size.</w:t>
      </w:r>
    </w:p>
    <w:p w14:paraId="6C9E1431" w14:textId="77777777" w:rsidR="006126D3" w:rsidRDefault="006126D3">
      <w:pPr>
        <w:suppressAutoHyphens w:val="0"/>
        <w:rPr>
          <w:b/>
          <w:bCs/>
        </w:rPr>
      </w:pPr>
      <w:r>
        <w:rPr>
          <w:b/>
          <w:bCs/>
        </w:rPr>
        <w:br w:type="page"/>
      </w:r>
    </w:p>
    <w:p w14:paraId="73B31607" w14:textId="77777777" w:rsidR="00647F00" w:rsidRPr="006126D3" w:rsidRDefault="00EC6B5A" w:rsidP="006126D3">
      <w:pPr>
        <w:pStyle w:val="Heading2"/>
      </w:pPr>
      <w:bookmarkStart w:id="21" w:name="_Toc106974809"/>
      <w:r w:rsidRPr="006126D3">
        <w:lastRenderedPageBreak/>
        <w:t>Chocolate and chocolate-alternative</w:t>
      </w:r>
      <w:r w:rsidRPr="006126D3">
        <w:rPr>
          <w:rFonts w:ascii="Cambria Math" w:hAnsi="Cambria Math" w:cs="Cambria Math"/>
        </w:rPr>
        <w:t>‑</w:t>
      </w:r>
      <w:r w:rsidRPr="006126D3">
        <w:t xml:space="preserve">based confectionery </w:t>
      </w:r>
      <w:r w:rsidRPr="006126D3">
        <w:rPr>
          <w:rStyle w:val="Pink"/>
        </w:rPr>
        <w:t>• Retail</w:t>
      </w:r>
      <w:bookmarkEnd w:id="21"/>
    </w:p>
    <w:p w14:paraId="3860F77D" w14:textId="77777777" w:rsidR="00647F00" w:rsidRDefault="00EC6B5A" w:rsidP="006126D3">
      <w:pPr>
        <w:pStyle w:val="Heading3"/>
      </w:pPr>
      <w:r>
        <w:t>Category definition</w:t>
      </w:r>
    </w:p>
    <w:p w14:paraId="7B035471" w14:textId="77777777" w:rsidR="00647F00" w:rsidRDefault="00EC6B5A" w:rsidP="006126D3">
      <w:r>
        <w:t xml:space="preserve">Plain chocolate, chocolate-based and chocolate-alternative-based confectionery, including all varieties (white, milk or dark chocolate) sold in the </w:t>
      </w:r>
      <w:r w:rsidRPr="003A6EB6">
        <w:rPr>
          <w:b/>
          <w:bCs/>
        </w:rPr>
        <w:t>retail</w:t>
      </w:r>
      <w:r>
        <w:t xml:space="preserve"> setting.</w:t>
      </w:r>
    </w:p>
    <w:p w14:paraId="49CB71AE" w14:textId="77777777" w:rsidR="00647F00" w:rsidRDefault="00EC6B5A" w:rsidP="006126D3">
      <w:pPr>
        <w:pStyle w:val="Box2Heading"/>
      </w:pPr>
      <w:r>
        <w:rPr>
          <w:rStyle w:val="Pink"/>
        </w:rPr>
        <w:t>Maximum serving size recommendation</w:t>
      </w:r>
    </w:p>
    <w:p w14:paraId="1CD4F927" w14:textId="77777777" w:rsidR="00647F00" w:rsidRDefault="00EC6B5A" w:rsidP="006126D3">
      <w:pPr>
        <w:pStyle w:val="Box2Bullet"/>
      </w:pPr>
      <w:r w:rsidRPr="0057664E">
        <w:rPr>
          <w:b/>
          <w:bCs/>
        </w:rPr>
        <w:t>Up to 50 g</w:t>
      </w:r>
      <w:r>
        <w:t xml:space="preserve"> </w:t>
      </w:r>
      <w:r>
        <w:br/>
        <w:t xml:space="preserve">For single consumption bars This applies to single consumption bars that are not portion-controlled, </w:t>
      </w:r>
      <w:proofErr w:type="spellStart"/>
      <w:r w:rsidRPr="0057664E">
        <w:rPr>
          <w:b/>
          <w:bCs/>
        </w:rPr>
        <w:t>portionable</w:t>
      </w:r>
      <w:proofErr w:type="spellEnd"/>
      <w:r>
        <w:t xml:space="preserve"> or </w:t>
      </w:r>
      <w:r w:rsidRPr="0057664E">
        <w:rPr>
          <w:b/>
          <w:bCs/>
        </w:rPr>
        <w:t>partitioned</w:t>
      </w:r>
      <w:r>
        <w:t>.</w:t>
      </w:r>
    </w:p>
    <w:p w14:paraId="316717F3" w14:textId="77777777" w:rsidR="00647F00" w:rsidRDefault="00EC6B5A" w:rsidP="006126D3">
      <w:pPr>
        <w:pStyle w:val="Box2Bullet"/>
      </w:pPr>
      <w:r w:rsidRPr="0057664E">
        <w:rPr>
          <w:b/>
          <w:bCs/>
        </w:rPr>
        <w:t>25 g +/– 5 g</w:t>
      </w:r>
      <w:r>
        <w:t xml:space="preserve"> </w:t>
      </w:r>
      <w:r>
        <w:br/>
        <w:t>For all other chocolate and chocolate-alternative-based confectionery, this Guide recommends industry follow the existing industry guidance, </w:t>
      </w:r>
      <w:proofErr w:type="gramStart"/>
      <w:r>
        <w:t>i.e.</w:t>
      </w:r>
      <w:proofErr w:type="gramEnd"/>
      <w:r>
        <w:t> the agreed standardised serving size of 25 g +/- 5 g (20 g to 30 g) and portioning/partitioning criteria for multiple serving formats.</w:t>
      </w:r>
    </w:p>
    <w:p w14:paraId="5B0E8364" w14:textId="09675CB5" w:rsidR="00647F00" w:rsidRDefault="00EC6B5A" w:rsidP="006126D3">
      <w:pPr>
        <w:pStyle w:val="Box2Text"/>
      </w:pPr>
      <w:r>
        <w:t xml:space="preserve">For more information, refer to the industry’s serving size guidance, </w:t>
      </w:r>
      <w:hyperlink r:id="rId18" w:history="1">
        <w:r w:rsidRPr="005F364A">
          <w:rPr>
            <w:rStyle w:val="Hyperlink"/>
            <w:i w:val="0"/>
            <w:iCs/>
          </w:rPr>
          <w:t xml:space="preserve">Be </w:t>
        </w:r>
        <w:proofErr w:type="spellStart"/>
        <w:r w:rsidRPr="005F364A">
          <w:rPr>
            <w:rStyle w:val="Hyperlink"/>
            <w:i w:val="0"/>
            <w:iCs/>
          </w:rPr>
          <w:t>treatwise</w:t>
        </w:r>
        <w:proofErr w:type="spellEnd"/>
      </w:hyperlink>
      <w:r w:rsidRPr="005F364A">
        <w:rPr>
          <w:rStyle w:val="Hyperlink"/>
          <w:i w:val="0"/>
          <w:iCs/>
        </w:rPr>
        <w:t xml:space="preserve"> ®</w:t>
      </w:r>
      <w:bookmarkStart w:id="22" w:name="_Ref106972200"/>
      <w:r w:rsidR="003729E7" w:rsidRPr="005F364A">
        <w:rPr>
          <w:rStyle w:val="EndnoteReference"/>
          <w:i/>
          <w:iCs/>
          <w:color w:val="0070C0"/>
          <w:u w:val="single"/>
        </w:rPr>
        <w:endnoteReference w:id="19"/>
      </w:r>
      <w:bookmarkEnd w:id="22"/>
      <w:r>
        <w:t xml:space="preserve"> and the Australian Industry Group </w:t>
      </w:r>
      <w:hyperlink r:id="rId19" w:history="1">
        <w:r w:rsidRPr="005F364A">
          <w:rPr>
            <w:rStyle w:val="Hyperlink"/>
            <w:i w:val="0"/>
            <w:iCs/>
          </w:rPr>
          <w:t>Ai Group</w:t>
        </w:r>
      </w:hyperlink>
      <w:r>
        <w:t xml:space="preserve"> Confectionery Sector pages.</w:t>
      </w:r>
    </w:p>
    <w:p w14:paraId="56D3836B" w14:textId="77777777" w:rsidR="00647F00" w:rsidRDefault="00EC6B5A" w:rsidP="006126D3">
      <w:pPr>
        <w:pStyle w:val="Heading3"/>
      </w:pPr>
      <w:r>
        <w:t>Why this serving size?</w:t>
      </w:r>
    </w:p>
    <w:p w14:paraId="0B6595E3" w14:textId="069E89EB" w:rsidR="00647F00" w:rsidRDefault="008E04BC" w:rsidP="006126D3">
      <w:pPr>
        <w:pStyle w:val="Bullet1"/>
      </w:pPr>
      <w:r>
        <w:t xml:space="preserve">Noting the industry’s existing guidance (25 g +/- 5 and </w:t>
      </w:r>
      <w:proofErr w:type="gramStart"/>
      <w:r>
        <w:t>Be</w:t>
      </w:r>
      <w:proofErr w:type="gramEnd"/>
      <w:r>
        <w:t xml:space="preserve"> </w:t>
      </w:r>
      <w:proofErr w:type="spellStart"/>
      <w:r>
        <w:t>treatwise</w:t>
      </w:r>
      <w:proofErr w:type="spellEnd"/>
      <w:r>
        <w:t xml:space="preserve">®), this recommendation focuses on reducing the </w:t>
      </w:r>
      <w:r w:rsidR="00EC6B5A">
        <w:t>single consumption bars that exceed 50 g, informed by market research.</w:t>
      </w:r>
      <w:r w:rsidR="003729E7">
        <w:rPr>
          <w:rStyle w:val="EndnoteReference"/>
        </w:rPr>
        <w:endnoteReference w:id="20"/>
      </w:r>
    </w:p>
    <w:p w14:paraId="5333DC29" w14:textId="2F62250A" w:rsidR="00647F00" w:rsidRDefault="00EC6B5A" w:rsidP="006126D3">
      <w:pPr>
        <w:pStyle w:val="Bullet1"/>
      </w:pPr>
      <w:r>
        <w:t>Acknowledges and supplements existing industry, national, state and territory government and international guidance/reference amounts.</w:t>
      </w:r>
      <w:r w:rsidR="00406080" w:rsidRPr="00406080">
        <w:rPr>
          <w:rStyle w:val="EndnoteReference"/>
        </w:rPr>
        <w:fldChar w:fldCharType="begin"/>
      </w:r>
      <w:r w:rsidR="00406080" w:rsidRPr="00406080">
        <w:rPr>
          <w:rStyle w:val="EndnoteReference"/>
        </w:rPr>
        <w:instrText xml:space="preserve"> NOTEREF _Ref106972179 \h </w:instrText>
      </w:r>
      <w:r w:rsidR="00406080">
        <w:rPr>
          <w:rStyle w:val="EndnoteReference"/>
        </w:rPr>
        <w:instrText xml:space="preserve"> \* MERGEFORMAT </w:instrText>
      </w:r>
      <w:r w:rsidR="00406080" w:rsidRPr="00406080">
        <w:rPr>
          <w:rStyle w:val="EndnoteReference"/>
        </w:rPr>
      </w:r>
      <w:r w:rsidR="00406080" w:rsidRPr="00406080">
        <w:rPr>
          <w:rStyle w:val="EndnoteReference"/>
        </w:rPr>
        <w:fldChar w:fldCharType="separate"/>
      </w:r>
      <w:r w:rsidR="00406080" w:rsidRPr="00406080">
        <w:rPr>
          <w:rStyle w:val="EndnoteReference"/>
        </w:rPr>
        <w:t>12</w:t>
      </w:r>
      <w:r w:rsidR="00406080" w:rsidRPr="00406080">
        <w:rPr>
          <w:rStyle w:val="EndnoteReference"/>
        </w:rPr>
        <w:fldChar w:fldCharType="end"/>
      </w:r>
      <w:r w:rsidRPr="00406080">
        <w:rPr>
          <w:rStyle w:val="EndnoteReference"/>
        </w:rPr>
        <w:t xml:space="preserve">, </w:t>
      </w:r>
      <w:r w:rsidR="00406080" w:rsidRPr="00406080">
        <w:rPr>
          <w:rStyle w:val="EndnoteReference"/>
        </w:rPr>
        <w:fldChar w:fldCharType="begin"/>
      </w:r>
      <w:r w:rsidR="00406080" w:rsidRPr="00406080">
        <w:rPr>
          <w:rStyle w:val="EndnoteReference"/>
        </w:rPr>
        <w:instrText xml:space="preserve"> NOTEREF _Ref106972185 \h </w:instrText>
      </w:r>
      <w:r w:rsidR="00406080">
        <w:rPr>
          <w:rStyle w:val="EndnoteReference"/>
        </w:rPr>
        <w:instrText xml:space="preserve"> \* MERGEFORMAT </w:instrText>
      </w:r>
      <w:r w:rsidR="00406080" w:rsidRPr="00406080">
        <w:rPr>
          <w:rStyle w:val="EndnoteReference"/>
        </w:rPr>
      </w:r>
      <w:r w:rsidR="00406080" w:rsidRPr="00406080">
        <w:rPr>
          <w:rStyle w:val="EndnoteReference"/>
        </w:rPr>
        <w:fldChar w:fldCharType="separate"/>
      </w:r>
      <w:r w:rsidR="00406080" w:rsidRPr="00406080">
        <w:rPr>
          <w:rStyle w:val="EndnoteReference"/>
        </w:rPr>
        <w:t>15</w:t>
      </w:r>
      <w:r w:rsidR="00406080" w:rsidRPr="00406080">
        <w:rPr>
          <w:rStyle w:val="EndnoteReference"/>
        </w:rPr>
        <w:fldChar w:fldCharType="end"/>
      </w:r>
      <w:r w:rsidRPr="00406080">
        <w:rPr>
          <w:rStyle w:val="EndnoteReference"/>
        </w:rPr>
        <w:t xml:space="preserve">, </w:t>
      </w:r>
      <w:r w:rsidR="00406080" w:rsidRPr="00406080">
        <w:rPr>
          <w:rStyle w:val="EndnoteReference"/>
        </w:rPr>
        <w:fldChar w:fldCharType="begin"/>
      </w:r>
      <w:r w:rsidR="00406080" w:rsidRPr="00406080">
        <w:rPr>
          <w:rStyle w:val="EndnoteReference"/>
        </w:rPr>
        <w:instrText xml:space="preserve"> NOTEREF _Ref106972192 \h </w:instrText>
      </w:r>
      <w:r w:rsidR="00406080">
        <w:rPr>
          <w:rStyle w:val="EndnoteReference"/>
        </w:rPr>
        <w:instrText xml:space="preserve"> \* MERGEFORMAT </w:instrText>
      </w:r>
      <w:r w:rsidR="00406080" w:rsidRPr="00406080">
        <w:rPr>
          <w:rStyle w:val="EndnoteReference"/>
        </w:rPr>
      </w:r>
      <w:r w:rsidR="00406080" w:rsidRPr="00406080">
        <w:rPr>
          <w:rStyle w:val="EndnoteReference"/>
        </w:rPr>
        <w:fldChar w:fldCharType="separate"/>
      </w:r>
      <w:r w:rsidR="00406080" w:rsidRPr="00406080">
        <w:rPr>
          <w:rStyle w:val="EndnoteReference"/>
        </w:rPr>
        <w:t>16</w:t>
      </w:r>
      <w:r w:rsidR="00406080" w:rsidRPr="00406080">
        <w:rPr>
          <w:rStyle w:val="EndnoteReference"/>
        </w:rPr>
        <w:fldChar w:fldCharType="end"/>
      </w:r>
      <w:r w:rsidRPr="00406080">
        <w:rPr>
          <w:rStyle w:val="EndnoteReference"/>
        </w:rPr>
        <w:t xml:space="preserve">, </w:t>
      </w:r>
      <w:r w:rsidR="00406080" w:rsidRPr="00406080">
        <w:rPr>
          <w:rStyle w:val="EndnoteReference"/>
        </w:rPr>
        <w:fldChar w:fldCharType="begin"/>
      </w:r>
      <w:r w:rsidR="00406080" w:rsidRPr="00406080">
        <w:rPr>
          <w:rStyle w:val="EndnoteReference"/>
        </w:rPr>
        <w:instrText xml:space="preserve"> NOTEREF _Ref106972200 \h </w:instrText>
      </w:r>
      <w:r w:rsidR="00406080">
        <w:rPr>
          <w:rStyle w:val="EndnoteReference"/>
        </w:rPr>
        <w:instrText xml:space="preserve"> \* MERGEFORMAT </w:instrText>
      </w:r>
      <w:r w:rsidR="00406080" w:rsidRPr="00406080">
        <w:rPr>
          <w:rStyle w:val="EndnoteReference"/>
        </w:rPr>
      </w:r>
      <w:r w:rsidR="00406080" w:rsidRPr="00406080">
        <w:rPr>
          <w:rStyle w:val="EndnoteReference"/>
        </w:rPr>
        <w:fldChar w:fldCharType="separate"/>
      </w:r>
      <w:r w:rsidR="00406080" w:rsidRPr="00406080">
        <w:rPr>
          <w:rStyle w:val="EndnoteReference"/>
        </w:rPr>
        <w:t>19</w:t>
      </w:r>
      <w:r w:rsidR="00406080" w:rsidRPr="00406080">
        <w:rPr>
          <w:rStyle w:val="EndnoteReference"/>
        </w:rPr>
        <w:fldChar w:fldCharType="end"/>
      </w:r>
      <w:r w:rsidRPr="00406080">
        <w:rPr>
          <w:rStyle w:val="EndnoteReference"/>
        </w:rPr>
        <w:t xml:space="preserve">, </w:t>
      </w:r>
      <w:bookmarkStart w:id="23" w:name="_Ref106972315"/>
      <w:r w:rsidR="003729E7" w:rsidRPr="00406080">
        <w:rPr>
          <w:rStyle w:val="EndnoteReference"/>
        </w:rPr>
        <w:endnoteReference w:id="21"/>
      </w:r>
      <w:bookmarkEnd w:id="23"/>
    </w:p>
    <w:p w14:paraId="079201AA" w14:textId="6B2DB8C9" w:rsidR="00647F00" w:rsidRDefault="000F699A" w:rsidP="006126D3">
      <w:pPr>
        <w:pStyle w:val="Bullet1"/>
      </w:pPr>
      <w:r>
        <w:t xml:space="preserve">25 g +/- 5 g is consistent </w:t>
      </w:r>
      <w:r w:rsidR="00EC6B5A">
        <w:t>with one discretionary food serve of chocolate, as outlined in the Eat for Health Educator Guide.</w:t>
      </w:r>
      <w:bookmarkStart w:id="24" w:name="_Ref106972328"/>
      <w:r w:rsidR="003729E7">
        <w:rPr>
          <w:rStyle w:val="EndnoteReference"/>
        </w:rPr>
        <w:endnoteReference w:id="22"/>
      </w:r>
      <w:bookmarkEnd w:id="24"/>
    </w:p>
    <w:p w14:paraId="07569866" w14:textId="77777777" w:rsidR="00647F00" w:rsidRDefault="00EC6B5A" w:rsidP="006126D3">
      <w:pPr>
        <w:pStyle w:val="Bullet1"/>
      </w:pPr>
      <w:r>
        <w:t xml:space="preserve">Supported by the industry’s consumer facing Be </w:t>
      </w:r>
      <w:proofErr w:type="spellStart"/>
      <w:r>
        <w:t>treatwise</w:t>
      </w:r>
      <w:proofErr w:type="spellEnd"/>
      <w:r>
        <w:t xml:space="preserve">® program. </w:t>
      </w:r>
    </w:p>
    <w:p w14:paraId="20213907" w14:textId="77777777" w:rsidR="00647F00" w:rsidRDefault="00EC6B5A" w:rsidP="006126D3">
      <w:pPr>
        <w:pStyle w:val="Bullet1"/>
      </w:pPr>
      <w:r>
        <w:t>Reduce bar sizes of current range – noting technical constraints and infrastructure limitations.</w:t>
      </w:r>
    </w:p>
    <w:p w14:paraId="35958F52" w14:textId="0EAC100B" w:rsidR="006126D3" w:rsidRDefault="00EC6B5A" w:rsidP="006126D3">
      <w:pPr>
        <w:pStyle w:val="Box1Text"/>
      </w:pPr>
      <w:r>
        <w:t xml:space="preserve">The confectionery industry established </w:t>
      </w:r>
      <w:r w:rsidRPr="005F364A">
        <w:t>Be </w:t>
      </w:r>
      <w:proofErr w:type="spellStart"/>
      <w:r w:rsidRPr="005F364A">
        <w:t>treatwise</w:t>
      </w:r>
      <w:proofErr w:type="spellEnd"/>
      <w:r w:rsidRPr="005F364A">
        <w:t>®</w:t>
      </w:r>
      <w:r w:rsidRPr="005F364A">
        <w:rPr>
          <w:rFonts w:ascii="Arial" w:hAnsi="Arial" w:cs="Arial"/>
        </w:rPr>
        <w:t> </w:t>
      </w:r>
      <w:r w:rsidRPr="005F364A">
        <w:t>in</w:t>
      </w:r>
      <w:r>
        <w:t xml:space="preserve"> 2006 as a consumer messaging device.</w:t>
      </w:r>
      <w:r w:rsidRPr="005F364A">
        <w:rPr>
          <w:rFonts w:ascii="Arial" w:hAnsi="Arial" w:cs="Arial"/>
          <w:i/>
          <w:iCs/>
        </w:rPr>
        <w:t>  </w:t>
      </w:r>
      <w:r w:rsidRPr="005F364A">
        <w:rPr>
          <w:i/>
          <w:iCs/>
        </w:rPr>
        <w:t>Be </w:t>
      </w:r>
      <w:proofErr w:type="spellStart"/>
      <w:r w:rsidRPr="005F364A">
        <w:rPr>
          <w:i/>
          <w:iCs/>
        </w:rPr>
        <w:t>treatwise</w:t>
      </w:r>
      <w:proofErr w:type="spellEnd"/>
      <w:r w:rsidRPr="005F364A">
        <w:rPr>
          <w:i/>
          <w:iCs/>
        </w:rPr>
        <w:t>®</w:t>
      </w:r>
      <w:r>
        <w:rPr>
          <w:rFonts w:ascii="Arial" w:hAnsi="Arial" w:cs="Arial"/>
        </w:rPr>
        <w:t> </w:t>
      </w:r>
      <w:r>
        <w:t>encourages consumers to</w:t>
      </w:r>
      <w:r>
        <w:rPr>
          <w:rFonts w:ascii="Arial" w:hAnsi="Arial" w:cs="Arial"/>
        </w:rPr>
        <w:t> </w:t>
      </w:r>
      <w:r>
        <w:t>consume</w:t>
      </w:r>
      <w:r>
        <w:rPr>
          <w:rFonts w:ascii="Arial" w:hAnsi="Arial" w:cs="Arial"/>
        </w:rPr>
        <w:t> </w:t>
      </w:r>
      <w:r>
        <w:t>confectionery, as a treat, in line with the Australian Dietary Guidelines, sometimes and in small</w:t>
      </w:r>
      <w:r>
        <w:rPr>
          <w:rFonts w:ascii="Arial" w:hAnsi="Arial" w:cs="Arial"/>
        </w:rPr>
        <w:t> </w:t>
      </w:r>
      <w:r>
        <w:t>amounts.</w:t>
      </w:r>
      <w:r>
        <w:rPr>
          <w:rFonts w:ascii="Arial" w:hAnsi="Arial" w:cs="Arial"/>
        </w:rPr>
        <w:t>  </w:t>
      </w:r>
      <w:r>
        <w:t> </w:t>
      </w:r>
    </w:p>
    <w:p w14:paraId="0693F19E" w14:textId="670DDFD9" w:rsidR="00AC314F" w:rsidRDefault="00AC314F">
      <w:pPr>
        <w:suppressAutoHyphens w:val="0"/>
      </w:pPr>
      <w:r w:rsidRPr="00AC314F">
        <w:rPr>
          <w:noProof/>
        </w:rPr>
        <w:lastRenderedPageBreak/>
        <w:drawing>
          <wp:inline distT="0" distB="0" distL="0" distR="0" wp14:anchorId="3FED79DC" wp14:editId="0001274C">
            <wp:extent cx="3600000" cy="4619068"/>
            <wp:effectExtent l="0" t="0" r="635" b="0"/>
            <wp:docPr id="46" name="Picture 46" descr="A photo of a hand holding a chocolat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hoto of a hand holding a chocolate bar"/>
                    <pic:cNvPicPr>
                      <a:picLocks noChangeAspect="1" noChangeArrowheads="1"/>
                    </pic:cNvPicPr>
                  </pic:nvPicPr>
                  <pic:blipFill rotWithShape="1">
                    <a:blip r:embed="rId20">
                      <a:extLst>
                        <a:ext uri="{28A0092B-C50C-407E-A947-70E740481C1C}">
                          <a14:useLocalDpi xmlns:a14="http://schemas.microsoft.com/office/drawing/2010/main" val="0"/>
                        </a:ext>
                      </a:extLst>
                    </a:blip>
                    <a:srcRect t="21147" b="5942"/>
                    <a:stretch/>
                  </pic:blipFill>
                  <pic:spPr bwMode="auto">
                    <a:xfrm>
                      <a:off x="0" y="0"/>
                      <a:ext cx="3600000" cy="4619068"/>
                    </a:xfrm>
                    <a:prstGeom prst="rect">
                      <a:avLst/>
                    </a:prstGeom>
                    <a:noFill/>
                    <a:ln>
                      <a:noFill/>
                    </a:ln>
                    <a:extLst>
                      <a:ext uri="{53640926-AAD7-44D8-BBD7-CCE9431645EC}">
                        <a14:shadowObscured xmlns:a14="http://schemas.microsoft.com/office/drawing/2010/main"/>
                      </a:ext>
                    </a:extLst>
                  </pic:spPr>
                </pic:pic>
              </a:graphicData>
            </a:graphic>
          </wp:inline>
        </w:drawing>
      </w:r>
    </w:p>
    <w:p w14:paraId="79F024D3" w14:textId="7CD80710" w:rsidR="006126D3" w:rsidRDefault="006126D3">
      <w:pPr>
        <w:suppressAutoHyphens w:val="0"/>
      </w:pPr>
      <w:r>
        <w:br w:type="page"/>
      </w:r>
    </w:p>
    <w:p w14:paraId="45A80518" w14:textId="77777777" w:rsidR="00647F00" w:rsidRPr="006126D3" w:rsidRDefault="00EC6B5A" w:rsidP="006126D3">
      <w:pPr>
        <w:pStyle w:val="Heading2NoTOC"/>
        <w:rPr>
          <w:rStyle w:val="Pink"/>
        </w:rPr>
      </w:pPr>
      <w:r w:rsidRPr="006126D3">
        <w:rPr>
          <w:rStyle w:val="Pink"/>
        </w:rPr>
        <w:lastRenderedPageBreak/>
        <w:t>Retail</w:t>
      </w:r>
    </w:p>
    <w:p w14:paraId="59D84E6C" w14:textId="77777777" w:rsidR="00647F00" w:rsidRPr="006126D3" w:rsidRDefault="00EC6B5A" w:rsidP="006126D3">
      <w:pPr>
        <w:pStyle w:val="Heading2NoTOC"/>
      </w:pPr>
      <w:r w:rsidRPr="006126D3">
        <w:t>Chocolate and chocolate-alternative-based confectionery</w:t>
      </w:r>
    </w:p>
    <w:p w14:paraId="5A4563DE" w14:textId="080FB775" w:rsidR="00647F00" w:rsidRDefault="006126D3" w:rsidP="006126D3">
      <w:r>
        <w:rPr>
          <w:noProof/>
        </w:rPr>
        <w:drawing>
          <wp:inline distT="0" distB="0" distL="0" distR="0" wp14:anchorId="5DFDA66B" wp14:editId="097495A6">
            <wp:extent cx="6120000" cy="5004622"/>
            <wp:effectExtent l="0" t="0" r="0" b="5715"/>
            <wp:docPr id="32" name="Picture 32" descr="A photo showing a 50 gram chocolate bar of 9 by 3 centimetres, and a four-block 25 gram piece of chocolate of 8 by 2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showing a 50 gram chocolate bar of 9 by 3 centimetres, and a four-block 25 gram piece of chocolate of 8 by 2 centimetres"/>
                    <pic:cNvPicPr/>
                  </pic:nvPicPr>
                  <pic:blipFill>
                    <a:blip r:embed="rId21"/>
                    <a:stretch>
                      <a:fillRect/>
                    </a:stretch>
                  </pic:blipFill>
                  <pic:spPr>
                    <a:xfrm>
                      <a:off x="0" y="0"/>
                      <a:ext cx="6120000" cy="5004622"/>
                    </a:xfrm>
                    <a:prstGeom prst="rect">
                      <a:avLst/>
                    </a:prstGeom>
                  </pic:spPr>
                </pic:pic>
              </a:graphicData>
            </a:graphic>
          </wp:inline>
        </w:drawing>
      </w:r>
    </w:p>
    <w:p w14:paraId="3315254C" w14:textId="77777777" w:rsidR="00647F00" w:rsidRDefault="00EC6B5A" w:rsidP="006126D3">
      <w:pPr>
        <w:pStyle w:val="Heading3"/>
      </w:pPr>
      <w:r>
        <w:t>Maximum serving size recommendation</w:t>
      </w:r>
    </w:p>
    <w:p w14:paraId="4D44B2CB" w14:textId="77777777" w:rsidR="00647F00" w:rsidRDefault="00EC6B5A" w:rsidP="006126D3">
      <w:pPr>
        <w:pStyle w:val="Bullet1"/>
      </w:pPr>
      <w:r w:rsidRPr="0057664E">
        <w:rPr>
          <w:b/>
          <w:bCs/>
        </w:rPr>
        <w:t>Up to 50 g</w:t>
      </w:r>
      <w:r>
        <w:t xml:space="preserve"> </w:t>
      </w:r>
      <w:r>
        <w:br/>
        <w:t xml:space="preserve">For single consumption bars. This applies to single consumption bars that are not portion-controlled, </w:t>
      </w:r>
      <w:proofErr w:type="spellStart"/>
      <w:r w:rsidRPr="0057664E">
        <w:rPr>
          <w:b/>
          <w:bCs/>
        </w:rPr>
        <w:t>portionable</w:t>
      </w:r>
      <w:proofErr w:type="spellEnd"/>
      <w:r>
        <w:t xml:space="preserve"> or </w:t>
      </w:r>
      <w:r w:rsidRPr="0057664E">
        <w:rPr>
          <w:b/>
          <w:bCs/>
        </w:rPr>
        <w:t>partitioned</w:t>
      </w:r>
      <w:r>
        <w:t>.</w:t>
      </w:r>
    </w:p>
    <w:p w14:paraId="5F8BFBF2" w14:textId="77777777" w:rsidR="00647F00" w:rsidRDefault="00EC6B5A" w:rsidP="006126D3">
      <w:pPr>
        <w:pStyle w:val="Bullet1"/>
      </w:pPr>
      <w:r w:rsidRPr="0057664E">
        <w:rPr>
          <w:b/>
          <w:bCs/>
        </w:rPr>
        <w:t>25 g +/– 5 g</w:t>
      </w:r>
      <w:r>
        <w:t xml:space="preserve"> </w:t>
      </w:r>
      <w:r>
        <w:br/>
        <w:t xml:space="preserve">For all other chocolate and chocolate-alternative-based confectionery, this Guide recommends industry follow the existing industry guidance, </w:t>
      </w:r>
      <w:proofErr w:type="gramStart"/>
      <w:r>
        <w:t>i.e.</w:t>
      </w:r>
      <w:proofErr w:type="gramEnd"/>
      <w:r>
        <w:t> the agreed standardised serving size of 25 g +/- 5 g (20 g to 30 g) and portioning/partitioning criteria for multiple serving formats.</w:t>
      </w:r>
    </w:p>
    <w:p w14:paraId="184D69D4" w14:textId="2AE04171" w:rsidR="00647F00" w:rsidRDefault="00EC6B5A" w:rsidP="006126D3">
      <w:r>
        <w:t xml:space="preserve">For more information, refer to the industry’s serving size guidance, </w:t>
      </w:r>
      <w:hyperlink r:id="rId22" w:history="1">
        <w:r w:rsidRPr="005F364A">
          <w:rPr>
            <w:rStyle w:val="Hyperlink"/>
            <w:i w:val="0"/>
            <w:iCs/>
          </w:rPr>
          <w:t>Be treatwise®</w:t>
        </w:r>
      </w:hyperlink>
      <w:r w:rsidR="00A3158D" w:rsidRPr="005F364A">
        <w:rPr>
          <w:rStyle w:val="EndnoteReference"/>
          <w:i/>
          <w:iCs/>
        </w:rPr>
        <w:fldChar w:fldCharType="begin"/>
      </w:r>
      <w:r w:rsidR="00A3158D" w:rsidRPr="005F364A">
        <w:rPr>
          <w:rStyle w:val="EndnoteReference"/>
          <w:i/>
          <w:iCs/>
        </w:rPr>
        <w:instrText xml:space="preserve"> NOTEREF _Ref106972200 \h  \* MERGEFORMAT </w:instrText>
      </w:r>
      <w:r w:rsidR="00A3158D" w:rsidRPr="005F364A">
        <w:rPr>
          <w:rStyle w:val="EndnoteReference"/>
          <w:i/>
          <w:iCs/>
        </w:rPr>
      </w:r>
      <w:r w:rsidR="00A3158D" w:rsidRPr="005F364A">
        <w:rPr>
          <w:rStyle w:val="EndnoteReference"/>
          <w:i/>
          <w:iCs/>
        </w:rPr>
        <w:fldChar w:fldCharType="separate"/>
      </w:r>
      <w:r w:rsidR="00A3158D" w:rsidRPr="005F364A">
        <w:rPr>
          <w:rStyle w:val="EndnoteReference"/>
          <w:i/>
          <w:iCs/>
        </w:rPr>
        <w:t>19</w:t>
      </w:r>
      <w:r w:rsidR="00A3158D" w:rsidRPr="005F364A">
        <w:rPr>
          <w:rStyle w:val="EndnoteReference"/>
          <w:i/>
          <w:iCs/>
        </w:rPr>
        <w:fldChar w:fldCharType="end"/>
      </w:r>
      <w:r w:rsidRPr="005F364A">
        <w:rPr>
          <w:i/>
          <w:iCs/>
        </w:rPr>
        <w:t xml:space="preserve"> </w:t>
      </w:r>
      <w:r w:rsidRPr="005F364A">
        <w:t xml:space="preserve">and the Australian Industry Group </w:t>
      </w:r>
      <w:hyperlink r:id="rId23" w:history="1">
        <w:r w:rsidRPr="005F364A">
          <w:rPr>
            <w:rStyle w:val="Hyperlink"/>
            <w:i w:val="0"/>
            <w:iCs/>
          </w:rPr>
          <w:t>Ai Group</w:t>
        </w:r>
      </w:hyperlink>
      <w:r w:rsidRPr="005F364A">
        <w:rPr>
          <w:i/>
          <w:iCs/>
        </w:rPr>
        <w:t xml:space="preserve"> </w:t>
      </w:r>
      <w:r w:rsidRPr="005F364A">
        <w:t>Confectionery Sector pages.</w:t>
      </w:r>
    </w:p>
    <w:p w14:paraId="6CE1A79B" w14:textId="77777777" w:rsidR="00647F00" w:rsidRDefault="00EC6B5A" w:rsidP="006126D3">
      <w:pPr>
        <w:pStyle w:val="Heading3"/>
      </w:pPr>
      <w:r>
        <w:t>Maximum serving size recommendation</w:t>
      </w:r>
    </w:p>
    <w:p w14:paraId="27E7CAFD" w14:textId="77777777" w:rsidR="00647F00" w:rsidRDefault="00EC6B5A" w:rsidP="006126D3">
      <w:r>
        <w:t>(</w:t>
      </w:r>
      <w:proofErr w:type="gramStart"/>
      <w:r>
        <w:t>up</w:t>
      </w:r>
      <w:proofErr w:type="gramEnd"/>
      <w:r>
        <w:t xml:space="preserve"> to the weight indicated)</w:t>
      </w:r>
    </w:p>
    <w:p w14:paraId="0263121F" w14:textId="77777777" w:rsidR="00647F00" w:rsidRDefault="00EC6B5A" w:rsidP="006126D3">
      <w:pPr>
        <w:pStyle w:val="Box2Text"/>
        <w:rPr>
          <w:color w:val="004339"/>
        </w:rPr>
      </w:pPr>
      <w:r>
        <w:lastRenderedPageBreak/>
        <w:t xml:space="preserve">These photos are an example of measurements only. For 25 g +/- 5 g chocolate, please refer to </w:t>
      </w:r>
      <w:r w:rsidRPr="005F364A">
        <w:t xml:space="preserve">Be </w:t>
      </w:r>
      <w:proofErr w:type="spellStart"/>
      <w:r w:rsidRPr="005F364A">
        <w:t>treatwise</w:t>
      </w:r>
      <w:proofErr w:type="spellEnd"/>
      <w:r w:rsidRPr="005F364A">
        <w:t>®</w:t>
      </w:r>
      <w:r>
        <w:t xml:space="preserve"> for further guidance.</w:t>
      </w:r>
    </w:p>
    <w:p w14:paraId="2DBAEA4F" w14:textId="117F8237" w:rsidR="006C683B" w:rsidRDefault="00EC6B5A" w:rsidP="006126D3">
      <w:pPr>
        <w:pStyle w:val="Box2Text"/>
        <w:rPr>
          <w:b/>
          <w:bCs/>
        </w:rPr>
      </w:pPr>
      <w:r>
        <w:t xml:space="preserve">Dimensions are an approximation for size. </w:t>
      </w:r>
      <w:r w:rsidRPr="006126D3">
        <w:rPr>
          <w:b/>
          <w:bCs/>
        </w:rPr>
        <w:t>Follow weight measures for an accurate serving size.</w:t>
      </w:r>
    </w:p>
    <w:p w14:paraId="63B34023" w14:textId="77777777" w:rsidR="006C683B" w:rsidRDefault="006C683B">
      <w:pPr>
        <w:suppressAutoHyphens w:val="0"/>
        <w:rPr>
          <w:b/>
          <w:bCs/>
        </w:rPr>
      </w:pPr>
      <w:r>
        <w:rPr>
          <w:b/>
          <w:bCs/>
        </w:rPr>
        <w:br w:type="page"/>
      </w:r>
    </w:p>
    <w:p w14:paraId="14C0FA3B" w14:textId="77777777" w:rsidR="00647F00" w:rsidRPr="006C683B" w:rsidRDefault="00EC6B5A" w:rsidP="006C683B">
      <w:pPr>
        <w:pStyle w:val="Heading2"/>
      </w:pPr>
      <w:bookmarkStart w:id="25" w:name="_Toc106974810"/>
      <w:r w:rsidRPr="006C683B">
        <w:lastRenderedPageBreak/>
        <w:t xml:space="preserve">Crumbed and battered proteins </w:t>
      </w:r>
      <w:r w:rsidRPr="006C683B">
        <w:rPr>
          <w:rStyle w:val="Pink"/>
        </w:rPr>
        <w:t>• Out of Home</w:t>
      </w:r>
      <w:bookmarkEnd w:id="25"/>
    </w:p>
    <w:p w14:paraId="4A4C6E24" w14:textId="77777777" w:rsidR="00647F00" w:rsidRDefault="00EC6B5A" w:rsidP="006C683B">
      <w:pPr>
        <w:pStyle w:val="Heading3"/>
      </w:pPr>
      <w:r>
        <w:t>Category definition</w:t>
      </w:r>
    </w:p>
    <w:p w14:paraId="712A4A92" w14:textId="77777777" w:rsidR="00647F00" w:rsidRDefault="00EC6B5A" w:rsidP="006C683B">
      <w:r>
        <w:t xml:space="preserve">Meat, poultry, seafood and </w:t>
      </w:r>
      <w:r w:rsidRPr="0057664E">
        <w:rPr>
          <w:b/>
          <w:bCs/>
        </w:rPr>
        <w:t>plant-based and meat alternatives</w:t>
      </w:r>
      <w:r>
        <w:t xml:space="preserve"> which have been coated with a crumb or batter made from flour or flour-alternatives and sold in the </w:t>
      </w:r>
      <w:r w:rsidRPr="0057664E">
        <w:rPr>
          <w:b/>
          <w:bCs/>
        </w:rPr>
        <w:t>out of home</w:t>
      </w:r>
      <w:r>
        <w:t xml:space="preserve"> sector. Includes products prepared on-site or pre-prepared.</w:t>
      </w:r>
    </w:p>
    <w:p w14:paraId="7E7BA7AA" w14:textId="77777777" w:rsidR="00647F00" w:rsidRDefault="00EC6B5A" w:rsidP="006C683B">
      <w:pPr>
        <w:pStyle w:val="Box2Heading"/>
      </w:pPr>
      <w:r>
        <w:rPr>
          <w:rStyle w:val="Pink"/>
        </w:rPr>
        <w:t>Maximum serving size recommendation</w:t>
      </w:r>
    </w:p>
    <w:p w14:paraId="68DC22DC" w14:textId="77777777" w:rsidR="00647F00" w:rsidRPr="006C683B" w:rsidRDefault="00EC6B5A" w:rsidP="006C683B">
      <w:pPr>
        <w:pStyle w:val="Box2Text"/>
        <w:rPr>
          <w:b/>
          <w:bCs/>
        </w:rPr>
      </w:pPr>
      <w:r w:rsidRPr="006C683B">
        <w:rPr>
          <w:b/>
          <w:bCs/>
        </w:rPr>
        <w:t xml:space="preserve">Up to 150 g </w:t>
      </w:r>
    </w:p>
    <w:p w14:paraId="603246BC" w14:textId="77777777" w:rsidR="00647F00" w:rsidRDefault="00EC6B5A" w:rsidP="006C683B">
      <w:pPr>
        <w:pStyle w:val="Box2Text"/>
      </w:pPr>
      <w:r>
        <w:t>Applies to cooked products, without bone.</w:t>
      </w:r>
    </w:p>
    <w:p w14:paraId="03D07AF5" w14:textId="77777777" w:rsidR="00647F00" w:rsidRDefault="00EC6B5A" w:rsidP="006C683B">
      <w:pPr>
        <w:pStyle w:val="Heading3"/>
      </w:pPr>
      <w:r>
        <w:t>Why this serving size?</w:t>
      </w:r>
    </w:p>
    <w:p w14:paraId="7009C89E" w14:textId="4A0515C2" w:rsidR="00647F00" w:rsidRDefault="00EC6B5A" w:rsidP="006C683B">
      <w:pPr>
        <w:pStyle w:val="Bullet1"/>
      </w:pPr>
      <w:r>
        <w:t xml:space="preserve">Accounts for differences in </w:t>
      </w:r>
      <w:r w:rsidRPr="0057664E">
        <w:rPr>
          <w:b/>
          <w:bCs/>
        </w:rPr>
        <w:t>serving sizes</w:t>
      </w:r>
      <w:r>
        <w:t xml:space="preserve"> within animal and plant-based crumbed and battered proteins (informed by market research).</w:t>
      </w:r>
      <w:r w:rsidR="00A3158D" w:rsidRPr="00A3158D">
        <w:rPr>
          <w:rStyle w:val="EndnoteReference"/>
        </w:rPr>
        <w:fldChar w:fldCharType="begin"/>
      </w:r>
      <w:r w:rsidR="00A3158D" w:rsidRPr="00A3158D">
        <w:rPr>
          <w:rStyle w:val="EndnoteReference"/>
        </w:rPr>
        <w:instrText xml:space="preserve"> NOTEREF _Ref106972163 \h </w:instrText>
      </w:r>
      <w:r w:rsidR="00A3158D">
        <w:rPr>
          <w:rStyle w:val="EndnoteReference"/>
        </w:rPr>
        <w:instrText xml:space="preserve"> \* MERGEFORMAT </w:instrText>
      </w:r>
      <w:r w:rsidR="00A3158D" w:rsidRPr="00A3158D">
        <w:rPr>
          <w:rStyle w:val="EndnoteReference"/>
        </w:rPr>
      </w:r>
      <w:r w:rsidR="00A3158D" w:rsidRPr="00A3158D">
        <w:rPr>
          <w:rStyle w:val="EndnoteReference"/>
        </w:rPr>
        <w:fldChar w:fldCharType="separate"/>
      </w:r>
      <w:r w:rsidR="00A3158D" w:rsidRPr="00A3158D">
        <w:rPr>
          <w:rStyle w:val="EndnoteReference"/>
        </w:rPr>
        <w:t>14</w:t>
      </w:r>
      <w:r w:rsidR="00A3158D" w:rsidRPr="00A3158D">
        <w:rPr>
          <w:rStyle w:val="EndnoteReference"/>
        </w:rPr>
        <w:fldChar w:fldCharType="end"/>
      </w:r>
    </w:p>
    <w:p w14:paraId="42623768" w14:textId="459E7EAD" w:rsidR="00647F00" w:rsidRDefault="00EC6B5A" w:rsidP="006C683B">
      <w:pPr>
        <w:pStyle w:val="Bullet1"/>
      </w:pPr>
      <w:r>
        <w:t>Considers existing state and territory government guidance.</w:t>
      </w:r>
      <w:r w:rsidR="00A3158D" w:rsidRPr="00A3158D">
        <w:rPr>
          <w:rStyle w:val="EndnoteReference"/>
        </w:rPr>
        <w:fldChar w:fldCharType="begin"/>
      </w:r>
      <w:r w:rsidR="00A3158D" w:rsidRPr="00A3158D">
        <w:rPr>
          <w:rStyle w:val="EndnoteReference"/>
        </w:rPr>
        <w:instrText xml:space="preserve"> NOTEREF _Ref106972179 \h </w:instrText>
      </w:r>
      <w:r w:rsidR="00A3158D">
        <w:rPr>
          <w:rStyle w:val="EndnoteReference"/>
        </w:rPr>
        <w:instrText xml:space="preserve"> \* MERGEFORMAT </w:instrText>
      </w:r>
      <w:r w:rsidR="00A3158D" w:rsidRPr="00A3158D">
        <w:rPr>
          <w:rStyle w:val="EndnoteReference"/>
        </w:rPr>
      </w:r>
      <w:r w:rsidR="00A3158D" w:rsidRPr="00A3158D">
        <w:rPr>
          <w:rStyle w:val="EndnoteReference"/>
        </w:rPr>
        <w:fldChar w:fldCharType="separate"/>
      </w:r>
      <w:r w:rsidR="00A3158D" w:rsidRPr="00A3158D">
        <w:rPr>
          <w:rStyle w:val="EndnoteReference"/>
        </w:rPr>
        <w:t>12</w:t>
      </w:r>
      <w:r w:rsidR="00A3158D" w:rsidRPr="00A3158D">
        <w:rPr>
          <w:rStyle w:val="EndnoteReference"/>
        </w:rPr>
        <w:fldChar w:fldCharType="end"/>
      </w:r>
      <w:r w:rsidRPr="00A3158D">
        <w:rPr>
          <w:rStyle w:val="EndnoteReference"/>
        </w:rPr>
        <w:t xml:space="preserve">, </w:t>
      </w:r>
      <w:r w:rsidR="00A3158D" w:rsidRPr="00A3158D">
        <w:rPr>
          <w:rStyle w:val="EndnoteReference"/>
        </w:rPr>
        <w:fldChar w:fldCharType="begin"/>
      </w:r>
      <w:r w:rsidR="00A3158D" w:rsidRPr="00A3158D">
        <w:rPr>
          <w:rStyle w:val="EndnoteReference"/>
        </w:rPr>
        <w:instrText xml:space="preserve"> NOTEREF _Ref106972254 \h </w:instrText>
      </w:r>
      <w:r w:rsidR="00A3158D">
        <w:rPr>
          <w:rStyle w:val="EndnoteReference"/>
        </w:rPr>
        <w:instrText xml:space="preserve"> \* MERGEFORMAT </w:instrText>
      </w:r>
      <w:r w:rsidR="00A3158D" w:rsidRPr="00A3158D">
        <w:rPr>
          <w:rStyle w:val="EndnoteReference"/>
        </w:rPr>
      </w:r>
      <w:r w:rsidR="00A3158D" w:rsidRPr="00A3158D">
        <w:rPr>
          <w:rStyle w:val="EndnoteReference"/>
        </w:rPr>
        <w:fldChar w:fldCharType="separate"/>
      </w:r>
      <w:r w:rsidR="00A3158D" w:rsidRPr="00A3158D">
        <w:rPr>
          <w:rStyle w:val="EndnoteReference"/>
        </w:rPr>
        <w:t>13</w:t>
      </w:r>
      <w:r w:rsidR="00A3158D" w:rsidRPr="00A3158D">
        <w:rPr>
          <w:rStyle w:val="EndnoteReference"/>
        </w:rPr>
        <w:fldChar w:fldCharType="end"/>
      </w:r>
    </w:p>
    <w:p w14:paraId="4CF45ABC" w14:textId="77777777" w:rsidR="00647F00" w:rsidRDefault="00EC6B5A" w:rsidP="006C683B">
      <w:pPr>
        <w:pStyle w:val="Bullet1"/>
      </w:pPr>
      <w:r>
        <w:t>Recognises that these products are typically consumed as a meal.</w:t>
      </w:r>
    </w:p>
    <w:p w14:paraId="5549C2DA" w14:textId="5E9324CA" w:rsidR="00647F00" w:rsidRDefault="00EC6B5A" w:rsidP="006C683B">
      <w:pPr>
        <w:pStyle w:val="Bullet1"/>
      </w:pPr>
      <w:r>
        <w:t>As the majority of serving sizes reviewed are at or below the recommendation of 150 g,</w:t>
      </w:r>
      <w:r w:rsidR="00A3158D" w:rsidRPr="00A3158D">
        <w:rPr>
          <w:rStyle w:val="EndnoteReference"/>
        </w:rPr>
        <w:fldChar w:fldCharType="begin"/>
      </w:r>
      <w:r w:rsidR="00A3158D" w:rsidRPr="00A3158D">
        <w:rPr>
          <w:rStyle w:val="EndnoteReference"/>
        </w:rPr>
        <w:instrText xml:space="preserve"> NOTEREF _Ref106972163 \h </w:instrText>
      </w:r>
      <w:r w:rsidR="00A3158D">
        <w:rPr>
          <w:rStyle w:val="EndnoteReference"/>
        </w:rPr>
        <w:instrText xml:space="preserve"> \* MERGEFORMAT </w:instrText>
      </w:r>
      <w:r w:rsidR="00A3158D" w:rsidRPr="00A3158D">
        <w:rPr>
          <w:rStyle w:val="EndnoteReference"/>
        </w:rPr>
      </w:r>
      <w:r w:rsidR="00A3158D" w:rsidRPr="00A3158D">
        <w:rPr>
          <w:rStyle w:val="EndnoteReference"/>
        </w:rPr>
        <w:fldChar w:fldCharType="separate"/>
      </w:r>
      <w:r w:rsidR="00A3158D" w:rsidRPr="00A3158D">
        <w:rPr>
          <w:rStyle w:val="EndnoteReference"/>
        </w:rPr>
        <w:t>14</w:t>
      </w:r>
      <w:r w:rsidR="00A3158D" w:rsidRPr="00A3158D">
        <w:rPr>
          <w:rStyle w:val="EndnoteReference"/>
        </w:rPr>
        <w:fldChar w:fldCharType="end"/>
      </w:r>
      <w:r>
        <w:t xml:space="preserve"> this maximum recommended serving size is likely to be feasible.</w:t>
      </w:r>
    </w:p>
    <w:p w14:paraId="09C4F5E6" w14:textId="77777777" w:rsidR="00647F00" w:rsidRDefault="00EC6B5A" w:rsidP="006C683B">
      <w:pPr>
        <w:pStyle w:val="Box1Heading"/>
      </w:pPr>
      <w:r>
        <w:t>Tips for successful implementation</w:t>
      </w:r>
    </w:p>
    <w:p w14:paraId="641A1DB8" w14:textId="5C19DE72" w:rsidR="00647F00" w:rsidRDefault="00EC6B5A" w:rsidP="006C683B">
      <w:pPr>
        <w:pStyle w:val="Box1Bullet"/>
      </w:pPr>
      <w:r>
        <w:t>As smaller options are introduced, consider phasing out larger options.</w:t>
      </w:r>
    </w:p>
    <w:p w14:paraId="58F2F947" w14:textId="2F8C3465" w:rsidR="006C683B" w:rsidRDefault="00EC6B5A" w:rsidP="006C683B">
      <w:pPr>
        <w:pStyle w:val="Box1Bullet"/>
      </w:pPr>
      <w:r>
        <w:t>Satisfy consumers by serving with half a plate of vegetables or salad.</w:t>
      </w:r>
    </w:p>
    <w:p w14:paraId="3F25DA1D" w14:textId="56ABD5BB" w:rsidR="00AC314F" w:rsidRDefault="00AC314F">
      <w:pPr>
        <w:suppressAutoHyphens w:val="0"/>
      </w:pPr>
      <w:r w:rsidRPr="00AC314F">
        <w:rPr>
          <w:noProof/>
        </w:rPr>
        <w:drawing>
          <wp:inline distT="0" distB="0" distL="0" distR="0" wp14:anchorId="60BED2A2" wp14:editId="56C4B218">
            <wp:extent cx="3599396" cy="2508069"/>
            <wp:effectExtent l="0" t="0" r="1270" b="6985"/>
            <wp:docPr id="47" name="Picture 47" descr="A photo of a dinner plate with a crumbed piece of protein, salad and a slice of l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hoto of a dinner plate with a crumbed piece of protein, salad and a slice of lemon"/>
                    <pic:cNvPicPr>
                      <a:picLocks noChangeAspect="1" noChangeArrowheads="1"/>
                    </pic:cNvPicPr>
                  </pic:nvPicPr>
                  <pic:blipFill rotWithShape="1">
                    <a:blip r:embed="rId24">
                      <a:extLst>
                        <a:ext uri="{28A0092B-C50C-407E-A947-70E740481C1C}">
                          <a14:useLocalDpi xmlns:a14="http://schemas.microsoft.com/office/drawing/2010/main" val="0"/>
                        </a:ext>
                      </a:extLst>
                    </a:blip>
                    <a:srcRect t="40104" b="20605"/>
                    <a:stretch/>
                  </pic:blipFill>
                  <pic:spPr bwMode="auto">
                    <a:xfrm>
                      <a:off x="0" y="0"/>
                      <a:ext cx="3600000" cy="2508490"/>
                    </a:xfrm>
                    <a:prstGeom prst="rect">
                      <a:avLst/>
                    </a:prstGeom>
                    <a:noFill/>
                    <a:ln>
                      <a:noFill/>
                    </a:ln>
                    <a:extLst>
                      <a:ext uri="{53640926-AAD7-44D8-BBD7-CCE9431645EC}">
                        <a14:shadowObscured xmlns:a14="http://schemas.microsoft.com/office/drawing/2010/main"/>
                      </a:ext>
                    </a:extLst>
                  </pic:spPr>
                </pic:pic>
              </a:graphicData>
            </a:graphic>
          </wp:inline>
        </w:drawing>
      </w:r>
    </w:p>
    <w:p w14:paraId="30C2DD62" w14:textId="4EB2DF1A" w:rsidR="006C683B" w:rsidRDefault="006C683B">
      <w:pPr>
        <w:suppressAutoHyphens w:val="0"/>
      </w:pPr>
      <w:r>
        <w:br w:type="page"/>
      </w:r>
    </w:p>
    <w:p w14:paraId="7C520609" w14:textId="77777777" w:rsidR="00647F00" w:rsidRPr="006C683B" w:rsidRDefault="00EC6B5A" w:rsidP="006C683B">
      <w:pPr>
        <w:pStyle w:val="Heading2NoTOC"/>
        <w:rPr>
          <w:rStyle w:val="Pink"/>
        </w:rPr>
      </w:pPr>
      <w:r w:rsidRPr="006C683B">
        <w:rPr>
          <w:rStyle w:val="Pink"/>
        </w:rPr>
        <w:lastRenderedPageBreak/>
        <w:t>Out of Home</w:t>
      </w:r>
    </w:p>
    <w:p w14:paraId="71BE8106" w14:textId="77777777" w:rsidR="00647F00" w:rsidRPr="006C683B" w:rsidRDefault="00EC6B5A" w:rsidP="006C683B">
      <w:pPr>
        <w:pStyle w:val="Heading2NoTOC"/>
      </w:pPr>
      <w:r w:rsidRPr="006C683B">
        <w:t>Crumbed and battered proteins</w:t>
      </w:r>
    </w:p>
    <w:p w14:paraId="3468C9D4" w14:textId="61274D57" w:rsidR="00647F00" w:rsidRDefault="006C683B" w:rsidP="006C683B">
      <w:r>
        <w:rPr>
          <w:noProof/>
        </w:rPr>
        <w:drawing>
          <wp:inline distT="0" distB="0" distL="0" distR="0" wp14:anchorId="3BCEDB8C" wp14:editId="08FDD350">
            <wp:extent cx="6120000" cy="6023040"/>
            <wp:effectExtent l="0" t="0" r="0" b="0"/>
            <wp:docPr id="33" name="Picture 33" descr="A photo of a plate of food with a serving of battered protein and salad. The size of the 150 gram battered protein is 8 by 14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hoto of a plate of food with a serving of battered protein and salad. The size of the 150 gram battered protein is 8 by 14 centimetres"/>
                    <pic:cNvPicPr/>
                  </pic:nvPicPr>
                  <pic:blipFill>
                    <a:blip r:embed="rId25"/>
                    <a:stretch>
                      <a:fillRect/>
                    </a:stretch>
                  </pic:blipFill>
                  <pic:spPr>
                    <a:xfrm>
                      <a:off x="0" y="0"/>
                      <a:ext cx="6120000" cy="6023040"/>
                    </a:xfrm>
                    <a:prstGeom prst="rect">
                      <a:avLst/>
                    </a:prstGeom>
                  </pic:spPr>
                </pic:pic>
              </a:graphicData>
            </a:graphic>
          </wp:inline>
        </w:drawing>
      </w:r>
    </w:p>
    <w:p w14:paraId="33138D3A" w14:textId="77777777" w:rsidR="00647F00" w:rsidRDefault="00EC6B5A" w:rsidP="006C683B">
      <w:pPr>
        <w:pStyle w:val="Heading3"/>
      </w:pPr>
      <w:r>
        <w:t>Maximum serving size recommendation</w:t>
      </w:r>
    </w:p>
    <w:p w14:paraId="101DC14A" w14:textId="77777777" w:rsidR="00647F00" w:rsidRDefault="00EC6B5A" w:rsidP="006C683B">
      <w:r>
        <w:t>(</w:t>
      </w:r>
      <w:proofErr w:type="gramStart"/>
      <w:r>
        <w:t>up</w:t>
      </w:r>
      <w:proofErr w:type="gramEnd"/>
      <w:r>
        <w:t xml:space="preserve"> to the weight indicated)</w:t>
      </w:r>
    </w:p>
    <w:p w14:paraId="608CF7D7" w14:textId="77777777" w:rsidR="00647F00" w:rsidRDefault="00EC6B5A" w:rsidP="006C683B">
      <w:pPr>
        <w:pStyle w:val="Box2Text"/>
      </w:pPr>
      <w:r>
        <w:t>Standard prop plate is 27.4 cm.</w:t>
      </w:r>
    </w:p>
    <w:p w14:paraId="1B0CE9A5" w14:textId="134788E4" w:rsidR="006C683B" w:rsidRDefault="00EC6B5A" w:rsidP="006C683B">
      <w:pPr>
        <w:pStyle w:val="Box2Text"/>
        <w:rPr>
          <w:b/>
          <w:bCs/>
          <w:spacing w:val="-1"/>
        </w:rPr>
      </w:pPr>
      <w:r>
        <w:rPr>
          <w:spacing w:val="-1"/>
        </w:rPr>
        <w:t xml:space="preserve">Dimensions are an approximation for size. </w:t>
      </w:r>
      <w:r w:rsidRPr="006C683B">
        <w:rPr>
          <w:b/>
          <w:bCs/>
          <w:spacing w:val="-1"/>
        </w:rPr>
        <w:t>Follow weight measures for an accurate serving size.</w:t>
      </w:r>
    </w:p>
    <w:p w14:paraId="3A5B5DD5" w14:textId="77777777" w:rsidR="006C683B" w:rsidRDefault="006C683B">
      <w:pPr>
        <w:suppressAutoHyphens w:val="0"/>
        <w:rPr>
          <w:b/>
          <w:bCs/>
          <w:spacing w:val="-1"/>
        </w:rPr>
      </w:pPr>
      <w:r>
        <w:rPr>
          <w:b/>
          <w:bCs/>
          <w:spacing w:val="-1"/>
        </w:rPr>
        <w:br w:type="page"/>
      </w:r>
    </w:p>
    <w:p w14:paraId="24168D02" w14:textId="77777777" w:rsidR="00647F00" w:rsidRPr="006C683B" w:rsidRDefault="00EC6B5A" w:rsidP="006C683B">
      <w:pPr>
        <w:pStyle w:val="Heading2"/>
      </w:pPr>
      <w:bookmarkStart w:id="26" w:name="_Toc106974811"/>
      <w:r w:rsidRPr="006C683B">
        <w:lastRenderedPageBreak/>
        <w:t xml:space="preserve">Hot potato chips, fries and wedges </w:t>
      </w:r>
      <w:r w:rsidRPr="006C683B">
        <w:rPr>
          <w:rStyle w:val="Pink"/>
        </w:rPr>
        <w:t>• Out of Home</w:t>
      </w:r>
      <w:bookmarkEnd w:id="26"/>
    </w:p>
    <w:p w14:paraId="102C49FD" w14:textId="77777777" w:rsidR="00647F00" w:rsidRDefault="00EC6B5A" w:rsidP="006C683B">
      <w:pPr>
        <w:pStyle w:val="Heading3"/>
      </w:pPr>
      <w:r>
        <w:t>Category definition</w:t>
      </w:r>
    </w:p>
    <w:p w14:paraId="0E1F3499" w14:textId="77777777" w:rsidR="00647F00" w:rsidRDefault="00EC6B5A" w:rsidP="006C683B">
      <w:r>
        <w:t>Potato or sweet potato-based products which can be consumed as a meal, snack or side dish and sold in the out of home sector. Excludes potato-based meals, potato-based snacks such as hash browns, or cold potato-based snacks such as crisps.</w:t>
      </w:r>
    </w:p>
    <w:p w14:paraId="5E318235" w14:textId="77777777" w:rsidR="00647F00" w:rsidRDefault="00EC6B5A" w:rsidP="006C683B">
      <w:pPr>
        <w:pStyle w:val="Box2Heading"/>
      </w:pPr>
      <w:r>
        <w:rPr>
          <w:rStyle w:val="Pink"/>
        </w:rPr>
        <w:t>Maximum serving size recommendation</w:t>
      </w:r>
    </w:p>
    <w:p w14:paraId="2C5D2709" w14:textId="77777777" w:rsidR="00647F00" w:rsidRDefault="00EC6B5A" w:rsidP="006C683B">
      <w:pPr>
        <w:pStyle w:val="Box2Text"/>
      </w:pPr>
      <w:r w:rsidRPr="0057664E">
        <w:rPr>
          <w:b/>
          <w:bCs/>
        </w:rPr>
        <w:t>Up to 150 g</w:t>
      </w:r>
      <w:r>
        <w:t xml:space="preserve"> for an individual (single) serving of hot chips/fries/wedges.</w:t>
      </w:r>
    </w:p>
    <w:p w14:paraId="0CAF60CF" w14:textId="77777777" w:rsidR="00647F00" w:rsidRPr="006C683B" w:rsidRDefault="00EC6B5A" w:rsidP="006C683B">
      <w:pPr>
        <w:pStyle w:val="Box2Text"/>
        <w:rPr>
          <w:rStyle w:val="Pink"/>
          <w:b/>
          <w:bCs/>
        </w:rPr>
      </w:pPr>
      <w:r w:rsidRPr="006C683B">
        <w:rPr>
          <w:rStyle w:val="Pink"/>
          <w:b/>
          <w:bCs/>
        </w:rPr>
        <w:t xml:space="preserve">Additional guidance is based on prepared, cooked and ready-to-eat servings: </w:t>
      </w:r>
    </w:p>
    <w:p w14:paraId="3F21A530" w14:textId="77777777" w:rsidR="00647F00" w:rsidRDefault="00EC6B5A" w:rsidP="006C683B">
      <w:pPr>
        <w:pStyle w:val="Box2Bullet"/>
      </w:pPr>
      <w:r w:rsidRPr="0057664E">
        <w:rPr>
          <w:b/>
          <w:bCs/>
        </w:rPr>
        <w:t>A small serving -</w:t>
      </w:r>
      <w:r>
        <w:t xml:space="preserve"> no more than 150 g</w:t>
      </w:r>
    </w:p>
    <w:p w14:paraId="08CB00ED" w14:textId="77777777" w:rsidR="00647F00" w:rsidRDefault="00EC6B5A" w:rsidP="006C683B">
      <w:pPr>
        <w:pStyle w:val="Box2Bullet"/>
      </w:pPr>
      <w:r w:rsidRPr="0057664E">
        <w:rPr>
          <w:b/>
          <w:bCs/>
        </w:rPr>
        <w:t>A medium serving -</w:t>
      </w:r>
      <w:r>
        <w:t xml:space="preserve"> no more than 200 g</w:t>
      </w:r>
    </w:p>
    <w:p w14:paraId="6EEF3972" w14:textId="77777777" w:rsidR="00647F00" w:rsidRDefault="00EC6B5A" w:rsidP="006C683B">
      <w:pPr>
        <w:pStyle w:val="Box2Bullet"/>
      </w:pPr>
      <w:r w:rsidRPr="0057664E">
        <w:rPr>
          <w:b/>
          <w:bCs/>
        </w:rPr>
        <w:t>A large serving -</w:t>
      </w:r>
      <w:r>
        <w:t xml:space="preserve"> no more than 300 g</w:t>
      </w:r>
    </w:p>
    <w:p w14:paraId="6A7BB0D7" w14:textId="77777777" w:rsidR="00647F00" w:rsidRDefault="00EC6B5A" w:rsidP="006C683B">
      <w:pPr>
        <w:pStyle w:val="Heading3"/>
      </w:pPr>
      <w:r>
        <w:t>Why this serving size?</w:t>
      </w:r>
    </w:p>
    <w:p w14:paraId="263C0DA3" w14:textId="77777777" w:rsidR="00647F00" w:rsidRDefault="00EC6B5A" w:rsidP="006C683B">
      <w:pPr>
        <w:pStyle w:val="Bullet1"/>
      </w:pPr>
      <w:r>
        <w:t xml:space="preserve">Hot chips, fries and wedges eaten </w:t>
      </w:r>
      <w:r w:rsidRPr="0057664E">
        <w:rPr>
          <w:b/>
          <w:bCs/>
        </w:rPr>
        <w:t>out of home</w:t>
      </w:r>
      <w:r>
        <w:t xml:space="preserve"> can be consumed as a meal, as part of meal, or as a snack. </w:t>
      </w:r>
    </w:p>
    <w:p w14:paraId="68E3DE69" w14:textId="77777777" w:rsidR="00647F00" w:rsidRDefault="00EC6B5A" w:rsidP="006C683B">
      <w:pPr>
        <w:pStyle w:val="Bullet1"/>
      </w:pPr>
      <w:r>
        <w:t>Considered feedback from outlets providing smaller serves of hot chips to comply with health policy activities that a 100 g serve of chips is perceived as too small.</w:t>
      </w:r>
    </w:p>
    <w:p w14:paraId="08D844D4" w14:textId="3011A2FE" w:rsidR="00647F00" w:rsidRDefault="00EC6B5A" w:rsidP="006C683B">
      <w:pPr>
        <w:pStyle w:val="Bullet1"/>
      </w:pPr>
      <w:r>
        <w:t xml:space="preserve"> As almost two-thirds of currently available individual serving sizes are smaller than the recommendation, the maximum recommended serving size is likely to be feasible.</w:t>
      </w:r>
      <w:r w:rsidR="00A3158D" w:rsidRPr="00A3158D">
        <w:rPr>
          <w:rStyle w:val="EndnoteReference"/>
        </w:rPr>
        <w:fldChar w:fldCharType="begin"/>
      </w:r>
      <w:r w:rsidR="00A3158D" w:rsidRPr="00A3158D">
        <w:rPr>
          <w:rStyle w:val="EndnoteReference"/>
        </w:rPr>
        <w:instrText xml:space="preserve"> NOTEREF _Ref106972163 \h </w:instrText>
      </w:r>
      <w:r w:rsidR="00A3158D">
        <w:rPr>
          <w:rStyle w:val="EndnoteReference"/>
        </w:rPr>
        <w:instrText xml:space="preserve"> \* MERGEFORMAT </w:instrText>
      </w:r>
      <w:r w:rsidR="00A3158D" w:rsidRPr="00A3158D">
        <w:rPr>
          <w:rStyle w:val="EndnoteReference"/>
        </w:rPr>
      </w:r>
      <w:r w:rsidR="00A3158D" w:rsidRPr="00A3158D">
        <w:rPr>
          <w:rStyle w:val="EndnoteReference"/>
        </w:rPr>
        <w:fldChar w:fldCharType="separate"/>
      </w:r>
      <w:r w:rsidR="00A3158D" w:rsidRPr="00A3158D">
        <w:rPr>
          <w:rStyle w:val="EndnoteReference"/>
        </w:rPr>
        <w:t>14</w:t>
      </w:r>
      <w:r w:rsidR="00A3158D" w:rsidRPr="00A3158D">
        <w:rPr>
          <w:rStyle w:val="EndnoteReference"/>
        </w:rPr>
        <w:fldChar w:fldCharType="end"/>
      </w:r>
    </w:p>
    <w:p w14:paraId="6BD534F5" w14:textId="77777777" w:rsidR="00647F00" w:rsidRDefault="00EC6B5A" w:rsidP="006C683B">
      <w:pPr>
        <w:pStyle w:val="Bullet1"/>
      </w:pPr>
      <w:r>
        <w:t>Not one size fits all. As this category is eaten at variety of occasions, as a snack, or meal or part of a meal, for individual consumption and sharing, one size fits all guidance is not practical.</w:t>
      </w:r>
    </w:p>
    <w:p w14:paraId="6D5D80D4" w14:textId="77777777" w:rsidR="00647F00" w:rsidRDefault="00EC6B5A" w:rsidP="006C683B">
      <w:pPr>
        <w:pStyle w:val="Box1Heading"/>
      </w:pPr>
      <w:r>
        <w:t>Tips for successful implementation</w:t>
      </w:r>
    </w:p>
    <w:p w14:paraId="37243F86" w14:textId="77777777" w:rsidR="00647F00" w:rsidRDefault="00EC6B5A" w:rsidP="006C683B">
      <w:pPr>
        <w:pStyle w:val="Box1Text"/>
      </w:pPr>
      <w:r>
        <w:t>Cooking and preparation methods significantly affect the fat and energy content (kilojoules) of the cooked potato products. For example, thick cut chips or wedges have less surface area per gram than French fries and absorb less oil so they will be lower in fat and energy content (kilojoules).</w:t>
      </w:r>
    </w:p>
    <w:p w14:paraId="04A5D0EC" w14:textId="77777777" w:rsidR="00647F00" w:rsidRDefault="00EC6B5A" w:rsidP="006C683B">
      <w:pPr>
        <w:pStyle w:val="Box1Heading"/>
      </w:pPr>
      <w:r>
        <w:t>Top tips</w:t>
      </w:r>
    </w:p>
    <w:p w14:paraId="684CAE05" w14:textId="51BAFF97" w:rsidR="00647F00" w:rsidRDefault="00EC6B5A" w:rsidP="006C683B">
      <w:pPr>
        <w:pStyle w:val="Box1Bullet"/>
      </w:pPr>
      <w:r>
        <w:t xml:space="preserve">Display small, medium and large size serving containers, at the point of purchase, similar to the small, medium and large take away coffee cup options on display at cafés. </w:t>
      </w:r>
    </w:p>
    <w:p w14:paraId="60BCF02C" w14:textId="38BD0A7F" w:rsidR="00647F00" w:rsidRDefault="00EC6B5A" w:rsidP="006C683B">
      <w:pPr>
        <w:pStyle w:val="Box1Bullet"/>
      </w:pPr>
      <w:r>
        <w:t>Make the default offering the small size.</w:t>
      </w:r>
    </w:p>
    <w:p w14:paraId="4B56B993" w14:textId="5C8FF112" w:rsidR="006C683B" w:rsidRDefault="00EC6B5A" w:rsidP="006C683B">
      <w:pPr>
        <w:pStyle w:val="Box1Bullet"/>
      </w:pPr>
      <w:r>
        <w:t>Promote large serving sizes as share plates.</w:t>
      </w:r>
    </w:p>
    <w:p w14:paraId="218B8FB1" w14:textId="22C28012" w:rsidR="00AC314F" w:rsidRDefault="00AC314F">
      <w:pPr>
        <w:suppressAutoHyphens w:val="0"/>
      </w:pPr>
      <w:r w:rsidRPr="00AC314F">
        <w:rPr>
          <w:noProof/>
        </w:rPr>
        <w:lastRenderedPageBreak/>
        <w:drawing>
          <wp:inline distT="0" distB="0" distL="0" distR="0" wp14:anchorId="4AD2200A" wp14:editId="143D3FC4">
            <wp:extent cx="3599421" cy="2429692"/>
            <wp:effectExtent l="0" t="0" r="1270" b="8890"/>
            <wp:docPr id="48" name="Picture 48" descr="A plate with a crumbed piece of protein salad and hot potato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late with a crumbed piece of protein salad and hot potato chips"/>
                    <pic:cNvPicPr>
                      <a:picLocks noChangeAspect="1" noChangeArrowheads="1"/>
                    </pic:cNvPicPr>
                  </pic:nvPicPr>
                  <pic:blipFill rotWithShape="1">
                    <a:blip r:embed="rId26">
                      <a:extLst>
                        <a:ext uri="{28A0092B-C50C-407E-A947-70E740481C1C}">
                          <a14:useLocalDpi xmlns:a14="http://schemas.microsoft.com/office/drawing/2010/main" val="0"/>
                        </a:ext>
                      </a:extLst>
                    </a:blip>
                    <a:srcRect t="40020" b="23839"/>
                    <a:stretch/>
                  </pic:blipFill>
                  <pic:spPr bwMode="auto">
                    <a:xfrm>
                      <a:off x="0" y="0"/>
                      <a:ext cx="3600000" cy="2430083"/>
                    </a:xfrm>
                    <a:prstGeom prst="rect">
                      <a:avLst/>
                    </a:prstGeom>
                    <a:noFill/>
                    <a:ln>
                      <a:noFill/>
                    </a:ln>
                    <a:extLst>
                      <a:ext uri="{53640926-AAD7-44D8-BBD7-CCE9431645EC}">
                        <a14:shadowObscured xmlns:a14="http://schemas.microsoft.com/office/drawing/2010/main"/>
                      </a:ext>
                    </a:extLst>
                  </pic:spPr>
                </pic:pic>
              </a:graphicData>
            </a:graphic>
          </wp:inline>
        </w:drawing>
      </w:r>
    </w:p>
    <w:p w14:paraId="19202CDD" w14:textId="5F06C39F" w:rsidR="006C683B" w:rsidRDefault="006C683B">
      <w:pPr>
        <w:suppressAutoHyphens w:val="0"/>
      </w:pPr>
      <w:r>
        <w:br w:type="page"/>
      </w:r>
    </w:p>
    <w:p w14:paraId="591A2454" w14:textId="77777777" w:rsidR="00647F00" w:rsidRPr="006C683B" w:rsidRDefault="00EC6B5A" w:rsidP="006C683B">
      <w:pPr>
        <w:pStyle w:val="Heading2NoTOC"/>
        <w:rPr>
          <w:rStyle w:val="Pink"/>
        </w:rPr>
      </w:pPr>
      <w:r w:rsidRPr="006C683B">
        <w:rPr>
          <w:rStyle w:val="Pink"/>
        </w:rPr>
        <w:lastRenderedPageBreak/>
        <w:t>Out of Home</w:t>
      </w:r>
    </w:p>
    <w:p w14:paraId="5AF081E1" w14:textId="77777777" w:rsidR="00647F00" w:rsidRPr="006C683B" w:rsidRDefault="00EC6B5A" w:rsidP="006C683B">
      <w:pPr>
        <w:pStyle w:val="Heading2NoTOC"/>
      </w:pPr>
      <w:r w:rsidRPr="006C683B">
        <w:t>Hot potato chips, fries and wedges-single serve</w:t>
      </w:r>
    </w:p>
    <w:p w14:paraId="57B38CFF" w14:textId="70CA23ED" w:rsidR="00647F00" w:rsidRDefault="006C683B" w:rsidP="006C683B">
      <w:r>
        <w:rPr>
          <w:noProof/>
          <w:color w:val="004339"/>
        </w:rPr>
        <w:drawing>
          <wp:inline distT="0" distB="0" distL="0" distR="0" wp14:anchorId="15D1304A" wp14:editId="55615E1F">
            <wp:extent cx="6120130" cy="6303010"/>
            <wp:effectExtent l="0" t="0" r="0" b="2540"/>
            <wp:docPr id="34" name="Picture 34" descr="A plate of battered protein salad and a 150 gram serving of hot potato chips which is approximately 11 centimetres in di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late of battered protein salad and a 150 gram serving of hot potato chips which is approximately 11 centimetres in diameter"/>
                    <pic:cNvPicPr/>
                  </pic:nvPicPr>
                  <pic:blipFill>
                    <a:blip r:embed="rId27"/>
                    <a:stretch>
                      <a:fillRect/>
                    </a:stretch>
                  </pic:blipFill>
                  <pic:spPr>
                    <a:xfrm>
                      <a:off x="0" y="0"/>
                      <a:ext cx="6120130" cy="6303010"/>
                    </a:xfrm>
                    <a:prstGeom prst="rect">
                      <a:avLst/>
                    </a:prstGeom>
                  </pic:spPr>
                </pic:pic>
              </a:graphicData>
            </a:graphic>
          </wp:inline>
        </w:drawing>
      </w:r>
    </w:p>
    <w:p w14:paraId="1E3500EF" w14:textId="77777777" w:rsidR="00647F00" w:rsidRDefault="00EC6B5A" w:rsidP="00A77534">
      <w:pPr>
        <w:pStyle w:val="Heading3"/>
      </w:pPr>
      <w:r>
        <w:t>Maximum serving size recommendation</w:t>
      </w:r>
    </w:p>
    <w:p w14:paraId="727192AF" w14:textId="77777777" w:rsidR="00647F00" w:rsidRDefault="00EC6B5A" w:rsidP="00A77534">
      <w:r>
        <w:t>(</w:t>
      </w:r>
      <w:proofErr w:type="gramStart"/>
      <w:r>
        <w:t>up</w:t>
      </w:r>
      <w:proofErr w:type="gramEnd"/>
      <w:r>
        <w:t xml:space="preserve"> to the weight indicated)</w:t>
      </w:r>
    </w:p>
    <w:p w14:paraId="0A1536D1" w14:textId="77777777" w:rsidR="00647F00" w:rsidRPr="0057664E" w:rsidRDefault="00EC6B5A" w:rsidP="00A77534">
      <w:pPr>
        <w:pStyle w:val="Box2Text"/>
        <w:rPr>
          <w:b/>
          <w:bCs/>
        </w:rPr>
      </w:pPr>
      <w:r w:rsidRPr="0057664E">
        <w:rPr>
          <w:b/>
          <w:bCs/>
        </w:rPr>
        <w:t>This example indicates a small serving.</w:t>
      </w:r>
    </w:p>
    <w:p w14:paraId="6AE4B17C" w14:textId="77777777" w:rsidR="00647F00" w:rsidRDefault="00EC6B5A" w:rsidP="00A77534">
      <w:pPr>
        <w:pStyle w:val="Box2Text"/>
      </w:pPr>
      <w:r>
        <w:t>These servings will mean more French fries and fewer wedges for the same weight.</w:t>
      </w:r>
    </w:p>
    <w:p w14:paraId="6279DFC6" w14:textId="77777777" w:rsidR="00647F00" w:rsidRDefault="00EC6B5A" w:rsidP="00A77534">
      <w:pPr>
        <w:pStyle w:val="Box2Text"/>
      </w:pPr>
      <w:r>
        <w:t xml:space="preserve">A 15 g chip is about 13mm x 13mm x 6 cm long. </w:t>
      </w:r>
    </w:p>
    <w:p w14:paraId="788AA756" w14:textId="77777777" w:rsidR="00647F00" w:rsidRDefault="00EC6B5A" w:rsidP="00A77534">
      <w:pPr>
        <w:pStyle w:val="Box2Text"/>
      </w:pPr>
      <w:r>
        <w:t xml:space="preserve">The average weight of a potato wedge is approximately 20 g (6–8 cm long). </w:t>
      </w:r>
    </w:p>
    <w:p w14:paraId="7A428A78" w14:textId="77777777" w:rsidR="00647F00" w:rsidRDefault="00EC6B5A" w:rsidP="00A77534">
      <w:pPr>
        <w:pStyle w:val="Box2Text"/>
      </w:pPr>
      <w:r>
        <w:lastRenderedPageBreak/>
        <w:t>Standard prop plate is 27.4 cm.</w:t>
      </w:r>
    </w:p>
    <w:p w14:paraId="65C72417" w14:textId="2A40DBCF" w:rsidR="00A77534" w:rsidRDefault="00EC6B5A" w:rsidP="00A77534">
      <w:pPr>
        <w:pStyle w:val="Box2Text"/>
        <w:rPr>
          <w:b/>
          <w:bCs/>
        </w:rPr>
      </w:pPr>
      <w:r>
        <w:t xml:space="preserve">Dimensions are an approximation for size. </w:t>
      </w:r>
      <w:r w:rsidRPr="00A77534">
        <w:rPr>
          <w:b/>
          <w:bCs/>
        </w:rPr>
        <w:t>Follow weight measures for an accurate serving size.</w:t>
      </w:r>
    </w:p>
    <w:p w14:paraId="153D69FF" w14:textId="77777777" w:rsidR="00A77534" w:rsidRDefault="00A77534">
      <w:pPr>
        <w:suppressAutoHyphens w:val="0"/>
        <w:rPr>
          <w:b/>
          <w:bCs/>
        </w:rPr>
      </w:pPr>
      <w:r>
        <w:rPr>
          <w:b/>
          <w:bCs/>
        </w:rPr>
        <w:br w:type="page"/>
      </w:r>
    </w:p>
    <w:p w14:paraId="23C061FF" w14:textId="77777777" w:rsidR="00647F00" w:rsidRPr="00A77534" w:rsidRDefault="00EC6B5A" w:rsidP="00A77534">
      <w:pPr>
        <w:pStyle w:val="Heading2"/>
        <w:rPr>
          <w:rStyle w:val="Pink"/>
        </w:rPr>
      </w:pPr>
      <w:bookmarkStart w:id="27" w:name="_Toc106974812"/>
      <w:r w:rsidRPr="00A77534">
        <w:rPr>
          <w:rStyle w:val="Pink"/>
        </w:rPr>
        <w:lastRenderedPageBreak/>
        <w:t>Out of Home</w:t>
      </w:r>
      <w:bookmarkEnd w:id="27"/>
    </w:p>
    <w:p w14:paraId="267C2CBC" w14:textId="77777777" w:rsidR="00647F00" w:rsidRDefault="00EC6B5A" w:rsidP="00A77534">
      <w:pPr>
        <w:pStyle w:val="Heading2"/>
      </w:pPr>
      <w:bookmarkStart w:id="28" w:name="_Toc106974813"/>
      <w:r>
        <w:t>Hot potato chips, fries and wedges - share serve</w:t>
      </w:r>
      <w:bookmarkEnd w:id="28"/>
    </w:p>
    <w:p w14:paraId="04CCEB83" w14:textId="32033222" w:rsidR="00647F00" w:rsidRDefault="00A77534" w:rsidP="00A77534">
      <w:r>
        <w:rPr>
          <w:noProof/>
          <w:color w:val="004339"/>
        </w:rPr>
        <w:drawing>
          <wp:inline distT="0" distB="0" distL="0" distR="0" wp14:anchorId="3FA7002B" wp14:editId="5F8CD915">
            <wp:extent cx="5796000" cy="6633757"/>
            <wp:effectExtent l="0" t="0" r="0" b="0"/>
            <wp:docPr id="35" name="Picture 35" descr="A photo showing two serving sizes for hot potato chips in bowls, one bowl is 13 centimetres diameter the other is 16 centimetres diameter.&#10;A photo showing two serving sizes for hot potato chips, the first bowl is 200 grams and 5 centimetres high, the second bowl is 300 grams and 6 centimetre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hoto showing two serving sizes for hot potato chips in bowls, one bowl is 13 centimetres diameter the other is 16 centimetres diameter.&#10;A photo showing two serving sizes for hot potato chips, the first bowl is 200 grams and 5 centimetres high, the second bowl is 300 grams and 6 centimetres high."/>
                    <pic:cNvPicPr/>
                  </pic:nvPicPr>
                  <pic:blipFill rotWithShape="1">
                    <a:blip r:embed="rId28"/>
                    <a:srcRect l="40701"/>
                    <a:stretch/>
                  </pic:blipFill>
                  <pic:spPr bwMode="auto">
                    <a:xfrm>
                      <a:off x="0" y="0"/>
                      <a:ext cx="5796000" cy="6633757"/>
                    </a:xfrm>
                    <a:prstGeom prst="rect">
                      <a:avLst/>
                    </a:prstGeom>
                    <a:ln>
                      <a:noFill/>
                    </a:ln>
                    <a:extLst>
                      <a:ext uri="{53640926-AAD7-44D8-BBD7-CCE9431645EC}">
                        <a14:shadowObscured xmlns:a14="http://schemas.microsoft.com/office/drawing/2010/main"/>
                      </a:ext>
                    </a:extLst>
                  </pic:spPr>
                </pic:pic>
              </a:graphicData>
            </a:graphic>
          </wp:inline>
        </w:drawing>
      </w:r>
    </w:p>
    <w:p w14:paraId="4473B171" w14:textId="77777777" w:rsidR="00647F00" w:rsidRDefault="00EC6B5A" w:rsidP="00AC314F">
      <w:pPr>
        <w:pStyle w:val="Heading3"/>
      </w:pPr>
      <w:r>
        <w:t>Maximum serving size recommendation</w:t>
      </w:r>
    </w:p>
    <w:p w14:paraId="256B2660" w14:textId="77777777" w:rsidR="00647F00" w:rsidRDefault="00EC6B5A" w:rsidP="00A77534">
      <w:r>
        <w:t>(</w:t>
      </w:r>
      <w:proofErr w:type="gramStart"/>
      <w:r>
        <w:t>up</w:t>
      </w:r>
      <w:proofErr w:type="gramEnd"/>
      <w:r>
        <w:t xml:space="preserve"> to the weight indicated)</w:t>
      </w:r>
    </w:p>
    <w:p w14:paraId="1AAC010D" w14:textId="77777777" w:rsidR="00647F00" w:rsidRDefault="00EC6B5A" w:rsidP="00A77534">
      <w:pPr>
        <w:pStyle w:val="List1Numbered2"/>
        <w:numPr>
          <w:ilvl w:val="1"/>
          <w:numId w:val="18"/>
        </w:numPr>
      </w:pPr>
      <w:r>
        <w:t xml:space="preserve">Medium </w:t>
      </w:r>
    </w:p>
    <w:p w14:paraId="53B110D6" w14:textId="14190682" w:rsidR="00A77534" w:rsidRDefault="00EC6B5A" w:rsidP="00A77534">
      <w:pPr>
        <w:pStyle w:val="List1Numbered2"/>
      </w:pPr>
      <w:r>
        <w:t>Large</w:t>
      </w:r>
    </w:p>
    <w:p w14:paraId="1F1B55D0" w14:textId="77777777" w:rsidR="00A77534" w:rsidRDefault="00A77534">
      <w:pPr>
        <w:suppressAutoHyphens w:val="0"/>
      </w:pPr>
      <w:r>
        <w:br w:type="page"/>
      </w:r>
    </w:p>
    <w:p w14:paraId="0348FF06" w14:textId="77777777" w:rsidR="00647F00" w:rsidRDefault="00EC6B5A" w:rsidP="00A77534">
      <w:pPr>
        <w:pStyle w:val="Heading2"/>
      </w:pPr>
      <w:bookmarkStart w:id="29" w:name="_Toc106974814"/>
      <w:r>
        <w:lastRenderedPageBreak/>
        <w:t xml:space="preserve">Ice-cream, ice-cream confections and frozen desserts </w:t>
      </w:r>
      <w:r w:rsidRPr="00A77534">
        <w:rPr>
          <w:rStyle w:val="Pink"/>
        </w:rPr>
        <w:t>• Retail</w:t>
      </w:r>
      <w:bookmarkEnd w:id="29"/>
    </w:p>
    <w:p w14:paraId="226C2880" w14:textId="77777777" w:rsidR="00647F00" w:rsidRDefault="00EC6B5A" w:rsidP="00A77534">
      <w:pPr>
        <w:pStyle w:val="Heading3"/>
      </w:pPr>
      <w:r>
        <w:t>Category definition</w:t>
      </w:r>
    </w:p>
    <w:p w14:paraId="2A5A8D7F" w14:textId="77777777" w:rsidR="00647F00" w:rsidRDefault="00EC6B5A" w:rsidP="00A77534">
      <w:r>
        <w:t xml:space="preserve">Dairy or dairy-alternative (plant-based) ice-cream and confections and frozen desserts sold in the retail setting. Includes shelf-stable products that are intended to be served frozen. </w:t>
      </w:r>
    </w:p>
    <w:p w14:paraId="6EF30731" w14:textId="77777777" w:rsidR="00647F00" w:rsidRDefault="00EC6B5A" w:rsidP="00A77534">
      <w:pPr>
        <w:pStyle w:val="Box2Heading"/>
      </w:pPr>
      <w:r>
        <w:rPr>
          <w:rStyle w:val="Pink"/>
        </w:rPr>
        <w:t>Maximum serving size recommendation</w:t>
      </w:r>
    </w:p>
    <w:p w14:paraId="7C67DCA1" w14:textId="77777777" w:rsidR="00647F00" w:rsidRPr="0057664E" w:rsidRDefault="00EC6B5A" w:rsidP="00A77534">
      <w:pPr>
        <w:pStyle w:val="Box2Text"/>
        <w:rPr>
          <w:b/>
          <w:bCs/>
        </w:rPr>
      </w:pPr>
      <w:r w:rsidRPr="0057664E">
        <w:rPr>
          <w:b/>
          <w:bCs/>
        </w:rPr>
        <w:t>Two sub-categories:</w:t>
      </w:r>
    </w:p>
    <w:p w14:paraId="37881A2E" w14:textId="77777777" w:rsidR="00647F00" w:rsidRDefault="00EC6B5A" w:rsidP="00A77534">
      <w:pPr>
        <w:pStyle w:val="Box2Bullet"/>
      </w:pPr>
      <w:r w:rsidRPr="0057664E">
        <w:rPr>
          <w:b/>
          <w:bCs/>
        </w:rPr>
        <w:t>Sticks/single servings:</w:t>
      </w:r>
      <w:r>
        <w:t xml:space="preserve"> up to 75 g</w:t>
      </w:r>
    </w:p>
    <w:p w14:paraId="7B611CC4" w14:textId="77777777" w:rsidR="00647F00" w:rsidRDefault="00EC6B5A" w:rsidP="00A77534">
      <w:pPr>
        <w:pStyle w:val="Box2Bullet"/>
      </w:pPr>
      <w:r w:rsidRPr="0057664E">
        <w:rPr>
          <w:b/>
          <w:bCs/>
        </w:rPr>
        <w:t>Tubs:</w:t>
      </w:r>
      <w:r>
        <w:t xml:space="preserve"> up to 50 g from a multi-serve tub (serving size recommendation)</w:t>
      </w:r>
    </w:p>
    <w:p w14:paraId="57998509" w14:textId="77777777" w:rsidR="00647F00" w:rsidRDefault="00EC6B5A" w:rsidP="00A77534">
      <w:pPr>
        <w:pStyle w:val="Heading3"/>
      </w:pPr>
      <w:r>
        <w:t>Why this serving size?</w:t>
      </w:r>
    </w:p>
    <w:p w14:paraId="37919199" w14:textId="7FC92FA8" w:rsidR="00647F00" w:rsidRDefault="00EC6B5A" w:rsidP="00A77534">
      <w:pPr>
        <w:pStyle w:val="Bullet1"/>
      </w:pPr>
      <w:r>
        <w:t xml:space="preserve">Recognises that </w:t>
      </w:r>
      <w:r w:rsidRPr="0057664E">
        <w:rPr>
          <w:b/>
          <w:bCs/>
        </w:rPr>
        <w:t>serving sizes</w:t>
      </w:r>
      <w:r>
        <w:t xml:space="preserve"> have increased over time.</w:t>
      </w:r>
      <w:r w:rsidR="004A76C6" w:rsidRPr="004A76C6">
        <w:rPr>
          <w:rStyle w:val="EndnoteReference"/>
        </w:rPr>
        <w:fldChar w:fldCharType="begin"/>
      </w:r>
      <w:r w:rsidR="004A76C6" w:rsidRPr="004A76C6">
        <w:rPr>
          <w:rStyle w:val="EndnoteReference"/>
        </w:rPr>
        <w:instrText xml:space="preserve"> NOTEREF _Ref106972044 \h </w:instrText>
      </w:r>
      <w:r w:rsidR="004A76C6">
        <w:rPr>
          <w:rStyle w:val="EndnoteReference"/>
        </w:rPr>
        <w:instrText xml:space="preserve"> \* MERGEFORMAT </w:instrText>
      </w:r>
      <w:r w:rsidR="004A76C6" w:rsidRPr="004A76C6">
        <w:rPr>
          <w:rStyle w:val="EndnoteReference"/>
        </w:rPr>
      </w:r>
      <w:r w:rsidR="004A76C6" w:rsidRPr="004A76C6">
        <w:rPr>
          <w:rStyle w:val="EndnoteReference"/>
        </w:rPr>
        <w:fldChar w:fldCharType="separate"/>
      </w:r>
      <w:r w:rsidR="004A76C6" w:rsidRPr="004A76C6">
        <w:rPr>
          <w:rStyle w:val="EndnoteReference"/>
        </w:rPr>
        <w:t>4</w:t>
      </w:r>
      <w:r w:rsidR="004A76C6" w:rsidRPr="004A76C6">
        <w:rPr>
          <w:rStyle w:val="EndnoteReference"/>
        </w:rPr>
        <w:fldChar w:fldCharType="end"/>
      </w:r>
    </w:p>
    <w:p w14:paraId="668B6090" w14:textId="45F3248E" w:rsidR="00647F00" w:rsidRDefault="00EC6B5A" w:rsidP="00A77534">
      <w:pPr>
        <w:pStyle w:val="Bullet1"/>
      </w:pPr>
      <w:r>
        <w:t>Considers existing state and territory government and international guidance.</w:t>
      </w:r>
      <w:r w:rsidR="00A3158D" w:rsidRPr="00A3158D">
        <w:rPr>
          <w:rStyle w:val="EndnoteReference"/>
        </w:rPr>
        <w:fldChar w:fldCharType="begin"/>
      </w:r>
      <w:r w:rsidR="00A3158D" w:rsidRPr="00A3158D">
        <w:rPr>
          <w:rStyle w:val="EndnoteReference"/>
        </w:rPr>
        <w:instrText xml:space="preserve"> NOTEREF _Ref106972179 \h </w:instrText>
      </w:r>
      <w:r w:rsidR="00A3158D">
        <w:rPr>
          <w:rStyle w:val="EndnoteReference"/>
        </w:rPr>
        <w:instrText xml:space="preserve"> \* MERGEFORMAT </w:instrText>
      </w:r>
      <w:r w:rsidR="00A3158D" w:rsidRPr="00A3158D">
        <w:rPr>
          <w:rStyle w:val="EndnoteReference"/>
        </w:rPr>
      </w:r>
      <w:r w:rsidR="00A3158D" w:rsidRPr="00A3158D">
        <w:rPr>
          <w:rStyle w:val="EndnoteReference"/>
        </w:rPr>
        <w:fldChar w:fldCharType="separate"/>
      </w:r>
      <w:r w:rsidR="00A3158D" w:rsidRPr="00A3158D">
        <w:rPr>
          <w:rStyle w:val="EndnoteReference"/>
        </w:rPr>
        <w:t>12</w:t>
      </w:r>
      <w:r w:rsidR="00A3158D" w:rsidRPr="00A3158D">
        <w:rPr>
          <w:rStyle w:val="EndnoteReference"/>
        </w:rPr>
        <w:fldChar w:fldCharType="end"/>
      </w:r>
      <w:r w:rsidRPr="00A3158D">
        <w:rPr>
          <w:rStyle w:val="EndnoteReference"/>
        </w:rPr>
        <w:t xml:space="preserve">, </w:t>
      </w:r>
      <w:r w:rsidR="00A3158D" w:rsidRPr="00A3158D">
        <w:rPr>
          <w:rStyle w:val="EndnoteReference"/>
        </w:rPr>
        <w:fldChar w:fldCharType="begin"/>
      </w:r>
      <w:r w:rsidR="00A3158D" w:rsidRPr="00A3158D">
        <w:rPr>
          <w:rStyle w:val="EndnoteReference"/>
        </w:rPr>
        <w:instrText xml:space="preserve"> NOTEREF _Ref106972254 \h </w:instrText>
      </w:r>
      <w:r w:rsidR="00A3158D">
        <w:rPr>
          <w:rStyle w:val="EndnoteReference"/>
        </w:rPr>
        <w:instrText xml:space="preserve"> \* MERGEFORMAT </w:instrText>
      </w:r>
      <w:r w:rsidR="00A3158D" w:rsidRPr="00A3158D">
        <w:rPr>
          <w:rStyle w:val="EndnoteReference"/>
        </w:rPr>
      </w:r>
      <w:r w:rsidR="00A3158D" w:rsidRPr="00A3158D">
        <w:rPr>
          <w:rStyle w:val="EndnoteReference"/>
        </w:rPr>
        <w:fldChar w:fldCharType="separate"/>
      </w:r>
      <w:r w:rsidR="00A3158D" w:rsidRPr="00A3158D">
        <w:rPr>
          <w:rStyle w:val="EndnoteReference"/>
        </w:rPr>
        <w:t>13</w:t>
      </w:r>
      <w:r w:rsidR="00A3158D" w:rsidRPr="00A3158D">
        <w:rPr>
          <w:rStyle w:val="EndnoteReference"/>
        </w:rPr>
        <w:fldChar w:fldCharType="end"/>
      </w:r>
      <w:r w:rsidRPr="00A3158D">
        <w:rPr>
          <w:rStyle w:val="EndnoteReference"/>
        </w:rPr>
        <w:t xml:space="preserve">, </w:t>
      </w:r>
      <w:r w:rsidR="00A3158D" w:rsidRPr="00A3158D">
        <w:rPr>
          <w:rStyle w:val="EndnoteReference"/>
        </w:rPr>
        <w:fldChar w:fldCharType="begin"/>
      </w:r>
      <w:r w:rsidR="00A3158D" w:rsidRPr="00A3158D">
        <w:rPr>
          <w:rStyle w:val="EndnoteReference"/>
        </w:rPr>
        <w:instrText xml:space="preserve"> NOTEREF _Ref106972185 \h </w:instrText>
      </w:r>
      <w:r w:rsidR="00A3158D">
        <w:rPr>
          <w:rStyle w:val="EndnoteReference"/>
        </w:rPr>
        <w:instrText xml:space="preserve"> \* MERGEFORMAT </w:instrText>
      </w:r>
      <w:r w:rsidR="00A3158D" w:rsidRPr="00A3158D">
        <w:rPr>
          <w:rStyle w:val="EndnoteReference"/>
        </w:rPr>
      </w:r>
      <w:r w:rsidR="00A3158D" w:rsidRPr="00A3158D">
        <w:rPr>
          <w:rStyle w:val="EndnoteReference"/>
        </w:rPr>
        <w:fldChar w:fldCharType="separate"/>
      </w:r>
      <w:r w:rsidR="00A3158D" w:rsidRPr="00A3158D">
        <w:rPr>
          <w:rStyle w:val="EndnoteReference"/>
        </w:rPr>
        <w:t>15</w:t>
      </w:r>
      <w:r w:rsidR="00A3158D" w:rsidRPr="00A3158D">
        <w:rPr>
          <w:rStyle w:val="EndnoteReference"/>
        </w:rPr>
        <w:fldChar w:fldCharType="end"/>
      </w:r>
      <w:r w:rsidRPr="00A3158D">
        <w:rPr>
          <w:rStyle w:val="EndnoteReference"/>
        </w:rPr>
        <w:t xml:space="preserve">, </w:t>
      </w:r>
      <w:r w:rsidR="00A3158D" w:rsidRPr="00A3158D">
        <w:rPr>
          <w:rStyle w:val="EndnoteReference"/>
        </w:rPr>
        <w:fldChar w:fldCharType="begin"/>
      </w:r>
      <w:r w:rsidR="00A3158D" w:rsidRPr="00A3158D">
        <w:rPr>
          <w:rStyle w:val="EndnoteReference"/>
        </w:rPr>
        <w:instrText xml:space="preserve"> NOTEREF _Ref106972315 \h </w:instrText>
      </w:r>
      <w:r w:rsidR="00A3158D">
        <w:rPr>
          <w:rStyle w:val="EndnoteReference"/>
        </w:rPr>
        <w:instrText xml:space="preserve"> \* MERGEFORMAT </w:instrText>
      </w:r>
      <w:r w:rsidR="00A3158D" w:rsidRPr="00A3158D">
        <w:rPr>
          <w:rStyle w:val="EndnoteReference"/>
        </w:rPr>
      </w:r>
      <w:r w:rsidR="00A3158D" w:rsidRPr="00A3158D">
        <w:rPr>
          <w:rStyle w:val="EndnoteReference"/>
        </w:rPr>
        <w:fldChar w:fldCharType="separate"/>
      </w:r>
      <w:r w:rsidR="00A3158D" w:rsidRPr="00A3158D">
        <w:rPr>
          <w:rStyle w:val="EndnoteReference"/>
        </w:rPr>
        <w:t>21</w:t>
      </w:r>
      <w:r w:rsidR="00A3158D" w:rsidRPr="00A3158D">
        <w:rPr>
          <w:rStyle w:val="EndnoteReference"/>
        </w:rPr>
        <w:fldChar w:fldCharType="end"/>
      </w:r>
    </w:p>
    <w:p w14:paraId="0C04672E" w14:textId="11112C4B" w:rsidR="00647F00" w:rsidRDefault="00F36F43" w:rsidP="00A77534">
      <w:pPr>
        <w:pStyle w:val="Bullet1"/>
      </w:pPr>
      <w:r>
        <w:t>75 g is c</w:t>
      </w:r>
      <w:r w:rsidR="00EC6B5A">
        <w:t>onsistent with one discretionary food serve of ice-cream, as outlined in the Eat for Health Educator Guide.</w:t>
      </w:r>
      <w:r w:rsidR="00A3158D" w:rsidRPr="00A3158D">
        <w:rPr>
          <w:rStyle w:val="EndnoteReference"/>
        </w:rPr>
        <w:fldChar w:fldCharType="begin"/>
      </w:r>
      <w:r w:rsidR="00A3158D" w:rsidRPr="00A3158D">
        <w:rPr>
          <w:rStyle w:val="EndnoteReference"/>
        </w:rPr>
        <w:instrText xml:space="preserve"> NOTEREF _Ref106972328 \h </w:instrText>
      </w:r>
      <w:r w:rsidR="00A3158D">
        <w:rPr>
          <w:rStyle w:val="EndnoteReference"/>
        </w:rPr>
        <w:instrText xml:space="preserve"> \* MERGEFORMAT </w:instrText>
      </w:r>
      <w:r w:rsidR="00A3158D" w:rsidRPr="00A3158D">
        <w:rPr>
          <w:rStyle w:val="EndnoteReference"/>
        </w:rPr>
      </w:r>
      <w:r w:rsidR="00A3158D" w:rsidRPr="00A3158D">
        <w:rPr>
          <w:rStyle w:val="EndnoteReference"/>
        </w:rPr>
        <w:fldChar w:fldCharType="separate"/>
      </w:r>
      <w:r w:rsidR="00A3158D" w:rsidRPr="00A3158D">
        <w:rPr>
          <w:rStyle w:val="EndnoteReference"/>
        </w:rPr>
        <w:t>22</w:t>
      </w:r>
      <w:r w:rsidR="00A3158D" w:rsidRPr="00A3158D">
        <w:rPr>
          <w:rStyle w:val="EndnoteReference"/>
        </w:rPr>
        <w:fldChar w:fldCharType="end"/>
      </w:r>
    </w:p>
    <w:p w14:paraId="1FF714A6" w14:textId="77777777" w:rsidR="00647F00" w:rsidRDefault="00EC6B5A" w:rsidP="00A77534">
      <w:pPr>
        <w:pStyle w:val="Bullet1"/>
      </w:pPr>
      <w:r>
        <w:t xml:space="preserve">Considers energy density variation for different types of frozen desserts, both dairy and non-dairy based varieties. </w:t>
      </w:r>
    </w:p>
    <w:p w14:paraId="64DFDBF9" w14:textId="77777777" w:rsidR="00647F00" w:rsidRDefault="00EC6B5A" w:rsidP="00A77534">
      <w:pPr>
        <w:pStyle w:val="Box1Heading"/>
      </w:pPr>
      <w:r>
        <w:t>Tips for successful implementation</w:t>
      </w:r>
    </w:p>
    <w:p w14:paraId="7B06DE15" w14:textId="3A7CFE24" w:rsidR="00647F00" w:rsidRDefault="00EC6B5A" w:rsidP="00A77534">
      <w:pPr>
        <w:pStyle w:val="Box1Bullet"/>
      </w:pPr>
      <w:r>
        <w:t xml:space="preserve">Consider on-pack labelling messages on tubs such as “share pack” or “family pack”. </w:t>
      </w:r>
    </w:p>
    <w:p w14:paraId="5182CAC8" w14:textId="77777777" w:rsidR="00647F00" w:rsidRDefault="00EC6B5A" w:rsidP="00A77534">
      <w:pPr>
        <w:pStyle w:val="Box1Heading"/>
      </w:pPr>
      <w:r>
        <w:t>Top tips</w:t>
      </w:r>
    </w:p>
    <w:p w14:paraId="21AA3DF0" w14:textId="09DB779D" w:rsidR="00A77534" w:rsidRDefault="00EC6B5A" w:rsidP="00A77534">
      <w:pPr>
        <w:pStyle w:val="Box1Bullet"/>
      </w:pPr>
      <w:r>
        <w:t>Consider mini single serves of regular ice creams and confections provide smaller options for consumer choice.</w:t>
      </w:r>
    </w:p>
    <w:p w14:paraId="7E723A10" w14:textId="4665CF9D" w:rsidR="00AC314F" w:rsidRDefault="00AC314F">
      <w:pPr>
        <w:suppressAutoHyphens w:val="0"/>
      </w:pPr>
      <w:r w:rsidRPr="00AC314F">
        <w:rPr>
          <w:noProof/>
        </w:rPr>
        <w:lastRenderedPageBreak/>
        <w:drawing>
          <wp:inline distT="0" distB="0" distL="0" distR="0" wp14:anchorId="7C8398AC" wp14:editId="365136BF">
            <wp:extent cx="3600000" cy="6335105"/>
            <wp:effectExtent l="0" t="0" r="635" b="8890"/>
            <wp:docPr id="49" name="Picture 49" descr="A photo of a hand holding an ice cream and a small bowl of 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hoto of a hand holding an ice cream and a small bowl of ice cre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0" cy="6335105"/>
                    </a:xfrm>
                    <a:prstGeom prst="rect">
                      <a:avLst/>
                    </a:prstGeom>
                    <a:noFill/>
                    <a:ln>
                      <a:noFill/>
                    </a:ln>
                  </pic:spPr>
                </pic:pic>
              </a:graphicData>
            </a:graphic>
          </wp:inline>
        </w:drawing>
      </w:r>
    </w:p>
    <w:p w14:paraId="43887CDB" w14:textId="0C4CEECF" w:rsidR="00A77534" w:rsidRDefault="00A77534">
      <w:pPr>
        <w:suppressAutoHyphens w:val="0"/>
      </w:pPr>
      <w:r>
        <w:br w:type="page"/>
      </w:r>
    </w:p>
    <w:p w14:paraId="1B16ED84" w14:textId="77777777" w:rsidR="00647F00" w:rsidRPr="00A77534" w:rsidRDefault="00EC6B5A" w:rsidP="00C15EE1">
      <w:pPr>
        <w:pStyle w:val="Heading2NoTOC"/>
        <w:rPr>
          <w:rStyle w:val="Pink"/>
        </w:rPr>
      </w:pPr>
      <w:r w:rsidRPr="00A77534">
        <w:rPr>
          <w:rStyle w:val="Pink"/>
        </w:rPr>
        <w:lastRenderedPageBreak/>
        <w:t>Retail</w:t>
      </w:r>
    </w:p>
    <w:p w14:paraId="59A2A5D0" w14:textId="77777777" w:rsidR="00647F00" w:rsidRDefault="00EC6B5A" w:rsidP="00C15EE1">
      <w:pPr>
        <w:pStyle w:val="Heading2NoTOC"/>
      </w:pPr>
      <w:r>
        <w:t>Ice-cream, ice-cream confections and frozen desserts</w:t>
      </w:r>
    </w:p>
    <w:p w14:paraId="4FBFF3A1" w14:textId="4C356D82" w:rsidR="00647F00" w:rsidRDefault="00A77534" w:rsidP="00A77534">
      <w:r>
        <w:rPr>
          <w:noProof/>
        </w:rPr>
        <w:drawing>
          <wp:inline distT="0" distB="0" distL="0" distR="0" wp14:anchorId="38B6F87B" wp14:editId="11CB27AC">
            <wp:extent cx="6120130" cy="3437255"/>
            <wp:effectExtent l="0" t="0" r="0" b="0"/>
            <wp:docPr id="36" name="Picture 36" descr="A photo showing a 75 gram ice block of 11 by 5 centimetres, a 75 gram ice cream of 9 by 4 centimetres, and a 50g scoop of ice cream of 5 centimetres diameter in a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hoto showing a 75 gram ice block of 11 by 5 centimetres, a 75 gram ice cream of 9 by 4 centimetres, and a 50g scoop of ice cream of 5 centimetres diameter in a bowl."/>
                    <pic:cNvPicPr/>
                  </pic:nvPicPr>
                  <pic:blipFill>
                    <a:blip r:embed="rId30"/>
                    <a:stretch>
                      <a:fillRect/>
                    </a:stretch>
                  </pic:blipFill>
                  <pic:spPr>
                    <a:xfrm>
                      <a:off x="0" y="0"/>
                      <a:ext cx="6120130" cy="3437255"/>
                    </a:xfrm>
                    <a:prstGeom prst="rect">
                      <a:avLst/>
                    </a:prstGeom>
                  </pic:spPr>
                </pic:pic>
              </a:graphicData>
            </a:graphic>
          </wp:inline>
        </w:drawing>
      </w:r>
    </w:p>
    <w:p w14:paraId="11F243E1" w14:textId="77777777" w:rsidR="00647F00" w:rsidRDefault="00EC6B5A" w:rsidP="00A77534">
      <w:pPr>
        <w:pStyle w:val="Heading3"/>
      </w:pPr>
      <w:r>
        <w:t>Maximum serving size recommendation</w:t>
      </w:r>
    </w:p>
    <w:p w14:paraId="1622C0CB" w14:textId="77777777" w:rsidR="00647F00" w:rsidRDefault="00EC6B5A" w:rsidP="00A77534">
      <w:r>
        <w:t>(</w:t>
      </w:r>
      <w:proofErr w:type="gramStart"/>
      <w:r>
        <w:t>up</w:t>
      </w:r>
      <w:proofErr w:type="gramEnd"/>
      <w:r>
        <w:t xml:space="preserve"> to the weight indicated)</w:t>
      </w:r>
    </w:p>
    <w:p w14:paraId="4E4AEC1C" w14:textId="77777777" w:rsidR="00647F00" w:rsidRDefault="00EC6B5A" w:rsidP="00A77534">
      <w:pPr>
        <w:pStyle w:val="Box2Text"/>
      </w:pPr>
      <w:r>
        <w:t>50 g scoop from a multi-serve tub.</w:t>
      </w:r>
    </w:p>
    <w:p w14:paraId="2B50C923" w14:textId="574D2A34" w:rsidR="00A77534" w:rsidRDefault="00EC6B5A" w:rsidP="00A77534">
      <w:pPr>
        <w:pStyle w:val="Box2Text"/>
        <w:rPr>
          <w:b/>
          <w:bCs/>
          <w:spacing w:val="-1"/>
        </w:rPr>
      </w:pPr>
      <w:r>
        <w:rPr>
          <w:spacing w:val="-1"/>
        </w:rPr>
        <w:t xml:space="preserve">Dimensions are an approximation for size. </w:t>
      </w:r>
      <w:r w:rsidRPr="00A77534">
        <w:rPr>
          <w:b/>
          <w:bCs/>
          <w:spacing w:val="-1"/>
        </w:rPr>
        <w:t>Follow weight measures for an accurate serving size.</w:t>
      </w:r>
    </w:p>
    <w:p w14:paraId="4658EBAD" w14:textId="77777777" w:rsidR="00A77534" w:rsidRDefault="00A77534">
      <w:pPr>
        <w:suppressAutoHyphens w:val="0"/>
        <w:rPr>
          <w:b/>
          <w:bCs/>
          <w:spacing w:val="-1"/>
        </w:rPr>
      </w:pPr>
      <w:r>
        <w:rPr>
          <w:b/>
          <w:bCs/>
          <w:spacing w:val="-1"/>
        </w:rPr>
        <w:br w:type="page"/>
      </w:r>
    </w:p>
    <w:p w14:paraId="3B490297" w14:textId="77777777" w:rsidR="00647F00" w:rsidRPr="00A77534" w:rsidRDefault="00EC6B5A" w:rsidP="00A77534">
      <w:pPr>
        <w:pStyle w:val="Heading2"/>
      </w:pPr>
      <w:bookmarkStart w:id="30" w:name="_Toc106974815"/>
      <w:r w:rsidRPr="00A77534">
        <w:lastRenderedPageBreak/>
        <w:t xml:space="preserve">Pizza </w:t>
      </w:r>
      <w:r w:rsidRPr="00A77534">
        <w:rPr>
          <w:rStyle w:val="Pink"/>
        </w:rPr>
        <w:t>• Out of Home</w:t>
      </w:r>
      <w:bookmarkEnd w:id="30"/>
    </w:p>
    <w:p w14:paraId="7AF52EB2" w14:textId="77777777" w:rsidR="00647F00" w:rsidRDefault="00EC6B5A" w:rsidP="00A77534">
      <w:pPr>
        <w:pStyle w:val="Heading3"/>
      </w:pPr>
      <w:r>
        <w:t>Category definition</w:t>
      </w:r>
    </w:p>
    <w:p w14:paraId="2B0D6CAF" w14:textId="77777777" w:rsidR="00647F00" w:rsidRDefault="00EC6B5A" w:rsidP="00A77534">
      <w:r>
        <w:t>Pizza base with toppings (</w:t>
      </w:r>
      <w:proofErr w:type="gramStart"/>
      <w:r>
        <w:t>e.g.</w:t>
      </w:r>
      <w:proofErr w:type="gramEnd"/>
      <w:r>
        <w:t xml:space="preserve"> vegetable, cheese, meat, fish or alternatives) sold in the </w:t>
      </w:r>
      <w:r w:rsidRPr="0057664E">
        <w:rPr>
          <w:b/>
          <w:bCs/>
        </w:rPr>
        <w:t>out of home</w:t>
      </w:r>
      <w:r>
        <w:t xml:space="preserve"> sector.</w:t>
      </w:r>
    </w:p>
    <w:p w14:paraId="3D0F3F87" w14:textId="77777777" w:rsidR="00647F00" w:rsidRDefault="00EC6B5A" w:rsidP="00A77534">
      <w:pPr>
        <w:pStyle w:val="Box2Heading"/>
      </w:pPr>
      <w:r>
        <w:rPr>
          <w:rStyle w:val="Pink"/>
        </w:rPr>
        <w:t>Maximum serving size recommendation</w:t>
      </w:r>
    </w:p>
    <w:p w14:paraId="0D05029A" w14:textId="77777777" w:rsidR="00647F00" w:rsidRPr="0057664E" w:rsidRDefault="00EC6B5A" w:rsidP="00A77534">
      <w:pPr>
        <w:pStyle w:val="Box2Text"/>
        <w:rPr>
          <w:b/>
          <w:bCs/>
        </w:rPr>
      </w:pPr>
      <w:r w:rsidRPr="0057664E">
        <w:rPr>
          <w:b/>
          <w:bCs/>
        </w:rPr>
        <w:t>Up to 200 g</w:t>
      </w:r>
    </w:p>
    <w:p w14:paraId="14417848" w14:textId="77777777" w:rsidR="00647F00" w:rsidRDefault="00EC6B5A" w:rsidP="00A77534">
      <w:pPr>
        <w:pStyle w:val="Heading3"/>
      </w:pPr>
      <w:r>
        <w:t>Why this serving size?</w:t>
      </w:r>
    </w:p>
    <w:p w14:paraId="2EB02DAF" w14:textId="482FD6FE" w:rsidR="00647F00" w:rsidRDefault="00EC6B5A" w:rsidP="00A77534">
      <w:pPr>
        <w:pStyle w:val="Bullet1"/>
      </w:pPr>
      <w:r>
        <w:t xml:space="preserve">Recognises </w:t>
      </w:r>
      <w:r w:rsidRPr="0057664E">
        <w:rPr>
          <w:b/>
          <w:bCs/>
        </w:rPr>
        <w:t>serving sizes</w:t>
      </w:r>
      <w:r>
        <w:t xml:space="preserve"> have increased over time.</w:t>
      </w:r>
      <w:r w:rsidR="004A76C6" w:rsidRPr="004A76C6">
        <w:rPr>
          <w:rStyle w:val="EndnoteReference"/>
        </w:rPr>
        <w:fldChar w:fldCharType="begin"/>
      </w:r>
      <w:r w:rsidR="004A76C6" w:rsidRPr="004A76C6">
        <w:rPr>
          <w:rStyle w:val="EndnoteReference"/>
        </w:rPr>
        <w:instrText xml:space="preserve"> NOTEREF _Ref106972044 \h </w:instrText>
      </w:r>
      <w:r w:rsidR="004A76C6">
        <w:rPr>
          <w:rStyle w:val="EndnoteReference"/>
        </w:rPr>
        <w:instrText xml:space="preserve"> \* MERGEFORMAT </w:instrText>
      </w:r>
      <w:r w:rsidR="004A76C6" w:rsidRPr="004A76C6">
        <w:rPr>
          <w:rStyle w:val="EndnoteReference"/>
        </w:rPr>
      </w:r>
      <w:r w:rsidR="004A76C6" w:rsidRPr="004A76C6">
        <w:rPr>
          <w:rStyle w:val="EndnoteReference"/>
        </w:rPr>
        <w:fldChar w:fldCharType="separate"/>
      </w:r>
      <w:r w:rsidR="004A76C6" w:rsidRPr="004A76C6">
        <w:rPr>
          <w:rStyle w:val="EndnoteReference"/>
        </w:rPr>
        <w:t>4</w:t>
      </w:r>
      <w:r w:rsidR="004A76C6" w:rsidRPr="004A76C6">
        <w:rPr>
          <w:rStyle w:val="EndnoteReference"/>
        </w:rPr>
        <w:fldChar w:fldCharType="end"/>
      </w:r>
    </w:p>
    <w:p w14:paraId="37D57003" w14:textId="583A61DA" w:rsidR="00647F00" w:rsidRDefault="00EC6B5A" w:rsidP="00A77534">
      <w:pPr>
        <w:pStyle w:val="Bullet1"/>
      </w:pPr>
      <w:r>
        <w:t>Considers existing state and territory government and international guidance.</w:t>
      </w:r>
      <w:r w:rsidR="00A3158D">
        <w:fldChar w:fldCharType="begin"/>
      </w:r>
      <w:r w:rsidR="00A3158D">
        <w:rPr>
          <w:rStyle w:val="EndnoteReference"/>
        </w:rPr>
        <w:instrText xml:space="preserve"> NOTEREF _Ref106972254 \h </w:instrText>
      </w:r>
      <w:r w:rsidR="00A3158D">
        <w:fldChar w:fldCharType="separate"/>
      </w:r>
      <w:r w:rsidR="00A3158D">
        <w:rPr>
          <w:rStyle w:val="EndnoteReference"/>
        </w:rPr>
        <w:t>13</w:t>
      </w:r>
      <w:r w:rsidR="00A3158D">
        <w:fldChar w:fldCharType="end"/>
      </w:r>
      <w:r w:rsidRPr="00BD71E7">
        <w:rPr>
          <w:rStyle w:val="EndnoteReference"/>
        </w:rPr>
        <w:t xml:space="preserve">, </w:t>
      </w:r>
      <w:r w:rsidR="00A3158D">
        <w:fldChar w:fldCharType="begin"/>
      </w:r>
      <w:r w:rsidR="00A3158D">
        <w:rPr>
          <w:rStyle w:val="EndnoteReference"/>
        </w:rPr>
        <w:instrText xml:space="preserve"> NOTEREF _Ref106972192 \h </w:instrText>
      </w:r>
      <w:r w:rsidR="00A3158D">
        <w:fldChar w:fldCharType="separate"/>
      </w:r>
      <w:r w:rsidR="00A3158D">
        <w:rPr>
          <w:rStyle w:val="EndnoteReference"/>
        </w:rPr>
        <w:t>16</w:t>
      </w:r>
      <w:r w:rsidR="00A3158D">
        <w:fldChar w:fldCharType="end"/>
      </w:r>
      <w:r>
        <w:rPr>
          <w:rStyle w:val="EndnoteReference"/>
        </w:rPr>
        <w:t xml:space="preserve">, </w:t>
      </w:r>
      <w:r w:rsidR="003729E7">
        <w:rPr>
          <w:rStyle w:val="EndnoteReference"/>
        </w:rPr>
        <w:endnoteReference w:id="23"/>
      </w:r>
    </w:p>
    <w:p w14:paraId="1236E9FA" w14:textId="02EE2F95" w:rsidR="00647F00" w:rsidRDefault="00EC6B5A" w:rsidP="00A77534">
      <w:pPr>
        <w:pStyle w:val="Bullet1"/>
      </w:pPr>
      <w:r>
        <w:t>Considers data from major Australian quick service pizza chains’ websites and FoodTrack.</w:t>
      </w:r>
      <w:r w:rsidR="00A3158D" w:rsidRPr="00A3158D">
        <w:rPr>
          <w:rStyle w:val="EndnoteReference"/>
        </w:rPr>
        <w:fldChar w:fldCharType="begin"/>
      </w:r>
      <w:r w:rsidR="00A3158D" w:rsidRPr="00A3158D">
        <w:rPr>
          <w:rStyle w:val="EndnoteReference"/>
        </w:rPr>
        <w:instrText xml:space="preserve"> NOTEREF _Ref106972163 \h </w:instrText>
      </w:r>
      <w:r w:rsidR="00A3158D">
        <w:rPr>
          <w:rStyle w:val="EndnoteReference"/>
        </w:rPr>
        <w:instrText xml:space="preserve"> \* MERGEFORMAT </w:instrText>
      </w:r>
      <w:r w:rsidR="00A3158D" w:rsidRPr="00A3158D">
        <w:rPr>
          <w:rStyle w:val="EndnoteReference"/>
        </w:rPr>
      </w:r>
      <w:r w:rsidR="00A3158D" w:rsidRPr="00A3158D">
        <w:rPr>
          <w:rStyle w:val="EndnoteReference"/>
        </w:rPr>
        <w:fldChar w:fldCharType="separate"/>
      </w:r>
      <w:r w:rsidR="00A3158D" w:rsidRPr="00A3158D">
        <w:rPr>
          <w:rStyle w:val="EndnoteReference"/>
        </w:rPr>
        <w:t>14</w:t>
      </w:r>
      <w:r w:rsidR="00A3158D" w:rsidRPr="00A3158D">
        <w:rPr>
          <w:rStyle w:val="EndnoteReference"/>
        </w:rPr>
        <w:fldChar w:fldCharType="end"/>
      </w:r>
    </w:p>
    <w:p w14:paraId="5FBAC8DA" w14:textId="77777777" w:rsidR="00647F00" w:rsidRDefault="00EC6B5A" w:rsidP="002075DA">
      <w:pPr>
        <w:pStyle w:val="Box1Heading"/>
      </w:pPr>
      <w:r>
        <w:t>Tips for successful implementation</w:t>
      </w:r>
    </w:p>
    <w:p w14:paraId="1BB83368" w14:textId="7955D269" w:rsidR="00647F00" w:rsidRDefault="00EC6B5A" w:rsidP="002075DA">
      <w:pPr>
        <w:pStyle w:val="Box1Bullet"/>
      </w:pPr>
      <w:r>
        <w:t>Cut the pizza into slices to increase the number of servings.</w:t>
      </w:r>
    </w:p>
    <w:p w14:paraId="0498D8F4" w14:textId="75B38EFA" w:rsidR="00647F00" w:rsidRDefault="00EC6B5A" w:rsidP="002075DA">
      <w:pPr>
        <w:pStyle w:val="Box1Bullet"/>
      </w:pPr>
      <w:r>
        <w:t>Investigate individual-sized options as a point of difference.</w:t>
      </w:r>
    </w:p>
    <w:p w14:paraId="76C7B6A5" w14:textId="77777777" w:rsidR="00647F00" w:rsidRDefault="00EC6B5A" w:rsidP="002075DA">
      <w:pPr>
        <w:pStyle w:val="Box1Heading"/>
      </w:pPr>
      <w:r>
        <w:t>Top tips</w:t>
      </w:r>
    </w:p>
    <w:p w14:paraId="66B6C602" w14:textId="1CB96DB6" w:rsidR="00647F00" w:rsidRDefault="00EC6B5A" w:rsidP="002075DA">
      <w:pPr>
        <w:pStyle w:val="Box1Bullet"/>
      </w:pPr>
      <w:r>
        <w:t>Consider offering different style pizza bases such as thin and crispy and very thin, which weigh less compared to other bases.</w:t>
      </w:r>
    </w:p>
    <w:p w14:paraId="0CD7347D" w14:textId="34F7AC61" w:rsidR="00647F00" w:rsidRDefault="002075DA" w:rsidP="002075DA">
      <w:r>
        <w:rPr>
          <w:noProof/>
        </w:rPr>
        <w:drawing>
          <wp:inline distT="0" distB="0" distL="0" distR="0" wp14:anchorId="1C9CE78C" wp14:editId="22022922">
            <wp:extent cx="3600000" cy="2621826"/>
            <wp:effectExtent l="0" t="0" r="635" b="7620"/>
            <wp:docPr id="37" name="Picture 37" descr="A photo showing two slices of pizza on a 22.7 centimetr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hoto showing two slices of pizza on a 22.7 centimetre plate"/>
                    <pic:cNvPicPr/>
                  </pic:nvPicPr>
                  <pic:blipFill rotWithShape="1">
                    <a:blip r:embed="rId31"/>
                    <a:srcRect t="42601" b="10538"/>
                    <a:stretch/>
                  </pic:blipFill>
                  <pic:spPr bwMode="auto">
                    <a:xfrm>
                      <a:off x="0" y="0"/>
                      <a:ext cx="3600000" cy="2621826"/>
                    </a:xfrm>
                    <a:prstGeom prst="rect">
                      <a:avLst/>
                    </a:prstGeom>
                    <a:ln>
                      <a:noFill/>
                    </a:ln>
                    <a:extLst>
                      <a:ext uri="{53640926-AAD7-44D8-BBD7-CCE9431645EC}">
                        <a14:shadowObscured xmlns:a14="http://schemas.microsoft.com/office/drawing/2010/main"/>
                      </a:ext>
                    </a:extLst>
                  </pic:spPr>
                </pic:pic>
              </a:graphicData>
            </a:graphic>
          </wp:inline>
        </w:drawing>
      </w:r>
    </w:p>
    <w:p w14:paraId="37055941" w14:textId="0820FF1D" w:rsidR="002075DA" w:rsidRDefault="00EC6B5A" w:rsidP="002075DA">
      <w:r>
        <w:t xml:space="preserve">Medium prop plate is 22.7 cm. </w:t>
      </w:r>
    </w:p>
    <w:p w14:paraId="74E7BA66" w14:textId="77777777" w:rsidR="002075DA" w:rsidRDefault="002075DA">
      <w:pPr>
        <w:suppressAutoHyphens w:val="0"/>
      </w:pPr>
      <w:r>
        <w:br w:type="page"/>
      </w:r>
    </w:p>
    <w:p w14:paraId="633DF524" w14:textId="77777777" w:rsidR="00647F00" w:rsidRPr="002075DA" w:rsidRDefault="00EC6B5A" w:rsidP="00C15EE1">
      <w:pPr>
        <w:pStyle w:val="Heading2NoTOC"/>
        <w:rPr>
          <w:rStyle w:val="Pink"/>
        </w:rPr>
      </w:pPr>
      <w:r w:rsidRPr="002075DA">
        <w:rPr>
          <w:rStyle w:val="Pink"/>
        </w:rPr>
        <w:lastRenderedPageBreak/>
        <w:t>Out of Home</w:t>
      </w:r>
    </w:p>
    <w:p w14:paraId="5AF260CF" w14:textId="77777777" w:rsidR="00647F00" w:rsidRDefault="00EC6B5A" w:rsidP="00C15EE1">
      <w:pPr>
        <w:pStyle w:val="Heading2NoTOC"/>
      </w:pPr>
      <w:r>
        <w:t>Pizza</w:t>
      </w:r>
    </w:p>
    <w:p w14:paraId="1F78D345" w14:textId="270D95A8" w:rsidR="00647F00" w:rsidRDefault="002075DA" w:rsidP="002075DA">
      <w:r>
        <w:rPr>
          <w:noProof/>
        </w:rPr>
        <w:drawing>
          <wp:inline distT="0" distB="0" distL="0" distR="0" wp14:anchorId="4F331AD5" wp14:editId="7A462975">
            <wp:extent cx="6120130" cy="6071235"/>
            <wp:effectExtent l="0" t="0" r="0" b="5715"/>
            <wp:docPr id="38" name="Picture 38" descr="A photo of a pizza with two slices removed. The pizza is 30 centimetres diameter. The slices of pizza are 15 centimetres high with an arc of 13 centimetres. The two slices of pizza weight 200 grams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hoto of a pizza with two slices removed. The pizza is 30 centimetres diameter. The slices of pizza are 15 centimetres high with an arc of 13 centimetres. The two slices of pizza weight 200 grams combined."/>
                    <pic:cNvPicPr/>
                  </pic:nvPicPr>
                  <pic:blipFill>
                    <a:blip r:embed="rId32"/>
                    <a:stretch>
                      <a:fillRect/>
                    </a:stretch>
                  </pic:blipFill>
                  <pic:spPr>
                    <a:xfrm>
                      <a:off x="0" y="0"/>
                      <a:ext cx="6120130" cy="6071235"/>
                    </a:xfrm>
                    <a:prstGeom prst="rect">
                      <a:avLst/>
                    </a:prstGeom>
                  </pic:spPr>
                </pic:pic>
              </a:graphicData>
            </a:graphic>
          </wp:inline>
        </w:drawing>
      </w:r>
    </w:p>
    <w:p w14:paraId="794DD162" w14:textId="77777777" w:rsidR="00647F00" w:rsidRDefault="00EC6B5A" w:rsidP="002075DA">
      <w:pPr>
        <w:pStyle w:val="Heading3"/>
      </w:pPr>
      <w:r>
        <w:t>Maximum serving size recommendation</w:t>
      </w:r>
    </w:p>
    <w:p w14:paraId="39669C35" w14:textId="77777777" w:rsidR="00647F00" w:rsidRDefault="00EC6B5A" w:rsidP="002075DA">
      <w:r>
        <w:t>(</w:t>
      </w:r>
      <w:proofErr w:type="gramStart"/>
      <w:r>
        <w:t>up</w:t>
      </w:r>
      <w:proofErr w:type="gramEnd"/>
      <w:r>
        <w:t xml:space="preserve"> to the weight indicated)</w:t>
      </w:r>
    </w:p>
    <w:p w14:paraId="30835D9E" w14:textId="77777777" w:rsidR="00647F00" w:rsidRDefault="00EC6B5A" w:rsidP="002075DA">
      <w:pPr>
        <w:pStyle w:val="Box2Text"/>
      </w:pPr>
      <w:r>
        <w:t>In this example, 200 g is two slices. This will depend on the size and depth of the pizza</w:t>
      </w:r>
    </w:p>
    <w:p w14:paraId="3AAB515D" w14:textId="3FA811D5" w:rsidR="002075DA" w:rsidRDefault="00EC6B5A" w:rsidP="002075DA">
      <w:pPr>
        <w:pStyle w:val="Box2Text"/>
        <w:rPr>
          <w:b/>
          <w:bCs/>
        </w:rPr>
      </w:pPr>
      <w:r>
        <w:t xml:space="preserve">Dimensions are an approximation for size. </w:t>
      </w:r>
      <w:r w:rsidRPr="002075DA">
        <w:rPr>
          <w:b/>
          <w:bCs/>
        </w:rPr>
        <w:t>Follow weight measures for an accurate serving size.</w:t>
      </w:r>
    </w:p>
    <w:p w14:paraId="2DC0FEBC" w14:textId="77777777" w:rsidR="002075DA" w:rsidRDefault="002075DA">
      <w:pPr>
        <w:suppressAutoHyphens w:val="0"/>
        <w:rPr>
          <w:b/>
          <w:bCs/>
        </w:rPr>
      </w:pPr>
      <w:r>
        <w:rPr>
          <w:b/>
          <w:bCs/>
        </w:rPr>
        <w:br w:type="page"/>
      </w:r>
    </w:p>
    <w:p w14:paraId="6536CA20" w14:textId="77777777" w:rsidR="00647F00" w:rsidRPr="002075DA" w:rsidRDefault="00EC6B5A" w:rsidP="002075DA">
      <w:pPr>
        <w:pStyle w:val="Heading2"/>
      </w:pPr>
      <w:bookmarkStart w:id="31" w:name="_Toc106974816"/>
      <w:r w:rsidRPr="002075DA">
        <w:lastRenderedPageBreak/>
        <w:t xml:space="preserve">Savoury pastry products – pies, rolls and filled pastries </w:t>
      </w:r>
      <w:r w:rsidRPr="002075DA">
        <w:rPr>
          <w:rStyle w:val="Pink"/>
        </w:rPr>
        <w:t>• Retail and Out of Home</w:t>
      </w:r>
      <w:bookmarkEnd w:id="31"/>
    </w:p>
    <w:p w14:paraId="01F527D6" w14:textId="77777777" w:rsidR="00647F00" w:rsidRDefault="00EC6B5A" w:rsidP="002075DA">
      <w:pPr>
        <w:pStyle w:val="Heading3"/>
      </w:pPr>
      <w:r>
        <w:t>Category definition</w:t>
      </w:r>
    </w:p>
    <w:p w14:paraId="3505FA09" w14:textId="77777777" w:rsidR="00647F00" w:rsidRDefault="00EC6B5A" w:rsidP="002075DA">
      <w:r>
        <w:t xml:space="preserve">Any savoury filling encased in a pastry and sold in the </w:t>
      </w:r>
      <w:r w:rsidRPr="0057664E">
        <w:rPr>
          <w:b/>
          <w:bCs/>
        </w:rPr>
        <w:t>retail</w:t>
      </w:r>
      <w:r>
        <w:t xml:space="preserve"> and </w:t>
      </w:r>
      <w:r w:rsidRPr="0057664E">
        <w:rPr>
          <w:b/>
          <w:bCs/>
        </w:rPr>
        <w:t>out of home</w:t>
      </w:r>
      <w:r>
        <w:t xml:space="preserve"> sectors. Includes open top products.</w:t>
      </w:r>
    </w:p>
    <w:p w14:paraId="4155F514" w14:textId="77777777" w:rsidR="00647F00" w:rsidRDefault="00EC6B5A" w:rsidP="002075DA">
      <w:pPr>
        <w:pStyle w:val="Box2Heading"/>
      </w:pPr>
      <w:r>
        <w:rPr>
          <w:rStyle w:val="Pink"/>
        </w:rPr>
        <w:t>Maximum serving size recommendation</w:t>
      </w:r>
    </w:p>
    <w:p w14:paraId="19A7C786" w14:textId="77777777" w:rsidR="00647F00" w:rsidRPr="0057664E" w:rsidRDefault="00EC6B5A" w:rsidP="002075DA">
      <w:pPr>
        <w:pStyle w:val="Box2Text"/>
        <w:rPr>
          <w:b/>
          <w:bCs/>
        </w:rPr>
      </w:pPr>
      <w:r w:rsidRPr="0057664E">
        <w:rPr>
          <w:b/>
          <w:bCs/>
        </w:rPr>
        <w:t>Up to 200 g</w:t>
      </w:r>
    </w:p>
    <w:p w14:paraId="549E2F8D" w14:textId="77777777" w:rsidR="00647F00" w:rsidRDefault="00EC6B5A" w:rsidP="002075DA">
      <w:pPr>
        <w:pStyle w:val="Heading3"/>
      </w:pPr>
      <w:r>
        <w:t>Why this serving size?</w:t>
      </w:r>
    </w:p>
    <w:p w14:paraId="53932630" w14:textId="6676F9C3" w:rsidR="00647F00" w:rsidRDefault="00EC6B5A" w:rsidP="002075DA">
      <w:pPr>
        <w:pStyle w:val="Bullet1"/>
      </w:pPr>
      <w:r>
        <w:t>Considers existing state and territory government guidance.</w:t>
      </w:r>
      <w:r w:rsidR="00A3158D">
        <w:fldChar w:fldCharType="begin"/>
      </w:r>
      <w:r w:rsidR="00A3158D">
        <w:rPr>
          <w:rStyle w:val="EndnoteReference"/>
        </w:rPr>
        <w:instrText xml:space="preserve"> NOTEREF _Ref106972179 \h </w:instrText>
      </w:r>
      <w:r w:rsidR="00A3158D">
        <w:fldChar w:fldCharType="separate"/>
      </w:r>
      <w:r w:rsidR="00A3158D">
        <w:rPr>
          <w:rStyle w:val="EndnoteReference"/>
        </w:rPr>
        <w:t>12</w:t>
      </w:r>
      <w:r w:rsidR="00A3158D">
        <w:fldChar w:fldCharType="end"/>
      </w:r>
      <w:r w:rsidRPr="00BD71E7">
        <w:rPr>
          <w:rStyle w:val="EndnoteReference"/>
        </w:rPr>
        <w:t xml:space="preserve">, </w:t>
      </w:r>
      <w:r w:rsidR="00A3158D">
        <w:fldChar w:fldCharType="begin"/>
      </w:r>
      <w:r w:rsidR="00A3158D">
        <w:rPr>
          <w:rStyle w:val="EndnoteReference"/>
        </w:rPr>
        <w:instrText xml:space="preserve"> NOTEREF _Ref106972254 \h </w:instrText>
      </w:r>
      <w:r w:rsidR="00A3158D">
        <w:fldChar w:fldCharType="separate"/>
      </w:r>
      <w:r w:rsidR="00A3158D">
        <w:rPr>
          <w:rStyle w:val="EndnoteReference"/>
        </w:rPr>
        <w:t>13</w:t>
      </w:r>
      <w:r w:rsidR="00A3158D">
        <w:fldChar w:fldCharType="end"/>
      </w:r>
    </w:p>
    <w:p w14:paraId="4F2CE3D7" w14:textId="73C12318" w:rsidR="00647F00" w:rsidRDefault="00EC6B5A" w:rsidP="002075DA">
      <w:pPr>
        <w:pStyle w:val="Bullet1"/>
      </w:pPr>
      <w:r>
        <w:t>Recognises that these products are usually consumed as a whole serving.</w:t>
      </w:r>
    </w:p>
    <w:p w14:paraId="082D983C" w14:textId="536C4834" w:rsidR="00647F00" w:rsidRDefault="00EC6B5A" w:rsidP="002075DA">
      <w:pPr>
        <w:pStyle w:val="Bullet1"/>
      </w:pPr>
      <w:r>
        <w:t>Based on the average serving size consumed by Australians.</w:t>
      </w:r>
      <w:bookmarkStart w:id="32" w:name="_Ref106972434"/>
      <w:r w:rsidR="003729E7">
        <w:rPr>
          <w:rStyle w:val="EndnoteReference"/>
        </w:rPr>
        <w:endnoteReference w:id="24"/>
      </w:r>
      <w:bookmarkEnd w:id="32"/>
    </w:p>
    <w:p w14:paraId="5835E334" w14:textId="77777777" w:rsidR="00647F00" w:rsidRDefault="00EC6B5A" w:rsidP="002075DA">
      <w:pPr>
        <w:pStyle w:val="Box1Heading"/>
      </w:pPr>
      <w:r>
        <w:t>Tips for successful implementation</w:t>
      </w:r>
    </w:p>
    <w:p w14:paraId="265A1E94" w14:textId="2BFF8719" w:rsidR="00647F00" w:rsidRDefault="00EC6B5A" w:rsidP="002075DA">
      <w:pPr>
        <w:pStyle w:val="Box1Bullet"/>
      </w:pPr>
      <w:r>
        <w:t xml:space="preserve">Satisfy consumers by serving with half a plate of vegetables or salad </w:t>
      </w:r>
    </w:p>
    <w:p w14:paraId="6A53E1B0" w14:textId="4D959A23" w:rsidR="00647F00" w:rsidRDefault="00EC6B5A" w:rsidP="002075DA">
      <w:pPr>
        <w:pStyle w:val="Box1Bullet"/>
      </w:pPr>
      <w:r>
        <w:t xml:space="preserve">Consider smaller sized plates. </w:t>
      </w:r>
    </w:p>
    <w:p w14:paraId="2F06198B" w14:textId="77777777" w:rsidR="00647F00" w:rsidRDefault="00EC6B5A" w:rsidP="002075DA">
      <w:pPr>
        <w:pStyle w:val="Box1Heading"/>
      </w:pPr>
      <w:r>
        <w:t>Top tips</w:t>
      </w:r>
    </w:p>
    <w:p w14:paraId="180EC5F6" w14:textId="32844795" w:rsidR="00647F00" w:rsidRDefault="00EC6B5A" w:rsidP="002075DA">
      <w:pPr>
        <w:pStyle w:val="Box1Bullet"/>
      </w:pPr>
      <w:r>
        <w:t>Investigate reducing the amount of pastry used by serving open top pies in ramekins.</w:t>
      </w:r>
    </w:p>
    <w:p w14:paraId="09CD2764" w14:textId="473A9B1B" w:rsidR="00647F00" w:rsidRDefault="00005989">
      <w:pPr>
        <w:pStyle w:val="NoParagraphStyle"/>
      </w:pPr>
      <w:r>
        <w:rPr>
          <w:noProof/>
        </w:rPr>
        <w:drawing>
          <wp:inline distT="0" distB="0" distL="0" distR="0" wp14:anchorId="60D6C1CE" wp14:editId="60211DA4">
            <wp:extent cx="3600000" cy="2630540"/>
            <wp:effectExtent l="0" t="0" r="635" b="0"/>
            <wp:docPr id="16" name="Picture 16" descr="A photo of a pie and salad on a 27.4 centimetre plate, a sausage roll and tomato sauce and a pa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hoto of a pie and salad on a 27.4 centimetre plate, a sausage roll and tomato sauce and a pastry"/>
                    <pic:cNvPicPr>
                      <a:picLocks noChangeAspect="1" noChangeArrowheads="1"/>
                    </pic:cNvPicPr>
                  </pic:nvPicPr>
                  <pic:blipFill rotWithShape="1">
                    <a:blip r:embed="rId33">
                      <a:extLst>
                        <a:ext uri="{28A0092B-C50C-407E-A947-70E740481C1C}">
                          <a14:useLocalDpi xmlns:a14="http://schemas.microsoft.com/office/drawing/2010/main" val="0"/>
                        </a:ext>
                      </a:extLst>
                    </a:blip>
                    <a:srcRect t="35196" b="23414"/>
                    <a:stretch/>
                  </pic:blipFill>
                  <pic:spPr bwMode="auto">
                    <a:xfrm>
                      <a:off x="0" y="0"/>
                      <a:ext cx="3600000" cy="2630540"/>
                    </a:xfrm>
                    <a:prstGeom prst="rect">
                      <a:avLst/>
                    </a:prstGeom>
                    <a:noFill/>
                    <a:ln>
                      <a:noFill/>
                    </a:ln>
                    <a:extLst>
                      <a:ext uri="{53640926-AAD7-44D8-BBD7-CCE9431645EC}">
                        <a14:shadowObscured xmlns:a14="http://schemas.microsoft.com/office/drawing/2010/main"/>
                      </a:ext>
                    </a:extLst>
                  </pic:spPr>
                </pic:pic>
              </a:graphicData>
            </a:graphic>
          </wp:inline>
        </w:drawing>
      </w:r>
    </w:p>
    <w:p w14:paraId="1E6CE393" w14:textId="6300207C" w:rsidR="002075DA" w:rsidRDefault="00EC6B5A" w:rsidP="002075DA">
      <w:r>
        <w:t xml:space="preserve">Standard prop plate is 27.4 cm. </w:t>
      </w:r>
    </w:p>
    <w:p w14:paraId="16EB27B1" w14:textId="77777777" w:rsidR="002075DA" w:rsidRDefault="002075DA">
      <w:pPr>
        <w:suppressAutoHyphens w:val="0"/>
      </w:pPr>
      <w:r>
        <w:br w:type="page"/>
      </w:r>
    </w:p>
    <w:p w14:paraId="52633360" w14:textId="77777777" w:rsidR="00647F00" w:rsidRPr="002075DA" w:rsidRDefault="00EC6B5A" w:rsidP="002075DA">
      <w:pPr>
        <w:pStyle w:val="Heading2NoTOC"/>
        <w:rPr>
          <w:rStyle w:val="Pink"/>
        </w:rPr>
      </w:pPr>
      <w:r w:rsidRPr="002075DA">
        <w:rPr>
          <w:rStyle w:val="Pink"/>
        </w:rPr>
        <w:lastRenderedPageBreak/>
        <w:t>Retail and Out of Home</w:t>
      </w:r>
    </w:p>
    <w:p w14:paraId="42B6D3D3" w14:textId="77777777" w:rsidR="00647F00" w:rsidRDefault="00EC6B5A" w:rsidP="002075DA">
      <w:pPr>
        <w:pStyle w:val="Heading2NoTOC"/>
      </w:pPr>
      <w:r>
        <w:t>Savoury pastry products – pies, rolls and filled pastries</w:t>
      </w:r>
    </w:p>
    <w:p w14:paraId="7AE91958" w14:textId="31919E21" w:rsidR="00647F00" w:rsidRDefault="002075DA" w:rsidP="002075DA">
      <w:r>
        <w:rPr>
          <w:noProof/>
          <w:color w:val="004339"/>
        </w:rPr>
        <w:drawing>
          <wp:inline distT="0" distB="0" distL="0" distR="0" wp14:anchorId="3A6C375F" wp14:editId="3E6577F4">
            <wp:extent cx="6120130" cy="1761490"/>
            <wp:effectExtent l="0" t="0" r="0" b="0"/>
            <wp:docPr id="39" name="Picture 39" descr="Photo showing a 200 gram pie of 3 centimetres height, a 200 gram sausage roll of 3 centimetres height, and a 200 gram pastry of 4 centimetres height.&#10;Photo showing a pie of 11 to 12 centimetres diameter, a sausage roll of 17 by 5 centimetres, and a pastry of 9 by 11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hoto showing a 200 gram pie of 3 centimetres height, a 200 gram sausage roll of 3 centimetres height, and a 200 gram pastry of 4 centimetres height.&#10;Photo showing a pie of 11 to 12 centimetres diameter, a sausage roll of 17 by 5 centimetres, and a pastry of 9 by 11 centimetres"/>
                    <pic:cNvPicPr/>
                  </pic:nvPicPr>
                  <pic:blipFill>
                    <a:blip r:embed="rId34"/>
                    <a:stretch>
                      <a:fillRect/>
                    </a:stretch>
                  </pic:blipFill>
                  <pic:spPr>
                    <a:xfrm>
                      <a:off x="0" y="0"/>
                      <a:ext cx="6120130" cy="1761490"/>
                    </a:xfrm>
                    <a:prstGeom prst="rect">
                      <a:avLst/>
                    </a:prstGeom>
                  </pic:spPr>
                </pic:pic>
              </a:graphicData>
            </a:graphic>
          </wp:inline>
        </w:drawing>
      </w:r>
    </w:p>
    <w:p w14:paraId="5B7E410C" w14:textId="77777777" w:rsidR="00647F00" w:rsidRDefault="00EC6B5A" w:rsidP="002075DA">
      <w:pPr>
        <w:pStyle w:val="List1Numbered2"/>
        <w:numPr>
          <w:ilvl w:val="1"/>
          <w:numId w:val="19"/>
        </w:numPr>
      </w:pPr>
      <w:r>
        <w:t>Pie</w:t>
      </w:r>
    </w:p>
    <w:p w14:paraId="159261C6" w14:textId="77777777" w:rsidR="00647F00" w:rsidRDefault="00EC6B5A" w:rsidP="002075DA">
      <w:pPr>
        <w:pStyle w:val="List1Numbered2"/>
      </w:pPr>
      <w:r>
        <w:t>Roll</w:t>
      </w:r>
    </w:p>
    <w:p w14:paraId="2BBD9870" w14:textId="77777777" w:rsidR="00647F00" w:rsidRDefault="00EC6B5A" w:rsidP="002075DA">
      <w:pPr>
        <w:pStyle w:val="List1Numbered2"/>
      </w:pPr>
      <w:r>
        <w:t>Filled pastry</w:t>
      </w:r>
    </w:p>
    <w:p w14:paraId="238DBA4F" w14:textId="77777777" w:rsidR="00647F00" w:rsidRDefault="00EC6B5A" w:rsidP="002075DA">
      <w:pPr>
        <w:pStyle w:val="Heading3"/>
      </w:pPr>
      <w:r>
        <w:t>Maximum serving size recommendation</w:t>
      </w:r>
    </w:p>
    <w:p w14:paraId="0F313654" w14:textId="77777777" w:rsidR="00647F00" w:rsidRDefault="00EC6B5A" w:rsidP="002075DA">
      <w:r>
        <w:t>(</w:t>
      </w:r>
      <w:proofErr w:type="gramStart"/>
      <w:r>
        <w:t>up</w:t>
      </w:r>
      <w:proofErr w:type="gramEnd"/>
      <w:r>
        <w:t xml:space="preserve"> to the weight indicated)</w:t>
      </w:r>
    </w:p>
    <w:p w14:paraId="6DFDEEE2" w14:textId="0A353C9A" w:rsidR="002075DA" w:rsidRDefault="00EC6B5A" w:rsidP="002075DA">
      <w:pPr>
        <w:pStyle w:val="Box2Text"/>
        <w:rPr>
          <w:b/>
          <w:bCs/>
        </w:rPr>
      </w:pPr>
      <w:r>
        <w:t xml:space="preserve">Dimensions are an approximation for size. </w:t>
      </w:r>
      <w:r w:rsidRPr="002075DA">
        <w:rPr>
          <w:b/>
          <w:bCs/>
        </w:rPr>
        <w:t>Follow weight measures for an accurate serving size.</w:t>
      </w:r>
    </w:p>
    <w:p w14:paraId="376289FB" w14:textId="77777777" w:rsidR="002075DA" w:rsidRDefault="002075DA">
      <w:pPr>
        <w:suppressAutoHyphens w:val="0"/>
        <w:rPr>
          <w:b/>
          <w:bCs/>
        </w:rPr>
      </w:pPr>
      <w:r>
        <w:rPr>
          <w:b/>
          <w:bCs/>
        </w:rPr>
        <w:br w:type="page"/>
      </w:r>
    </w:p>
    <w:p w14:paraId="54464765" w14:textId="77777777" w:rsidR="00647F00" w:rsidRDefault="00EC6B5A" w:rsidP="002075DA">
      <w:pPr>
        <w:pStyle w:val="Heading2"/>
      </w:pPr>
      <w:bookmarkStart w:id="33" w:name="_Toc106974817"/>
      <w:r>
        <w:lastRenderedPageBreak/>
        <w:t xml:space="preserve">Sweet biscuits </w:t>
      </w:r>
      <w:r w:rsidRPr="002075DA">
        <w:rPr>
          <w:rStyle w:val="Pink"/>
        </w:rPr>
        <w:t>• Retail</w:t>
      </w:r>
      <w:bookmarkEnd w:id="33"/>
    </w:p>
    <w:p w14:paraId="272DC5F5" w14:textId="77777777" w:rsidR="00647F00" w:rsidRDefault="00EC6B5A" w:rsidP="002075DA">
      <w:pPr>
        <w:pStyle w:val="Heading3"/>
      </w:pPr>
      <w:r>
        <w:t>Category definition</w:t>
      </w:r>
    </w:p>
    <w:p w14:paraId="221020CC" w14:textId="77777777" w:rsidR="00647F00" w:rsidRDefault="00EC6B5A" w:rsidP="002075DA">
      <w:proofErr w:type="gramStart"/>
      <w:r>
        <w:t>All ready</w:t>
      </w:r>
      <w:proofErr w:type="gramEnd"/>
      <w:r>
        <w:t xml:space="preserve"> to eat sweet biscuits sold in the </w:t>
      </w:r>
      <w:r w:rsidRPr="0057664E">
        <w:rPr>
          <w:b/>
          <w:bCs/>
        </w:rPr>
        <w:t>retail</w:t>
      </w:r>
      <w:r>
        <w:t xml:space="preserve"> setting. Includes products which are coated or uncoated, filled or unfilled. Includes packet biscuit/cookie mixes and cookie doughs.</w:t>
      </w:r>
    </w:p>
    <w:p w14:paraId="5FC6EEF3" w14:textId="77777777" w:rsidR="00647F00" w:rsidRDefault="00EC6B5A" w:rsidP="002075DA">
      <w:pPr>
        <w:pStyle w:val="Box2Heading"/>
      </w:pPr>
      <w:r>
        <w:rPr>
          <w:rStyle w:val="Pink"/>
        </w:rPr>
        <w:t>Maximum serving size recommendation</w:t>
      </w:r>
    </w:p>
    <w:p w14:paraId="6DC9CCFF" w14:textId="77777777" w:rsidR="00647F00" w:rsidRDefault="00EC6B5A" w:rsidP="002075DA">
      <w:pPr>
        <w:pStyle w:val="Box2Text"/>
      </w:pPr>
      <w:r w:rsidRPr="0057664E">
        <w:rPr>
          <w:b/>
          <w:bCs/>
        </w:rPr>
        <w:t xml:space="preserve">Up to 30 g </w:t>
      </w:r>
      <w:r w:rsidRPr="0057664E">
        <w:rPr>
          <w:b/>
          <w:bCs/>
        </w:rPr>
        <w:br/>
      </w:r>
      <w:r>
        <w:t>(serving size recommendation; this could be multiple biscuits)</w:t>
      </w:r>
    </w:p>
    <w:p w14:paraId="71CA41FA" w14:textId="77777777" w:rsidR="00647F00" w:rsidRDefault="00EC6B5A" w:rsidP="002075DA">
      <w:pPr>
        <w:pStyle w:val="Heading3"/>
      </w:pPr>
      <w:r>
        <w:t>Why this serving size?</w:t>
      </w:r>
    </w:p>
    <w:p w14:paraId="77521106" w14:textId="77CB84CC" w:rsidR="00647F00" w:rsidRDefault="00EC6B5A" w:rsidP="002075DA">
      <w:pPr>
        <w:pStyle w:val="Bullet1"/>
      </w:pPr>
      <w:r>
        <w:t>Recognises that serving sizes have increased over time with café style biscuits now sold in retail environments.</w:t>
      </w:r>
      <w:r w:rsidR="00A3158D" w:rsidRPr="00A3158D">
        <w:rPr>
          <w:rStyle w:val="EndnoteReference"/>
        </w:rPr>
        <w:fldChar w:fldCharType="begin"/>
      </w:r>
      <w:r w:rsidR="00A3158D" w:rsidRPr="00A3158D">
        <w:rPr>
          <w:rStyle w:val="EndnoteReference"/>
        </w:rPr>
        <w:instrText xml:space="preserve"> NOTEREF _Ref106972396 \h </w:instrText>
      </w:r>
      <w:r w:rsidR="00A3158D">
        <w:rPr>
          <w:rStyle w:val="EndnoteReference"/>
        </w:rPr>
        <w:instrText xml:space="preserve"> \* MERGEFORMAT </w:instrText>
      </w:r>
      <w:r w:rsidR="00A3158D" w:rsidRPr="00A3158D">
        <w:rPr>
          <w:rStyle w:val="EndnoteReference"/>
        </w:rPr>
      </w:r>
      <w:r w:rsidR="00A3158D" w:rsidRPr="00A3158D">
        <w:rPr>
          <w:rStyle w:val="EndnoteReference"/>
        </w:rPr>
        <w:fldChar w:fldCharType="separate"/>
      </w:r>
      <w:r w:rsidR="00A3158D" w:rsidRPr="00A3158D">
        <w:rPr>
          <w:rStyle w:val="EndnoteReference"/>
        </w:rPr>
        <w:t>10</w:t>
      </w:r>
      <w:r w:rsidR="00A3158D" w:rsidRPr="00A3158D">
        <w:rPr>
          <w:rStyle w:val="EndnoteReference"/>
        </w:rPr>
        <w:fldChar w:fldCharType="end"/>
      </w:r>
    </w:p>
    <w:p w14:paraId="2264011A" w14:textId="16CCF3B0" w:rsidR="00647F00" w:rsidRDefault="00EC6B5A" w:rsidP="002075DA">
      <w:pPr>
        <w:pStyle w:val="Bullet1"/>
      </w:pPr>
      <w:r>
        <w:t>Considers existing state and territory government guidance.</w:t>
      </w:r>
      <w:r w:rsidR="00A3158D">
        <w:fldChar w:fldCharType="begin"/>
      </w:r>
      <w:r w:rsidR="00A3158D">
        <w:rPr>
          <w:rStyle w:val="EndnoteReference"/>
        </w:rPr>
        <w:instrText xml:space="preserve"> NOTEREF _Ref106972179 \h </w:instrText>
      </w:r>
      <w:r w:rsidR="00A3158D">
        <w:fldChar w:fldCharType="separate"/>
      </w:r>
      <w:r w:rsidR="00A3158D">
        <w:rPr>
          <w:rStyle w:val="EndnoteReference"/>
        </w:rPr>
        <w:t>12</w:t>
      </w:r>
      <w:r w:rsidR="00A3158D">
        <w:fldChar w:fldCharType="end"/>
      </w:r>
      <w:r w:rsidRPr="00BD71E7">
        <w:rPr>
          <w:rStyle w:val="EndnoteReference"/>
        </w:rPr>
        <w:t xml:space="preserve">, </w:t>
      </w:r>
      <w:r w:rsidR="00A3158D">
        <w:fldChar w:fldCharType="begin"/>
      </w:r>
      <w:r w:rsidR="00A3158D">
        <w:rPr>
          <w:rStyle w:val="EndnoteReference"/>
        </w:rPr>
        <w:instrText xml:space="preserve"> NOTEREF _Ref106972254 \h </w:instrText>
      </w:r>
      <w:r w:rsidR="00A3158D">
        <w:fldChar w:fldCharType="separate"/>
      </w:r>
      <w:r w:rsidR="00A3158D">
        <w:rPr>
          <w:rStyle w:val="EndnoteReference"/>
        </w:rPr>
        <w:t>13</w:t>
      </w:r>
      <w:r w:rsidR="00A3158D">
        <w:fldChar w:fldCharType="end"/>
      </w:r>
    </w:p>
    <w:p w14:paraId="718B07E7" w14:textId="6A9A3203" w:rsidR="00647F00" w:rsidRDefault="00EC6B5A" w:rsidP="002075DA">
      <w:pPr>
        <w:pStyle w:val="Bullet1"/>
      </w:pPr>
      <w:r>
        <w:t>Consistent with one discretionary food serve of sweet biscuits, as outlined in the Eat for Health Educator Guide.</w:t>
      </w:r>
      <w:r w:rsidR="00A3158D" w:rsidRPr="00A3158D">
        <w:rPr>
          <w:rStyle w:val="EndnoteReference"/>
        </w:rPr>
        <w:fldChar w:fldCharType="begin"/>
      </w:r>
      <w:r w:rsidR="00A3158D" w:rsidRPr="00A3158D">
        <w:rPr>
          <w:rStyle w:val="EndnoteReference"/>
        </w:rPr>
        <w:instrText xml:space="preserve"> NOTEREF _Ref106972328 \h </w:instrText>
      </w:r>
      <w:r w:rsidR="00A3158D">
        <w:rPr>
          <w:rStyle w:val="EndnoteReference"/>
        </w:rPr>
        <w:instrText xml:space="preserve"> \* MERGEFORMAT </w:instrText>
      </w:r>
      <w:r w:rsidR="00A3158D" w:rsidRPr="00A3158D">
        <w:rPr>
          <w:rStyle w:val="EndnoteReference"/>
        </w:rPr>
      </w:r>
      <w:r w:rsidR="00A3158D" w:rsidRPr="00A3158D">
        <w:rPr>
          <w:rStyle w:val="EndnoteReference"/>
        </w:rPr>
        <w:fldChar w:fldCharType="separate"/>
      </w:r>
      <w:r w:rsidR="00A3158D" w:rsidRPr="00A3158D">
        <w:rPr>
          <w:rStyle w:val="EndnoteReference"/>
        </w:rPr>
        <w:t>22</w:t>
      </w:r>
      <w:r w:rsidR="00A3158D" w:rsidRPr="00A3158D">
        <w:rPr>
          <w:rStyle w:val="EndnoteReference"/>
        </w:rPr>
        <w:fldChar w:fldCharType="end"/>
      </w:r>
    </w:p>
    <w:p w14:paraId="7DBB115D" w14:textId="7DC636EA" w:rsidR="00647F00" w:rsidRDefault="00EC6B5A" w:rsidP="002075DA">
      <w:pPr>
        <w:pStyle w:val="Bullet1"/>
      </w:pPr>
      <w:r>
        <w:t>Sweet biscuits are typically consumed as a snack, most commonly among the very young and older people.</w:t>
      </w:r>
      <w:r w:rsidR="00A3158D" w:rsidRPr="00A3158D">
        <w:rPr>
          <w:rStyle w:val="EndnoteReference"/>
        </w:rPr>
        <w:fldChar w:fldCharType="begin"/>
      </w:r>
      <w:r w:rsidR="00A3158D" w:rsidRPr="00A3158D">
        <w:rPr>
          <w:rStyle w:val="EndnoteReference"/>
        </w:rPr>
        <w:instrText xml:space="preserve"> NOTEREF _Ref106972434 \h </w:instrText>
      </w:r>
      <w:r w:rsidR="00A3158D">
        <w:rPr>
          <w:rStyle w:val="EndnoteReference"/>
        </w:rPr>
        <w:instrText xml:space="preserve"> \* MERGEFORMAT </w:instrText>
      </w:r>
      <w:r w:rsidR="00A3158D" w:rsidRPr="00A3158D">
        <w:rPr>
          <w:rStyle w:val="EndnoteReference"/>
        </w:rPr>
      </w:r>
      <w:r w:rsidR="00A3158D" w:rsidRPr="00A3158D">
        <w:rPr>
          <w:rStyle w:val="EndnoteReference"/>
        </w:rPr>
        <w:fldChar w:fldCharType="separate"/>
      </w:r>
      <w:r w:rsidR="00A3158D" w:rsidRPr="00A3158D">
        <w:rPr>
          <w:rStyle w:val="EndnoteReference"/>
        </w:rPr>
        <w:t>24</w:t>
      </w:r>
      <w:r w:rsidR="00A3158D" w:rsidRPr="00A3158D">
        <w:rPr>
          <w:rStyle w:val="EndnoteReference"/>
        </w:rPr>
        <w:fldChar w:fldCharType="end"/>
      </w:r>
    </w:p>
    <w:p w14:paraId="0C962515" w14:textId="77777777" w:rsidR="00647F00" w:rsidRDefault="00EC6B5A" w:rsidP="002075DA">
      <w:pPr>
        <w:pStyle w:val="Box1Heading"/>
      </w:pPr>
      <w:r>
        <w:t>Tips for successful implementation</w:t>
      </w:r>
    </w:p>
    <w:p w14:paraId="771959B0" w14:textId="4416D77B" w:rsidR="00647F00" w:rsidRDefault="00EC6B5A" w:rsidP="002075DA">
      <w:pPr>
        <w:pStyle w:val="Box1Bullet"/>
      </w:pPr>
      <w:r>
        <w:t>Provide pre-portioned sweet biscuits and resealable packs.</w:t>
      </w:r>
    </w:p>
    <w:p w14:paraId="2292A495" w14:textId="53F21335" w:rsidR="00647F00" w:rsidRDefault="00EC6B5A" w:rsidP="002075DA">
      <w:pPr>
        <w:pStyle w:val="Box1Bullet"/>
      </w:pPr>
      <w:r>
        <w:t>Consider individual servings.</w:t>
      </w:r>
    </w:p>
    <w:p w14:paraId="6EC0B47A" w14:textId="77777777" w:rsidR="00647F00" w:rsidRDefault="00EC6B5A" w:rsidP="002075DA">
      <w:pPr>
        <w:pStyle w:val="Box1Heading"/>
      </w:pPr>
      <w:r>
        <w:t>Top tips</w:t>
      </w:r>
    </w:p>
    <w:p w14:paraId="71D8B00B" w14:textId="03971517" w:rsidR="00647F00" w:rsidRDefault="00EC6B5A" w:rsidP="002075DA">
      <w:pPr>
        <w:pStyle w:val="Box1Bullet"/>
      </w:pPr>
      <w:r>
        <w:t>A reduction in both the circumference of biscuit and the length of pack is acceptable to consumers and still feels like a treat.</w:t>
      </w:r>
      <w:r w:rsidR="003729E7">
        <w:rPr>
          <w:rStyle w:val="EndnoteReference"/>
        </w:rPr>
        <w:endnoteReference w:id="25"/>
      </w:r>
    </w:p>
    <w:p w14:paraId="20E67C6D" w14:textId="5BA4CEDC" w:rsidR="00647F00" w:rsidRDefault="002075DA" w:rsidP="008D58CF">
      <w:r>
        <w:rPr>
          <w:noProof/>
        </w:rPr>
        <w:drawing>
          <wp:inline distT="0" distB="0" distL="0" distR="0" wp14:anchorId="5CA0C37C" wp14:editId="00B058BB">
            <wp:extent cx="3598610" cy="1985554"/>
            <wp:effectExtent l="0" t="0" r="1905" b="0"/>
            <wp:docPr id="40" name="Picture 40" descr="A photo showing two chocolate chip biscuits on a 19.4 centimetr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hoto showing two chocolate chip biscuits on a 19.4 centimetre plate"/>
                    <pic:cNvPicPr/>
                  </pic:nvPicPr>
                  <pic:blipFill rotWithShape="1">
                    <a:blip r:embed="rId35"/>
                    <a:srcRect t="49965" b="14533"/>
                    <a:stretch/>
                  </pic:blipFill>
                  <pic:spPr bwMode="auto">
                    <a:xfrm>
                      <a:off x="0" y="0"/>
                      <a:ext cx="3600000" cy="1986321"/>
                    </a:xfrm>
                    <a:prstGeom prst="rect">
                      <a:avLst/>
                    </a:prstGeom>
                    <a:ln>
                      <a:noFill/>
                    </a:ln>
                    <a:extLst>
                      <a:ext uri="{53640926-AAD7-44D8-BBD7-CCE9431645EC}">
                        <a14:shadowObscured xmlns:a14="http://schemas.microsoft.com/office/drawing/2010/main"/>
                      </a:ext>
                    </a:extLst>
                  </pic:spPr>
                </pic:pic>
              </a:graphicData>
            </a:graphic>
          </wp:inline>
        </w:drawing>
      </w:r>
    </w:p>
    <w:p w14:paraId="454020C3" w14:textId="601C0802" w:rsidR="008D58CF" w:rsidRDefault="00EC6B5A" w:rsidP="008D58CF">
      <w:r>
        <w:t xml:space="preserve">Small prop plate is 19.4 cm. </w:t>
      </w:r>
    </w:p>
    <w:p w14:paraId="2E6C1622" w14:textId="77777777" w:rsidR="008D58CF" w:rsidRDefault="008D58CF">
      <w:pPr>
        <w:suppressAutoHyphens w:val="0"/>
      </w:pPr>
      <w:r>
        <w:br w:type="page"/>
      </w:r>
    </w:p>
    <w:p w14:paraId="4835B766" w14:textId="77777777" w:rsidR="00647F00" w:rsidRPr="008D58CF" w:rsidRDefault="00EC6B5A" w:rsidP="00C15EE1">
      <w:pPr>
        <w:pStyle w:val="Heading2NoTOC"/>
        <w:rPr>
          <w:rStyle w:val="Pink"/>
        </w:rPr>
      </w:pPr>
      <w:r w:rsidRPr="008D58CF">
        <w:rPr>
          <w:rStyle w:val="Pink"/>
        </w:rPr>
        <w:lastRenderedPageBreak/>
        <w:t>Retail</w:t>
      </w:r>
    </w:p>
    <w:p w14:paraId="4FC9A6BC" w14:textId="77777777" w:rsidR="00647F00" w:rsidRDefault="00EC6B5A" w:rsidP="00C15EE1">
      <w:pPr>
        <w:pStyle w:val="Heading2NoTOC"/>
      </w:pPr>
      <w:r>
        <w:t>Sweet biscuits</w:t>
      </w:r>
    </w:p>
    <w:p w14:paraId="060E5C9B" w14:textId="42C565B7" w:rsidR="00647F00" w:rsidRDefault="008D58CF" w:rsidP="008D58CF">
      <w:r>
        <w:rPr>
          <w:noProof/>
        </w:rPr>
        <w:drawing>
          <wp:inline distT="0" distB="0" distL="0" distR="0" wp14:anchorId="29DBF167" wp14:editId="2D74D252">
            <wp:extent cx="6120130" cy="3459480"/>
            <wp:effectExtent l="0" t="0" r="0" b="7620"/>
            <wp:docPr id="41" name="Picture 41" descr="Photo showing two chocolate chip biscuits with a total of 30 grams. Each biscuit is 6 centimetres in di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hoto showing two chocolate chip biscuits with a total of 30 grams. Each biscuit is 6 centimetres in diameter."/>
                    <pic:cNvPicPr/>
                  </pic:nvPicPr>
                  <pic:blipFill>
                    <a:blip r:embed="rId36"/>
                    <a:stretch>
                      <a:fillRect/>
                    </a:stretch>
                  </pic:blipFill>
                  <pic:spPr>
                    <a:xfrm>
                      <a:off x="0" y="0"/>
                      <a:ext cx="6120130" cy="3459480"/>
                    </a:xfrm>
                    <a:prstGeom prst="rect">
                      <a:avLst/>
                    </a:prstGeom>
                  </pic:spPr>
                </pic:pic>
              </a:graphicData>
            </a:graphic>
          </wp:inline>
        </w:drawing>
      </w:r>
    </w:p>
    <w:p w14:paraId="700365C5" w14:textId="77777777" w:rsidR="00647F00" w:rsidRDefault="00EC6B5A" w:rsidP="008D58CF">
      <w:pPr>
        <w:pStyle w:val="Heading3"/>
      </w:pPr>
      <w:r>
        <w:t>Maximum serving size recommendation</w:t>
      </w:r>
    </w:p>
    <w:p w14:paraId="4D643100" w14:textId="77777777" w:rsidR="00647F00" w:rsidRDefault="00EC6B5A" w:rsidP="008D58CF">
      <w:r>
        <w:t>(</w:t>
      </w:r>
      <w:proofErr w:type="gramStart"/>
      <w:r>
        <w:t>up</w:t>
      </w:r>
      <w:proofErr w:type="gramEnd"/>
      <w:r>
        <w:t xml:space="preserve"> to the weight indicated)</w:t>
      </w:r>
    </w:p>
    <w:p w14:paraId="17B89F59" w14:textId="77777777" w:rsidR="00647F00" w:rsidRDefault="00EC6B5A" w:rsidP="008D58CF">
      <w:pPr>
        <w:pStyle w:val="Box2Text"/>
      </w:pPr>
      <w:r>
        <w:t>In this example, one biscuit is 15 g</w:t>
      </w:r>
    </w:p>
    <w:p w14:paraId="20C5E4B6" w14:textId="33374D2D" w:rsidR="008D58CF" w:rsidRDefault="00EC6B5A" w:rsidP="008D58CF">
      <w:pPr>
        <w:pStyle w:val="Box2Text"/>
        <w:rPr>
          <w:b/>
          <w:bCs/>
          <w:spacing w:val="-1"/>
        </w:rPr>
      </w:pPr>
      <w:r>
        <w:rPr>
          <w:spacing w:val="-1"/>
        </w:rPr>
        <w:t xml:space="preserve">Dimensions are an approximation for size. </w:t>
      </w:r>
      <w:r w:rsidRPr="008D58CF">
        <w:rPr>
          <w:b/>
          <w:bCs/>
          <w:spacing w:val="-1"/>
        </w:rPr>
        <w:t>Follow weight measures for an accurate serving size.</w:t>
      </w:r>
    </w:p>
    <w:p w14:paraId="6B9897EE" w14:textId="77777777" w:rsidR="008D58CF" w:rsidRDefault="008D58CF">
      <w:pPr>
        <w:suppressAutoHyphens w:val="0"/>
        <w:rPr>
          <w:b/>
          <w:bCs/>
          <w:spacing w:val="-1"/>
        </w:rPr>
      </w:pPr>
      <w:r>
        <w:rPr>
          <w:b/>
          <w:bCs/>
          <w:spacing w:val="-1"/>
        </w:rPr>
        <w:br w:type="page"/>
      </w:r>
    </w:p>
    <w:p w14:paraId="5C862185" w14:textId="77777777" w:rsidR="00647F00" w:rsidRDefault="00EC6B5A" w:rsidP="008D58CF">
      <w:pPr>
        <w:pStyle w:val="Heading2"/>
      </w:pPr>
      <w:bookmarkStart w:id="34" w:name="_Toc106974818"/>
      <w:r>
        <w:lastRenderedPageBreak/>
        <w:t xml:space="preserve">Sweet biscuits </w:t>
      </w:r>
      <w:r w:rsidRPr="008D58CF">
        <w:rPr>
          <w:rStyle w:val="Pink"/>
        </w:rPr>
        <w:t>• Out of Home</w:t>
      </w:r>
      <w:bookmarkEnd w:id="34"/>
    </w:p>
    <w:p w14:paraId="20C0E454" w14:textId="77777777" w:rsidR="00647F00" w:rsidRDefault="00EC6B5A" w:rsidP="008D58CF">
      <w:pPr>
        <w:pStyle w:val="Heading3"/>
      </w:pPr>
      <w:r>
        <w:t>Category definition</w:t>
      </w:r>
    </w:p>
    <w:p w14:paraId="23042B68" w14:textId="77777777" w:rsidR="00647F00" w:rsidRDefault="00EC6B5A" w:rsidP="008D58CF">
      <w:r>
        <w:t xml:space="preserve">All sweet biscuits sold in the </w:t>
      </w:r>
      <w:r w:rsidRPr="0057664E">
        <w:rPr>
          <w:b/>
          <w:bCs/>
        </w:rPr>
        <w:t>out of home</w:t>
      </w:r>
      <w:r>
        <w:t xml:space="preserve"> sector. Includes products which are coated or uncoated, filled or unfilled.</w:t>
      </w:r>
    </w:p>
    <w:p w14:paraId="7201F3CB" w14:textId="77777777" w:rsidR="00647F00" w:rsidRDefault="00EC6B5A" w:rsidP="008D58CF">
      <w:pPr>
        <w:pStyle w:val="Box2Heading"/>
      </w:pPr>
      <w:r>
        <w:rPr>
          <w:rStyle w:val="Pink"/>
        </w:rPr>
        <w:t>Maximum serving size recommendation</w:t>
      </w:r>
    </w:p>
    <w:p w14:paraId="4FF2A9BB" w14:textId="77777777" w:rsidR="00647F00" w:rsidRPr="0057664E" w:rsidRDefault="00EC6B5A" w:rsidP="008D58CF">
      <w:pPr>
        <w:pStyle w:val="Box2Text"/>
        <w:rPr>
          <w:b/>
          <w:bCs/>
        </w:rPr>
      </w:pPr>
      <w:r w:rsidRPr="0057664E">
        <w:rPr>
          <w:b/>
          <w:bCs/>
        </w:rPr>
        <w:t>Up to 60 g</w:t>
      </w:r>
    </w:p>
    <w:p w14:paraId="2B6655DC" w14:textId="77777777" w:rsidR="00647F00" w:rsidRDefault="00EC6B5A" w:rsidP="008D58CF">
      <w:pPr>
        <w:pStyle w:val="Heading3"/>
      </w:pPr>
      <w:r>
        <w:t>Why this serving size?</w:t>
      </w:r>
    </w:p>
    <w:p w14:paraId="0FF8941E" w14:textId="77777777" w:rsidR="00647F00" w:rsidRDefault="00EC6B5A" w:rsidP="008D58CF">
      <w:pPr>
        <w:pStyle w:val="Bullet1"/>
      </w:pPr>
      <w:r>
        <w:t>Recognises that sweet biscuits served in the out of home sector are typically much larger than those sold in retail settings.</w:t>
      </w:r>
    </w:p>
    <w:p w14:paraId="4E570968" w14:textId="4DD924CA" w:rsidR="00647F00" w:rsidRDefault="00EC6B5A" w:rsidP="008D58CF">
      <w:pPr>
        <w:pStyle w:val="Bullet1"/>
      </w:pPr>
      <w:r>
        <w:t>Sweet biscuits are typically consumed as a snack, most commonly among the very young and older people.</w:t>
      </w:r>
      <w:r w:rsidR="00A3158D" w:rsidRPr="00A3158D">
        <w:rPr>
          <w:rStyle w:val="EndnoteReference"/>
        </w:rPr>
        <w:fldChar w:fldCharType="begin"/>
      </w:r>
      <w:r w:rsidR="00A3158D" w:rsidRPr="00A3158D">
        <w:rPr>
          <w:rStyle w:val="EndnoteReference"/>
        </w:rPr>
        <w:instrText xml:space="preserve"> NOTEREF _Ref106972434 \h </w:instrText>
      </w:r>
      <w:r w:rsidR="00A3158D">
        <w:rPr>
          <w:rStyle w:val="EndnoteReference"/>
        </w:rPr>
        <w:instrText xml:space="preserve"> \* MERGEFORMAT </w:instrText>
      </w:r>
      <w:r w:rsidR="00A3158D" w:rsidRPr="00A3158D">
        <w:rPr>
          <w:rStyle w:val="EndnoteReference"/>
        </w:rPr>
      </w:r>
      <w:r w:rsidR="00A3158D" w:rsidRPr="00A3158D">
        <w:rPr>
          <w:rStyle w:val="EndnoteReference"/>
        </w:rPr>
        <w:fldChar w:fldCharType="separate"/>
      </w:r>
      <w:r w:rsidR="00A3158D" w:rsidRPr="00A3158D">
        <w:rPr>
          <w:rStyle w:val="EndnoteReference"/>
        </w:rPr>
        <w:t>24</w:t>
      </w:r>
      <w:r w:rsidR="00A3158D" w:rsidRPr="00A3158D">
        <w:rPr>
          <w:rStyle w:val="EndnoteReference"/>
        </w:rPr>
        <w:fldChar w:fldCharType="end"/>
      </w:r>
    </w:p>
    <w:p w14:paraId="7C10B1B2" w14:textId="553B1866" w:rsidR="00647F00" w:rsidRDefault="00EC6B5A" w:rsidP="008D58CF">
      <w:pPr>
        <w:pStyle w:val="Bullet1"/>
      </w:pPr>
      <w:r>
        <w:t>Recognises that serving sizes have increased over time.</w:t>
      </w:r>
      <w:r w:rsidR="00406080">
        <w:rPr>
          <w:rStyle w:val="EndnoteReference"/>
        </w:rPr>
        <w:endnoteReference w:id="26"/>
      </w:r>
    </w:p>
    <w:p w14:paraId="277DEE7B" w14:textId="77777777" w:rsidR="00647F00" w:rsidRDefault="00EC6B5A" w:rsidP="008D58CF">
      <w:pPr>
        <w:pStyle w:val="Bullet1"/>
      </w:pPr>
      <w:r>
        <w:t>Considers consumer acceptance and takes a nudging approach.</w:t>
      </w:r>
    </w:p>
    <w:p w14:paraId="25329F0E" w14:textId="77777777" w:rsidR="00647F00" w:rsidRDefault="00EC6B5A" w:rsidP="008D58CF">
      <w:pPr>
        <w:pStyle w:val="Box1Heading"/>
      </w:pPr>
      <w:r>
        <w:t>Tips for successful implementation</w:t>
      </w:r>
    </w:p>
    <w:p w14:paraId="220CA2AC" w14:textId="755DC87E" w:rsidR="00647F00" w:rsidRDefault="00EC6B5A" w:rsidP="008D58CF">
      <w:pPr>
        <w:pStyle w:val="Box1Bullet"/>
      </w:pPr>
      <w:r>
        <w:t>Select a plate that complements the size of the biscuit for appetite appeal.</w:t>
      </w:r>
    </w:p>
    <w:p w14:paraId="59C95801" w14:textId="77777777" w:rsidR="00647F00" w:rsidRDefault="00EC6B5A" w:rsidP="008D58CF">
      <w:pPr>
        <w:pStyle w:val="Box1Heading"/>
      </w:pPr>
      <w:r>
        <w:t>Top tips</w:t>
      </w:r>
    </w:p>
    <w:p w14:paraId="1C420F0F" w14:textId="625DAD24" w:rsidR="00647F00" w:rsidRDefault="00EC6B5A" w:rsidP="008D58CF">
      <w:pPr>
        <w:pStyle w:val="Box1Bullet"/>
      </w:pPr>
      <w:r>
        <w:t>A reduction in the circumference of a biscuit is acceptable to consumers and still feels like a treat.</w:t>
      </w:r>
    </w:p>
    <w:p w14:paraId="2D486D1F" w14:textId="40898A45" w:rsidR="00647F00" w:rsidRDefault="008D58CF" w:rsidP="008D58CF">
      <w:r>
        <w:rPr>
          <w:noProof/>
        </w:rPr>
        <w:drawing>
          <wp:inline distT="0" distB="0" distL="0" distR="0" wp14:anchorId="778A60FD" wp14:editId="4B33170F">
            <wp:extent cx="3600000" cy="2202459"/>
            <wp:effectExtent l="0" t="0" r="635" b="7620"/>
            <wp:docPr id="42" name="Picture 42" descr="A photo of a large chocolate chip biscuit on a 19.4 centimetr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hoto of a large chocolate chip biscuit on a 19.4 centimetre plate"/>
                    <pic:cNvPicPr/>
                  </pic:nvPicPr>
                  <pic:blipFill rotWithShape="1">
                    <a:blip r:embed="rId37"/>
                    <a:srcRect t="42089" b="18545"/>
                    <a:stretch/>
                  </pic:blipFill>
                  <pic:spPr bwMode="auto">
                    <a:xfrm>
                      <a:off x="0" y="0"/>
                      <a:ext cx="3600000" cy="2202459"/>
                    </a:xfrm>
                    <a:prstGeom prst="rect">
                      <a:avLst/>
                    </a:prstGeom>
                    <a:ln>
                      <a:noFill/>
                    </a:ln>
                    <a:extLst>
                      <a:ext uri="{53640926-AAD7-44D8-BBD7-CCE9431645EC}">
                        <a14:shadowObscured xmlns:a14="http://schemas.microsoft.com/office/drawing/2010/main"/>
                      </a:ext>
                    </a:extLst>
                  </pic:spPr>
                </pic:pic>
              </a:graphicData>
            </a:graphic>
          </wp:inline>
        </w:drawing>
      </w:r>
    </w:p>
    <w:p w14:paraId="4E8EFA5B" w14:textId="5BE02E75" w:rsidR="008D58CF" w:rsidRDefault="00EC6B5A" w:rsidP="008D58CF">
      <w:r>
        <w:t xml:space="preserve">Small prop plate is 19.4 cm. </w:t>
      </w:r>
    </w:p>
    <w:p w14:paraId="42632814" w14:textId="77777777" w:rsidR="008D58CF" w:rsidRDefault="008D58CF">
      <w:pPr>
        <w:suppressAutoHyphens w:val="0"/>
      </w:pPr>
      <w:r>
        <w:br w:type="page"/>
      </w:r>
    </w:p>
    <w:p w14:paraId="5E274275" w14:textId="77777777" w:rsidR="00647F00" w:rsidRPr="008D58CF" w:rsidRDefault="00EC6B5A" w:rsidP="008D58CF">
      <w:pPr>
        <w:pStyle w:val="Heading2NoTOC"/>
        <w:rPr>
          <w:rStyle w:val="Pink"/>
        </w:rPr>
      </w:pPr>
      <w:r w:rsidRPr="008D58CF">
        <w:rPr>
          <w:rStyle w:val="Pink"/>
        </w:rPr>
        <w:lastRenderedPageBreak/>
        <w:t>Out of Home</w:t>
      </w:r>
    </w:p>
    <w:p w14:paraId="232D74B2" w14:textId="77777777" w:rsidR="00647F00" w:rsidRDefault="00EC6B5A" w:rsidP="008D58CF">
      <w:pPr>
        <w:pStyle w:val="Heading2NoTOC"/>
      </w:pPr>
      <w:r>
        <w:t>Sweet biscuits</w:t>
      </w:r>
    </w:p>
    <w:p w14:paraId="21E2A39D" w14:textId="42F98C84" w:rsidR="00647F00" w:rsidRDefault="008D58CF" w:rsidP="008D58CF">
      <w:r>
        <w:rPr>
          <w:noProof/>
        </w:rPr>
        <w:drawing>
          <wp:inline distT="0" distB="0" distL="0" distR="0" wp14:anchorId="7A907446" wp14:editId="791B5B11">
            <wp:extent cx="6120130" cy="5967095"/>
            <wp:effectExtent l="0" t="0" r="0" b="0"/>
            <wp:docPr id="43" name="Picture 43" descr="Photo showing a 60 gram chocolate chip biscuit of 9 centimetres di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hoto showing a 60 gram chocolate chip biscuit of 9 centimetres diameter"/>
                    <pic:cNvPicPr/>
                  </pic:nvPicPr>
                  <pic:blipFill>
                    <a:blip r:embed="rId38"/>
                    <a:stretch>
                      <a:fillRect/>
                    </a:stretch>
                  </pic:blipFill>
                  <pic:spPr>
                    <a:xfrm>
                      <a:off x="0" y="0"/>
                      <a:ext cx="6120130" cy="5967095"/>
                    </a:xfrm>
                    <a:prstGeom prst="rect">
                      <a:avLst/>
                    </a:prstGeom>
                  </pic:spPr>
                </pic:pic>
              </a:graphicData>
            </a:graphic>
          </wp:inline>
        </w:drawing>
      </w:r>
    </w:p>
    <w:p w14:paraId="0EAB7470" w14:textId="77777777" w:rsidR="00647F00" w:rsidRDefault="00EC6B5A" w:rsidP="008D58CF">
      <w:pPr>
        <w:pStyle w:val="Heading3"/>
      </w:pPr>
      <w:r>
        <w:t>Maximum serving size recommendation</w:t>
      </w:r>
    </w:p>
    <w:p w14:paraId="629E9B37" w14:textId="77777777" w:rsidR="00647F00" w:rsidRDefault="00EC6B5A" w:rsidP="008D58CF">
      <w:r>
        <w:t>(</w:t>
      </w:r>
      <w:proofErr w:type="gramStart"/>
      <w:r>
        <w:t>up</w:t>
      </w:r>
      <w:proofErr w:type="gramEnd"/>
      <w:r>
        <w:t xml:space="preserve"> to the weight indicated)</w:t>
      </w:r>
    </w:p>
    <w:p w14:paraId="79B58576" w14:textId="5CA66703" w:rsidR="008D58CF" w:rsidRDefault="00EC6B5A" w:rsidP="008D58CF">
      <w:pPr>
        <w:pStyle w:val="Box2Text"/>
        <w:rPr>
          <w:b/>
          <w:bCs/>
        </w:rPr>
      </w:pPr>
      <w:r>
        <w:t xml:space="preserve">Dimensions are an approximation for size. </w:t>
      </w:r>
      <w:r w:rsidRPr="008D58CF">
        <w:rPr>
          <w:b/>
          <w:bCs/>
        </w:rPr>
        <w:t>Follow weight measures for an accurate serving size.</w:t>
      </w:r>
    </w:p>
    <w:p w14:paraId="76CACB68" w14:textId="77777777" w:rsidR="008D58CF" w:rsidRDefault="008D58CF">
      <w:pPr>
        <w:suppressAutoHyphens w:val="0"/>
        <w:rPr>
          <w:b/>
          <w:bCs/>
        </w:rPr>
      </w:pPr>
      <w:r>
        <w:rPr>
          <w:b/>
          <w:bCs/>
        </w:rPr>
        <w:br w:type="page"/>
      </w:r>
    </w:p>
    <w:p w14:paraId="43CE0311" w14:textId="77777777" w:rsidR="00647F00" w:rsidRDefault="00EC6B5A" w:rsidP="008D58CF">
      <w:pPr>
        <w:pStyle w:val="Heading2"/>
      </w:pPr>
      <w:bookmarkStart w:id="35" w:name="_Toc106974819"/>
      <w:r>
        <w:lastRenderedPageBreak/>
        <w:t>Prop measurements</w:t>
      </w:r>
      <w:bookmarkEnd w:id="35"/>
    </w:p>
    <w:p w14:paraId="51587F1D" w14:textId="77777777" w:rsidR="00647F00" w:rsidRDefault="00EC6B5A" w:rsidP="008D58CF">
      <w:r w:rsidRPr="008D58CF">
        <w:rPr>
          <w:b/>
          <w:bCs/>
        </w:rPr>
        <w:t>Fork:</w:t>
      </w:r>
      <w:r>
        <w:t xml:space="preserve"> 20.7 cm</w:t>
      </w:r>
    </w:p>
    <w:p w14:paraId="4B115081" w14:textId="77777777" w:rsidR="00647F00" w:rsidRDefault="00EC6B5A" w:rsidP="008D58CF">
      <w:r w:rsidRPr="008D58CF">
        <w:rPr>
          <w:b/>
          <w:bCs/>
        </w:rPr>
        <w:t xml:space="preserve">Knife: </w:t>
      </w:r>
      <w:r>
        <w:t>21 cm</w:t>
      </w:r>
    </w:p>
    <w:p w14:paraId="724A3DF3" w14:textId="77777777" w:rsidR="00647F00" w:rsidRDefault="00EC6B5A" w:rsidP="008D58CF">
      <w:r w:rsidRPr="008D58CF">
        <w:rPr>
          <w:b/>
          <w:bCs/>
        </w:rPr>
        <w:t>Spoon:</w:t>
      </w:r>
      <w:r>
        <w:t xml:space="preserve"> 19.5 cm</w:t>
      </w:r>
    </w:p>
    <w:p w14:paraId="2537925C" w14:textId="77777777" w:rsidR="00647F00" w:rsidRDefault="00EC6B5A" w:rsidP="008D58CF">
      <w:r w:rsidRPr="008D58CF">
        <w:rPr>
          <w:b/>
          <w:bCs/>
        </w:rPr>
        <w:t>Teaspoon:</w:t>
      </w:r>
      <w:r>
        <w:t xml:space="preserve"> 14.7 cm</w:t>
      </w:r>
    </w:p>
    <w:p w14:paraId="5FF6894B" w14:textId="77777777" w:rsidR="00647F00" w:rsidRDefault="00EC6B5A" w:rsidP="008D58CF">
      <w:r w:rsidRPr="008D58CF">
        <w:rPr>
          <w:b/>
          <w:bCs/>
        </w:rPr>
        <w:t xml:space="preserve">Small fork: </w:t>
      </w:r>
      <w:r>
        <w:t>14.5 cm</w:t>
      </w:r>
    </w:p>
    <w:p w14:paraId="0FFDF317" w14:textId="77777777" w:rsidR="00647F00" w:rsidRDefault="00EC6B5A" w:rsidP="008D58CF">
      <w:r w:rsidRPr="008D58CF">
        <w:rPr>
          <w:b/>
          <w:bCs/>
        </w:rPr>
        <w:t>Standard plate:</w:t>
      </w:r>
      <w:r>
        <w:t xml:space="preserve"> 27.4 cm</w:t>
      </w:r>
    </w:p>
    <w:p w14:paraId="1C6381F7" w14:textId="77777777" w:rsidR="00647F00" w:rsidRDefault="00EC6B5A" w:rsidP="008D58CF">
      <w:r w:rsidRPr="008D58CF">
        <w:rPr>
          <w:b/>
          <w:bCs/>
        </w:rPr>
        <w:t xml:space="preserve">Medium plate: </w:t>
      </w:r>
      <w:r>
        <w:t>22.7 cm</w:t>
      </w:r>
    </w:p>
    <w:p w14:paraId="307D9495" w14:textId="77777777" w:rsidR="00647F00" w:rsidRDefault="00EC6B5A" w:rsidP="008D58CF">
      <w:r w:rsidRPr="008D58CF">
        <w:rPr>
          <w:b/>
          <w:bCs/>
        </w:rPr>
        <w:t xml:space="preserve">Small plate: </w:t>
      </w:r>
      <w:r>
        <w:t>19.4 cm</w:t>
      </w:r>
    </w:p>
    <w:p w14:paraId="5CB9E647" w14:textId="4B6CCCFD" w:rsidR="008D58CF" w:rsidRDefault="008D58CF">
      <w:pPr>
        <w:suppressAutoHyphens w:val="0"/>
      </w:pPr>
      <w:r>
        <w:br w:type="page"/>
      </w:r>
    </w:p>
    <w:p w14:paraId="720141A5" w14:textId="241EC291" w:rsidR="008D58CF" w:rsidRDefault="008D58CF" w:rsidP="008D58CF">
      <w:r>
        <w:rPr>
          <w:noProof/>
        </w:rPr>
        <w:lastRenderedPageBreak/>
        <w:drawing>
          <wp:inline distT="0" distB="0" distL="0" distR="0" wp14:anchorId="4B1AEE25" wp14:editId="621E9346">
            <wp:extent cx="5040000" cy="1147884"/>
            <wp:effectExtent l="0" t="0" r="0" b="0"/>
            <wp:docPr id="44" name="Picture 44" descr="Australian Government Department of Health - Healthy Food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ustralian Government Department of Health - Healthy Food Partnership"/>
                    <pic:cNvPicPr/>
                  </pic:nvPicPr>
                  <pic:blipFill>
                    <a:blip r:embed="rId8"/>
                    <a:stretch>
                      <a:fillRect/>
                    </a:stretch>
                  </pic:blipFill>
                  <pic:spPr>
                    <a:xfrm>
                      <a:off x="0" y="0"/>
                      <a:ext cx="5040000" cy="1147884"/>
                    </a:xfrm>
                    <a:prstGeom prst="rect">
                      <a:avLst/>
                    </a:prstGeom>
                  </pic:spPr>
                </pic:pic>
              </a:graphicData>
            </a:graphic>
          </wp:inline>
        </w:drawing>
      </w:r>
    </w:p>
    <w:p w14:paraId="62C41CF0" w14:textId="353CA135" w:rsidR="00647F00" w:rsidRDefault="00EC6B5A" w:rsidP="00894852">
      <w:pPr>
        <w:pStyle w:val="Heading3"/>
      </w:pPr>
      <w:r>
        <w:t>Visit our website</w:t>
      </w:r>
    </w:p>
    <w:p w14:paraId="189719A7" w14:textId="77777777" w:rsidR="00647F00" w:rsidRDefault="00EC6B5A" w:rsidP="00894852">
      <w:pPr>
        <w:pStyle w:val="Heading3"/>
      </w:pPr>
      <w:r>
        <w:t>health.gov.au/initiatives-and-programs/healthy-food-partnership</w:t>
      </w:r>
    </w:p>
    <w:p w14:paraId="77BFD5CF" w14:textId="77777777" w:rsidR="00647F00" w:rsidRDefault="00EC6B5A" w:rsidP="008D58CF">
      <w:r>
        <w:t>© Commonwealth of Australia as represented by the Department of Health 2022</w:t>
      </w:r>
    </w:p>
    <w:p w14:paraId="157A649B" w14:textId="77777777" w:rsidR="00647F00" w:rsidRDefault="00EC6B5A" w:rsidP="008D58CF">
      <w:r>
        <w:t>Title: Industry Guide to Voluntary Serving Size Reduction</w:t>
      </w:r>
    </w:p>
    <w:p w14:paraId="13725246" w14:textId="77777777" w:rsidR="00647F00" w:rsidRDefault="00EC6B5A" w:rsidP="008D58CF">
      <w:pPr>
        <w:pStyle w:val="Heading3"/>
      </w:pPr>
      <w:r>
        <w:t>Creative Commons Licence</w:t>
      </w:r>
    </w:p>
    <w:p w14:paraId="23CAF13E" w14:textId="77777777" w:rsidR="00647F00" w:rsidRDefault="00EC6B5A" w:rsidP="008D58CF">
      <w:r>
        <w:t xml:space="preserve">This publication is licensed under the Creative Commons Attribution 4.0 International Public License available from </w:t>
      </w:r>
      <w:hyperlink r:id="rId39" w:history="1">
        <w:r w:rsidRPr="005F364A">
          <w:rPr>
            <w:rStyle w:val="Hyperlink"/>
            <w:i w:val="0"/>
            <w:iCs/>
          </w:rPr>
          <w:t>https://creativecommons.org/licenses/by/4.0/legalcode</w:t>
        </w:r>
      </w:hyperlink>
      <w:r>
        <w:t xml:space="preserve"> (“Licence”). You must read and understand the Licence before using any material from this publication. </w:t>
      </w:r>
    </w:p>
    <w:p w14:paraId="3B9598A3" w14:textId="77777777" w:rsidR="00647F00" w:rsidRDefault="00EC6B5A" w:rsidP="008D58CF">
      <w:pPr>
        <w:pStyle w:val="Heading3"/>
      </w:pPr>
      <w:r>
        <w:t>Restrictions</w:t>
      </w:r>
    </w:p>
    <w:p w14:paraId="750D7922" w14:textId="77777777" w:rsidR="00647F00" w:rsidRDefault="00EC6B5A" w:rsidP="008D58CF">
      <w:r>
        <w:t xml:space="preserve">The Licence may not give you all the permissions necessary for your intended use. For example, other rights (such as publicity, privacy and moral rights) may limit how you use the material found in this publication. </w:t>
      </w:r>
    </w:p>
    <w:p w14:paraId="20ECF7FA" w14:textId="77777777" w:rsidR="00647F00" w:rsidRDefault="00EC6B5A" w:rsidP="008D58CF">
      <w:r>
        <w:t>The Licence does not cover, and there is no permission given for, use of any of the following material found in this publication:</w:t>
      </w:r>
    </w:p>
    <w:p w14:paraId="3DF1F794" w14:textId="77777777" w:rsidR="00647F00" w:rsidRDefault="00EC6B5A" w:rsidP="008D58CF">
      <w:pPr>
        <w:pStyle w:val="Bullet1"/>
      </w:pPr>
      <w:r>
        <w:t>the Commonwealth Coat of Arms. (</w:t>
      </w:r>
      <w:proofErr w:type="gramStart"/>
      <w:r>
        <w:t>by</w:t>
      </w:r>
      <w:proofErr w:type="gramEnd"/>
      <w:r>
        <w:t xml:space="preserve"> way of information, the terms under which the Coat of Arms may be used can be found on the Department of Prime Minister and Cabinet website </w:t>
      </w:r>
      <w:hyperlink r:id="rId40" w:history="1">
        <w:r w:rsidRPr="005F364A">
          <w:rPr>
            <w:rStyle w:val="Hyperlink"/>
            <w:i w:val="0"/>
            <w:iCs/>
          </w:rPr>
          <w:t>http://www.dpmc.gov.au/government/commonwealth-coat-arms</w:t>
        </w:r>
      </w:hyperlink>
      <w:r w:rsidRPr="005F364A">
        <w:rPr>
          <w:i/>
          <w:iCs/>
        </w:rPr>
        <w:t>);</w:t>
      </w:r>
    </w:p>
    <w:p w14:paraId="06B3C6BB" w14:textId="77777777" w:rsidR="00647F00" w:rsidRDefault="00EC6B5A" w:rsidP="008D58CF">
      <w:pPr>
        <w:pStyle w:val="Bullet1"/>
      </w:pPr>
      <w:r>
        <w:t xml:space="preserve">any logos and </w:t>
      </w:r>
      <w:proofErr w:type="gramStart"/>
      <w:r>
        <w:t>trademarks;</w:t>
      </w:r>
      <w:proofErr w:type="gramEnd"/>
    </w:p>
    <w:p w14:paraId="39DB9EDE" w14:textId="77777777" w:rsidR="00647F00" w:rsidRDefault="00EC6B5A" w:rsidP="008D58CF">
      <w:pPr>
        <w:pStyle w:val="Bullet1"/>
      </w:pPr>
      <w:r>
        <w:t xml:space="preserve">any photographs and </w:t>
      </w:r>
      <w:proofErr w:type="gramStart"/>
      <w:r>
        <w:t>images;</w:t>
      </w:r>
      <w:proofErr w:type="gramEnd"/>
      <w:r>
        <w:t xml:space="preserve"> </w:t>
      </w:r>
    </w:p>
    <w:p w14:paraId="396A878F" w14:textId="77777777" w:rsidR="00647F00" w:rsidRDefault="00EC6B5A" w:rsidP="008D58CF">
      <w:pPr>
        <w:pStyle w:val="Bullet1"/>
      </w:pPr>
      <w:r>
        <w:t>any signatures; and</w:t>
      </w:r>
    </w:p>
    <w:p w14:paraId="46DF5BC8" w14:textId="77777777" w:rsidR="00647F00" w:rsidRDefault="00EC6B5A" w:rsidP="008D58CF">
      <w:pPr>
        <w:pStyle w:val="Bullet1"/>
      </w:pPr>
      <w:r>
        <w:t xml:space="preserve">any material belonging to third parties. </w:t>
      </w:r>
    </w:p>
    <w:p w14:paraId="01D0D18A" w14:textId="5A3604A1" w:rsidR="004E66D7" w:rsidRDefault="00EC6B5A" w:rsidP="008D58CF">
      <w:r>
        <w:t xml:space="preserve">The </w:t>
      </w:r>
      <w:proofErr w:type="gramStart"/>
      <w:r>
        <w:t>third party</w:t>
      </w:r>
      <w:proofErr w:type="gramEnd"/>
      <w:r>
        <w:t xml:space="preserve"> elements must be included here or have a footnote reference throughout the document showing where they are.</w:t>
      </w:r>
    </w:p>
    <w:p w14:paraId="655C7D16" w14:textId="77777777" w:rsidR="004E66D7" w:rsidRDefault="004E66D7">
      <w:pPr>
        <w:suppressAutoHyphens w:val="0"/>
      </w:pPr>
      <w:r>
        <w:br w:type="page"/>
      </w:r>
    </w:p>
    <w:p w14:paraId="1E0252FA" w14:textId="67C364D2" w:rsidR="00EC6B5A" w:rsidRPr="00406080" w:rsidRDefault="00406080" w:rsidP="00406080">
      <w:pPr>
        <w:pStyle w:val="Heading2"/>
        <w:rPr>
          <w:rStyle w:val="ItalicGreen"/>
        </w:rPr>
      </w:pPr>
      <w:bookmarkStart w:id="36" w:name="_Toc106974820"/>
      <w:r w:rsidRPr="00406080">
        <w:rPr>
          <w:rStyle w:val="ItalicGreen"/>
        </w:rPr>
        <w:lastRenderedPageBreak/>
        <w:t>References</w:t>
      </w:r>
      <w:bookmarkEnd w:id="36"/>
    </w:p>
    <w:sectPr w:rsidR="00EC6B5A" w:rsidRPr="00406080" w:rsidSect="006C683B">
      <w:endnotePr>
        <w:numFmt w:val="decimal"/>
      </w:endnotePr>
      <w:pgSz w:w="11906" w:h="16838" w:code="9"/>
      <w:pgMar w:top="1134" w:right="1134" w:bottom="1134" w:left="1134" w:header="567" w:footer="567"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2997E" w14:textId="77777777" w:rsidR="00C67645" w:rsidRDefault="00C67645" w:rsidP="00B75F0A">
      <w:pPr>
        <w:spacing w:before="0" w:after="0"/>
      </w:pPr>
      <w:r>
        <w:separator/>
      </w:r>
    </w:p>
  </w:endnote>
  <w:endnote w:type="continuationSeparator" w:id="0">
    <w:p w14:paraId="27A79D79" w14:textId="77777777" w:rsidR="00C67645" w:rsidRDefault="00C67645" w:rsidP="00B75F0A">
      <w:pPr>
        <w:spacing w:before="0" w:after="0"/>
      </w:pPr>
      <w:r>
        <w:continuationSeparator/>
      </w:r>
    </w:p>
  </w:endnote>
  <w:endnote w:id="1">
    <w:p w14:paraId="6EB4864C" w14:textId="3C0410E8" w:rsidR="00B75F0A" w:rsidRDefault="00B75F0A">
      <w:pPr>
        <w:pStyle w:val="EndnoteText"/>
      </w:pPr>
      <w:r>
        <w:rPr>
          <w:rStyle w:val="EndnoteReference"/>
        </w:rPr>
        <w:endnoteRef/>
      </w:r>
      <w:r>
        <w:t xml:space="preserve"> </w:t>
      </w:r>
      <w:r w:rsidRPr="00B75F0A">
        <w:t>Australian Institute of Health and Welfare (AIHW). Australian Burden of Disease Study: impact and causes of illness and death in Australia 2018. Canberra: AIHW; 2021. Cat. No.: BOD 29.</w:t>
      </w:r>
    </w:p>
  </w:endnote>
  <w:endnote w:id="2">
    <w:p w14:paraId="1B960FA7" w14:textId="36E9D176" w:rsidR="00B75F0A" w:rsidRDefault="00B75F0A">
      <w:pPr>
        <w:pStyle w:val="EndnoteText"/>
      </w:pPr>
      <w:r>
        <w:rPr>
          <w:rStyle w:val="EndnoteReference"/>
        </w:rPr>
        <w:endnoteRef/>
      </w:r>
      <w:r>
        <w:t xml:space="preserve"> </w:t>
      </w:r>
      <w:r w:rsidRPr="00B75F0A">
        <w:rPr>
          <w:rFonts w:cs="Raleway Light"/>
          <w:color w:val="000000"/>
        </w:rPr>
        <w:t>Australian Bureau of Statistics (ABS). Australian health survey: consumption of food groups from the Australian Dietary Guidelines, 2011-12. Canberra: ABS; 2016. ABS Cat. No.: 4364.0.55.012.</w:t>
      </w:r>
    </w:p>
  </w:endnote>
  <w:endnote w:id="3">
    <w:p w14:paraId="26045873" w14:textId="691B0F9C" w:rsidR="00B75F0A" w:rsidRDefault="00B75F0A">
      <w:pPr>
        <w:pStyle w:val="EndnoteText"/>
      </w:pPr>
      <w:r>
        <w:rPr>
          <w:rStyle w:val="EndnoteReference"/>
        </w:rPr>
        <w:endnoteRef/>
      </w:r>
      <w:r>
        <w:t xml:space="preserve"> </w:t>
      </w:r>
      <w:r w:rsidRPr="00B75F0A">
        <w:t>National Health and Medical Research Council (NHMRC). Australian Dietary Guidelines. Canberra: NHMRC. 2013.</w:t>
      </w:r>
    </w:p>
  </w:endnote>
  <w:endnote w:id="4">
    <w:p w14:paraId="0DA3D950" w14:textId="05121FC2" w:rsidR="00B75F0A" w:rsidRDefault="00B75F0A">
      <w:pPr>
        <w:pStyle w:val="EndnoteText"/>
      </w:pPr>
      <w:r>
        <w:rPr>
          <w:rStyle w:val="EndnoteReference"/>
        </w:rPr>
        <w:endnoteRef/>
      </w:r>
      <w:r>
        <w:t xml:space="preserve"> </w:t>
      </w:r>
      <w:r w:rsidRPr="00B75F0A">
        <w:t>Zheng M, Rangan A, Meertens B, Wu J. Changes in Typical Portion Sizes of Commonly Consumed Discretionary Foods among Australian Adults from 1995 to 2011–2012. Nutrients. 2017 Jun 6; 9(6):577. doi: 10.3390/nu9060577</w:t>
      </w:r>
    </w:p>
  </w:endnote>
  <w:endnote w:id="5">
    <w:p w14:paraId="29DEA8A2" w14:textId="5BD62E04" w:rsidR="00B75F0A" w:rsidRDefault="00B75F0A">
      <w:pPr>
        <w:pStyle w:val="EndnoteText"/>
      </w:pPr>
      <w:r>
        <w:rPr>
          <w:rStyle w:val="EndnoteReference"/>
        </w:rPr>
        <w:endnoteRef/>
      </w:r>
      <w:r>
        <w:t xml:space="preserve"> </w:t>
      </w:r>
      <w:r w:rsidRPr="00B75F0A">
        <w:t xml:space="preserve">Howes K, Shahid M, Jones A, Taylor F, Dunford E, Sacks G, et al. FoodSwitch: State of the Fast Food Supply May 2020 [Internet]. Sydney: The George Institute for Global Health; 2020. Available online: </w:t>
      </w:r>
      <w:hyperlink r:id="rId1" w:history="1">
        <w:r w:rsidRPr="0079644A">
          <w:rPr>
            <w:rStyle w:val="Hyperlink"/>
          </w:rPr>
          <w:t>https://www.georgeinstitute.org/sites/default/files/2020-05/state-of-food-supply-2020-report.pdf</w:t>
        </w:r>
      </w:hyperlink>
    </w:p>
  </w:endnote>
  <w:endnote w:id="6">
    <w:p w14:paraId="7E630EED" w14:textId="77C324D1" w:rsidR="00B75F0A" w:rsidRDefault="00B75F0A">
      <w:pPr>
        <w:pStyle w:val="EndnoteText"/>
      </w:pPr>
      <w:r>
        <w:rPr>
          <w:rStyle w:val="EndnoteReference"/>
        </w:rPr>
        <w:endnoteRef/>
      </w:r>
      <w:r w:rsidRPr="00E46B37">
        <w:rPr>
          <w:lang w:val="fr-BE"/>
        </w:rPr>
        <w:t xml:space="preserve"> Hollands GJ, Shemilt I, Marteau TM, Jebb SA, Lewis HB, Wei Y, et al. </w:t>
      </w:r>
      <w:r w:rsidRPr="00B75F0A">
        <w:t>Portion, package or tableware size for changing selection and consumption of food, alcohol and tobacco. Cochrane Database of Systematic Reviews [Internet]. 2015 Sep 14 [cited 2022 Feb 17];2015(9). Available from:</w:t>
      </w:r>
      <w:r>
        <w:t xml:space="preserve"> </w:t>
      </w:r>
      <w:hyperlink r:id="rId2" w:history="1">
        <w:r w:rsidRPr="0079644A">
          <w:rPr>
            <w:rStyle w:val="Hyperlink"/>
          </w:rPr>
          <w:t>https://doi.org/10.1002/14651858.CD011045.pub2</w:t>
        </w:r>
      </w:hyperlink>
    </w:p>
  </w:endnote>
  <w:endnote w:id="7">
    <w:p w14:paraId="022BC84C" w14:textId="1CAFDC56" w:rsidR="00B75F0A" w:rsidRDefault="00B75F0A">
      <w:pPr>
        <w:pStyle w:val="EndnoteText"/>
      </w:pPr>
      <w:r>
        <w:rPr>
          <w:rStyle w:val="EndnoteReference"/>
        </w:rPr>
        <w:endnoteRef/>
      </w:r>
      <w:r>
        <w:t xml:space="preserve"> </w:t>
      </w:r>
      <w:r w:rsidRPr="00B75F0A">
        <w:t>Kelly MT, Wallace JMW, Robson PJ, Rennie KL, Welch RW, Hannon-Fletcher MP, et al. Increased portion size leads to a sustained increase in energy intake over 4 d in normal-weight and overweight men and women. Br J Nutr. Cambridge University Press; 2009; 102(3):470–7. doi: 10.1017/S0007114508201960</w:t>
      </w:r>
    </w:p>
  </w:endnote>
  <w:endnote w:id="8">
    <w:p w14:paraId="3FC1984F" w14:textId="12F96E05" w:rsidR="00B75F0A" w:rsidRDefault="00B75F0A">
      <w:pPr>
        <w:pStyle w:val="EndnoteText"/>
      </w:pPr>
      <w:r>
        <w:rPr>
          <w:rStyle w:val="EndnoteReference"/>
        </w:rPr>
        <w:endnoteRef/>
      </w:r>
      <w:r>
        <w:t xml:space="preserve"> </w:t>
      </w:r>
      <w:r w:rsidRPr="00B75F0A">
        <w:t>Almiron-Roig E, Forde CF, Hollands GJ, Vargas MA, Brunstrom JM. A review of evidence supporting current strategies, challenges, and opportunities to reduce portion sizes. Nutr Rev. 2020 Feb 1; 78(2): p91-114. doi: 10.1093/nutrit/nuz047</w:t>
      </w:r>
    </w:p>
  </w:endnote>
  <w:endnote w:id="9">
    <w:p w14:paraId="0D33E73F" w14:textId="4FF535BD" w:rsidR="00B75F0A" w:rsidRDefault="00B75F0A">
      <w:pPr>
        <w:pStyle w:val="EndnoteText"/>
      </w:pPr>
      <w:r>
        <w:rPr>
          <w:rStyle w:val="EndnoteReference"/>
        </w:rPr>
        <w:endnoteRef/>
      </w:r>
      <w:r>
        <w:t xml:space="preserve"> </w:t>
      </w:r>
      <w:r w:rsidRPr="00B75F0A">
        <w:t xml:space="preserve">Lewis M, Lee A. Effective portion size strategies [Internet]. An evidence review prepared for the Australian Government Department of Health on behalf of The Australian Prevention Partnership Centre; 2017. Available from: </w:t>
      </w:r>
      <w:hyperlink r:id="rId3" w:history="1">
        <w:r w:rsidRPr="0079644A">
          <w:rPr>
            <w:rStyle w:val="Hyperlink"/>
          </w:rPr>
          <w:t>https://preventioncentre.org.au/wp-content/uploads/2017/08/22082017_Rapid-review_Portion-size_response.pdf</w:t>
        </w:r>
      </w:hyperlink>
    </w:p>
  </w:endnote>
  <w:endnote w:id="10">
    <w:p w14:paraId="44450307" w14:textId="7B795F33" w:rsidR="00AD7342" w:rsidRDefault="00AD7342">
      <w:pPr>
        <w:pStyle w:val="EndnoteText"/>
      </w:pPr>
      <w:r>
        <w:rPr>
          <w:rStyle w:val="EndnoteReference"/>
        </w:rPr>
        <w:endnoteRef/>
      </w:r>
      <w:r>
        <w:t xml:space="preserve"> </w:t>
      </w:r>
      <w:r w:rsidRPr="00AD7342">
        <w:t>Healthy Food Partnership Industry Guide to Voluntary Serving Size Reduction. Evidence Informing the Approach and Recommended Serving Sizes: Appendix A</w:t>
      </w:r>
    </w:p>
  </w:endnote>
  <w:endnote w:id="11">
    <w:p w14:paraId="6CB78D69" w14:textId="608A4170" w:rsidR="00AD7342" w:rsidRDefault="00AD7342">
      <w:pPr>
        <w:pStyle w:val="EndnoteText"/>
      </w:pPr>
      <w:r>
        <w:rPr>
          <w:rStyle w:val="EndnoteReference"/>
        </w:rPr>
        <w:endnoteRef/>
      </w:r>
      <w:r>
        <w:t xml:space="preserve"> </w:t>
      </w:r>
      <w:r w:rsidRPr="00AD7342">
        <w:t>Liang S, Gemming L, Wellard-Cole L and Rangan A. Comparison between serving sizes of cakes and muffins sold in Australian supermarkets and coffee shop chains. Nutr Diet. 2019;76(3):284-9. doi: 10.1111/1747-0080.12544.</w:t>
      </w:r>
    </w:p>
  </w:endnote>
  <w:endnote w:id="12">
    <w:p w14:paraId="38A8EDA5" w14:textId="32AA9F89" w:rsidR="00AD7342" w:rsidRDefault="00AD7342">
      <w:pPr>
        <w:pStyle w:val="EndnoteText"/>
      </w:pPr>
      <w:r>
        <w:rPr>
          <w:rStyle w:val="EndnoteReference"/>
        </w:rPr>
        <w:endnoteRef/>
      </w:r>
      <w:r>
        <w:t xml:space="preserve"> </w:t>
      </w:r>
      <w:r w:rsidRPr="00AD7342">
        <w:t>New South Wales Ministry of Health. Healthy food and drink in NSW Health facilities for staff and visitors framework. North Sydney, NSW: NSW Ministry of Health; 2017.</w:t>
      </w:r>
    </w:p>
  </w:endnote>
  <w:endnote w:id="13">
    <w:p w14:paraId="4B0CE5F5" w14:textId="5281771D" w:rsidR="00AD7342" w:rsidRDefault="00AD7342">
      <w:pPr>
        <w:pStyle w:val="EndnoteText"/>
      </w:pPr>
      <w:r>
        <w:rPr>
          <w:rStyle w:val="EndnoteReference"/>
        </w:rPr>
        <w:endnoteRef/>
      </w:r>
      <w:r>
        <w:t xml:space="preserve"> </w:t>
      </w:r>
      <w:r w:rsidRPr="00AD7342">
        <w:t xml:space="preserve">Department of Health and Human Services. Healthy choices: food and drink classification guide. Melbourne: Victorian Government; 2020. Available from: </w:t>
      </w:r>
      <w:hyperlink r:id="rId4" w:history="1">
        <w:r w:rsidRPr="0079644A">
          <w:rPr>
            <w:rStyle w:val="Hyperlink"/>
          </w:rPr>
          <w:t>https://content.health.vic.gov.au/sites/default/files/migrated/files/collections/policies-and-guidelines/h/healthy-choices-food-and-drink-classification-guide-2020.pdf</w:t>
        </w:r>
      </w:hyperlink>
    </w:p>
  </w:endnote>
  <w:endnote w:id="14">
    <w:p w14:paraId="23814AF6" w14:textId="32F51333" w:rsidR="00AD7342" w:rsidRDefault="00AD7342">
      <w:pPr>
        <w:pStyle w:val="EndnoteText"/>
      </w:pPr>
      <w:r>
        <w:rPr>
          <w:rStyle w:val="EndnoteReference"/>
        </w:rPr>
        <w:endnoteRef/>
      </w:r>
      <w:r>
        <w:t xml:space="preserve"> </w:t>
      </w:r>
      <w:r w:rsidRPr="00AD7342">
        <w:t>66th Percentile based on FoodTrack Data supplied by the Commonwealth Scientific and Industrial Research Organisation (Retail) and iFed Data supplied by SP Health (Out of home), unless otherwise specified. Data extracted June 2020.</w:t>
      </w:r>
    </w:p>
  </w:endnote>
  <w:endnote w:id="15">
    <w:p w14:paraId="16BFC659" w14:textId="7B9E50A8" w:rsidR="00AD7342" w:rsidRDefault="00AD7342">
      <w:pPr>
        <w:pStyle w:val="EndnoteText"/>
      </w:pPr>
      <w:r>
        <w:rPr>
          <w:rStyle w:val="EndnoteReference"/>
        </w:rPr>
        <w:endnoteRef/>
      </w:r>
      <w:r>
        <w:t xml:space="preserve"> </w:t>
      </w:r>
      <w:r w:rsidRPr="00AD7342">
        <w:t xml:space="preserve">United States Food and Drug Administration (FDA). Reference amounts customarily consumed: list of products for each product category: guidance for industry. Maryland, US: FDA; 2018. Available from: </w:t>
      </w:r>
      <w:hyperlink r:id="rId5" w:history="1">
        <w:r w:rsidRPr="0079644A">
          <w:rPr>
            <w:rStyle w:val="Hyperlink"/>
          </w:rPr>
          <w:t>https://www.fda.gov/media/102587/download</w:t>
        </w:r>
      </w:hyperlink>
    </w:p>
  </w:endnote>
  <w:endnote w:id="16">
    <w:p w14:paraId="3F8100B0" w14:textId="1ECD8E5A" w:rsidR="00AD7342" w:rsidRDefault="00AD7342">
      <w:pPr>
        <w:pStyle w:val="EndnoteText"/>
      </w:pPr>
      <w:r>
        <w:rPr>
          <w:rStyle w:val="EndnoteReference"/>
        </w:rPr>
        <w:endnoteRef/>
      </w:r>
      <w:r>
        <w:t xml:space="preserve"> </w:t>
      </w:r>
      <w:r w:rsidRPr="00AD7342">
        <w:t xml:space="preserve">Health Canada. Nutrition labelling: table of reference amounts for food. Ottawa: Health Canada; 2016. Available from: </w:t>
      </w:r>
      <w:hyperlink r:id="rId6" w:history="1">
        <w:r w:rsidRPr="0079644A">
          <w:rPr>
            <w:rStyle w:val="Hyperlink"/>
          </w:rPr>
          <w:t>https://www.canada.ca/en/health-canada/services/technical-documents-labelling-requirements/table-reference-amounts-food.html</w:t>
        </w:r>
      </w:hyperlink>
    </w:p>
  </w:endnote>
  <w:endnote w:id="17">
    <w:p w14:paraId="3C0ADF79" w14:textId="21B7B4B0" w:rsidR="00AD7342" w:rsidRDefault="00AD7342">
      <w:pPr>
        <w:pStyle w:val="EndnoteText"/>
      </w:pPr>
      <w:r>
        <w:rPr>
          <w:rStyle w:val="EndnoteReference"/>
        </w:rPr>
        <w:endnoteRef/>
      </w:r>
      <w:r>
        <w:t xml:space="preserve"> </w:t>
      </w:r>
      <w:r w:rsidRPr="00AD7342">
        <w:t>Australian Bureau of Statistics (ABS). National Health Survey: First Results, 2017-18. Canberra: ABS; 2018. ABS Cat. No.: 4364.0.55.001.</w:t>
      </w:r>
    </w:p>
  </w:endnote>
  <w:endnote w:id="18">
    <w:p w14:paraId="2F59F478" w14:textId="40409A2C" w:rsidR="00AD7342" w:rsidRDefault="00AD7342">
      <w:pPr>
        <w:pStyle w:val="EndnoteText"/>
      </w:pPr>
      <w:r>
        <w:rPr>
          <w:rStyle w:val="EndnoteReference"/>
        </w:rPr>
        <w:endnoteRef/>
      </w:r>
      <w:r>
        <w:t xml:space="preserve"> </w:t>
      </w:r>
      <w:r w:rsidRPr="00AD7342">
        <w:t xml:space="preserve">Euromonitor International. Soft drinks in Australia (February 2021). Purchased from </w:t>
      </w:r>
      <w:hyperlink r:id="rId7" w:history="1">
        <w:r w:rsidR="003729E7" w:rsidRPr="0079644A">
          <w:rPr>
            <w:rStyle w:val="Hyperlink"/>
          </w:rPr>
          <w:t>https://www.euromonitor.com/soft-drinks-in-australia/report</w:t>
        </w:r>
      </w:hyperlink>
    </w:p>
  </w:endnote>
  <w:endnote w:id="19">
    <w:p w14:paraId="5D5C539C" w14:textId="1C57723B" w:rsidR="003729E7" w:rsidRDefault="003729E7">
      <w:pPr>
        <w:pStyle w:val="EndnoteText"/>
      </w:pPr>
      <w:r>
        <w:rPr>
          <w:rStyle w:val="EndnoteReference"/>
        </w:rPr>
        <w:endnoteRef/>
      </w:r>
      <w:r>
        <w:t xml:space="preserve"> </w:t>
      </w:r>
      <w:r w:rsidRPr="003729E7">
        <w:t xml:space="preserve">Ai Group. Be treatwise® [Internet] [cited 22 February 2022] Available from: </w:t>
      </w:r>
      <w:hyperlink r:id="rId8" w:history="1">
        <w:r w:rsidRPr="0079644A">
          <w:rPr>
            <w:rStyle w:val="Hyperlink"/>
          </w:rPr>
          <w:t>www.betreatwise.info</w:t>
        </w:r>
      </w:hyperlink>
    </w:p>
  </w:endnote>
  <w:endnote w:id="20">
    <w:p w14:paraId="28F433FC" w14:textId="0EDBCC55" w:rsidR="003729E7" w:rsidRDefault="003729E7">
      <w:pPr>
        <w:pStyle w:val="EndnoteText"/>
      </w:pPr>
      <w:r>
        <w:rPr>
          <w:rStyle w:val="EndnoteReference"/>
        </w:rPr>
        <w:endnoteRef/>
      </w:r>
      <w:r>
        <w:t xml:space="preserve"> </w:t>
      </w:r>
      <w:r w:rsidRPr="003729E7">
        <w:t>Nielson Grocery &amp; Convenience Bar data. Moving Annual Total 6.9.30 and Moving Annual Total 2.8.20.</w:t>
      </w:r>
    </w:p>
  </w:endnote>
  <w:endnote w:id="21">
    <w:p w14:paraId="5D4CDA8F" w14:textId="72AFD238" w:rsidR="003729E7" w:rsidRDefault="003729E7">
      <w:pPr>
        <w:pStyle w:val="EndnoteText"/>
      </w:pPr>
      <w:r>
        <w:rPr>
          <w:rStyle w:val="EndnoteReference"/>
        </w:rPr>
        <w:endnoteRef/>
      </w:r>
      <w:r>
        <w:t xml:space="preserve"> </w:t>
      </w:r>
      <w:r w:rsidRPr="003729E7">
        <w:t xml:space="preserve">Public Health England. Sugar Reduction: Achieving the 20%. A technical report outlining progress to date, guidelines for industry, 2015 baseline levels in key foods and next steps. London: Public Health England. 2017. Available from: </w:t>
      </w:r>
      <w:hyperlink r:id="rId9" w:history="1">
        <w:r w:rsidRPr="0079644A">
          <w:rPr>
            <w:rStyle w:val="Hyperlink"/>
          </w:rPr>
          <w:t>https://assets.publishing.service.gov.uk/government/uploads/system/uploads/attachment_data/file/604336/Sugar_reduction_achieving_the_20_.pdf</w:t>
        </w:r>
      </w:hyperlink>
    </w:p>
  </w:endnote>
  <w:endnote w:id="22">
    <w:p w14:paraId="26060BEB" w14:textId="314BC7B8" w:rsidR="003729E7" w:rsidRDefault="003729E7">
      <w:pPr>
        <w:pStyle w:val="EndnoteText"/>
      </w:pPr>
      <w:r>
        <w:rPr>
          <w:rStyle w:val="EndnoteReference"/>
        </w:rPr>
        <w:endnoteRef/>
      </w:r>
      <w:r>
        <w:t xml:space="preserve"> </w:t>
      </w:r>
      <w:r w:rsidRPr="003729E7">
        <w:t>National Health and Medical Research Council (NHMRC). Eat for Health Educator Guide. Canberra: NHMRC. 2013.</w:t>
      </w:r>
    </w:p>
  </w:endnote>
  <w:endnote w:id="23">
    <w:p w14:paraId="14ADCFC3" w14:textId="23C5BBC4" w:rsidR="003729E7" w:rsidRDefault="003729E7">
      <w:pPr>
        <w:pStyle w:val="EndnoteText"/>
      </w:pPr>
      <w:r>
        <w:rPr>
          <w:rStyle w:val="EndnoteReference"/>
        </w:rPr>
        <w:endnoteRef/>
      </w:r>
      <w:r>
        <w:t xml:space="preserve"> </w:t>
      </w:r>
      <w:r w:rsidRPr="003729E7">
        <w:t xml:space="preserve">Public Health England. Calorie Reduction. Technical report: guidelines for industry, 2017 baseline calorie levels and the next steps. London: Public Health England. 2020. Available from: </w:t>
      </w:r>
      <w:hyperlink r:id="rId10" w:history="1">
        <w:r w:rsidRPr="0079644A">
          <w:rPr>
            <w:rStyle w:val="Hyperlink"/>
          </w:rPr>
          <w:t>https://assets.publishing.service.gov.uk/government/uploads/system/uploads/attachment_data/file/915367/Calorie_reduction_guidelines-Technical_report_070920-FINAL.pdf</w:t>
        </w:r>
      </w:hyperlink>
    </w:p>
  </w:endnote>
  <w:endnote w:id="24">
    <w:p w14:paraId="7C1ACFB9" w14:textId="2CD507C0" w:rsidR="003729E7" w:rsidRDefault="003729E7">
      <w:pPr>
        <w:pStyle w:val="EndnoteText"/>
      </w:pPr>
      <w:r>
        <w:rPr>
          <w:rStyle w:val="EndnoteReference"/>
        </w:rPr>
        <w:endnoteRef/>
      </w:r>
      <w:r>
        <w:t xml:space="preserve"> </w:t>
      </w:r>
      <w:r w:rsidRPr="003729E7">
        <w:t xml:space="preserve">Australian Bureau of Statistics (ABS). Australian Health Survey: Nutrition First Results – Foods and Nutrients [Internet]. Canberra: ABS; 2014 [cited 2022 February 18]. Available from: </w:t>
      </w:r>
      <w:hyperlink r:id="rId11" w:anchor="foods-consumed" w:history="1">
        <w:r w:rsidRPr="0079644A">
          <w:rPr>
            <w:rStyle w:val="Hyperlink"/>
          </w:rPr>
          <w:t>https://www.abs.gov.au/statistics/health/health-conditions-and-risks/australian-health-survey-nutrition-first-results-foods-and-nutrients/latest-release#foods-consumed</w:t>
        </w:r>
      </w:hyperlink>
    </w:p>
  </w:endnote>
  <w:endnote w:id="25">
    <w:p w14:paraId="5610B9A5" w14:textId="27D504E3" w:rsidR="003729E7" w:rsidRDefault="003729E7">
      <w:pPr>
        <w:pStyle w:val="EndnoteText"/>
      </w:pPr>
      <w:r>
        <w:rPr>
          <w:rStyle w:val="EndnoteReference"/>
        </w:rPr>
        <w:endnoteRef/>
      </w:r>
      <w:r>
        <w:t xml:space="preserve"> </w:t>
      </w:r>
      <w:r w:rsidRPr="003729E7">
        <w:t xml:space="preserve">Institute of Grocery Distribution (IGD). Can one size fit all. Watford: IGD; 2019 [cited 2022 February 18]. Available from: </w:t>
      </w:r>
      <w:hyperlink r:id="rId12" w:history="1">
        <w:r w:rsidRPr="0079644A">
          <w:rPr>
            <w:rStyle w:val="Hyperlink"/>
          </w:rPr>
          <w:t>https://www.igd.com/Portals/0/Downloads/Charitable%20Impact/Portion%20size/can-one-size-fit-all.pdf</w:t>
        </w:r>
      </w:hyperlink>
    </w:p>
  </w:endnote>
  <w:endnote w:id="26">
    <w:p w14:paraId="5723DE6A" w14:textId="045A01C9" w:rsidR="00406080" w:rsidRDefault="00406080">
      <w:pPr>
        <w:pStyle w:val="EndnoteText"/>
      </w:pPr>
      <w:r>
        <w:rPr>
          <w:rStyle w:val="EndnoteReference"/>
        </w:rPr>
        <w:endnoteRef/>
      </w:r>
      <w:r>
        <w:t xml:space="preserve"> </w:t>
      </w:r>
      <w:r w:rsidRPr="00406080">
        <w:t xml:space="preserve">Australian Institute of Health and Welfare (AIHW). A picture of overweight and obesity in Australia. Canberra: AIHW; 2017 [cited 2022 February 18]. Available from: </w:t>
      </w:r>
      <w:hyperlink r:id="rId13" w:history="1">
        <w:r w:rsidRPr="0079644A">
          <w:rPr>
            <w:rStyle w:val="Hyperlink"/>
          </w:rPr>
          <w:t>https://www.aihw.gov.au/getmedia/45f6ecc6-0caf-4af4-9ffc-a44c885b33d2/aihw-phe-216.pdf.aspx?inline=true</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Raleway Light">
    <w:altName w:val="Raleway Light"/>
    <w:charset w:val="00"/>
    <w:family w:val="auto"/>
    <w:pitch w:val="variable"/>
    <w:sig w:usb0="A00002FF" w:usb1="5000205B" w:usb2="00000000" w:usb3="00000000" w:csb0="00000197" w:csb1="00000000"/>
  </w:font>
  <w:font w:name="Raleway-Light">
    <w:altName w:val="Raleway"/>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C8152" w14:textId="77777777" w:rsidR="00C67645" w:rsidRDefault="00C67645" w:rsidP="00B75F0A">
      <w:pPr>
        <w:spacing w:before="0" w:after="0"/>
      </w:pPr>
      <w:r>
        <w:separator/>
      </w:r>
    </w:p>
  </w:footnote>
  <w:footnote w:type="continuationSeparator" w:id="0">
    <w:p w14:paraId="06DED0D5" w14:textId="77777777" w:rsidR="00C67645" w:rsidRDefault="00C67645" w:rsidP="00B75F0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1618D"/>
    <w:multiLevelType w:val="multilevel"/>
    <w:tmpl w:val="2622645A"/>
    <w:styleLink w:val="List1Numbered"/>
    <w:lvl w:ilvl="0">
      <w:start w:val="1"/>
      <w:numFmt w:val="decimal"/>
      <w:pStyle w:val="List1Numbered1"/>
      <w:lvlText w:val="%1."/>
      <w:lvlJc w:val="left"/>
      <w:pPr>
        <w:ind w:left="284" w:hanging="284"/>
      </w:pPr>
      <w:rPr>
        <w:rFonts w:hint="default"/>
        <w:b w:val="0"/>
        <w:i w:val="0"/>
        <w:color w:val="auto"/>
      </w:rPr>
    </w:lvl>
    <w:lvl w:ilvl="1">
      <w:start w:val="1"/>
      <w:numFmt w:val="upperLetter"/>
      <w:pStyle w:val="List1Numbered2"/>
      <w:lvlText w:val="%2."/>
      <w:lvlJc w:val="left"/>
      <w:pPr>
        <w:ind w:left="284" w:hanging="284"/>
      </w:pPr>
      <w:rPr>
        <w:rFonts w:hint="default"/>
        <w:b/>
        <w:i w:val="0"/>
        <w:color w:val="00433A" w:themeColor="text2"/>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37F03F28"/>
    <w:multiLevelType w:val="multilevel"/>
    <w:tmpl w:val="2622645A"/>
    <w:numStyleLink w:val="List1Numbered"/>
  </w:abstractNum>
  <w:abstractNum w:abstractNumId="2" w15:restartNumberingAfterBreak="0">
    <w:nsid w:val="41396E59"/>
    <w:multiLevelType w:val="multilevel"/>
    <w:tmpl w:val="8842EC68"/>
    <w:styleLink w:val="BoxedBullets"/>
    <w:lvl w:ilvl="0">
      <w:start w:val="1"/>
      <w:numFmt w:val="bullet"/>
      <w:pStyle w:val="Box1Bullet"/>
      <w:lvlText w:val=""/>
      <w:lvlJc w:val="left"/>
      <w:pPr>
        <w:tabs>
          <w:tab w:val="num" w:pos="284"/>
        </w:tabs>
        <w:ind w:left="567" w:hanging="283"/>
      </w:pPr>
      <w:rPr>
        <w:rFonts w:ascii="Wingdings" w:hAnsi="Wingdings" w:hint="default"/>
        <w:color w:val="CF2A67" w:themeColor="accent3"/>
      </w:rPr>
    </w:lvl>
    <w:lvl w:ilvl="1">
      <w:start w:val="1"/>
      <w:numFmt w:val="bullet"/>
      <w:pStyle w:val="Box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00433A" w:themeColor="text2"/>
      </w:rPr>
    </w:lvl>
    <w:lvl w:ilvl="3">
      <w:start w:val="1"/>
      <w:numFmt w:val="bullet"/>
      <w:lvlText w:val="»"/>
      <w:lvlJc w:val="left"/>
      <w:pPr>
        <w:ind w:left="794" w:hanging="510"/>
      </w:pPr>
      <w:rPr>
        <w:rFonts w:ascii="Arial" w:hAnsi="Arial" w:hint="default"/>
        <w:color w:val="00433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 w15:restartNumberingAfterBreak="0">
    <w:nsid w:val="58614D4B"/>
    <w:multiLevelType w:val="multilevel"/>
    <w:tmpl w:val="8842EC68"/>
    <w:numStyleLink w:val="BoxedBullets"/>
  </w:abstractNum>
  <w:abstractNum w:abstractNumId="4" w15:restartNumberingAfterBreak="0">
    <w:nsid w:val="58615703"/>
    <w:multiLevelType w:val="multilevel"/>
    <w:tmpl w:val="2622645A"/>
    <w:numStyleLink w:val="List1Numbered"/>
  </w:abstractNum>
  <w:abstractNum w:abstractNumId="5" w15:restartNumberingAfterBreak="0">
    <w:nsid w:val="6D4F423B"/>
    <w:multiLevelType w:val="multilevel"/>
    <w:tmpl w:val="4A7CCC2C"/>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76C41A59"/>
    <w:multiLevelType w:val="multilevel"/>
    <w:tmpl w:val="562A0600"/>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00433A" w:themeColor="text2"/>
      </w:rPr>
    </w:lvl>
    <w:lvl w:ilvl="3">
      <w:start w:val="1"/>
      <w:numFmt w:val="bullet"/>
      <w:lvlText w:val="»"/>
      <w:lvlJc w:val="left"/>
      <w:pPr>
        <w:ind w:left="794" w:hanging="510"/>
      </w:pPr>
      <w:rPr>
        <w:rFonts w:ascii="Arial" w:hAnsi="Arial" w:hint="default"/>
        <w:color w:val="00433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num w:numId="1">
    <w:abstractNumId w:val="6"/>
  </w:num>
  <w:num w:numId="2">
    <w:abstractNumId w:val="6"/>
  </w:num>
  <w:num w:numId="3">
    <w:abstractNumId w:val="2"/>
  </w:num>
  <w:num w:numId="4">
    <w:abstractNumId w:val="5"/>
  </w:num>
  <w:num w:numId="5">
    <w:abstractNumId w:val="5"/>
  </w:num>
  <w:num w:numId="6">
    <w:abstractNumId w:val="5"/>
  </w:num>
  <w:num w:numId="7">
    <w:abstractNumId w:val="0"/>
  </w:num>
  <w:num w:numId="8">
    <w:abstractNumId w:val="4"/>
  </w:num>
  <w:num w:numId="9">
    <w:abstractNumId w:val="4"/>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3"/>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989"/>
    <w:rsid w:val="00001371"/>
    <w:rsid w:val="00005989"/>
    <w:rsid w:val="000066A3"/>
    <w:rsid w:val="00045DD7"/>
    <w:rsid w:val="000F699A"/>
    <w:rsid w:val="001B1AEA"/>
    <w:rsid w:val="001D4BB3"/>
    <w:rsid w:val="001E31E2"/>
    <w:rsid w:val="002075DA"/>
    <w:rsid w:val="002707C6"/>
    <w:rsid w:val="0034640A"/>
    <w:rsid w:val="003729E7"/>
    <w:rsid w:val="003A6EB6"/>
    <w:rsid w:val="003D1289"/>
    <w:rsid w:val="00402E62"/>
    <w:rsid w:val="00406080"/>
    <w:rsid w:val="00487A9D"/>
    <w:rsid w:val="004A76C6"/>
    <w:rsid w:val="004E66D7"/>
    <w:rsid w:val="0057664E"/>
    <w:rsid w:val="005F364A"/>
    <w:rsid w:val="006126D3"/>
    <w:rsid w:val="0061333A"/>
    <w:rsid w:val="00647F00"/>
    <w:rsid w:val="006620C8"/>
    <w:rsid w:val="006C683B"/>
    <w:rsid w:val="00784A36"/>
    <w:rsid w:val="008243DF"/>
    <w:rsid w:val="00841464"/>
    <w:rsid w:val="00894852"/>
    <w:rsid w:val="008B47AD"/>
    <w:rsid w:val="008D58CF"/>
    <w:rsid w:val="008E04BC"/>
    <w:rsid w:val="009E603A"/>
    <w:rsid w:val="00A3158D"/>
    <w:rsid w:val="00A603CF"/>
    <w:rsid w:val="00A77534"/>
    <w:rsid w:val="00AC314F"/>
    <w:rsid w:val="00AD7342"/>
    <w:rsid w:val="00B75F0A"/>
    <w:rsid w:val="00BB5B1B"/>
    <w:rsid w:val="00BD3F5D"/>
    <w:rsid w:val="00BD71E7"/>
    <w:rsid w:val="00C15EE1"/>
    <w:rsid w:val="00C67645"/>
    <w:rsid w:val="00D153B1"/>
    <w:rsid w:val="00D26D3F"/>
    <w:rsid w:val="00D43B59"/>
    <w:rsid w:val="00E25EAC"/>
    <w:rsid w:val="00E46B37"/>
    <w:rsid w:val="00EA3CE5"/>
    <w:rsid w:val="00EC6B5A"/>
    <w:rsid w:val="00EF7798"/>
    <w:rsid w:val="00F36F43"/>
    <w:rsid w:val="00F54E9D"/>
    <w:rsid w:val="00FD22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61A244"/>
  <w14:defaultImageDpi w14:val="0"/>
  <w15:docId w15:val="{C793B4C4-09EF-49EE-9BFB-73AB53A7A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0000" w:themeColor="text1"/>
        <w:sz w:val="22"/>
        <w:szCs w:val="22"/>
        <w:lang w:val="en-AU" w:eastAsia="en-AU" w:bidi="ar-SA"/>
      </w:rPr>
    </w:rPrDefault>
    <w:pPrDefault>
      <w:pPr>
        <w:spacing w:before="18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7AD"/>
    <w:pPr>
      <w:suppressAutoHyphens/>
    </w:pPr>
  </w:style>
  <w:style w:type="paragraph" w:styleId="Heading1">
    <w:name w:val="heading 1"/>
    <w:basedOn w:val="Normal"/>
    <w:next w:val="Normal"/>
    <w:link w:val="Heading1Char"/>
    <w:uiPriority w:val="9"/>
    <w:qFormat/>
    <w:rsid w:val="00F54E9D"/>
    <w:pPr>
      <w:keepNext/>
      <w:keepLines/>
      <w:spacing w:before="0" w:after="480"/>
      <w:contextualSpacing/>
      <w:outlineLvl w:val="0"/>
    </w:pPr>
    <w:rPr>
      <w:rFonts w:asciiTheme="majorHAnsi" w:eastAsiaTheme="majorEastAsia" w:hAnsiTheme="majorHAnsi" w:cstheme="majorBidi"/>
      <w:b/>
      <w:color w:val="007835" w:themeColor="accent1"/>
      <w:sz w:val="48"/>
      <w:szCs w:val="32"/>
    </w:rPr>
  </w:style>
  <w:style w:type="paragraph" w:styleId="Heading2">
    <w:name w:val="heading 2"/>
    <w:basedOn w:val="Normal"/>
    <w:next w:val="Normal"/>
    <w:link w:val="Heading2Char"/>
    <w:uiPriority w:val="9"/>
    <w:qFormat/>
    <w:rsid w:val="008B47AD"/>
    <w:pPr>
      <w:keepNext/>
      <w:keepLines/>
      <w:spacing w:before="360"/>
      <w:contextualSpacing/>
      <w:outlineLvl w:val="1"/>
    </w:pPr>
    <w:rPr>
      <w:rFonts w:asciiTheme="majorHAnsi" w:eastAsiaTheme="majorEastAsia" w:hAnsiTheme="majorHAnsi" w:cstheme="majorBidi"/>
      <w:b/>
      <w:color w:val="00433A" w:themeColor="text2"/>
      <w:sz w:val="36"/>
      <w:szCs w:val="26"/>
    </w:rPr>
  </w:style>
  <w:style w:type="paragraph" w:styleId="Heading3">
    <w:name w:val="heading 3"/>
    <w:basedOn w:val="Normal"/>
    <w:next w:val="Normal"/>
    <w:link w:val="Heading3Char"/>
    <w:uiPriority w:val="9"/>
    <w:qFormat/>
    <w:rsid w:val="008243DF"/>
    <w:pPr>
      <w:keepNext/>
      <w:keepLines/>
      <w:spacing w:before="240"/>
      <w:outlineLvl w:val="2"/>
    </w:pPr>
    <w:rPr>
      <w:rFonts w:asciiTheme="majorHAnsi" w:eastAsiaTheme="majorEastAsia" w:hAnsiTheme="majorHAnsi" w:cstheme="majorBidi"/>
      <w:b/>
      <w:color w:val="00433A" w:themeColor="text2"/>
      <w:sz w:val="30"/>
      <w:szCs w:val="24"/>
    </w:rPr>
  </w:style>
  <w:style w:type="paragraph" w:styleId="Heading4">
    <w:name w:val="heading 4"/>
    <w:basedOn w:val="Normal"/>
    <w:next w:val="Normal"/>
    <w:link w:val="Heading4Char"/>
    <w:uiPriority w:val="9"/>
    <w:unhideWhenUsed/>
    <w:qFormat/>
    <w:rsid w:val="00A603CF"/>
    <w:pPr>
      <w:keepNext/>
      <w:keepLines/>
      <w:spacing w:before="240"/>
      <w:outlineLvl w:val="3"/>
    </w:pPr>
    <w:rPr>
      <w:rFonts w:eastAsiaTheme="majorEastAsia" w:cstheme="majorBidi"/>
      <w:b/>
      <w:iCs/>
      <w:color w:val="auto"/>
      <w:sz w:val="24"/>
    </w:rPr>
  </w:style>
  <w:style w:type="paragraph" w:styleId="Heading5">
    <w:name w:val="heading 5"/>
    <w:basedOn w:val="Normal"/>
    <w:next w:val="Normal"/>
    <w:link w:val="Heading5Char"/>
    <w:uiPriority w:val="9"/>
    <w:unhideWhenUsed/>
    <w:qFormat/>
    <w:rsid w:val="00A603CF"/>
    <w:pPr>
      <w:keepNext/>
      <w:keepLines/>
      <w:spacing w:before="240"/>
      <w:outlineLvl w:val="4"/>
    </w:pPr>
    <w:rPr>
      <w:rFonts w:eastAsiaTheme="majorEastAsia" w:cstheme="majorBidi"/>
      <w:b/>
      <w:i/>
      <w:color w:val="auto"/>
    </w:rPr>
  </w:style>
  <w:style w:type="paragraph" w:styleId="Heading6">
    <w:name w:val="heading 6"/>
    <w:basedOn w:val="Normal"/>
    <w:next w:val="Normal"/>
    <w:link w:val="Heading6Char"/>
    <w:uiPriority w:val="9"/>
    <w:unhideWhenUsed/>
    <w:qFormat/>
    <w:rsid w:val="00A603CF"/>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603CF"/>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styleId="EndnoteText">
    <w:name w:val="endnote text"/>
    <w:basedOn w:val="Normal"/>
    <w:link w:val="EndnoteTextChar"/>
    <w:uiPriority w:val="99"/>
    <w:semiHidden/>
    <w:unhideWhenUsed/>
    <w:rsid w:val="00B75F0A"/>
    <w:pPr>
      <w:spacing w:before="0" w:after="0"/>
    </w:pPr>
    <w:rPr>
      <w:sz w:val="20"/>
      <w:szCs w:val="20"/>
    </w:rPr>
  </w:style>
  <w:style w:type="character" w:customStyle="1" w:styleId="EndnoteTextChar">
    <w:name w:val="Endnote Text Char"/>
    <w:basedOn w:val="DefaultParagraphFont"/>
    <w:link w:val="EndnoteText"/>
    <w:uiPriority w:val="99"/>
    <w:semiHidden/>
    <w:rsid w:val="00B75F0A"/>
    <w:rPr>
      <w:sz w:val="20"/>
      <w:szCs w:val="20"/>
    </w:rPr>
  </w:style>
  <w:style w:type="character" w:styleId="UnresolvedMention">
    <w:name w:val="Unresolved Mention"/>
    <w:basedOn w:val="DefaultParagraphFont"/>
    <w:uiPriority w:val="99"/>
    <w:semiHidden/>
    <w:unhideWhenUsed/>
    <w:rsid w:val="00B75F0A"/>
    <w:rPr>
      <w:color w:val="605E5C"/>
      <w:shd w:val="clear" w:color="auto" w:fill="E1DFDD"/>
    </w:rPr>
  </w:style>
  <w:style w:type="character" w:customStyle="1" w:styleId="Pink">
    <w:name w:val="Pink"/>
    <w:uiPriority w:val="8"/>
    <w:rPr>
      <w:color w:val="CF2967"/>
    </w:rPr>
  </w:style>
  <w:style w:type="character" w:styleId="Hyperlink">
    <w:name w:val="Hyperlink"/>
    <w:basedOn w:val="DefaultParagraphFont"/>
    <w:uiPriority w:val="99"/>
    <w:unhideWhenUsed/>
    <w:rsid w:val="000066A3"/>
    <w:rPr>
      <w:i/>
      <w:color w:val="007835" w:themeColor="accent1"/>
      <w:u w:val="single"/>
    </w:rPr>
  </w:style>
  <w:style w:type="character" w:customStyle="1" w:styleId="ItalicGreen">
    <w:name w:val="Italic Green"/>
    <w:basedOn w:val="DefaultParagraphFont"/>
    <w:uiPriority w:val="99"/>
    <w:rsid w:val="00BD71E7"/>
    <w:rPr>
      <w:i/>
      <w:iCs/>
      <w:color w:val="007835" w:themeColor="accent1"/>
    </w:rPr>
  </w:style>
  <w:style w:type="character" w:styleId="EndnoteReference">
    <w:name w:val="endnote reference"/>
    <w:basedOn w:val="DefaultParagraphFont"/>
    <w:uiPriority w:val="99"/>
    <w:rPr>
      <w:vertAlign w:val="superscript"/>
    </w:rPr>
  </w:style>
  <w:style w:type="paragraph" w:styleId="Subtitle">
    <w:name w:val="Subtitle"/>
    <w:basedOn w:val="Normal"/>
    <w:next w:val="Normal"/>
    <w:link w:val="SubtitleChar"/>
    <w:uiPriority w:val="23"/>
    <w:qFormat/>
    <w:rsid w:val="006620C8"/>
    <w:pPr>
      <w:keepLines/>
      <w:numPr>
        <w:ilvl w:val="1"/>
      </w:numPr>
      <w:spacing w:before="1200" w:after="120"/>
      <w:contextualSpacing/>
    </w:pPr>
    <w:rPr>
      <w:i/>
      <w:color w:val="00433A" w:themeColor="text2"/>
      <w:sz w:val="36"/>
    </w:rPr>
  </w:style>
  <w:style w:type="character" w:customStyle="1" w:styleId="SubtitleChar">
    <w:name w:val="Subtitle Char"/>
    <w:basedOn w:val="DefaultParagraphFont"/>
    <w:link w:val="Subtitle"/>
    <w:uiPriority w:val="23"/>
    <w:rsid w:val="006620C8"/>
    <w:rPr>
      <w:i/>
      <w:color w:val="00433A" w:themeColor="text2"/>
      <w:sz w:val="36"/>
      <w:lang w:eastAsia="en-US"/>
    </w:rPr>
  </w:style>
  <w:style w:type="paragraph" w:styleId="Title">
    <w:name w:val="Title"/>
    <w:basedOn w:val="Normal"/>
    <w:next w:val="Normal"/>
    <w:link w:val="TitleChar"/>
    <w:uiPriority w:val="22"/>
    <w:qFormat/>
    <w:rsid w:val="006620C8"/>
    <w:pPr>
      <w:keepLines/>
      <w:spacing w:line="1000" w:lineRule="exact"/>
      <w:contextualSpacing/>
      <w:outlineLvl w:val="0"/>
    </w:pPr>
    <w:rPr>
      <w:rFonts w:asciiTheme="majorHAnsi" w:eastAsiaTheme="majorEastAsia" w:hAnsiTheme="majorHAnsi" w:cstheme="majorBidi"/>
      <w:b/>
      <w:color w:val="00433A" w:themeColor="text2"/>
      <w:kern w:val="28"/>
      <w:sz w:val="60"/>
      <w:szCs w:val="56"/>
    </w:rPr>
  </w:style>
  <w:style w:type="character" w:customStyle="1" w:styleId="TitleChar">
    <w:name w:val="Title Char"/>
    <w:basedOn w:val="DefaultParagraphFont"/>
    <w:link w:val="Title"/>
    <w:uiPriority w:val="22"/>
    <w:rsid w:val="006620C8"/>
    <w:rPr>
      <w:rFonts w:asciiTheme="majorHAnsi" w:eastAsiaTheme="majorEastAsia" w:hAnsiTheme="majorHAnsi" w:cstheme="majorBidi"/>
      <w:b/>
      <w:color w:val="00433A" w:themeColor="text2"/>
      <w:kern w:val="28"/>
      <w:sz w:val="60"/>
      <w:szCs w:val="56"/>
      <w:lang w:eastAsia="en-US"/>
    </w:rPr>
  </w:style>
  <w:style w:type="paragraph" w:customStyle="1" w:styleId="Box1Text">
    <w:name w:val="Box 1 Text"/>
    <w:basedOn w:val="Normal"/>
    <w:uiPriority w:val="13"/>
    <w:qFormat/>
    <w:rsid w:val="00A603CF"/>
    <w:pPr>
      <w:pBdr>
        <w:top w:val="single" w:sz="4" w:space="14" w:color="D6E7CC" w:themeColor="background2"/>
        <w:left w:val="single" w:sz="4" w:space="14" w:color="D6E7CC" w:themeColor="background2"/>
        <w:bottom w:val="single" w:sz="4" w:space="14" w:color="D6E7CC" w:themeColor="background2"/>
        <w:right w:val="single" w:sz="4" w:space="14" w:color="D6E7CC" w:themeColor="background2"/>
      </w:pBdr>
      <w:shd w:val="clear" w:color="auto" w:fill="D6E7CC" w:themeFill="background2"/>
      <w:ind w:left="284" w:right="284"/>
    </w:pPr>
  </w:style>
  <w:style w:type="paragraph" w:customStyle="1" w:styleId="Box1Bullet">
    <w:name w:val="Box 1 Bullet"/>
    <w:basedOn w:val="Box1Text"/>
    <w:uiPriority w:val="14"/>
    <w:qFormat/>
    <w:rsid w:val="003D1289"/>
    <w:pPr>
      <w:numPr>
        <w:numId w:val="13"/>
      </w:numPr>
    </w:pPr>
  </w:style>
  <w:style w:type="paragraph" w:customStyle="1" w:styleId="Box1Heading">
    <w:name w:val="Box 1 Heading"/>
    <w:basedOn w:val="Box1Text"/>
    <w:uiPriority w:val="13"/>
    <w:qFormat/>
    <w:rsid w:val="00841464"/>
    <w:rPr>
      <w:b/>
      <w:bCs/>
      <w:color w:val="00433A" w:themeColor="text2"/>
      <w:sz w:val="30"/>
      <w:szCs w:val="24"/>
    </w:rPr>
  </w:style>
  <w:style w:type="paragraph" w:customStyle="1" w:styleId="Box2Text">
    <w:name w:val="Box 2 Text"/>
    <w:basedOn w:val="Normal"/>
    <w:uiPriority w:val="14"/>
    <w:qFormat/>
    <w:rsid w:val="0034640A"/>
    <w:pPr>
      <w:pBdr>
        <w:top w:val="dashed" w:sz="4" w:space="14" w:color="CF2A67" w:themeColor="accent3"/>
        <w:left w:val="dashed" w:sz="4" w:space="14" w:color="CF2A67" w:themeColor="accent3"/>
        <w:bottom w:val="dashed" w:sz="4" w:space="14" w:color="CF2A67" w:themeColor="accent3"/>
        <w:right w:val="dashed" w:sz="4" w:space="14" w:color="CF2A67" w:themeColor="accent3"/>
      </w:pBdr>
      <w:ind w:left="284" w:right="284"/>
    </w:pPr>
  </w:style>
  <w:style w:type="paragraph" w:customStyle="1" w:styleId="Box2Bullet">
    <w:name w:val="Box 2 Bullet"/>
    <w:basedOn w:val="Box2Text"/>
    <w:uiPriority w:val="15"/>
    <w:qFormat/>
    <w:rsid w:val="003D1289"/>
    <w:pPr>
      <w:numPr>
        <w:ilvl w:val="1"/>
        <w:numId w:val="13"/>
      </w:numPr>
      <w:spacing w:before="60"/>
    </w:pPr>
  </w:style>
  <w:style w:type="paragraph" w:customStyle="1" w:styleId="Box2Heading">
    <w:name w:val="Box 2 Heading"/>
    <w:basedOn w:val="Box2Text"/>
    <w:uiPriority w:val="14"/>
    <w:qFormat/>
    <w:rsid w:val="00BB5B1B"/>
    <w:rPr>
      <w:b/>
      <w:bCs/>
      <w:sz w:val="30"/>
      <w:szCs w:val="24"/>
    </w:rPr>
  </w:style>
  <w:style w:type="numbering" w:customStyle="1" w:styleId="BoxedBullets">
    <w:name w:val="Boxed Bullets"/>
    <w:uiPriority w:val="99"/>
    <w:rsid w:val="003D1289"/>
    <w:pPr>
      <w:numPr>
        <w:numId w:val="3"/>
      </w:numPr>
    </w:pPr>
  </w:style>
  <w:style w:type="paragraph" w:customStyle="1" w:styleId="Bullet1">
    <w:name w:val="Bullet 1"/>
    <w:basedOn w:val="Normal"/>
    <w:uiPriority w:val="2"/>
    <w:qFormat/>
    <w:rsid w:val="0034640A"/>
    <w:pPr>
      <w:numPr>
        <w:numId w:val="6"/>
      </w:numPr>
      <w:spacing w:before="60"/>
    </w:pPr>
  </w:style>
  <w:style w:type="paragraph" w:customStyle="1" w:styleId="Bullet2">
    <w:name w:val="Bullet 2"/>
    <w:basedOn w:val="Normal"/>
    <w:uiPriority w:val="2"/>
    <w:qFormat/>
    <w:rsid w:val="00A603CF"/>
    <w:pPr>
      <w:numPr>
        <w:ilvl w:val="1"/>
        <w:numId w:val="6"/>
      </w:numPr>
    </w:pPr>
  </w:style>
  <w:style w:type="paragraph" w:customStyle="1" w:styleId="Bullet3">
    <w:name w:val="Bullet 3"/>
    <w:basedOn w:val="Normal"/>
    <w:uiPriority w:val="2"/>
    <w:qFormat/>
    <w:rsid w:val="00A603CF"/>
    <w:pPr>
      <w:numPr>
        <w:ilvl w:val="2"/>
        <w:numId w:val="6"/>
      </w:numPr>
    </w:pPr>
  </w:style>
  <w:style w:type="paragraph" w:styleId="Caption">
    <w:name w:val="caption"/>
    <w:basedOn w:val="Normal"/>
    <w:next w:val="Normal"/>
    <w:uiPriority w:val="19"/>
    <w:qFormat/>
    <w:rsid w:val="00A603CF"/>
    <w:pPr>
      <w:spacing w:before="0" w:after="200"/>
    </w:pPr>
    <w:rPr>
      <w:rFonts w:asciiTheme="majorHAnsi" w:hAnsiTheme="majorHAnsi"/>
      <w:iCs/>
      <w:caps/>
      <w:sz w:val="16"/>
      <w:szCs w:val="18"/>
    </w:rPr>
  </w:style>
  <w:style w:type="table" w:customStyle="1" w:styleId="DefaultTable1">
    <w:name w:val="Default Table 1"/>
    <w:basedOn w:val="GridTable5Dark-Accent1"/>
    <w:uiPriority w:val="99"/>
    <w:rsid w:val="00001371"/>
    <w:pPr>
      <w:spacing w:before="60"/>
    </w:pPr>
    <w:rPr>
      <w:rFonts w:eastAsiaTheme="minorHAnsi"/>
      <w:color w:val="auto"/>
      <w:sz w:val="20"/>
      <w:szCs w:val="20"/>
      <w:lang w:eastAsia="en-US"/>
    </w:rPr>
    <w:tblPr>
      <w:tblBorders>
        <w:top w:val="none" w:sz="0" w:space="0" w:color="auto"/>
        <w:left w:val="none" w:sz="0" w:space="0" w:color="auto"/>
        <w:bottom w:val="single" w:sz="4" w:space="0" w:color="00433A" w:themeColor="text2"/>
        <w:right w:val="none" w:sz="0" w:space="0" w:color="auto"/>
        <w:insideH w:val="single" w:sz="4" w:space="0" w:color="00433A" w:themeColor="text2"/>
        <w:insideV w:val="none" w:sz="0" w:space="0" w:color="auto"/>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000000" w:themeColor="text1"/>
        <w:sz w:val="18"/>
      </w:rPr>
      <w:tblPr/>
      <w:tcPr>
        <w:tcBorders>
          <w:top w:val="nil"/>
          <w:left w:val="nil"/>
          <w:bottom w:val="single" w:sz="24" w:space="0" w:color="007835" w:themeColor="accent1"/>
          <w:right w:val="nil"/>
          <w:insideH w:val="single" w:sz="4" w:space="0" w:color="007835" w:themeColor="accent1"/>
          <w:insideV w:val="nil"/>
          <w:tl2br w:val="nil"/>
          <w:tr2bl w:val="nil"/>
        </w:tcBorders>
        <w:shd w:val="clear" w:color="auto" w:fill="FFFFFF" w:themeFill="background1"/>
      </w:tcPr>
    </w:tblStylePr>
    <w:tblStylePr w:type="lastRow">
      <w:rPr>
        <w:b/>
        <w:bCs/>
        <w:color w:val="000000" w:themeColor="text1"/>
      </w:rPr>
      <w:tblPr/>
      <w:tcPr>
        <w:tcBorders>
          <w:top w:val="single" w:sz="4" w:space="0" w:color="00433A" w:themeColor="text2"/>
          <w:left w:val="nil"/>
          <w:bottom w:val="single" w:sz="4" w:space="0" w:color="00433A" w:themeColor="text2"/>
          <w:right w:val="nil"/>
          <w:insideH w:val="single" w:sz="4" w:space="0" w:color="00433A" w:themeColor="text2"/>
          <w:insideV w:val="nil"/>
          <w:tl2br w:val="nil"/>
          <w:tr2bl w:val="nil"/>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83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B1FFD3" w:themeFill="accent1" w:themeFillTint="33"/>
      </w:tcPr>
    </w:tblStylePr>
    <w:tblStylePr w:type="band2Vert">
      <w:tblPr/>
      <w:tcPr>
        <w:shd w:val="clear" w:color="auto" w:fill="63FFA7" w:themeFill="accent1" w:themeFillTint="66"/>
      </w:tcPr>
    </w:tblStylePr>
    <w:tblStylePr w:type="band1Horz">
      <w:tblPr/>
      <w:tcPr>
        <w:shd w:val="clear" w:color="auto" w:fill="B1FFD3" w:themeFill="accent1" w:themeFillTint="33"/>
      </w:tcPr>
    </w:tblStylePr>
    <w:tblStylePr w:type="band2Horz">
      <w:tblPr/>
      <w:tcPr>
        <w:shd w:val="clear" w:color="auto" w:fill="63FFA7" w:themeFill="accent1" w:themeFillTint="66"/>
      </w:tcPr>
    </w:tblStylePr>
  </w:style>
  <w:style w:type="table" w:styleId="GridTable5Dark-Accent1">
    <w:name w:val="Grid Table 5 Dark Accent 1"/>
    <w:basedOn w:val="TableNormal"/>
    <w:uiPriority w:val="50"/>
    <w:rsid w:val="00A603CF"/>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83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83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83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835" w:themeFill="accent1"/>
      </w:tcPr>
    </w:tblStylePr>
    <w:tblStylePr w:type="band1Vert">
      <w:tblPr/>
      <w:tcPr>
        <w:shd w:val="clear" w:color="auto" w:fill="63FFA7" w:themeFill="accent1" w:themeFillTint="66"/>
      </w:tcPr>
    </w:tblStylePr>
    <w:tblStylePr w:type="band1Horz">
      <w:tblPr/>
      <w:tcPr>
        <w:shd w:val="clear" w:color="auto" w:fill="63FFA7" w:themeFill="accent1" w:themeFillTint="66"/>
      </w:tcPr>
    </w:tblStylePr>
  </w:style>
  <w:style w:type="table" w:customStyle="1" w:styleId="DefaultTable2">
    <w:name w:val="Default Table 2"/>
    <w:basedOn w:val="TableNormal"/>
    <w:uiPriority w:val="99"/>
    <w:rsid w:val="00A603CF"/>
    <w:pPr>
      <w:spacing w:after="0"/>
    </w:pPr>
    <w:rPr>
      <w:rFonts w:eastAsiaTheme="minorHAnsi"/>
      <w:sz w:val="20"/>
      <w:szCs w:val="20"/>
      <w:lang w:eastAsia="en-US"/>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qFormat/>
    <w:rsid w:val="00A603CF"/>
    <w:rPr>
      <w:i/>
      <w:iCs/>
    </w:rPr>
  </w:style>
  <w:style w:type="character" w:styleId="FollowedHyperlink">
    <w:name w:val="FollowedHyperlink"/>
    <w:basedOn w:val="DefaultParagraphFont"/>
    <w:uiPriority w:val="99"/>
    <w:rsid w:val="003729E7"/>
    <w:rPr>
      <w:color w:val="007835" w:themeColor="accent1"/>
      <w:u w:val="single"/>
    </w:rPr>
  </w:style>
  <w:style w:type="paragraph" w:styleId="Footer">
    <w:name w:val="footer"/>
    <w:basedOn w:val="Normal"/>
    <w:link w:val="FooterChar"/>
    <w:uiPriority w:val="99"/>
    <w:rsid w:val="00A603CF"/>
    <w:pPr>
      <w:tabs>
        <w:tab w:val="center" w:pos="4513"/>
        <w:tab w:val="right" w:pos="9026"/>
      </w:tabs>
      <w:spacing w:before="0" w:after="0"/>
    </w:pPr>
    <w:rPr>
      <w:rFonts w:asciiTheme="majorHAnsi" w:hAnsiTheme="majorHAnsi"/>
      <w:sz w:val="16"/>
    </w:rPr>
  </w:style>
  <w:style w:type="character" w:customStyle="1" w:styleId="FooterChar">
    <w:name w:val="Footer Char"/>
    <w:basedOn w:val="DefaultParagraphFont"/>
    <w:link w:val="Footer"/>
    <w:uiPriority w:val="99"/>
    <w:rsid w:val="00A603CF"/>
    <w:rPr>
      <w:rFonts w:asciiTheme="majorHAnsi" w:eastAsiaTheme="minorHAnsi" w:hAnsiTheme="majorHAnsi"/>
      <w:color w:val="000000" w:themeColor="text1"/>
      <w:sz w:val="16"/>
      <w:szCs w:val="20"/>
      <w:lang w:eastAsia="en-US"/>
    </w:rPr>
  </w:style>
  <w:style w:type="character" w:styleId="FootnoteReference">
    <w:name w:val="footnote reference"/>
    <w:basedOn w:val="DefaultParagraphFont"/>
    <w:uiPriority w:val="99"/>
    <w:rsid w:val="00A603CF"/>
    <w:rPr>
      <w:vertAlign w:val="superscript"/>
    </w:rPr>
  </w:style>
  <w:style w:type="paragraph" w:styleId="FootnoteText">
    <w:name w:val="footnote text"/>
    <w:basedOn w:val="Normal"/>
    <w:link w:val="FootnoteTextChar"/>
    <w:uiPriority w:val="99"/>
    <w:rsid w:val="00A603CF"/>
    <w:pPr>
      <w:spacing w:before="60"/>
    </w:pPr>
    <w:rPr>
      <w:sz w:val="18"/>
    </w:rPr>
  </w:style>
  <w:style w:type="character" w:customStyle="1" w:styleId="FootnoteTextChar">
    <w:name w:val="Footnote Text Char"/>
    <w:basedOn w:val="DefaultParagraphFont"/>
    <w:link w:val="FootnoteText"/>
    <w:uiPriority w:val="99"/>
    <w:rsid w:val="00A603CF"/>
    <w:rPr>
      <w:rFonts w:eastAsiaTheme="minorHAnsi"/>
      <w:color w:val="000000" w:themeColor="text1"/>
      <w:sz w:val="18"/>
      <w:szCs w:val="20"/>
      <w:lang w:eastAsia="en-US"/>
    </w:rPr>
  </w:style>
  <w:style w:type="paragraph" w:styleId="Header">
    <w:name w:val="header"/>
    <w:basedOn w:val="Normal"/>
    <w:link w:val="HeaderChar"/>
    <w:uiPriority w:val="99"/>
    <w:rsid w:val="00A603CF"/>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603CF"/>
    <w:rPr>
      <w:rFonts w:asciiTheme="majorHAnsi" w:eastAsiaTheme="minorHAnsi" w:hAnsiTheme="majorHAnsi"/>
      <w:b/>
      <w:color w:val="000000" w:themeColor="text1"/>
      <w:sz w:val="16"/>
      <w:szCs w:val="20"/>
      <w:lang w:eastAsia="en-US"/>
    </w:rPr>
  </w:style>
  <w:style w:type="character" w:customStyle="1" w:styleId="Heading1Char">
    <w:name w:val="Heading 1 Char"/>
    <w:basedOn w:val="DefaultParagraphFont"/>
    <w:link w:val="Heading1"/>
    <w:uiPriority w:val="9"/>
    <w:rsid w:val="00F54E9D"/>
    <w:rPr>
      <w:rFonts w:asciiTheme="majorHAnsi" w:eastAsiaTheme="majorEastAsia" w:hAnsiTheme="majorHAnsi" w:cstheme="majorBidi"/>
      <w:b/>
      <w:color w:val="007835" w:themeColor="accent1"/>
      <w:sz w:val="48"/>
      <w:szCs w:val="32"/>
    </w:rPr>
  </w:style>
  <w:style w:type="character" w:customStyle="1" w:styleId="Heading2Char">
    <w:name w:val="Heading 2 Char"/>
    <w:basedOn w:val="DefaultParagraphFont"/>
    <w:link w:val="Heading2"/>
    <w:uiPriority w:val="9"/>
    <w:rsid w:val="008B47AD"/>
    <w:rPr>
      <w:rFonts w:asciiTheme="majorHAnsi" w:eastAsiaTheme="majorEastAsia" w:hAnsiTheme="majorHAnsi" w:cstheme="majorBidi"/>
      <w:b/>
      <w:color w:val="00433A" w:themeColor="text2"/>
      <w:sz w:val="36"/>
      <w:szCs w:val="26"/>
    </w:rPr>
  </w:style>
  <w:style w:type="character" w:customStyle="1" w:styleId="Heading3Char">
    <w:name w:val="Heading 3 Char"/>
    <w:basedOn w:val="DefaultParagraphFont"/>
    <w:link w:val="Heading3"/>
    <w:uiPriority w:val="9"/>
    <w:rsid w:val="008243DF"/>
    <w:rPr>
      <w:rFonts w:asciiTheme="majorHAnsi" w:eastAsiaTheme="majorEastAsia" w:hAnsiTheme="majorHAnsi" w:cstheme="majorBidi"/>
      <w:b/>
      <w:color w:val="00433A" w:themeColor="text2"/>
      <w:sz w:val="30"/>
      <w:szCs w:val="24"/>
    </w:rPr>
  </w:style>
  <w:style w:type="character" w:customStyle="1" w:styleId="Heading4Char">
    <w:name w:val="Heading 4 Char"/>
    <w:basedOn w:val="DefaultParagraphFont"/>
    <w:link w:val="Heading4"/>
    <w:uiPriority w:val="9"/>
    <w:rsid w:val="00A603CF"/>
    <w:rPr>
      <w:rFonts w:eastAsiaTheme="majorEastAsia" w:cstheme="majorBidi"/>
      <w:b/>
      <w:iCs/>
      <w:sz w:val="24"/>
      <w:szCs w:val="20"/>
      <w:lang w:eastAsia="en-US"/>
    </w:rPr>
  </w:style>
  <w:style w:type="character" w:customStyle="1" w:styleId="Heading5Char">
    <w:name w:val="Heading 5 Char"/>
    <w:basedOn w:val="DefaultParagraphFont"/>
    <w:link w:val="Heading5"/>
    <w:uiPriority w:val="9"/>
    <w:rsid w:val="00A603CF"/>
    <w:rPr>
      <w:rFonts w:eastAsiaTheme="majorEastAsia" w:cstheme="majorBidi"/>
      <w:b/>
      <w:i/>
      <w:szCs w:val="20"/>
      <w:lang w:eastAsia="en-US"/>
    </w:rPr>
  </w:style>
  <w:style w:type="character" w:customStyle="1" w:styleId="Heading6Char">
    <w:name w:val="Heading 6 Char"/>
    <w:basedOn w:val="DefaultParagraphFont"/>
    <w:link w:val="Heading6"/>
    <w:uiPriority w:val="9"/>
    <w:rsid w:val="00A603CF"/>
    <w:rPr>
      <w:rFonts w:eastAsiaTheme="majorEastAsia" w:cstheme="majorBidi"/>
      <w:b/>
      <w:i/>
      <w:color w:val="000000" w:themeColor="text1"/>
      <w:sz w:val="20"/>
      <w:szCs w:val="20"/>
      <w:lang w:eastAsia="en-US"/>
    </w:rPr>
  </w:style>
  <w:style w:type="character" w:customStyle="1" w:styleId="Heading7Char">
    <w:name w:val="Heading 7 Char"/>
    <w:basedOn w:val="DefaultParagraphFont"/>
    <w:link w:val="Heading7"/>
    <w:uiPriority w:val="9"/>
    <w:rsid w:val="00A603CF"/>
    <w:rPr>
      <w:rFonts w:eastAsiaTheme="majorEastAsia" w:cstheme="majorBidi"/>
      <w:i/>
      <w:iCs/>
      <w:color w:val="000000" w:themeColor="text1"/>
      <w:sz w:val="20"/>
      <w:szCs w:val="20"/>
      <w:lang w:eastAsia="en-US"/>
    </w:rPr>
  </w:style>
  <w:style w:type="character" w:styleId="IntenseEmphasis">
    <w:name w:val="Intense Emphasis"/>
    <w:basedOn w:val="DefaultParagraphFont"/>
    <w:uiPriority w:val="33"/>
    <w:qFormat/>
    <w:rsid w:val="00A603CF"/>
    <w:rPr>
      <w:b/>
      <w:i/>
      <w:iCs/>
      <w:color w:val="000000" w:themeColor="text1"/>
    </w:rPr>
  </w:style>
  <w:style w:type="paragraph" w:customStyle="1" w:styleId="IntroPara">
    <w:name w:val="Intro Para"/>
    <w:basedOn w:val="Normal"/>
    <w:uiPriority w:val="1"/>
    <w:qFormat/>
    <w:rsid w:val="008243DF"/>
    <w:pPr>
      <w:spacing w:before="240" w:after="240"/>
      <w:contextualSpacing/>
    </w:pPr>
    <w:rPr>
      <w:rFonts w:asciiTheme="majorHAnsi" w:hAnsiTheme="majorHAnsi"/>
      <w:b/>
      <w:color w:val="00433A" w:themeColor="text2"/>
      <w:sz w:val="26"/>
    </w:rPr>
  </w:style>
  <w:style w:type="numbering" w:customStyle="1" w:styleId="List1Numbered">
    <w:name w:val="List 1 Numbered"/>
    <w:uiPriority w:val="99"/>
    <w:rsid w:val="00BB5B1B"/>
    <w:pPr>
      <w:numPr>
        <w:numId w:val="7"/>
      </w:numPr>
    </w:pPr>
  </w:style>
  <w:style w:type="paragraph" w:customStyle="1" w:styleId="List1Numbered1">
    <w:name w:val="List 1 Numbered 1"/>
    <w:basedOn w:val="Normal"/>
    <w:uiPriority w:val="2"/>
    <w:qFormat/>
    <w:rsid w:val="00BB5B1B"/>
    <w:pPr>
      <w:numPr>
        <w:numId w:val="12"/>
      </w:numPr>
    </w:pPr>
  </w:style>
  <w:style w:type="paragraph" w:customStyle="1" w:styleId="List1Numbered2">
    <w:name w:val="List 1 Numbered 2"/>
    <w:basedOn w:val="Normal"/>
    <w:uiPriority w:val="2"/>
    <w:qFormat/>
    <w:rsid w:val="008B47AD"/>
    <w:pPr>
      <w:numPr>
        <w:ilvl w:val="1"/>
        <w:numId w:val="12"/>
      </w:numPr>
      <w:contextualSpacing/>
    </w:pPr>
  </w:style>
  <w:style w:type="paragraph" w:customStyle="1" w:styleId="List1Numbered3">
    <w:name w:val="List 1 Numbered 3"/>
    <w:basedOn w:val="Normal"/>
    <w:uiPriority w:val="2"/>
    <w:qFormat/>
    <w:rsid w:val="00BB5B1B"/>
    <w:pPr>
      <w:numPr>
        <w:ilvl w:val="2"/>
        <w:numId w:val="12"/>
      </w:numPr>
    </w:pPr>
  </w:style>
  <w:style w:type="paragraph" w:styleId="NoSpacing">
    <w:name w:val="No Spacing"/>
    <w:uiPriority w:val="1"/>
    <w:qFormat/>
    <w:rsid w:val="00A603CF"/>
    <w:pPr>
      <w:spacing w:before="120"/>
      <w:contextualSpacing/>
    </w:pPr>
    <w:rPr>
      <w:rFonts w:eastAsiaTheme="minorHAnsi"/>
      <w:sz w:val="20"/>
      <w:szCs w:val="20"/>
      <w:lang w:eastAsia="en-US"/>
    </w:rPr>
  </w:style>
  <w:style w:type="paragraph" w:customStyle="1" w:styleId="NormalIndent5mm">
    <w:name w:val="Normal Indent 5mm"/>
    <w:basedOn w:val="Normal"/>
    <w:qFormat/>
    <w:rsid w:val="00A603CF"/>
    <w:pPr>
      <w:ind w:left="284"/>
    </w:pPr>
  </w:style>
  <w:style w:type="paragraph" w:customStyle="1" w:styleId="PullOut">
    <w:name w:val="Pull Out"/>
    <w:basedOn w:val="Normal"/>
    <w:uiPriority w:val="22"/>
    <w:qFormat/>
    <w:rsid w:val="00A603CF"/>
    <w:pPr>
      <w:spacing w:line="340" w:lineRule="atLeast"/>
    </w:pPr>
    <w:rPr>
      <w:color w:val="00433A" w:themeColor="text2"/>
      <w:sz w:val="24"/>
    </w:rPr>
  </w:style>
  <w:style w:type="paragraph" w:customStyle="1" w:styleId="SourceNotes">
    <w:name w:val="Source Notes"/>
    <w:basedOn w:val="Normal"/>
    <w:uiPriority w:val="21"/>
    <w:qFormat/>
    <w:rsid w:val="00A603CF"/>
    <w:pPr>
      <w:spacing w:before="60"/>
    </w:pPr>
    <w:rPr>
      <w:sz w:val="16"/>
    </w:rPr>
  </w:style>
  <w:style w:type="character" w:styleId="Strong">
    <w:name w:val="Strong"/>
    <w:basedOn w:val="DefaultParagraphFont"/>
    <w:uiPriority w:val="33"/>
    <w:qFormat/>
    <w:rsid w:val="00A603CF"/>
    <w:rPr>
      <w:b/>
      <w:bCs/>
    </w:rPr>
  </w:style>
  <w:style w:type="paragraph" w:styleId="TOC1">
    <w:name w:val="toc 1"/>
    <w:basedOn w:val="Normal"/>
    <w:next w:val="Normal"/>
    <w:autoRedefine/>
    <w:uiPriority w:val="39"/>
    <w:rsid w:val="00D26D3F"/>
    <w:pPr>
      <w:keepNext/>
      <w:tabs>
        <w:tab w:val="right" w:pos="9628"/>
      </w:tabs>
      <w:spacing w:line="340" w:lineRule="atLeast"/>
    </w:pPr>
    <w:rPr>
      <w:rFonts w:asciiTheme="majorHAnsi" w:hAnsiTheme="majorHAnsi"/>
      <w:b/>
      <w:color w:val="007835" w:themeColor="accent1"/>
      <w:sz w:val="30"/>
    </w:rPr>
  </w:style>
  <w:style w:type="paragraph" w:styleId="TOC2">
    <w:name w:val="toc 2"/>
    <w:basedOn w:val="Normal"/>
    <w:next w:val="Normal"/>
    <w:autoRedefine/>
    <w:uiPriority w:val="39"/>
    <w:rsid w:val="00C15EE1"/>
    <w:pPr>
      <w:tabs>
        <w:tab w:val="right" w:pos="9628"/>
      </w:tabs>
      <w:spacing w:before="60"/>
    </w:pPr>
    <w:rPr>
      <w:rFonts w:asciiTheme="majorHAnsi" w:hAnsiTheme="majorHAnsi"/>
    </w:rPr>
  </w:style>
  <w:style w:type="paragraph" w:styleId="TOC3">
    <w:name w:val="toc 3"/>
    <w:basedOn w:val="Normal"/>
    <w:next w:val="Normal"/>
    <w:autoRedefine/>
    <w:uiPriority w:val="39"/>
    <w:rsid w:val="00A603CF"/>
    <w:pPr>
      <w:tabs>
        <w:tab w:val="right" w:pos="9628"/>
      </w:tabs>
      <w:spacing w:before="60"/>
      <w:ind w:left="567" w:hanging="567"/>
    </w:pPr>
  </w:style>
  <w:style w:type="paragraph" w:styleId="TOC4">
    <w:name w:val="toc 4"/>
    <w:basedOn w:val="Normal"/>
    <w:next w:val="Normal"/>
    <w:autoRedefine/>
    <w:uiPriority w:val="39"/>
    <w:rsid w:val="00A603CF"/>
    <w:pPr>
      <w:tabs>
        <w:tab w:val="right" w:pos="9628"/>
      </w:tabs>
      <w:spacing w:before="60"/>
      <w:ind w:left="1135" w:hanging="851"/>
    </w:pPr>
  </w:style>
  <w:style w:type="paragraph" w:styleId="TOCHeading">
    <w:name w:val="TOC Heading"/>
    <w:basedOn w:val="Heading1"/>
    <w:next w:val="Normal"/>
    <w:uiPriority w:val="39"/>
    <w:qFormat/>
    <w:rsid w:val="00A603CF"/>
    <w:pPr>
      <w:outlineLvl w:val="9"/>
    </w:pPr>
  </w:style>
  <w:style w:type="table" w:styleId="TableGrid">
    <w:name w:val="Table Grid"/>
    <w:basedOn w:val="TableNormal"/>
    <w:uiPriority w:val="39"/>
    <w:rsid w:val="00001371"/>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NoTOC">
    <w:name w:val="Heading 2 NoTOC"/>
    <w:basedOn w:val="Heading2"/>
    <w:uiPriority w:val="9"/>
    <w:qFormat/>
    <w:rsid w:val="008B47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57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s://www.betreatwise.info/" TargetMode="External"/><Relationship Id="rId26" Type="http://schemas.openxmlformats.org/officeDocument/2006/relationships/image" Target="media/image13.emf"/><Relationship Id="rId39" Type="http://schemas.openxmlformats.org/officeDocument/2006/relationships/hyperlink" Target="https://creativecommons.org/licenses/by/4.0/legalcode" TargetMode="Externa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1.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2.jpg"/><Relationship Id="rId33" Type="http://schemas.openxmlformats.org/officeDocument/2006/relationships/image" Target="media/image20.jpeg"/><Relationship Id="rId38"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ealth.gov.au/initiatives-and-programs/healthy-food-partnership" TargetMode="External"/><Relationship Id="rId24" Type="http://schemas.openxmlformats.org/officeDocument/2006/relationships/image" Target="media/image11.emf"/><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hyperlink" Target="http://www.dpmc.gov.au/government/commonwealth-coat-arms"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www.aigroup.com.au/sectors-and-advocacy/confectionery/" TargetMode="External"/><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hyperlink" Target="http://health.gov.au/initiatives-and-programs/healthy-food-partnership" TargetMode="External"/><Relationship Id="rId19" Type="http://schemas.openxmlformats.org/officeDocument/2006/relationships/hyperlink" Target="https://www.aigroup.com.au/sectors-and-advocacy/confectionery/" TargetMode="External"/><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www.betreatwise.info/" TargetMode="External"/><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s>
</file>

<file path=word/_rels/endnotes.xml.rels><?xml version="1.0" encoding="UTF-8" standalone="yes"?>
<Relationships xmlns="http://schemas.openxmlformats.org/package/2006/relationships"><Relationship Id="rId8" Type="http://schemas.openxmlformats.org/officeDocument/2006/relationships/hyperlink" Target="http://www.betreatwise.info" TargetMode="External"/><Relationship Id="rId13" Type="http://schemas.openxmlformats.org/officeDocument/2006/relationships/hyperlink" Target="https://www.aihw.gov.au/getmedia/45f6ecc6-0caf-4af4-9ffc-a44c885b33d2/aihw-phe-216.pdf.aspx?inline=true" TargetMode="External"/><Relationship Id="rId3" Type="http://schemas.openxmlformats.org/officeDocument/2006/relationships/hyperlink" Target="https://preventioncentre.org.au/wp-content/uploads/2017/08/22082017_Rapid-review_Portion-size_response.pdf" TargetMode="External"/><Relationship Id="rId7" Type="http://schemas.openxmlformats.org/officeDocument/2006/relationships/hyperlink" Target="https://www.euromonitor.com/soft-drinks-in-australia/report" TargetMode="External"/><Relationship Id="rId12" Type="http://schemas.openxmlformats.org/officeDocument/2006/relationships/hyperlink" Target="https://www.igd.com/Portals/0/Downloads/Charitable%20Impact/Portion%20size/can-one-size-fit-all.pdf" TargetMode="External"/><Relationship Id="rId2" Type="http://schemas.openxmlformats.org/officeDocument/2006/relationships/hyperlink" Target="https://doi.org/10.1002/14651858.CD011045.pub2" TargetMode="External"/><Relationship Id="rId1" Type="http://schemas.openxmlformats.org/officeDocument/2006/relationships/hyperlink" Target="https://www.georgeinstitute.org/sites/default/files/2020-05/state-of-food-supply-2020-report.pdf" TargetMode="External"/><Relationship Id="rId6" Type="http://schemas.openxmlformats.org/officeDocument/2006/relationships/hyperlink" Target="https://www.canada.ca/en/health-canada/services/technical-documents-labelling-requirements/table-reference-amounts-food.html" TargetMode="External"/><Relationship Id="rId11" Type="http://schemas.openxmlformats.org/officeDocument/2006/relationships/hyperlink" Target="https://www.abs.gov.au/statistics/health/health-conditions-and-risks/australian-health-survey-nutrition-first-results-foods-and-nutrients/latest-release" TargetMode="External"/><Relationship Id="rId5" Type="http://schemas.openxmlformats.org/officeDocument/2006/relationships/hyperlink" Target="https://www.fda.gov/media/102587/download" TargetMode="External"/><Relationship Id="rId10" Type="http://schemas.openxmlformats.org/officeDocument/2006/relationships/hyperlink" Target="https://assets.publishing.service.gov.uk/government/uploads/system/uploads/attachment_data/file/915367/Calorie_reduction_guidelines-Technical_report_070920-FINAL.pdf" TargetMode="External"/><Relationship Id="rId4" Type="http://schemas.openxmlformats.org/officeDocument/2006/relationships/hyperlink" Target="https://content.health.vic.gov.au/sites/default/files/migrated/files/collections/policies-and-guidelines/h/healthy-choices-food-and-drink-classification-guide-2020.pdf" TargetMode="External"/><Relationship Id="rId9" Type="http://schemas.openxmlformats.org/officeDocument/2006/relationships/hyperlink" Target="https://assets.publishing.service.gov.uk/government/uploads/system/uploads/attachment_data/file/604336/Sugar_reduction_achieving_the_20_.pdf" TargetMode="External"/></Relationships>
</file>

<file path=word/theme/theme1.xml><?xml version="1.0" encoding="utf-8"?>
<a:theme xmlns:a="http://schemas.openxmlformats.org/drawingml/2006/main" name="Office Theme">
  <a:themeElements>
    <a:clrScheme name="HFP Serving Size 2022">
      <a:dk1>
        <a:srgbClr val="000000"/>
      </a:dk1>
      <a:lt1>
        <a:srgbClr val="FFFFFF"/>
      </a:lt1>
      <a:dk2>
        <a:srgbClr val="00433A"/>
      </a:dk2>
      <a:lt2>
        <a:srgbClr val="D6E7CC"/>
      </a:lt2>
      <a:accent1>
        <a:srgbClr val="007835"/>
      </a:accent1>
      <a:accent2>
        <a:srgbClr val="90C251"/>
      </a:accent2>
      <a:accent3>
        <a:srgbClr val="CF2A67"/>
      </a:accent3>
      <a:accent4>
        <a:srgbClr val="FCAF17"/>
      </a:accent4>
      <a:accent5>
        <a:srgbClr val="CA5D27"/>
      </a:accent5>
      <a:accent6>
        <a:srgbClr val="005D81"/>
      </a:accent6>
      <a:hlink>
        <a:srgbClr val="0046FF"/>
      </a:hlink>
      <a:folHlink>
        <a:srgbClr val="0046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341BD-BC08-47D9-B13E-A9F570A4E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42</Pages>
  <Words>4258</Words>
  <Characters>27153</Characters>
  <Application>Microsoft Office Word</Application>
  <DocSecurity>0</DocSecurity>
  <Lines>226</Lines>
  <Paragraphs>62</Paragraphs>
  <ScaleCrop>false</ScaleCrop>
  <HeadingPairs>
    <vt:vector size="2" baseType="variant">
      <vt:variant>
        <vt:lpstr>Title</vt:lpstr>
      </vt:variant>
      <vt:variant>
        <vt:i4>1</vt:i4>
      </vt:variant>
    </vt:vector>
  </HeadingPairs>
  <TitlesOfParts>
    <vt:vector size="1" baseType="lpstr">
      <vt:lpstr>Industry Guide to Voluntary Serving Size Reduction</vt:lpstr>
    </vt:vector>
  </TitlesOfParts>
  <Company/>
  <LinksUpToDate>false</LinksUpToDate>
  <CharactersWithSpaces>31349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Industry Guide to Voluntary Serving Size Reduction</dc:title>
  <dc:subject/>
  <dc:creator>Australian Government Department of Health and Aged Care</dc:creator>
  <cp:keywords/>
  <dc:description/>
  <cp:lastModifiedBy>ARNOLD, Max</cp:lastModifiedBy>
  <cp:revision>18</cp:revision>
  <dcterms:created xsi:type="dcterms:W3CDTF">2023-02-07T22:53:00Z</dcterms:created>
  <dcterms:modified xsi:type="dcterms:W3CDTF">2023-04-17T04:35:00Z</dcterms:modified>
</cp:coreProperties>
</file>