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392E" w14:textId="49627100" w:rsidR="00B6749F" w:rsidRDefault="00895EE3" w:rsidP="00B6749F">
      <w:pPr>
        <w:jc w:val="center"/>
        <w:rPr>
          <w:rFonts w:asciiTheme="majorHAnsi" w:hAnsiTheme="majorHAnsi" w:cstheme="minorBidi"/>
          <w:b/>
          <w:color w:val="4F81BD" w:themeColor="accent1"/>
          <w:sz w:val="72"/>
          <w:szCs w:val="72"/>
        </w:rPr>
      </w:pPr>
      <w:bookmarkStart w:id="0" w:name="_Toc518298466"/>
      <w:bookmarkStart w:id="1" w:name="_Toc55809002"/>
      <w:r>
        <w:rPr>
          <w:noProof/>
        </w:rPr>
        <w:drawing>
          <wp:inline distT="0" distB="0" distL="0" distR="0" wp14:anchorId="4D78D653" wp14:editId="2FC30D76">
            <wp:extent cx="2671445" cy="807085"/>
            <wp:effectExtent l="0" t="0" r="0" b="0"/>
            <wp:docPr id="4" name="Picture 4" descr="Australian Government Department of Health and Aged 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Department of Health and Aged Care logo.">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445" cy="807085"/>
                    </a:xfrm>
                    <a:prstGeom prst="rect">
                      <a:avLst/>
                    </a:prstGeom>
                    <a:noFill/>
                    <a:ln>
                      <a:noFill/>
                    </a:ln>
                  </pic:spPr>
                </pic:pic>
              </a:graphicData>
            </a:graphic>
          </wp:inline>
        </w:drawing>
      </w:r>
      <w:r>
        <w:rPr>
          <w:rFonts w:asciiTheme="majorHAnsi" w:hAnsiTheme="majorHAnsi" w:cstheme="minorBidi"/>
          <w:b/>
          <w:color w:val="4F81BD" w:themeColor="accent1"/>
          <w:sz w:val="72"/>
          <w:szCs w:val="72"/>
        </w:rPr>
        <w:t xml:space="preserve">    </w:t>
      </w:r>
      <w:r w:rsidR="00064165">
        <w:rPr>
          <w:noProof/>
        </w:rPr>
        <w:drawing>
          <wp:inline distT="0" distB="0" distL="0" distR="0" wp14:anchorId="37AF3334" wp14:editId="574C2A01">
            <wp:extent cx="2599508" cy="807522"/>
            <wp:effectExtent l="0" t="0" r="0" b="0"/>
            <wp:docPr id="3" name="Picture 3" title="Healthy Food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599508" cy="807522"/>
                    </a:xfrm>
                    <a:prstGeom prst="rect">
                      <a:avLst/>
                    </a:prstGeom>
                  </pic:spPr>
                </pic:pic>
              </a:graphicData>
            </a:graphic>
          </wp:inline>
        </w:drawing>
      </w:r>
      <w:r w:rsidR="00064165">
        <w:rPr>
          <w:rFonts w:asciiTheme="majorHAnsi" w:hAnsiTheme="majorHAnsi" w:cstheme="minorBidi"/>
          <w:b/>
          <w:color w:val="4F81BD" w:themeColor="accent1"/>
          <w:sz w:val="72"/>
          <w:szCs w:val="72"/>
        </w:rPr>
        <w:t xml:space="preserve">  </w:t>
      </w:r>
      <w:r w:rsidR="007A50ED">
        <w:rPr>
          <w:rFonts w:asciiTheme="majorHAnsi" w:hAnsiTheme="majorHAnsi" w:cstheme="minorBidi"/>
          <w:b/>
          <w:color w:val="4F81BD" w:themeColor="accent1"/>
          <w:sz w:val="72"/>
          <w:szCs w:val="72"/>
        </w:rPr>
        <w:t xml:space="preserve">   </w:t>
      </w:r>
      <w:r w:rsidR="00064165">
        <w:rPr>
          <w:rFonts w:asciiTheme="majorHAnsi" w:hAnsiTheme="majorHAnsi" w:cstheme="minorBidi"/>
          <w:b/>
          <w:color w:val="4F81BD" w:themeColor="accent1"/>
          <w:sz w:val="72"/>
          <w:szCs w:val="72"/>
        </w:rPr>
        <w:t xml:space="preserve"> </w:t>
      </w:r>
    </w:p>
    <w:p w14:paraId="7FED5ECE" w14:textId="7055296A" w:rsidR="00B6749F" w:rsidRDefault="00B6749F" w:rsidP="00B6749F">
      <w:pPr>
        <w:jc w:val="center"/>
        <w:rPr>
          <w:rFonts w:asciiTheme="majorHAnsi" w:hAnsiTheme="majorHAnsi" w:cstheme="minorHAnsi"/>
          <w:b/>
          <w:color w:val="4F81BD" w:themeColor="accent1"/>
          <w:sz w:val="72"/>
        </w:rPr>
      </w:pPr>
    </w:p>
    <w:p w14:paraId="50BD2CDB" w14:textId="6151AC72" w:rsidR="00B6749F" w:rsidRDefault="00B6749F" w:rsidP="00B6749F">
      <w:pPr>
        <w:jc w:val="center"/>
        <w:rPr>
          <w:rFonts w:asciiTheme="majorHAnsi" w:hAnsiTheme="majorHAnsi" w:cstheme="minorHAnsi"/>
          <w:b/>
          <w:color w:val="4F81BD" w:themeColor="accent1"/>
          <w:sz w:val="72"/>
        </w:rPr>
      </w:pPr>
    </w:p>
    <w:p w14:paraId="73C13B0A" w14:textId="77777777" w:rsidR="00721FC9" w:rsidRDefault="00721FC9" w:rsidP="3F923778">
      <w:pPr>
        <w:jc w:val="center"/>
        <w:rPr>
          <w:rFonts w:asciiTheme="majorHAnsi" w:hAnsiTheme="majorHAnsi" w:cstheme="minorBidi"/>
          <w:color w:val="007A00"/>
          <w:sz w:val="72"/>
          <w:szCs w:val="72"/>
        </w:rPr>
      </w:pPr>
    </w:p>
    <w:p w14:paraId="0B010E88" w14:textId="77777777" w:rsidR="00721FC9" w:rsidRDefault="00721FC9" w:rsidP="3F923778">
      <w:pPr>
        <w:jc w:val="center"/>
        <w:rPr>
          <w:rFonts w:asciiTheme="majorHAnsi" w:hAnsiTheme="majorHAnsi" w:cstheme="minorBidi"/>
          <w:color w:val="007A00"/>
          <w:sz w:val="72"/>
          <w:szCs w:val="72"/>
        </w:rPr>
      </w:pPr>
    </w:p>
    <w:p w14:paraId="7A91FAC5" w14:textId="3E1A1E16" w:rsidR="006B2C8E" w:rsidRDefault="00807926" w:rsidP="3F923778">
      <w:pPr>
        <w:jc w:val="center"/>
        <w:rPr>
          <w:rFonts w:asciiTheme="majorHAnsi" w:hAnsiTheme="majorHAnsi" w:cstheme="minorBidi"/>
          <w:b/>
          <w:bCs/>
          <w:color w:val="007A00"/>
          <w:sz w:val="72"/>
          <w:szCs w:val="72"/>
        </w:rPr>
      </w:pPr>
      <w:r w:rsidRPr="00E51998">
        <w:rPr>
          <w:rFonts w:asciiTheme="majorHAnsi" w:hAnsiTheme="majorHAnsi" w:cstheme="minorBidi"/>
          <w:color w:val="007A00"/>
          <w:sz w:val="72"/>
          <w:szCs w:val="72"/>
        </w:rPr>
        <w:t>Healthy Food Partnership</w:t>
      </w:r>
      <w:r w:rsidR="008C4E68" w:rsidRPr="3F923778">
        <w:rPr>
          <w:rFonts w:asciiTheme="majorHAnsi" w:hAnsiTheme="majorHAnsi" w:cstheme="minorBidi"/>
          <w:b/>
          <w:bCs/>
          <w:color w:val="007A00"/>
          <w:sz w:val="72"/>
          <w:szCs w:val="72"/>
        </w:rPr>
        <w:t xml:space="preserve"> </w:t>
      </w:r>
    </w:p>
    <w:p w14:paraId="103B8613" w14:textId="2ACC17AA" w:rsidR="006B2C8E" w:rsidRDefault="006B2C8E" w:rsidP="3F923778">
      <w:pPr>
        <w:jc w:val="center"/>
        <w:rPr>
          <w:rFonts w:asciiTheme="majorHAnsi" w:hAnsiTheme="majorHAnsi" w:cstheme="minorBidi"/>
          <w:b/>
          <w:bCs/>
          <w:color w:val="007A00"/>
          <w:sz w:val="72"/>
          <w:szCs w:val="72"/>
        </w:rPr>
      </w:pPr>
    </w:p>
    <w:p w14:paraId="79F3AE8A" w14:textId="15F533AC" w:rsidR="0003665C" w:rsidRPr="00C427B2" w:rsidRDefault="008C4E68" w:rsidP="3F923778">
      <w:pPr>
        <w:jc w:val="center"/>
        <w:rPr>
          <w:rFonts w:asciiTheme="majorHAnsi" w:hAnsiTheme="majorHAnsi" w:cstheme="minorBidi"/>
          <w:b/>
          <w:bCs/>
          <w:color w:val="007A00"/>
          <w:sz w:val="72"/>
          <w:szCs w:val="72"/>
        </w:rPr>
      </w:pPr>
      <w:r w:rsidRPr="3F923778">
        <w:rPr>
          <w:rFonts w:asciiTheme="majorHAnsi" w:hAnsiTheme="majorHAnsi" w:cstheme="minorBidi"/>
          <w:b/>
          <w:bCs/>
          <w:color w:val="007A00"/>
          <w:sz w:val="72"/>
          <w:szCs w:val="72"/>
        </w:rPr>
        <w:t xml:space="preserve"> Industry </w:t>
      </w:r>
      <w:r w:rsidR="7E531F7B" w:rsidRPr="3F923778">
        <w:rPr>
          <w:rFonts w:asciiTheme="majorHAnsi" w:hAnsiTheme="majorHAnsi" w:cstheme="minorBidi"/>
          <w:b/>
          <w:bCs/>
          <w:color w:val="007A00"/>
          <w:sz w:val="72"/>
          <w:szCs w:val="72"/>
        </w:rPr>
        <w:t xml:space="preserve">Guide to </w:t>
      </w:r>
      <w:r w:rsidR="41CC59A4" w:rsidRPr="3F923778">
        <w:rPr>
          <w:rFonts w:asciiTheme="majorHAnsi" w:hAnsiTheme="majorHAnsi" w:cstheme="minorBidi"/>
          <w:b/>
          <w:bCs/>
          <w:color w:val="007A00"/>
          <w:sz w:val="72"/>
          <w:szCs w:val="72"/>
        </w:rPr>
        <w:t xml:space="preserve">Voluntary </w:t>
      </w:r>
      <w:r w:rsidR="7E531F7B" w:rsidRPr="3F923778">
        <w:rPr>
          <w:rFonts w:asciiTheme="majorHAnsi" w:hAnsiTheme="majorHAnsi" w:cstheme="minorBidi"/>
          <w:b/>
          <w:bCs/>
          <w:color w:val="007A00"/>
          <w:sz w:val="72"/>
          <w:szCs w:val="72"/>
        </w:rPr>
        <w:t>Serving Size Reduction</w:t>
      </w:r>
      <w:bookmarkEnd w:id="0"/>
      <w:bookmarkEnd w:id="1"/>
    </w:p>
    <w:p w14:paraId="7573C7A2" w14:textId="77777777" w:rsidR="00B6749F" w:rsidRDefault="00B6749F" w:rsidP="00B6749F">
      <w:pPr>
        <w:jc w:val="center"/>
        <w:rPr>
          <w:rFonts w:cstheme="minorHAnsi"/>
          <w:b/>
          <w:sz w:val="32"/>
        </w:rPr>
      </w:pPr>
      <w:bookmarkStart w:id="2" w:name="_Toc518298467"/>
      <w:bookmarkStart w:id="3" w:name="_Toc55809003"/>
    </w:p>
    <w:p w14:paraId="7E33E1F1" w14:textId="011AC873" w:rsidR="00F519AE" w:rsidRPr="00116394" w:rsidRDefault="37425128" w:rsidP="78EC6785">
      <w:pPr>
        <w:jc w:val="center"/>
        <w:rPr>
          <w:rFonts w:cstheme="minorBidi"/>
          <w:b/>
          <w:bCs/>
          <w:sz w:val="32"/>
          <w:szCs w:val="32"/>
        </w:rPr>
      </w:pPr>
      <w:r w:rsidRPr="78EC6785">
        <w:rPr>
          <w:rFonts w:cstheme="minorBidi"/>
          <w:b/>
          <w:bCs/>
          <w:sz w:val="32"/>
          <w:szCs w:val="32"/>
        </w:rPr>
        <w:t xml:space="preserve">Evidence Informing </w:t>
      </w:r>
      <w:r w:rsidR="3A1528AD" w:rsidRPr="78EC6785">
        <w:rPr>
          <w:rFonts w:cstheme="minorBidi"/>
          <w:b/>
          <w:bCs/>
          <w:sz w:val="32"/>
          <w:szCs w:val="32"/>
        </w:rPr>
        <w:t xml:space="preserve">the </w:t>
      </w:r>
      <w:r w:rsidRPr="78EC6785">
        <w:rPr>
          <w:rFonts w:cstheme="minorBidi"/>
          <w:b/>
          <w:bCs/>
          <w:sz w:val="32"/>
          <w:szCs w:val="32"/>
        </w:rPr>
        <w:t>Approach</w:t>
      </w:r>
      <w:r w:rsidR="32A45422" w:rsidRPr="78EC6785">
        <w:rPr>
          <w:rFonts w:cstheme="minorBidi"/>
          <w:b/>
          <w:bCs/>
          <w:sz w:val="32"/>
          <w:szCs w:val="32"/>
        </w:rPr>
        <w:t xml:space="preserve"> and</w:t>
      </w:r>
      <w:r w:rsidRPr="78EC6785">
        <w:rPr>
          <w:rFonts w:cstheme="minorBidi"/>
          <w:b/>
          <w:bCs/>
          <w:sz w:val="32"/>
          <w:szCs w:val="32"/>
        </w:rPr>
        <w:t xml:space="preserve"> </w:t>
      </w:r>
      <w:bookmarkEnd w:id="2"/>
      <w:bookmarkEnd w:id="3"/>
      <w:r w:rsidRPr="78EC6785">
        <w:rPr>
          <w:rFonts w:cstheme="minorBidi"/>
          <w:b/>
          <w:bCs/>
          <w:sz w:val="32"/>
          <w:szCs w:val="32"/>
        </w:rPr>
        <w:t>R</w:t>
      </w:r>
      <w:r w:rsidR="5CBC215F" w:rsidRPr="78EC6785">
        <w:rPr>
          <w:rFonts w:cstheme="minorBidi"/>
          <w:b/>
          <w:bCs/>
          <w:sz w:val="32"/>
          <w:szCs w:val="32"/>
        </w:rPr>
        <w:t xml:space="preserve">ecommended </w:t>
      </w:r>
      <w:r w:rsidRPr="78EC6785">
        <w:rPr>
          <w:rFonts w:cstheme="minorBidi"/>
          <w:b/>
          <w:bCs/>
          <w:sz w:val="32"/>
          <w:szCs w:val="32"/>
        </w:rPr>
        <w:t>S</w:t>
      </w:r>
      <w:r w:rsidR="5CBC215F" w:rsidRPr="78EC6785">
        <w:rPr>
          <w:rFonts w:cstheme="minorBidi"/>
          <w:b/>
          <w:bCs/>
          <w:sz w:val="32"/>
          <w:szCs w:val="32"/>
        </w:rPr>
        <w:t xml:space="preserve">erving </w:t>
      </w:r>
      <w:r w:rsidRPr="78EC6785">
        <w:rPr>
          <w:rFonts w:cstheme="minorBidi"/>
          <w:b/>
          <w:bCs/>
          <w:sz w:val="32"/>
          <w:szCs w:val="32"/>
        </w:rPr>
        <w:t>S</w:t>
      </w:r>
      <w:r w:rsidR="5CBC215F" w:rsidRPr="78EC6785">
        <w:rPr>
          <w:rFonts w:cstheme="minorBidi"/>
          <w:b/>
          <w:bCs/>
          <w:sz w:val="32"/>
          <w:szCs w:val="32"/>
        </w:rPr>
        <w:t>izes</w:t>
      </w:r>
    </w:p>
    <w:p w14:paraId="0672DE6A" w14:textId="05812588" w:rsidR="00B81F1C" w:rsidRDefault="00B81F1C" w:rsidP="00B81F1C"/>
    <w:p w14:paraId="0A984136" w14:textId="69B57B6E" w:rsidR="00721FC9" w:rsidRDefault="00721FC9" w:rsidP="00721FC9">
      <w:pPr>
        <w:rPr>
          <w:noProof/>
        </w:rPr>
      </w:pPr>
    </w:p>
    <w:p w14:paraId="40D7EBED" w14:textId="61EB4B50" w:rsidR="00721FC9" w:rsidRDefault="00721FC9" w:rsidP="00721FC9">
      <w:pPr>
        <w:rPr>
          <w:noProof/>
        </w:rPr>
      </w:pPr>
    </w:p>
    <w:p w14:paraId="4E63AE35" w14:textId="4DF69D87" w:rsidR="00721FC9" w:rsidRDefault="00721FC9" w:rsidP="00721FC9">
      <w:pPr>
        <w:rPr>
          <w:noProof/>
        </w:rPr>
      </w:pPr>
    </w:p>
    <w:p w14:paraId="7DB9048B" w14:textId="5C308AFC" w:rsidR="00721FC9" w:rsidRDefault="00721FC9" w:rsidP="00721FC9">
      <w:pPr>
        <w:rPr>
          <w:noProof/>
        </w:rPr>
      </w:pPr>
    </w:p>
    <w:p w14:paraId="43F9E59B" w14:textId="2A0DD03B" w:rsidR="00721FC9" w:rsidRDefault="00721FC9" w:rsidP="00721FC9">
      <w:pPr>
        <w:rPr>
          <w:noProof/>
        </w:rPr>
      </w:pPr>
    </w:p>
    <w:p w14:paraId="06842F0C" w14:textId="77777777" w:rsidR="00721FC9" w:rsidRDefault="00721FC9" w:rsidP="00721FC9">
      <w:pPr>
        <w:rPr>
          <w:noProof/>
        </w:rPr>
      </w:pPr>
    </w:p>
    <w:p w14:paraId="5E7BAE3F" w14:textId="41EBF44B" w:rsidR="00721FC9" w:rsidRDefault="00721FC9" w:rsidP="00721FC9">
      <w:pPr>
        <w:rPr>
          <w:noProof/>
        </w:rPr>
      </w:pPr>
    </w:p>
    <w:p w14:paraId="1261CAA6" w14:textId="379BBA33" w:rsidR="00721FC9" w:rsidRDefault="00721FC9" w:rsidP="00721FC9">
      <w:pPr>
        <w:rPr>
          <w:noProof/>
        </w:rPr>
      </w:pPr>
    </w:p>
    <w:p w14:paraId="657B0992" w14:textId="1F3C87E7" w:rsidR="00721FC9" w:rsidRDefault="00721FC9" w:rsidP="00721FC9">
      <w:pPr>
        <w:rPr>
          <w:noProof/>
        </w:rPr>
      </w:pPr>
    </w:p>
    <w:p w14:paraId="5E1F0D6D" w14:textId="7A41DC0A" w:rsidR="00721FC9" w:rsidRDefault="00721FC9" w:rsidP="00721FC9">
      <w:pPr>
        <w:rPr>
          <w:noProof/>
        </w:rPr>
      </w:pPr>
    </w:p>
    <w:p w14:paraId="538B95BE" w14:textId="601491B5" w:rsidR="00721FC9" w:rsidRDefault="00721FC9" w:rsidP="00721FC9">
      <w:pPr>
        <w:rPr>
          <w:noProof/>
        </w:rPr>
      </w:pPr>
    </w:p>
    <w:p w14:paraId="6B8B5BBD" w14:textId="77777777" w:rsidR="00721FC9" w:rsidRDefault="00721FC9" w:rsidP="00721FC9">
      <w:pPr>
        <w:rPr>
          <w:noProof/>
        </w:rPr>
      </w:pPr>
    </w:p>
    <w:p w14:paraId="52BF8F6A" w14:textId="77777777" w:rsidR="00721FC9" w:rsidRDefault="00721FC9" w:rsidP="00721FC9">
      <w:pPr>
        <w:rPr>
          <w:noProof/>
        </w:rPr>
      </w:pPr>
    </w:p>
    <w:p w14:paraId="4E97D910" w14:textId="77777777" w:rsidR="00721FC9" w:rsidRDefault="00721FC9" w:rsidP="00721FC9">
      <w:pPr>
        <w:rPr>
          <w:noProof/>
        </w:rPr>
      </w:pPr>
    </w:p>
    <w:p w14:paraId="6CA2E361" w14:textId="77777777" w:rsidR="00721FC9" w:rsidRDefault="00721FC9" w:rsidP="00721FC9">
      <w:pPr>
        <w:rPr>
          <w:noProof/>
        </w:rPr>
      </w:pPr>
    </w:p>
    <w:p w14:paraId="70A89225" w14:textId="77777777" w:rsidR="00721FC9" w:rsidRDefault="00721FC9" w:rsidP="00721FC9">
      <w:pPr>
        <w:rPr>
          <w:noProof/>
        </w:rPr>
      </w:pPr>
    </w:p>
    <w:p w14:paraId="0383FC7D" w14:textId="77777777" w:rsidR="00721FC9" w:rsidRDefault="00721FC9" w:rsidP="00721FC9">
      <w:pPr>
        <w:rPr>
          <w:noProof/>
        </w:rPr>
      </w:pPr>
    </w:p>
    <w:p w14:paraId="578C48C8" w14:textId="77777777" w:rsidR="00721FC9" w:rsidRDefault="00721FC9" w:rsidP="00721FC9">
      <w:pPr>
        <w:rPr>
          <w:noProof/>
        </w:rPr>
      </w:pPr>
    </w:p>
    <w:p w14:paraId="006A4C11" w14:textId="77777777" w:rsidR="00721FC9" w:rsidRDefault="00721FC9" w:rsidP="00721FC9">
      <w:pPr>
        <w:rPr>
          <w:noProof/>
        </w:rPr>
      </w:pPr>
    </w:p>
    <w:p w14:paraId="519C47F8" w14:textId="77777777" w:rsidR="00F51CB9" w:rsidRPr="00B6749F" w:rsidRDefault="00F51CB9" w:rsidP="003552DA">
      <w:pPr>
        <w:pStyle w:val="TOCHeading"/>
        <w:rPr>
          <w:rFonts w:asciiTheme="minorHAnsi" w:hAnsiTheme="minorHAnsi" w:cstheme="minorHAnsi"/>
          <w:shd w:val="clear" w:color="auto" w:fill="FFFFFF"/>
        </w:rPr>
      </w:pPr>
      <w:r w:rsidRPr="00B6749F">
        <w:rPr>
          <w:rFonts w:asciiTheme="minorHAnsi" w:hAnsiTheme="minorHAnsi" w:cstheme="minorHAnsi"/>
          <w:shd w:val="clear" w:color="auto" w:fill="FFFFFF"/>
        </w:rPr>
        <w:lastRenderedPageBreak/>
        <w:t>Table of contents</w:t>
      </w:r>
    </w:p>
    <w:p w14:paraId="3CEA637A" w14:textId="517D81F7" w:rsidR="008C396B" w:rsidRDefault="00F43167">
      <w:pPr>
        <w:pStyle w:val="TOC1"/>
        <w:rPr>
          <w:rFonts w:asciiTheme="minorHAnsi" w:eastAsiaTheme="minorEastAsia" w:hAnsiTheme="minorHAnsi" w:cstheme="minorBidi"/>
          <w:sz w:val="22"/>
        </w:rPr>
      </w:pPr>
      <w:r>
        <w:fldChar w:fldCharType="begin"/>
      </w:r>
      <w:r>
        <w:instrText xml:space="preserve"> TOC \o "1-3" \h \z \u </w:instrText>
      </w:r>
      <w:r>
        <w:fldChar w:fldCharType="separate"/>
      </w:r>
      <w:hyperlink w:anchor="_Toc109294229" w:history="1">
        <w:r w:rsidR="008C396B" w:rsidRPr="00262E73">
          <w:rPr>
            <w:rStyle w:val="Hyperlink"/>
          </w:rPr>
          <w:t>List of abbreviations</w:t>
        </w:r>
        <w:r w:rsidR="008C396B">
          <w:rPr>
            <w:webHidden/>
          </w:rPr>
          <w:tab/>
        </w:r>
        <w:r w:rsidR="008C396B">
          <w:rPr>
            <w:webHidden/>
          </w:rPr>
          <w:fldChar w:fldCharType="begin"/>
        </w:r>
        <w:r w:rsidR="008C396B">
          <w:rPr>
            <w:webHidden/>
          </w:rPr>
          <w:instrText xml:space="preserve"> PAGEREF _Toc109294229 \h </w:instrText>
        </w:r>
        <w:r w:rsidR="008C396B">
          <w:rPr>
            <w:webHidden/>
          </w:rPr>
        </w:r>
        <w:r w:rsidR="008C396B">
          <w:rPr>
            <w:webHidden/>
          </w:rPr>
          <w:fldChar w:fldCharType="separate"/>
        </w:r>
        <w:r w:rsidR="0078155A">
          <w:rPr>
            <w:webHidden/>
          </w:rPr>
          <w:t>iii</w:t>
        </w:r>
        <w:r w:rsidR="008C396B">
          <w:rPr>
            <w:webHidden/>
          </w:rPr>
          <w:fldChar w:fldCharType="end"/>
        </w:r>
      </w:hyperlink>
    </w:p>
    <w:p w14:paraId="06F7187D" w14:textId="30A1F42D" w:rsidR="008C396B" w:rsidRDefault="00C715FD">
      <w:pPr>
        <w:pStyle w:val="TOC1"/>
        <w:rPr>
          <w:rFonts w:asciiTheme="minorHAnsi" w:eastAsiaTheme="minorEastAsia" w:hAnsiTheme="minorHAnsi" w:cstheme="minorBidi"/>
          <w:sz w:val="22"/>
        </w:rPr>
      </w:pPr>
      <w:hyperlink w:anchor="_Toc109294230" w:history="1">
        <w:r w:rsidR="008C396B" w:rsidRPr="00262E73">
          <w:rPr>
            <w:rStyle w:val="Hyperlink"/>
          </w:rPr>
          <w:t>Glossary</w:t>
        </w:r>
        <w:r w:rsidR="008C396B">
          <w:rPr>
            <w:webHidden/>
          </w:rPr>
          <w:tab/>
        </w:r>
        <w:r w:rsidR="008C396B">
          <w:rPr>
            <w:webHidden/>
          </w:rPr>
          <w:fldChar w:fldCharType="begin"/>
        </w:r>
        <w:r w:rsidR="008C396B">
          <w:rPr>
            <w:webHidden/>
          </w:rPr>
          <w:instrText xml:space="preserve"> PAGEREF _Toc109294230 \h </w:instrText>
        </w:r>
        <w:r w:rsidR="008C396B">
          <w:rPr>
            <w:webHidden/>
          </w:rPr>
        </w:r>
        <w:r w:rsidR="008C396B">
          <w:rPr>
            <w:webHidden/>
          </w:rPr>
          <w:fldChar w:fldCharType="separate"/>
        </w:r>
        <w:r w:rsidR="0078155A">
          <w:rPr>
            <w:webHidden/>
          </w:rPr>
          <w:t>iii</w:t>
        </w:r>
        <w:r w:rsidR="008C396B">
          <w:rPr>
            <w:webHidden/>
          </w:rPr>
          <w:fldChar w:fldCharType="end"/>
        </w:r>
      </w:hyperlink>
    </w:p>
    <w:p w14:paraId="50732CBB" w14:textId="269BA8C6" w:rsidR="008C396B" w:rsidRDefault="00C715FD">
      <w:pPr>
        <w:pStyle w:val="TOC1"/>
        <w:rPr>
          <w:rFonts w:asciiTheme="minorHAnsi" w:eastAsiaTheme="minorEastAsia" w:hAnsiTheme="minorHAnsi" w:cstheme="minorBidi"/>
          <w:sz w:val="22"/>
        </w:rPr>
      </w:pPr>
      <w:hyperlink w:anchor="_Toc109294231" w:history="1">
        <w:r w:rsidR="008C396B" w:rsidRPr="00262E73">
          <w:rPr>
            <w:rStyle w:val="Hyperlink"/>
          </w:rPr>
          <w:t>1.</w:t>
        </w:r>
        <w:r w:rsidR="008C396B">
          <w:rPr>
            <w:rFonts w:asciiTheme="minorHAnsi" w:eastAsiaTheme="minorEastAsia" w:hAnsiTheme="minorHAnsi" w:cstheme="minorBidi"/>
            <w:sz w:val="22"/>
          </w:rPr>
          <w:tab/>
        </w:r>
        <w:r w:rsidR="008C396B" w:rsidRPr="00262E73">
          <w:rPr>
            <w:rStyle w:val="Hyperlink"/>
          </w:rPr>
          <w:t>Purpose of the paper</w:t>
        </w:r>
        <w:r w:rsidR="008C396B">
          <w:rPr>
            <w:webHidden/>
          </w:rPr>
          <w:tab/>
        </w:r>
        <w:r w:rsidR="008C396B">
          <w:rPr>
            <w:webHidden/>
          </w:rPr>
          <w:fldChar w:fldCharType="begin"/>
        </w:r>
        <w:r w:rsidR="008C396B">
          <w:rPr>
            <w:webHidden/>
          </w:rPr>
          <w:instrText xml:space="preserve"> PAGEREF _Toc109294231 \h </w:instrText>
        </w:r>
        <w:r w:rsidR="008C396B">
          <w:rPr>
            <w:webHidden/>
          </w:rPr>
        </w:r>
        <w:r w:rsidR="008C396B">
          <w:rPr>
            <w:webHidden/>
          </w:rPr>
          <w:fldChar w:fldCharType="separate"/>
        </w:r>
        <w:r w:rsidR="0078155A">
          <w:rPr>
            <w:webHidden/>
          </w:rPr>
          <w:t>1</w:t>
        </w:r>
        <w:r w:rsidR="008C396B">
          <w:rPr>
            <w:webHidden/>
          </w:rPr>
          <w:fldChar w:fldCharType="end"/>
        </w:r>
      </w:hyperlink>
    </w:p>
    <w:p w14:paraId="6D87DA0C" w14:textId="5B044279" w:rsidR="008C396B" w:rsidRDefault="00C715FD">
      <w:pPr>
        <w:pStyle w:val="TOC1"/>
        <w:rPr>
          <w:rFonts w:asciiTheme="minorHAnsi" w:eastAsiaTheme="minorEastAsia" w:hAnsiTheme="minorHAnsi" w:cstheme="minorBidi"/>
          <w:sz w:val="22"/>
        </w:rPr>
      </w:pPr>
      <w:hyperlink w:anchor="_Toc109294232" w:history="1">
        <w:r w:rsidR="008C396B" w:rsidRPr="00262E73">
          <w:rPr>
            <w:rStyle w:val="Hyperlink"/>
          </w:rPr>
          <w:t>2.</w:t>
        </w:r>
        <w:r w:rsidR="008C396B">
          <w:rPr>
            <w:rFonts w:asciiTheme="minorHAnsi" w:eastAsiaTheme="minorEastAsia" w:hAnsiTheme="minorHAnsi" w:cstheme="minorBidi"/>
            <w:sz w:val="22"/>
          </w:rPr>
          <w:tab/>
        </w:r>
        <w:r w:rsidR="008C396B" w:rsidRPr="00262E73">
          <w:rPr>
            <w:rStyle w:val="Hyperlink"/>
            <w:shd w:val="clear" w:color="auto" w:fill="FFFFFF"/>
          </w:rPr>
          <w:t>Background</w:t>
        </w:r>
        <w:r w:rsidR="008C396B">
          <w:rPr>
            <w:webHidden/>
          </w:rPr>
          <w:tab/>
        </w:r>
        <w:r w:rsidR="008C396B">
          <w:rPr>
            <w:webHidden/>
          </w:rPr>
          <w:fldChar w:fldCharType="begin"/>
        </w:r>
        <w:r w:rsidR="008C396B">
          <w:rPr>
            <w:webHidden/>
          </w:rPr>
          <w:instrText xml:space="preserve"> PAGEREF _Toc109294232 \h </w:instrText>
        </w:r>
        <w:r w:rsidR="008C396B">
          <w:rPr>
            <w:webHidden/>
          </w:rPr>
        </w:r>
        <w:r w:rsidR="008C396B">
          <w:rPr>
            <w:webHidden/>
          </w:rPr>
          <w:fldChar w:fldCharType="separate"/>
        </w:r>
        <w:r w:rsidR="0078155A">
          <w:rPr>
            <w:webHidden/>
          </w:rPr>
          <w:t>1</w:t>
        </w:r>
        <w:r w:rsidR="008C396B">
          <w:rPr>
            <w:webHidden/>
          </w:rPr>
          <w:fldChar w:fldCharType="end"/>
        </w:r>
      </w:hyperlink>
    </w:p>
    <w:p w14:paraId="0FC4EF94" w14:textId="6886BBDB" w:rsidR="008C396B" w:rsidRDefault="00C715FD">
      <w:pPr>
        <w:pStyle w:val="TOC1"/>
        <w:rPr>
          <w:rFonts w:asciiTheme="minorHAnsi" w:eastAsiaTheme="minorEastAsia" w:hAnsiTheme="minorHAnsi" w:cstheme="minorBidi"/>
          <w:sz w:val="22"/>
        </w:rPr>
      </w:pPr>
      <w:hyperlink w:anchor="_Toc109294233" w:history="1">
        <w:r w:rsidR="008C396B" w:rsidRPr="00262E73">
          <w:rPr>
            <w:rStyle w:val="Hyperlink"/>
          </w:rPr>
          <w:t>3.</w:t>
        </w:r>
        <w:r w:rsidR="008C396B">
          <w:rPr>
            <w:rFonts w:asciiTheme="minorHAnsi" w:eastAsiaTheme="minorEastAsia" w:hAnsiTheme="minorHAnsi" w:cstheme="minorBidi"/>
            <w:sz w:val="22"/>
          </w:rPr>
          <w:tab/>
        </w:r>
        <w:r w:rsidR="008C396B" w:rsidRPr="00262E73">
          <w:rPr>
            <w:rStyle w:val="Hyperlink"/>
            <w:shd w:val="clear" w:color="auto" w:fill="FFFFFF"/>
          </w:rPr>
          <w:t>Objectives and key activities for the Industry Best Practice Guide Working Group</w:t>
        </w:r>
        <w:r w:rsidR="008C396B">
          <w:rPr>
            <w:webHidden/>
          </w:rPr>
          <w:tab/>
        </w:r>
        <w:r w:rsidR="008C396B">
          <w:rPr>
            <w:webHidden/>
          </w:rPr>
          <w:fldChar w:fldCharType="begin"/>
        </w:r>
        <w:r w:rsidR="008C396B">
          <w:rPr>
            <w:webHidden/>
          </w:rPr>
          <w:instrText xml:space="preserve"> PAGEREF _Toc109294233 \h </w:instrText>
        </w:r>
        <w:r w:rsidR="008C396B">
          <w:rPr>
            <w:webHidden/>
          </w:rPr>
        </w:r>
        <w:r w:rsidR="008C396B">
          <w:rPr>
            <w:webHidden/>
          </w:rPr>
          <w:fldChar w:fldCharType="separate"/>
        </w:r>
        <w:r w:rsidR="0078155A">
          <w:rPr>
            <w:webHidden/>
          </w:rPr>
          <w:t>2</w:t>
        </w:r>
        <w:r w:rsidR="008C396B">
          <w:rPr>
            <w:webHidden/>
          </w:rPr>
          <w:fldChar w:fldCharType="end"/>
        </w:r>
      </w:hyperlink>
    </w:p>
    <w:p w14:paraId="1127C5ED" w14:textId="543D0693" w:rsidR="008C396B" w:rsidRDefault="00C715FD">
      <w:pPr>
        <w:pStyle w:val="TOC1"/>
        <w:rPr>
          <w:rFonts w:asciiTheme="minorHAnsi" w:eastAsiaTheme="minorEastAsia" w:hAnsiTheme="minorHAnsi" w:cstheme="minorBidi"/>
          <w:sz w:val="22"/>
        </w:rPr>
      </w:pPr>
      <w:hyperlink w:anchor="_Toc109294234" w:history="1">
        <w:r w:rsidR="008C396B" w:rsidRPr="00262E73">
          <w:rPr>
            <w:rStyle w:val="Hyperlink"/>
          </w:rPr>
          <w:t>4.</w:t>
        </w:r>
        <w:r w:rsidR="008C396B">
          <w:rPr>
            <w:rFonts w:asciiTheme="minorHAnsi" w:eastAsiaTheme="minorEastAsia" w:hAnsiTheme="minorHAnsi" w:cstheme="minorBidi"/>
            <w:sz w:val="22"/>
          </w:rPr>
          <w:tab/>
        </w:r>
        <w:r w:rsidR="008C396B" w:rsidRPr="00262E73">
          <w:rPr>
            <w:rStyle w:val="Hyperlink"/>
            <w:shd w:val="clear" w:color="auto" w:fill="FFFFFF"/>
          </w:rPr>
          <w:t>Rationale and actions for addressing serving size</w:t>
        </w:r>
        <w:r w:rsidR="008C396B">
          <w:rPr>
            <w:webHidden/>
          </w:rPr>
          <w:tab/>
        </w:r>
        <w:r w:rsidR="008C396B">
          <w:rPr>
            <w:webHidden/>
          </w:rPr>
          <w:fldChar w:fldCharType="begin"/>
        </w:r>
        <w:r w:rsidR="008C396B">
          <w:rPr>
            <w:webHidden/>
          </w:rPr>
          <w:instrText xml:space="preserve"> PAGEREF _Toc109294234 \h </w:instrText>
        </w:r>
        <w:r w:rsidR="008C396B">
          <w:rPr>
            <w:webHidden/>
          </w:rPr>
        </w:r>
        <w:r w:rsidR="008C396B">
          <w:rPr>
            <w:webHidden/>
          </w:rPr>
          <w:fldChar w:fldCharType="separate"/>
        </w:r>
        <w:r w:rsidR="0078155A">
          <w:rPr>
            <w:webHidden/>
          </w:rPr>
          <w:t>3</w:t>
        </w:r>
        <w:r w:rsidR="008C396B">
          <w:rPr>
            <w:webHidden/>
          </w:rPr>
          <w:fldChar w:fldCharType="end"/>
        </w:r>
      </w:hyperlink>
    </w:p>
    <w:p w14:paraId="3DE0E1AD" w14:textId="51375B68" w:rsidR="008C396B" w:rsidRDefault="00C715FD">
      <w:pPr>
        <w:pStyle w:val="TOC2"/>
        <w:tabs>
          <w:tab w:val="right" w:leader="dot" w:pos="9628"/>
        </w:tabs>
        <w:rPr>
          <w:rFonts w:asciiTheme="minorHAnsi" w:eastAsiaTheme="minorEastAsia" w:hAnsiTheme="minorHAnsi" w:cstheme="minorBidi"/>
          <w:noProof/>
          <w:color w:val="auto"/>
          <w:sz w:val="22"/>
        </w:rPr>
      </w:pPr>
      <w:hyperlink w:anchor="_Toc109294235" w:history="1">
        <w:r w:rsidR="008C396B" w:rsidRPr="00262E73">
          <w:rPr>
            <w:rStyle w:val="Hyperlink"/>
            <w:noProof/>
          </w:rPr>
          <w:t>4.1 Develop and implement an industry guide on serving size</w:t>
        </w:r>
        <w:r w:rsidR="008C396B">
          <w:rPr>
            <w:noProof/>
            <w:webHidden/>
          </w:rPr>
          <w:tab/>
        </w:r>
        <w:r w:rsidR="008C396B">
          <w:rPr>
            <w:noProof/>
            <w:webHidden/>
          </w:rPr>
          <w:fldChar w:fldCharType="begin"/>
        </w:r>
        <w:r w:rsidR="008C396B">
          <w:rPr>
            <w:noProof/>
            <w:webHidden/>
          </w:rPr>
          <w:instrText xml:space="preserve"> PAGEREF _Toc109294235 \h </w:instrText>
        </w:r>
        <w:r w:rsidR="008C396B">
          <w:rPr>
            <w:noProof/>
            <w:webHidden/>
          </w:rPr>
        </w:r>
        <w:r w:rsidR="008C396B">
          <w:rPr>
            <w:noProof/>
            <w:webHidden/>
          </w:rPr>
          <w:fldChar w:fldCharType="separate"/>
        </w:r>
        <w:r w:rsidR="0078155A">
          <w:rPr>
            <w:noProof/>
            <w:webHidden/>
          </w:rPr>
          <w:t>5</w:t>
        </w:r>
        <w:r w:rsidR="008C396B">
          <w:rPr>
            <w:noProof/>
            <w:webHidden/>
          </w:rPr>
          <w:fldChar w:fldCharType="end"/>
        </w:r>
      </w:hyperlink>
    </w:p>
    <w:p w14:paraId="773E75BF" w14:textId="37C5E6D6" w:rsidR="008C396B" w:rsidRDefault="00C715FD">
      <w:pPr>
        <w:pStyle w:val="TOC2"/>
        <w:tabs>
          <w:tab w:val="right" w:leader="dot" w:pos="9628"/>
        </w:tabs>
        <w:rPr>
          <w:rFonts w:asciiTheme="minorHAnsi" w:eastAsiaTheme="minorEastAsia" w:hAnsiTheme="minorHAnsi" w:cstheme="minorBidi"/>
          <w:noProof/>
          <w:color w:val="auto"/>
          <w:sz w:val="22"/>
        </w:rPr>
      </w:pPr>
      <w:hyperlink w:anchor="_Toc109294236" w:history="1">
        <w:r w:rsidR="008C396B" w:rsidRPr="00262E73">
          <w:rPr>
            <w:rStyle w:val="Hyperlink"/>
            <w:noProof/>
          </w:rPr>
          <w:t>4.2 Development of recommended serving sizes</w:t>
        </w:r>
        <w:r w:rsidR="008C396B">
          <w:rPr>
            <w:noProof/>
            <w:webHidden/>
          </w:rPr>
          <w:tab/>
        </w:r>
        <w:r w:rsidR="008C396B">
          <w:rPr>
            <w:noProof/>
            <w:webHidden/>
          </w:rPr>
          <w:fldChar w:fldCharType="begin"/>
        </w:r>
        <w:r w:rsidR="008C396B">
          <w:rPr>
            <w:noProof/>
            <w:webHidden/>
          </w:rPr>
          <w:instrText xml:space="preserve"> PAGEREF _Toc109294236 \h </w:instrText>
        </w:r>
        <w:r w:rsidR="008C396B">
          <w:rPr>
            <w:noProof/>
            <w:webHidden/>
          </w:rPr>
        </w:r>
        <w:r w:rsidR="008C396B">
          <w:rPr>
            <w:noProof/>
            <w:webHidden/>
          </w:rPr>
          <w:fldChar w:fldCharType="separate"/>
        </w:r>
        <w:r w:rsidR="0078155A">
          <w:rPr>
            <w:noProof/>
            <w:webHidden/>
          </w:rPr>
          <w:t>5</w:t>
        </w:r>
        <w:r w:rsidR="008C396B">
          <w:rPr>
            <w:noProof/>
            <w:webHidden/>
          </w:rPr>
          <w:fldChar w:fldCharType="end"/>
        </w:r>
      </w:hyperlink>
    </w:p>
    <w:p w14:paraId="323820AA" w14:textId="22279617" w:rsidR="008C396B" w:rsidRDefault="00C715FD">
      <w:pPr>
        <w:pStyle w:val="TOC1"/>
        <w:rPr>
          <w:rFonts w:asciiTheme="minorHAnsi" w:eastAsiaTheme="minorEastAsia" w:hAnsiTheme="minorHAnsi" w:cstheme="minorBidi"/>
          <w:sz w:val="22"/>
        </w:rPr>
      </w:pPr>
      <w:hyperlink w:anchor="_Toc109294237" w:history="1">
        <w:r w:rsidR="008C396B" w:rsidRPr="00262E73">
          <w:rPr>
            <w:rStyle w:val="Hyperlink"/>
          </w:rPr>
          <w:t>5.</w:t>
        </w:r>
        <w:r w:rsidR="008C396B">
          <w:rPr>
            <w:rFonts w:asciiTheme="minorHAnsi" w:eastAsiaTheme="minorEastAsia" w:hAnsiTheme="minorHAnsi" w:cstheme="minorBidi"/>
            <w:sz w:val="22"/>
          </w:rPr>
          <w:tab/>
        </w:r>
        <w:r w:rsidR="008C396B" w:rsidRPr="00262E73">
          <w:rPr>
            <w:rStyle w:val="Hyperlink"/>
            <w:shd w:val="clear" w:color="auto" w:fill="FFFFFF"/>
          </w:rPr>
          <w:t>Evidence for selection of food and beverage categories</w:t>
        </w:r>
        <w:r w:rsidR="008C396B">
          <w:rPr>
            <w:webHidden/>
          </w:rPr>
          <w:tab/>
        </w:r>
        <w:r w:rsidR="008C396B">
          <w:rPr>
            <w:webHidden/>
          </w:rPr>
          <w:fldChar w:fldCharType="begin"/>
        </w:r>
        <w:r w:rsidR="008C396B">
          <w:rPr>
            <w:webHidden/>
          </w:rPr>
          <w:instrText xml:space="preserve"> PAGEREF _Toc109294237 \h </w:instrText>
        </w:r>
        <w:r w:rsidR="008C396B">
          <w:rPr>
            <w:webHidden/>
          </w:rPr>
        </w:r>
        <w:r w:rsidR="008C396B">
          <w:rPr>
            <w:webHidden/>
          </w:rPr>
          <w:fldChar w:fldCharType="separate"/>
        </w:r>
        <w:r w:rsidR="0078155A">
          <w:rPr>
            <w:webHidden/>
          </w:rPr>
          <w:t>6</w:t>
        </w:r>
        <w:r w:rsidR="008C396B">
          <w:rPr>
            <w:webHidden/>
          </w:rPr>
          <w:fldChar w:fldCharType="end"/>
        </w:r>
      </w:hyperlink>
    </w:p>
    <w:p w14:paraId="2E49F266" w14:textId="4E1DE8BA" w:rsidR="008C396B" w:rsidRDefault="00C715FD">
      <w:pPr>
        <w:pStyle w:val="TOC2"/>
        <w:tabs>
          <w:tab w:val="left" w:pos="880"/>
          <w:tab w:val="right" w:leader="dot" w:pos="9628"/>
        </w:tabs>
        <w:rPr>
          <w:rFonts w:asciiTheme="minorHAnsi" w:eastAsiaTheme="minorEastAsia" w:hAnsiTheme="minorHAnsi" w:cstheme="minorBidi"/>
          <w:noProof/>
          <w:color w:val="auto"/>
          <w:sz w:val="22"/>
        </w:rPr>
      </w:pPr>
      <w:hyperlink w:anchor="_Toc109294238" w:history="1">
        <w:r w:rsidR="008C396B" w:rsidRPr="00262E73">
          <w:rPr>
            <w:rStyle w:val="Hyperlink"/>
            <w:noProof/>
          </w:rPr>
          <w:t xml:space="preserve">5.1 </w:t>
        </w:r>
        <w:r w:rsidR="008C396B">
          <w:rPr>
            <w:rFonts w:asciiTheme="minorHAnsi" w:eastAsiaTheme="minorEastAsia" w:hAnsiTheme="minorHAnsi" w:cstheme="minorBidi"/>
            <w:noProof/>
            <w:color w:val="auto"/>
            <w:sz w:val="22"/>
          </w:rPr>
          <w:tab/>
        </w:r>
        <w:r w:rsidR="008C396B" w:rsidRPr="00262E73">
          <w:rPr>
            <w:rStyle w:val="Hyperlink"/>
            <w:noProof/>
          </w:rPr>
          <w:t>Key contributors to discretionary energy</w:t>
        </w:r>
        <w:r w:rsidR="008C396B">
          <w:rPr>
            <w:noProof/>
            <w:webHidden/>
          </w:rPr>
          <w:tab/>
        </w:r>
        <w:r w:rsidR="008C396B">
          <w:rPr>
            <w:noProof/>
            <w:webHidden/>
          </w:rPr>
          <w:fldChar w:fldCharType="begin"/>
        </w:r>
        <w:r w:rsidR="008C396B">
          <w:rPr>
            <w:noProof/>
            <w:webHidden/>
          </w:rPr>
          <w:instrText xml:space="preserve"> PAGEREF _Toc109294238 \h </w:instrText>
        </w:r>
        <w:r w:rsidR="008C396B">
          <w:rPr>
            <w:noProof/>
            <w:webHidden/>
          </w:rPr>
        </w:r>
        <w:r w:rsidR="008C396B">
          <w:rPr>
            <w:noProof/>
            <w:webHidden/>
          </w:rPr>
          <w:fldChar w:fldCharType="separate"/>
        </w:r>
        <w:r w:rsidR="0078155A">
          <w:rPr>
            <w:noProof/>
            <w:webHidden/>
          </w:rPr>
          <w:t>6</w:t>
        </w:r>
        <w:r w:rsidR="008C396B">
          <w:rPr>
            <w:noProof/>
            <w:webHidden/>
          </w:rPr>
          <w:fldChar w:fldCharType="end"/>
        </w:r>
      </w:hyperlink>
    </w:p>
    <w:p w14:paraId="65E50852" w14:textId="0623CAB1" w:rsidR="008C396B" w:rsidRDefault="00C715FD">
      <w:pPr>
        <w:pStyle w:val="TOC2"/>
        <w:tabs>
          <w:tab w:val="left" w:pos="880"/>
          <w:tab w:val="right" w:leader="dot" w:pos="9628"/>
        </w:tabs>
        <w:rPr>
          <w:rFonts w:asciiTheme="minorHAnsi" w:eastAsiaTheme="minorEastAsia" w:hAnsiTheme="minorHAnsi" w:cstheme="minorBidi"/>
          <w:noProof/>
          <w:color w:val="auto"/>
          <w:sz w:val="22"/>
        </w:rPr>
      </w:pPr>
      <w:hyperlink w:anchor="_Toc109294239" w:history="1">
        <w:r w:rsidR="008C396B" w:rsidRPr="00262E73">
          <w:rPr>
            <w:rStyle w:val="Hyperlink"/>
            <w:noProof/>
          </w:rPr>
          <w:t xml:space="preserve">5.2 </w:t>
        </w:r>
        <w:r w:rsidR="008C396B">
          <w:rPr>
            <w:rFonts w:asciiTheme="minorHAnsi" w:eastAsiaTheme="minorEastAsia" w:hAnsiTheme="minorHAnsi" w:cstheme="minorBidi"/>
            <w:noProof/>
            <w:color w:val="auto"/>
            <w:sz w:val="22"/>
          </w:rPr>
          <w:tab/>
        </w:r>
        <w:r w:rsidR="008C396B" w:rsidRPr="00262E73">
          <w:rPr>
            <w:rStyle w:val="Hyperlink"/>
            <w:noProof/>
          </w:rPr>
          <w:t>Key contributors to added sugar, sodium, and saturated fat intake</w:t>
        </w:r>
        <w:r w:rsidR="008C396B">
          <w:rPr>
            <w:noProof/>
            <w:webHidden/>
          </w:rPr>
          <w:tab/>
        </w:r>
        <w:r w:rsidR="008C396B">
          <w:rPr>
            <w:noProof/>
            <w:webHidden/>
          </w:rPr>
          <w:fldChar w:fldCharType="begin"/>
        </w:r>
        <w:r w:rsidR="008C396B">
          <w:rPr>
            <w:noProof/>
            <w:webHidden/>
          </w:rPr>
          <w:instrText xml:space="preserve"> PAGEREF _Toc109294239 \h </w:instrText>
        </w:r>
        <w:r w:rsidR="008C396B">
          <w:rPr>
            <w:noProof/>
            <w:webHidden/>
          </w:rPr>
        </w:r>
        <w:r w:rsidR="008C396B">
          <w:rPr>
            <w:noProof/>
            <w:webHidden/>
          </w:rPr>
          <w:fldChar w:fldCharType="separate"/>
        </w:r>
        <w:r w:rsidR="0078155A">
          <w:rPr>
            <w:noProof/>
            <w:webHidden/>
          </w:rPr>
          <w:t>8</w:t>
        </w:r>
        <w:r w:rsidR="008C396B">
          <w:rPr>
            <w:noProof/>
            <w:webHidden/>
          </w:rPr>
          <w:fldChar w:fldCharType="end"/>
        </w:r>
      </w:hyperlink>
    </w:p>
    <w:p w14:paraId="1E7D26C1" w14:textId="3E6F7ABA" w:rsidR="008C396B" w:rsidRDefault="00C715FD">
      <w:pPr>
        <w:pStyle w:val="TOC1"/>
        <w:rPr>
          <w:rFonts w:asciiTheme="minorHAnsi" w:eastAsiaTheme="minorEastAsia" w:hAnsiTheme="minorHAnsi" w:cstheme="minorBidi"/>
          <w:sz w:val="22"/>
        </w:rPr>
      </w:pPr>
      <w:hyperlink w:anchor="_Toc109294240" w:history="1">
        <w:r w:rsidR="008C396B" w:rsidRPr="00262E73">
          <w:rPr>
            <w:rStyle w:val="Hyperlink"/>
          </w:rPr>
          <w:t>6. Determining serving size recommendations</w:t>
        </w:r>
        <w:r w:rsidR="008C396B">
          <w:rPr>
            <w:webHidden/>
          </w:rPr>
          <w:tab/>
        </w:r>
        <w:r w:rsidR="008C396B">
          <w:rPr>
            <w:webHidden/>
          </w:rPr>
          <w:fldChar w:fldCharType="begin"/>
        </w:r>
        <w:r w:rsidR="008C396B">
          <w:rPr>
            <w:webHidden/>
          </w:rPr>
          <w:instrText xml:space="preserve"> PAGEREF _Toc109294240 \h </w:instrText>
        </w:r>
        <w:r w:rsidR="008C396B">
          <w:rPr>
            <w:webHidden/>
          </w:rPr>
        </w:r>
        <w:r w:rsidR="008C396B">
          <w:rPr>
            <w:webHidden/>
          </w:rPr>
          <w:fldChar w:fldCharType="separate"/>
        </w:r>
        <w:r w:rsidR="0078155A">
          <w:rPr>
            <w:webHidden/>
          </w:rPr>
          <w:t>12</w:t>
        </w:r>
        <w:r w:rsidR="008C396B">
          <w:rPr>
            <w:webHidden/>
          </w:rPr>
          <w:fldChar w:fldCharType="end"/>
        </w:r>
      </w:hyperlink>
    </w:p>
    <w:p w14:paraId="42448258" w14:textId="59B4F252" w:rsidR="008C396B" w:rsidRDefault="00C715FD">
      <w:pPr>
        <w:pStyle w:val="TOC2"/>
        <w:tabs>
          <w:tab w:val="right" w:leader="dot" w:pos="9628"/>
        </w:tabs>
        <w:rPr>
          <w:rFonts w:asciiTheme="minorHAnsi" w:eastAsiaTheme="minorEastAsia" w:hAnsiTheme="minorHAnsi" w:cstheme="minorBidi"/>
          <w:noProof/>
          <w:color w:val="auto"/>
          <w:sz w:val="22"/>
        </w:rPr>
      </w:pPr>
      <w:hyperlink w:anchor="_Toc109294241" w:history="1">
        <w:r w:rsidR="008C396B" w:rsidRPr="00262E73">
          <w:rPr>
            <w:rStyle w:val="Hyperlink"/>
            <w:noProof/>
          </w:rPr>
          <w:t>6.1 Overall principles</w:t>
        </w:r>
        <w:r w:rsidR="008C396B">
          <w:rPr>
            <w:noProof/>
            <w:webHidden/>
          </w:rPr>
          <w:tab/>
        </w:r>
        <w:r w:rsidR="008C396B">
          <w:rPr>
            <w:noProof/>
            <w:webHidden/>
          </w:rPr>
          <w:fldChar w:fldCharType="begin"/>
        </w:r>
        <w:r w:rsidR="008C396B">
          <w:rPr>
            <w:noProof/>
            <w:webHidden/>
          </w:rPr>
          <w:instrText xml:space="preserve"> PAGEREF _Toc109294241 \h </w:instrText>
        </w:r>
        <w:r w:rsidR="008C396B">
          <w:rPr>
            <w:noProof/>
            <w:webHidden/>
          </w:rPr>
        </w:r>
        <w:r w:rsidR="008C396B">
          <w:rPr>
            <w:noProof/>
            <w:webHidden/>
          </w:rPr>
          <w:fldChar w:fldCharType="separate"/>
        </w:r>
        <w:r w:rsidR="0078155A">
          <w:rPr>
            <w:noProof/>
            <w:webHidden/>
          </w:rPr>
          <w:t>12</w:t>
        </w:r>
        <w:r w:rsidR="008C396B">
          <w:rPr>
            <w:noProof/>
            <w:webHidden/>
          </w:rPr>
          <w:fldChar w:fldCharType="end"/>
        </w:r>
      </w:hyperlink>
    </w:p>
    <w:p w14:paraId="594947B4" w14:textId="4303A1D9" w:rsidR="008C396B" w:rsidRDefault="00C715FD">
      <w:pPr>
        <w:pStyle w:val="TOC2"/>
        <w:tabs>
          <w:tab w:val="right" w:leader="dot" w:pos="9628"/>
        </w:tabs>
        <w:rPr>
          <w:rFonts w:asciiTheme="minorHAnsi" w:eastAsiaTheme="minorEastAsia" w:hAnsiTheme="minorHAnsi" w:cstheme="minorBidi"/>
          <w:noProof/>
          <w:color w:val="auto"/>
          <w:sz w:val="22"/>
        </w:rPr>
      </w:pPr>
      <w:hyperlink w:anchor="_Toc109294242" w:history="1">
        <w:r w:rsidR="008C396B" w:rsidRPr="00262E73">
          <w:rPr>
            <w:rStyle w:val="Hyperlink"/>
            <w:noProof/>
          </w:rPr>
          <w:t>6.2 Methodology</w:t>
        </w:r>
        <w:r w:rsidR="008C396B">
          <w:rPr>
            <w:noProof/>
            <w:webHidden/>
          </w:rPr>
          <w:tab/>
        </w:r>
        <w:r w:rsidR="008C396B">
          <w:rPr>
            <w:noProof/>
            <w:webHidden/>
          </w:rPr>
          <w:fldChar w:fldCharType="begin"/>
        </w:r>
        <w:r w:rsidR="008C396B">
          <w:rPr>
            <w:noProof/>
            <w:webHidden/>
          </w:rPr>
          <w:instrText xml:space="preserve"> PAGEREF _Toc109294242 \h </w:instrText>
        </w:r>
        <w:r w:rsidR="008C396B">
          <w:rPr>
            <w:noProof/>
            <w:webHidden/>
          </w:rPr>
        </w:r>
        <w:r w:rsidR="008C396B">
          <w:rPr>
            <w:noProof/>
            <w:webHidden/>
          </w:rPr>
          <w:fldChar w:fldCharType="separate"/>
        </w:r>
        <w:r w:rsidR="0078155A">
          <w:rPr>
            <w:noProof/>
            <w:webHidden/>
          </w:rPr>
          <w:t>13</w:t>
        </w:r>
        <w:r w:rsidR="008C396B">
          <w:rPr>
            <w:noProof/>
            <w:webHidden/>
          </w:rPr>
          <w:fldChar w:fldCharType="end"/>
        </w:r>
      </w:hyperlink>
    </w:p>
    <w:p w14:paraId="6B50A725" w14:textId="22C1D659" w:rsidR="008C396B" w:rsidRDefault="00C715FD">
      <w:pPr>
        <w:pStyle w:val="TOC3"/>
        <w:tabs>
          <w:tab w:val="left" w:pos="1320"/>
          <w:tab w:val="right" w:leader="dot" w:pos="9628"/>
        </w:tabs>
        <w:rPr>
          <w:rFonts w:asciiTheme="minorHAnsi" w:eastAsiaTheme="minorEastAsia" w:hAnsiTheme="minorHAnsi" w:cstheme="minorBidi"/>
          <w:noProof/>
          <w:color w:val="auto"/>
          <w:sz w:val="22"/>
        </w:rPr>
      </w:pPr>
      <w:hyperlink w:anchor="_Toc109294243" w:history="1">
        <w:r w:rsidR="008C396B" w:rsidRPr="00262E73">
          <w:rPr>
            <w:rStyle w:val="Hyperlink"/>
            <w:noProof/>
          </w:rPr>
          <w:t xml:space="preserve">6.2.1 </w:t>
        </w:r>
        <w:r w:rsidR="008C396B">
          <w:rPr>
            <w:rFonts w:asciiTheme="minorHAnsi" w:eastAsiaTheme="minorEastAsia" w:hAnsiTheme="minorHAnsi" w:cstheme="minorBidi"/>
            <w:noProof/>
            <w:color w:val="auto"/>
            <w:sz w:val="22"/>
          </w:rPr>
          <w:tab/>
        </w:r>
        <w:r w:rsidR="008C396B" w:rsidRPr="00262E73">
          <w:rPr>
            <w:rStyle w:val="Hyperlink"/>
            <w:noProof/>
          </w:rPr>
          <w:t>Limitations</w:t>
        </w:r>
        <w:r w:rsidR="008C396B">
          <w:rPr>
            <w:noProof/>
            <w:webHidden/>
          </w:rPr>
          <w:tab/>
        </w:r>
        <w:r w:rsidR="008C396B">
          <w:rPr>
            <w:noProof/>
            <w:webHidden/>
          </w:rPr>
          <w:fldChar w:fldCharType="begin"/>
        </w:r>
        <w:r w:rsidR="008C396B">
          <w:rPr>
            <w:noProof/>
            <w:webHidden/>
          </w:rPr>
          <w:instrText xml:space="preserve"> PAGEREF _Toc109294243 \h </w:instrText>
        </w:r>
        <w:r w:rsidR="008C396B">
          <w:rPr>
            <w:noProof/>
            <w:webHidden/>
          </w:rPr>
        </w:r>
        <w:r w:rsidR="008C396B">
          <w:rPr>
            <w:noProof/>
            <w:webHidden/>
          </w:rPr>
          <w:fldChar w:fldCharType="separate"/>
        </w:r>
        <w:r w:rsidR="0078155A">
          <w:rPr>
            <w:noProof/>
            <w:webHidden/>
          </w:rPr>
          <w:t>14</w:t>
        </w:r>
        <w:r w:rsidR="008C396B">
          <w:rPr>
            <w:noProof/>
            <w:webHidden/>
          </w:rPr>
          <w:fldChar w:fldCharType="end"/>
        </w:r>
      </w:hyperlink>
    </w:p>
    <w:p w14:paraId="10291FB8" w14:textId="6048A051" w:rsidR="008C396B" w:rsidRDefault="00C715FD">
      <w:pPr>
        <w:pStyle w:val="TOC1"/>
        <w:rPr>
          <w:rFonts w:asciiTheme="minorHAnsi" w:eastAsiaTheme="minorEastAsia" w:hAnsiTheme="minorHAnsi" w:cstheme="minorBidi"/>
          <w:sz w:val="22"/>
        </w:rPr>
      </w:pPr>
      <w:hyperlink w:anchor="_Toc109294244" w:history="1">
        <w:r w:rsidR="008C396B" w:rsidRPr="00262E73">
          <w:rPr>
            <w:rStyle w:val="Hyperlink"/>
          </w:rPr>
          <w:t>7. Serving size recommendations</w:t>
        </w:r>
        <w:r w:rsidR="008C396B">
          <w:rPr>
            <w:webHidden/>
          </w:rPr>
          <w:tab/>
        </w:r>
        <w:r w:rsidR="008C396B">
          <w:rPr>
            <w:webHidden/>
          </w:rPr>
          <w:fldChar w:fldCharType="begin"/>
        </w:r>
        <w:r w:rsidR="008C396B">
          <w:rPr>
            <w:webHidden/>
          </w:rPr>
          <w:instrText xml:space="preserve"> PAGEREF _Toc109294244 \h </w:instrText>
        </w:r>
        <w:r w:rsidR="008C396B">
          <w:rPr>
            <w:webHidden/>
          </w:rPr>
        </w:r>
        <w:r w:rsidR="008C396B">
          <w:rPr>
            <w:webHidden/>
          </w:rPr>
          <w:fldChar w:fldCharType="separate"/>
        </w:r>
        <w:r w:rsidR="0078155A">
          <w:rPr>
            <w:webHidden/>
          </w:rPr>
          <w:t>15</w:t>
        </w:r>
        <w:r w:rsidR="008C396B">
          <w:rPr>
            <w:webHidden/>
          </w:rPr>
          <w:fldChar w:fldCharType="end"/>
        </w:r>
      </w:hyperlink>
    </w:p>
    <w:p w14:paraId="14B29144" w14:textId="43E3A88A" w:rsidR="008C396B" w:rsidRDefault="00C715FD">
      <w:pPr>
        <w:pStyle w:val="TOC1"/>
        <w:rPr>
          <w:rFonts w:asciiTheme="minorHAnsi" w:eastAsiaTheme="minorEastAsia" w:hAnsiTheme="minorHAnsi" w:cstheme="minorBidi"/>
          <w:sz w:val="22"/>
        </w:rPr>
      </w:pPr>
      <w:hyperlink w:anchor="_Toc109294245" w:history="1">
        <w:r w:rsidR="008C396B" w:rsidRPr="00262E73">
          <w:rPr>
            <w:rStyle w:val="Hyperlink"/>
          </w:rPr>
          <w:t>8.</w:t>
        </w:r>
        <w:r w:rsidR="008C396B">
          <w:rPr>
            <w:rFonts w:asciiTheme="minorHAnsi" w:eastAsiaTheme="minorEastAsia" w:hAnsiTheme="minorHAnsi" w:cstheme="minorBidi"/>
            <w:sz w:val="22"/>
          </w:rPr>
          <w:tab/>
        </w:r>
        <w:r w:rsidR="008C396B" w:rsidRPr="00262E73">
          <w:rPr>
            <w:rStyle w:val="Hyperlink"/>
            <w:shd w:val="clear" w:color="auto" w:fill="FFFFFF"/>
          </w:rPr>
          <w:t>Potential impact</w:t>
        </w:r>
        <w:r w:rsidR="008C396B">
          <w:rPr>
            <w:webHidden/>
          </w:rPr>
          <w:tab/>
        </w:r>
        <w:r w:rsidR="008C396B">
          <w:rPr>
            <w:webHidden/>
          </w:rPr>
          <w:fldChar w:fldCharType="begin"/>
        </w:r>
        <w:r w:rsidR="008C396B">
          <w:rPr>
            <w:webHidden/>
          </w:rPr>
          <w:instrText xml:space="preserve"> PAGEREF _Toc109294245 \h </w:instrText>
        </w:r>
        <w:r w:rsidR="008C396B">
          <w:rPr>
            <w:webHidden/>
          </w:rPr>
        </w:r>
        <w:r w:rsidR="008C396B">
          <w:rPr>
            <w:webHidden/>
          </w:rPr>
          <w:fldChar w:fldCharType="separate"/>
        </w:r>
        <w:r w:rsidR="0078155A">
          <w:rPr>
            <w:webHidden/>
          </w:rPr>
          <w:t>16</w:t>
        </w:r>
        <w:r w:rsidR="008C396B">
          <w:rPr>
            <w:webHidden/>
          </w:rPr>
          <w:fldChar w:fldCharType="end"/>
        </w:r>
      </w:hyperlink>
    </w:p>
    <w:p w14:paraId="217B92C1" w14:textId="2B0B5FCB" w:rsidR="008C396B" w:rsidRDefault="00C715FD">
      <w:pPr>
        <w:pStyle w:val="TOC1"/>
        <w:rPr>
          <w:rFonts w:asciiTheme="minorHAnsi" w:eastAsiaTheme="minorEastAsia" w:hAnsiTheme="minorHAnsi" w:cstheme="minorBidi"/>
          <w:sz w:val="22"/>
        </w:rPr>
      </w:pPr>
      <w:hyperlink w:anchor="_Toc109294246" w:history="1">
        <w:r w:rsidR="008C396B" w:rsidRPr="00262E73">
          <w:rPr>
            <w:rStyle w:val="Hyperlink"/>
          </w:rPr>
          <w:t>9.</w:t>
        </w:r>
        <w:r w:rsidR="008C396B">
          <w:rPr>
            <w:rFonts w:asciiTheme="minorHAnsi" w:eastAsiaTheme="minorEastAsia" w:hAnsiTheme="minorHAnsi" w:cstheme="minorBidi"/>
            <w:sz w:val="22"/>
          </w:rPr>
          <w:tab/>
        </w:r>
        <w:r w:rsidR="008C396B" w:rsidRPr="00262E73">
          <w:rPr>
            <w:rStyle w:val="Hyperlink"/>
            <w:shd w:val="clear" w:color="auto" w:fill="FFFFFF"/>
          </w:rPr>
          <w:t>Public consultation</w:t>
        </w:r>
        <w:r w:rsidR="008C396B">
          <w:rPr>
            <w:webHidden/>
          </w:rPr>
          <w:tab/>
        </w:r>
        <w:r w:rsidR="008C396B">
          <w:rPr>
            <w:webHidden/>
          </w:rPr>
          <w:fldChar w:fldCharType="begin"/>
        </w:r>
        <w:r w:rsidR="008C396B">
          <w:rPr>
            <w:webHidden/>
          </w:rPr>
          <w:instrText xml:space="preserve"> PAGEREF _Toc109294246 \h </w:instrText>
        </w:r>
        <w:r w:rsidR="008C396B">
          <w:rPr>
            <w:webHidden/>
          </w:rPr>
        </w:r>
        <w:r w:rsidR="008C396B">
          <w:rPr>
            <w:webHidden/>
          </w:rPr>
          <w:fldChar w:fldCharType="separate"/>
        </w:r>
        <w:r w:rsidR="0078155A">
          <w:rPr>
            <w:webHidden/>
          </w:rPr>
          <w:t>16</w:t>
        </w:r>
        <w:r w:rsidR="008C396B">
          <w:rPr>
            <w:webHidden/>
          </w:rPr>
          <w:fldChar w:fldCharType="end"/>
        </w:r>
      </w:hyperlink>
    </w:p>
    <w:p w14:paraId="1CB9C0AB" w14:textId="73EE44EB" w:rsidR="008C396B" w:rsidRDefault="00C715FD">
      <w:pPr>
        <w:pStyle w:val="TOC1"/>
        <w:rPr>
          <w:rFonts w:asciiTheme="minorHAnsi" w:eastAsiaTheme="minorEastAsia" w:hAnsiTheme="minorHAnsi" w:cstheme="minorBidi"/>
          <w:sz w:val="22"/>
        </w:rPr>
      </w:pPr>
      <w:hyperlink w:anchor="_Toc109294247" w:history="1">
        <w:r w:rsidR="008C396B" w:rsidRPr="00262E73">
          <w:rPr>
            <w:rStyle w:val="Hyperlink"/>
          </w:rPr>
          <w:t>10.</w:t>
        </w:r>
        <w:r w:rsidR="008C396B">
          <w:rPr>
            <w:rFonts w:asciiTheme="minorHAnsi" w:eastAsiaTheme="minorEastAsia" w:hAnsiTheme="minorHAnsi" w:cstheme="minorBidi"/>
            <w:sz w:val="22"/>
          </w:rPr>
          <w:tab/>
        </w:r>
        <w:r w:rsidR="008C396B" w:rsidRPr="00262E73">
          <w:rPr>
            <w:rStyle w:val="Hyperlink"/>
            <w:shd w:val="clear" w:color="auto" w:fill="FFFFFF"/>
          </w:rPr>
          <w:t>Implementation of the serving size recommendations</w:t>
        </w:r>
        <w:r w:rsidR="008C396B">
          <w:rPr>
            <w:webHidden/>
          </w:rPr>
          <w:tab/>
        </w:r>
        <w:r w:rsidR="008C396B">
          <w:rPr>
            <w:webHidden/>
          </w:rPr>
          <w:fldChar w:fldCharType="begin"/>
        </w:r>
        <w:r w:rsidR="008C396B">
          <w:rPr>
            <w:webHidden/>
          </w:rPr>
          <w:instrText xml:space="preserve"> PAGEREF _Toc109294247 \h </w:instrText>
        </w:r>
        <w:r w:rsidR="008C396B">
          <w:rPr>
            <w:webHidden/>
          </w:rPr>
        </w:r>
        <w:r w:rsidR="008C396B">
          <w:rPr>
            <w:webHidden/>
          </w:rPr>
          <w:fldChar w:fldCharType="separate"/>
        </w:r>
        <w:r w:rsidR="0078155A">
          <w:rPr>
            <w:webHidden/>
          </w:rPr>
          <w:t>17</w:t>
        </w:r>
        <w:r w:rsidR="008C396B">
          <w:rPr>
            <w:webHidden/>
          </w:rPr>
          <w:fldChar w:fldCharType="end"/>
        </w:r>
      </w:hyperlink>
    </w:p>
    <w:p w14:paraId="1D212FB3" w14:textId="4B271A08" w:rsidR="008C396B" w:rsidRDefault="00C715FD">
      <w:pPr>
        <w:pStyle w:val="TOC1"/>
        <w:rPr>
          <w:rFonts w:asciiTheme="minorHAnsi" w:eastAsiaTheme="minorEastAsia" w:hAnsiTheme="minorHAnsi" w:cstheme="minorBidi"/>
          <w:sz w:val="22"/>
        </w:rPr>
      </w:pPr>
      <w:hyperlink w:anchor="_Toc109294248" w:history="1">
        <w:r w:rsidR="008C396B" w:rsidRPr="00262E73">
          <w:rPr>
            <w:rStyle w:val="Hyperlink"/>
          </w:rPr>
          <w:t>11.</w:t>
        </w:r>
        <w:r w:rsidR="008C396B">
          <w:rPr>
            <w:rFonts w:asciiTheme="minorHAnsi" w:eastAsiaTheme="minorEastAsia" w:hAnsiTheme="minorHAnsi" w:cstheme="minorBidi"/>
            <w:sz w:val="22"/>
          </w:rPr>
          <w:tab/>
        </w:r>
        <w:r w:rsidR="008C396B" w:rsidRPr="00262E73">
          <w:rPr>
            <w:rStyle w:val="Hyperlink"/>
            <w:shd w:val="clear" w:color="auto" w:fill="FFFFFF"/>
          </w:rPr>
          <w:t>Monitoring and Evaluation</w:t>
        </w:r>
        <w:r w:rsidR="008C396B">
          <w:rPr>
            <w:webHidden/>
          </w:rPr>
          <w:tab/>
        </w:r>
        <w:r w:rsidR="008C396B">
          <w:rPr>
            <w:webHidden/>
          </w:rPr>
          <w:fldChar w:fldCharType="begin"/>
        </w:r>
        <w:r w:rsidR="008C396B">
          <w:rPr>
            <w:webHidden/>
          </w:rPr>
          <w:instrText xml:space="preserve"> PAGEREF _Toc109294248 \h </w:instrText>
        </w:r>
        <w:r w:rsidR="008C396B">
          <w:rPr>
            <w:webHidden/>
          </w:rPr>
        </w:r>
        <w:r w:rsidR="008C396B">
          <w:rPr>
            <w:webHidden/>
          </w:rPr>
          <w:fldChar w:fldCharType="separate"/>
        </w:r>
        <w:r w:rsidR="0078155A">
          <w:rPr>
            <w:webHidden/>
          </w:rPr>
          <w:t>17</w:t>
        </w:r>
        <w:r w:rsidR="008C396B">
          <w:rPr>
            <w:webHidden/>
          </w:rPr>
          <w:fldChar w:fldCharType="end"/>
        </w:r>
      </w:hyperlink>
    </w:p>
    <w:p w14:paraId="1D2F95C2" w14:textId="4CC0023D" w:rsidR="008C396B" w:rsidRDefault="00C715FD">
      <w:pPr>
        <w:pStyle w:val="TOC1"/>
        <w:rPr>
          <w:rFonts w:asciiTheme="minorHAnsi" w:eastAsiaTheme="minorEastAsia" w:hAnsiTheme="minorHAnsi" w:cstheme="minorBidi"/>
          <w:sz w:val="22"/>
        </w:rPr>
      </w:pPr>
      <w:hyperlink w:anchor="_Toc109294249" w:history="1">
        <w:r w:rsidR="008C396B" w:rsidRPr="00262E73">
          <w:rPr>
            <w:rStyle w:val="Hyperlink"/>
          </w:rPr>
          <w:t>12.</w:t>
        </w:r>
        <w:r w:rsidR="008C396B">
          <w:rPr>
            <w:rFonts w:asciiTheme="minorHAnsi" w:eastAsiaTheme="minorEastAsia" w:hAnsiTheme="minorHAnsi" w:cstheme="minorBidi"/>
            <w:sz w:val="22"/>
          </w:rPr>
          <w:tab/>
        </w:r>
        <w:r w:rsidR="008C396B" w:rsidRPr="00262E73">
          <w:rPr>
            <w:rStyle w:val="Hyperlink"/>
            <w:shd w:val="clear" w:color="auto" w:fill="FFFFFF"/>
          </w:rPr>
          <w:t>Additional recommendations and future direction</w:t>
        </w:r>
        <w:r w:rsidR="008C396B">
          <w:rPr>
            <w:webHidden/>
          </w:rPr>
          <w:tab/>
        </w:r>
        <w:r w:rsidR="008C396B">
          <w:rPr>
            <w:webHidden/>
          </w:rPr>
          <w:fldChar w:fldCharType="begin"/>
        </w:r>
        <w:r w:rsidR="008C396B">
          <w:rPr>
            <w:webHidden/>
          </w:rPr>
          <w:instrText xml:space="preserve"> PAGEREF _Toc109294249 \h </w:instrText>
        </w:r>
        <w:r w:rsidR="008C396B">
          <w:rPr>
            <w:webHidden/>
          </w:rPr>
        </w:r>
        <w:r w:rsidR="008C396B">
          <w:rPr>
            <w:webHidden/>
          </w:rPr>
          <w:fldChar w:fldCharType="separate"/>
        </w:r>
        <w:r w:rsidR="0078155A">
          <w:rPr>
            <w:webHidden/>
          </w:rPr>
          <w:t>18</w:t>
        </w:r>
        <w:r w:rsidR="008C396B">
          <w:rPr>
            <w:webHidden/>
          </w:rPr>
          <w:fldChar w:fldCharType="end"/>
        </w:r>
      </w:hyperlink>
    </w:p>
    <w:p w14:paraId="45910200" w14:textId="36365DFA" w:rsidR="008C396B" w:rsidRDefault="00C715FD">
      <w:pPr>
        <w:pStyle w:val="TOC1"/>
        <w:rPr>
          <w:rFonts w:asciiTheme="minorHAnsi" w:eastAsiaTheme="minorEastAsia" w:hAnsiTheme="minorHAnsi" w:cstheme="minorBidi"/>
          <w:sz w:val="22"/>
        </w:rPr>
      </w:pPr>
      <w:hyperlink w:anchor="_Toc109294250" w:history="1">
        <w:r w:rsidR="008C396B" w:rsidRPr="00262E73">
          <w:rPr>
            <w:rStyle w:val="Hyperlink"/>
          </w:rPr>
          <w:t>13.</w:t>
        </w:r>
        <w:r w:rsidR="008C396B">
          <w:rPr>
            <w:rFonts w:asciiTheme="minorHAnsi" w:eastAsiaTheme="minorEastAsia" w:hAnsiTheme="minorHAnsi" w:cstheme="minorBidi"/>
            <w:sz w:val="22"/>
          </w:rPr>
          <w:tab/>
        </w:r>
        <w:r w:rsidR="008C396B" w:rsidRPr="00262E73">
          <w:rPr>
            <w:rStyle w:val="Hyperlink"/>
            <w:shd w:val="clear" w:color="auto" w:fill="FFFFFF"/>
          </w:rPr>
          <w:t>Working Group members</w:t>
        </w:r>
        <w:r w:rsidR="008C396B">
          <w:rPr>
            <w:webHidden/>
          </w:rPr>
          <w:tab/>
        </w:r>
        <w:r w:rsidR="008C396B">
          <w:rPr>
            <w:webHidden/>
          </w:rPr>
          <w:fldChar w:fldCharType="begin"/>
        </w:r>
        <w:r w:rsidR="008C396B">
          <w:rPr>
            <w:webHidden/>
          </w:rPr>
          <w:instrText xml:space="preserve"> PAGEREF _Toc109294250 \h </w:instrText>
        </w:r>
        <w:r w:rsidR="008C396B">
          <w:rPr>
            <w:webHidden/>
          </w:rPr>
        </w:r>
        <w:r w:rsidR="008C396B">
          <w:rPr>
            <w:webHidden/>
          </w:rPr>
          <w:fldChar w:fldCharType="separate"/>
        </w:r>
        <w:r w:rsidR="0078155A">
          <w:rPr>
            <w:webHidden/>
          </w:rPr>
          <w:t>19</w:t>
        </w:r>
        <w:r w:rsidR="008C396B">
          <w:rPr>
            <w:webHidden/>
          </w:rPr>
          <w:fldChar w:fldCharType="end"/>
        </w:r>
      </w:hyperlink>
    </w:p>
    <w:p w14:paraId="6706A1A0" w14:textId="09D083A4" w:rsidR="008C396B" w:rsidRDefault="00C715FD">
      <w:pPr>
        <w:pStyle w:val="TOC1"/>
        <w:rPr>
          <w:rFonts w:asciiTheme="minorHAnsi" w:eastAsiaTheme="minorEastAsia" w:hAnsiTheme="minorHAnsi" w:cstheme="minorBidi"/>
          <w:sz w:val="22"/>
        </w:rPr>
      </w:pPr>
      <w:hyperlink w:anchor="_Toc109294251" w:history="1">
        <w:r w:rsidR="008C396B" w:rsidRPr="00262E73">
          <w:rPr>
            <w:rStyle w:val="Hyperlink"/>
            <w:shd w:val="clear" w:color="auto" w:fill="FFFFFF"/>
          </w:rPr>
          <w:t>References</w:t>
        </w:r>
        <w:r w:rsidR="008C396B">
          <w:rPr>
            <w:webHidden/>
          </w:rPr>
          <w:tab/>
        </w:r>
        <w:r w:rsidR="008C396B">
          <w:rPr>
            <w:webHidden/>
          </w:rPr>
          <w:fldChar w:fldCharType="begin"/>
        </w:r>
        <w:r w:rsidR="008C396B">
          <w:rPr>
            <w:webHidden/>
          </w:rPr>
          <w:instrText xml:space="preserve"> PAGEREF _Toc109294251 \h </w:instrText>
        </w:r>
        <w:r w:rsidR="008C396B">
          <w:rPr>
            <w:webHidden/>
          </w:rPr>
        </w:r>
        <w:r w:rsidR="008C396B">
          <w:rPr>
            <w:webHidden/>
          </w:rPr>
          <w:fldChar w:fldCharType="separate"/>
        </w:r>
        <w:r w:rsidR="0078155A">
          <w:rPr>
            <w:webHidden/>
          </w:rPr>
          <w:t>20</w:t>
        </w:r>
        <w:r w:rsidR="008C396B">
          <w:rPr>
            <w:webHidden/>
          </w:rPr>
          <w:fldChar w:fldCharType="end"/>
        </w:r>
      </w:hyperlink>
    </w:p>
    <w:p w14:paraId="047358FC" w14:textId="623594E5" w:rsidR="008C396B" w:rsidRDefault="00C715FD">
      <w:pPr>
        <w:pStyle w:val="TOC1"/>
        <w:rPr>
          <w:rFonts w:asciiTheme="minorHAnsi" w:eastAsiaTheme="minorEastAsia" w:hAnsiTheme="minorHAnsi" w:cstheme="minorBidi"/>
          <w:sz w:val="22"/>
        </w:rPr>
      </w:pPr>
      <w:hyperlink w:anchor="_Toc109294252" w:history="1">
        <w:r w:rsidR="008C396B" w:rsidRPr="00262E73">
          <w:rPr>
            <w:rStyle w:val="Hyperlink"/>
            <w:rFonts w:cstheme="minorHAnsi"/>
          </w:rPr>
          <w:t>Appendix A – Rationale for serving size recommendations</w:t>
        </w:r>
        <w:r w:rsidR="008C396B">
          <w:rPr>
            <w:webHidden/>
          </w:rPr>
          <w:tab/>
        </w:r>
        <w:r w:rsidR="008C396B">
          <w:rPr>
            <w:webHidden/>
          </w:rPr>
          <w:fldChar w:fldCharType="begin"/>
        </w:r>
        <w:r w:rsidR="008C396B">
          <w:rPr>
            <w:webHidden/>
          </w:rPr>
          <w:instrText xml:space="preserve"> PAGEREF _Toc109294252 \h </w:instrText>
        </w:r>
        <w:r w:rsidR="008C396B">
          <w:rPr>
            <w:webHidden/>
          </w:rPr>
        </w:r>
        <w:r w:rsidR="008C396B">
          <w:rPr>
            <w:webHidden/>
          </w:rPr>
          <w:fldChar w:fldCharType="separate"/>
        </w:r>
        <w:r w:rsidR="0078155A">
          <w:rPr>
            <w:webHidden/>
          </w:rPr>
          <w:t>22</w:t>
        </w:r>
        <w:r w:rsidR="008C396B">
          <w:rPr>
            <w:webHidden/>
          </w:rPr>
          <w:fldChar w:fldCharType="end"/>
        </w:r>
      </w:hyperlink>
    </w:p>
    <w:p w14:paraId="58297790" w14:textId="145A7B63" w:rsidR="008C396B" w:rsidRDefault="00C715FD">
      <w:pPr>
        <w:pStyle w:val="TOC1"/>
        <w:rPr>
          <w:rFonts w:asciiTheme="minorHAnsi" w:eastAsiaTheme="minorEastAsia" w:hAnsiTheme="minorHAnsi" w:cstheme="minorBidi"/>
          <w:sz w:val="22"/>
        </w:rPr>
      </w:pPr>
      <w:hyperlink w:anchor="_Toc109294253" w:history="1">
        <w:r w:rsidR="008C396B" w:rsidRPr="00262E73">
          <w:rPr>
            <w:rStyle w:val="Hyperlink"/>
            <w:rFonts w:cstheme="minorHAnsi"/>
          </w:rPr>
          <w:t>Appendix B - Category definitions, inclusions, and exclusions</w:t>
        </w:r>
        <w:r w:rsidR="008C396B">
          <w:rPr>
            <w:webHidden/>
          </w:rPr>
          <w:tab/>
        </w:r>
        <w:r w:rsidR="008C396B">
          <w:rPr>
            <w:webHidden/>
          </w:rPr>
          <w:fldChar w:fldCharType="begin"/>
        </w:r>
        <w:r w:rsidR="008C396B">
          <w:rPr>
            <w:webHidden/>
          </w:rPr>
          <w:instrText xml:space="preserve"> PAGEREF _Toc109294253 \h </w:instrText>
        </w:r>
        <w:r w:rsidR="008C396B">
          <w:rPr>
            <w:webHidden/>
          </w:rPr>
        </w:r>
        <w:r w:rsidR="008C396B">
          <w:rPr>
            <w:webHidden/>
          </w:rPr>
          <w:fldChar w:fldCharType="separate"/>
        </w:r>
        <w:r w:rsidR="0078155A">
          <w:rPr>
            <w:webHidden/>
          </w:rPr>
          <w:t>35</w:t>
        </w:r>
        <w:r w:rsidR="008C396B">
          <w:rPr>
            <w:webHidden/>
          </w:rPr>
          <w:fldChar w:fldCharType="end"/>
        </w:r>
      </w:hyperlink>
    </w:p>
    <w:p w14:paraId="6DF7DBFE" w14:textId="49DCBC1C" w:rsidR="00210596" w:rsidRDefault="00F43167" w:rsidP="00260351">
      <w:pPr>
        <w:pStyle w:val="TOC1"/>
      </w:pPr>
      <w:r>
        <w:fldChar w:fldCharType="end"/>
      </w:r>
      <w:r w:rsidR="00210596">
        <w:br w:type="page"/>
      </w:r>
    </w:p>
    <w:p w14:paraId="58BF87DF" w14:textId="5F827913" w:rsidR="00210596" w:rsidRDefault="00B914B2" w:rsidP="00E35936">
      <w:pPr>
        <w:pStyle w:val="Heading1"/>
      </w:pPr>
      <w:bookmarkStart w:id="4" w:name="_Toc109294229"/>
      <w:r>
        <w:lastRenderedPageBreak/>
        <w:t>List of a</w:t>
      </w:r>
      <w:r w:rsidRPr="00B914B2">
        <w:t>bbreviations</w:t>
      </w:r>
      <w:bookmarkEnd w:id="4"/>
    </w:p>
    <w:tbl>
      <w:tblPr>
        <w:tblStyle w:val="TableGrid"/>
        <w:tblW w:w="9910" w:type="dxa"/>
        <w:tblLook w:val="04A0" w:firstRow="1" w:lastRow="0" w:firstColumn="1" w:lastColumn="0" w:noHBand="0" w:noVBand="1"/>
        <w:tblCaption w:val="List of abbreviations"/>
        <w:tblDescription w:val="This tables lists common abbreviations used thoughout the document"/>
      </w:tblPr>
      <w:tblGrid>
        <w:gridCol w:w="2335"/>
        <w:gridCol w:w="7575"/>
      </w:tblGrid>
      <w:tr w:rsidR="00B914B2" w14:paraId="16B8E74F" w14:textId="77777777" w:rsidTr="3F923778">
        <w:trPr>
          <w:trHeight w:val="296"/>
          <w:tblHeader/>
        </w:trPr>
        <w:tc>
          <w:tcPr>
            <w:tcW w:w="2335" w:type="dxa"/>
          </w:tcPr>
          <w:p w14:paraId="74F8922A" w14:textId="1CF6E9C7" w:rsidR="00B914B2" w:rsidRPr="00B5325D" w:rsidRDefault="00B914B2" w:rsidP="003E22B5">
            <w:pPr>
              <w:rPr>
                <w:b/>
                <w:bCs/>
                <w:color w:val="222222"/>
                <w:sz w:val="22"/>
              </w:rPr>
            </w:pPr>
            <w:r w:rsidRPr="00B5325D">
              <w:rPr>
                <w:b/>
                <w:bCs/>
                <w:color w:val="222222"/>
                <w:sz w:val="22"/>
              </w:rPr>
              <w:t>Abbreviation</w:t>
            </w:r>
          </w:p>
        </w:tc>
        <w:tc>
          <w:tcPr>
            <w:tcW w:w="7575" w:type="dxa"/>
          </w:tcPr>
          <w:p w14:paraId="7F0C5229" w14:textId="5E84A3AA" w:rsidR="00B914B2" w:rsidRPr="00B5325D" w:rsidRDefault="00B914B2" w:rsidP="003E22B5">
            <w:pPr>
              <w:rPr>
                <w:b/>
                <w:sz w:val="22"/>
              </w:rPr>
            </w:pPr>
            <w:r w:rsidRPr="00B5325D">
              <w:rPr>
                <w:b/>
                <w:sz w:val="22"/>
              </w:rPr>
              <w:t xml:space="preserve">Explanation </w:t>
            </w:r>
          </w:p>
        </w:tc>
      </w:tr>
      <w:tr w:rsidR="00B914B2" w14:paraId="177643E5" w14:textId="77777777" w:rsidTr="3F923778">
        <w:trPr>
          <w:trHeight w:val="306"/>
        </w:trPr>
        <w:tc>
          <w:tcPr>
            <w:tcW w:w="2335" w:type="dxa"/>
          </w:tcPr>
          <w:p w14:paraId="4E8E7147" w14:textId="2EDBF761" w:rsidR="00B914B2" w:rsidRPr="00B5325D" w:rsidRDefault="00B914B2" w:rsidP="33482807">
            <w:pPr>
              <w:rPr>
                <w:sz w:val="22"/>
                <w:szCs w:val="22"/>
              </w:rPr>
            </w:pPr>
            <w:r w:rsidRPr="33482807">
              <w:rPr>
                <w:color w:val="222222"/>
                <w:sz w:val="22"/>
                <w:szCs w:val="22"/>
              </w:rPr>
              <w:t>ADG</w:t>
            </w:r>
          </w:p>
        </w:tc>
        <w:tc>
          <w:tcPr>
            <w:tcW w:w="7575" w:type="dxa"/>
          </w:tcPr>
          <w:p w14:paraId="499C97BF" w14:textId="15A9C005" w:rsidR="00B914B2" w:rsidRPr="00B5325D" w:rsidRDefault="00B914B2" w:rsidP="003E22B5">
            <w:pPr>
              <w:rPr>
                <w:sz w:val="22"/>
              </w:rPr>
            </w:pPr>
            <w:r w:rsidRPr="00B5325D">
              <w:rPr>
                <w:sz w:val="22"/>
              </w:rPr>
              <w:t>Australian Dietary Guidelines</w:t>
            </w:r>
          </w:p>
        </w:tc>
      </w:tr>
      <w:tr w:rsidR="00B914B2" w14:paraId="121BE488" w14:textId="77777777" w:rsidTr="3F923778">
        <w:trPr>
          <w:trHeight w:val="296"/>
        </w:trPr>
        <w:tc>
          <w:tcPr>
            <w:tcW w:w="2335" w:type="dxa"/>
          </w:tcPr>
          <w:p w14:paraId="2F1762F0" w14:textId="56903ADF" w:rsidR="00B914B2" w:rsidRPr="00B5325D" w:rsidRDefault="00B914B2" w:rsidP="33482807">
            <w:pPr>
              <w:rPr>
                <w:color w:val="222222"/>
                <w:sz w:val="22"/>
                <w:szCs w:val="22"/>
              </w:rPr>
            </w:pPr>
            <w:r w:rsidRPr="33482807">
              <w:rPr>
                <w:sz w:val="22"/>
                <w:szCs w:val="22"/>
              </w:rPr>
              <w:t>AGHE</w:t>
            </w:r>
          </w:p>
        </w:tc>
        <w:tc>
          <w:tcPr>
            <w:tcW w:w="7575" w:type="dxa"/>
          </w:tcPr>
          <w:p w14:paraId="2F3B5440" w14:textId="75748D03" w:rsidR="00B914B2" w:rsidRPr="00B5325D" w:rsidRDefault="00B914B2" w:rsidP="003E22B5">
            <w:pPr>
              <w:rPr>
                <w:sz w:val="22"/>
              </w:rPr>
            </w:pPr>
            <w:r w:rsidRPr="00B5325D">
              <w:rPr>
                <w:sz w:val="22"/>
              </w:rPr>
              <w:t>Australian Guide to Healthy Eating</w:t>
            </w:r>
          </w:p>
        </w:tc>
      </w:tr>
      <w:tr w:rsidR="00B914B2" w14:paraId="0FB9C55C" w14:textId="77777777" w:rsidTr="3F923778">
        <w:trPr>
          <w:trHeight w:val="388"/>
        </w:trPr>
        <w:tc>
          <w:tcPr>
            <w:tcW w:w="2335" w:type="dxa"/>
          </w:tcPr>
          <w:p w14:paraId="4649BAED" w14:textId="77777777" w:rsidR="00B914B2" w:rsidRPr="00B5325D" w:rsidRDefault="00B914B2" w:rsidP="003E22B5">
            <w:pPr>
              <w:rPr>
                <w:rFonts w:asciiTheme="majorHAnsi" w:hAnsiTheme="majorHAnsi"/>
                <w:sz w:val="22"/>
              </w:rPr>
            </w:pPr>
            <w:r w:rsidRPr="00B5325D">
              <w:rPr>
                <w:bCs/>
                <w:sz w:val="22"/>
              </w:rPr>
              <w:t>IBPGWG</w:t>
            </w:r>
          </w:p>
        </w:tc>
        <w:tc>
          <w:tcPr>
            <w:tcW w:w="7575" w:type="dxa"/>
          </w:tcPr>
          <w:p w14:paraId="1594FCFA" w14:textId="74990353" w:rsidR="00B914B2" w:rsidRPr="00B5325D" w:rsidRDefault="00B914B2" w:rsidP="003E22B5">
            <w:pPr>
              <w:rPr>
                <w:sz w:val="22"/>
              </w:rPr>
            </w:pPr>
            <w:r w:rsidRPr="00B5325D">
              <w:rPr>
                <w:sz w:val="22"/>
              </w:rPr>
              <w:t>Industry Best Practice Guide Working Group</w:t>
            </w:r>
          </w:p>
        </w:tc>
      </w:tr>
      <w:tr w:rsidR="004E77B6" w14:paraId="00918CB2" w14:textId="77777777" w:rsidTr="3F923778">
        <w:trPr>
          <w:trHeight w:val="388"/>
        </w:trPr>
        <w:tc>
          <w:tcPr>
            <w:tcW w:w="2335" w:type="dxa"/>
          </w:tcPr>
          <w:p w14:paraId="7738D78D" w14:textId="05616F80" w:rsidR="004E77B6" w:rsidRPr="00B5325D" w:rsidRDefault="004E77B6" w:rsidP="003E22B5">
            <w:pPr>
              <w:rPr>
                <w:bCs/>
                <w:sz w:val="22"/>
              </w:rPr>
            </w:pPr>
            <w:r>
              <w:rPr>
                <w:bCs/>
                <w:sz w:val="22"/>
              </w:rPr>
              <w:t>IGD</w:t>
            </w:r>
          </w:p>
        </w:tc>
        <w:tc>
          <w:tcPr>
            <w:tcW w:w="7575" w:type="dxa"/>
          </w:tcPr>
          <w:p w14:paraId="5AB22DBD" w14:textId="7C581580" w:rsidR="004E77B6" w:rsidRPr="00B5325D" w:rsidRDefault="00CB4CBC" w:rsidP="003E22B5">
            <w:pPr>
              <w:rPr>
                <w:sz w:val="22"/>
              </w:rPr>
            </w:pPr>
            <w:r>
              <w:rPr>
                <w:sz w:val="22"/>
              </w:rPr>
              <w:t>Institute of Grocery Distribution</w:t>
            </w:r>
            <w:r w:rsidR="00E51998">
              <w:rPr>
                <w:sz w:val="22"/>
              </w:rPr>
              <w:t xml:space="preserve"> (UK)</w:t>
            </w:r>
          </w:p>
        </w:tc>
      </w:tr>
      <w:tr w:rsidR="00B914B2" w14:paraId="22C823D8" w14:textId="77777777" w:rsidTr="3F923778">
        <w:trPr>
          <w:trHeight w:val="377"/>
        </w:trPr>
        <w:tc>
          <w:tcPr>
            <w:tcW w:w="2335" w:type="dxa"/>
          </w:tcPr>
          <w:p w14:paraId="64D51949" w14:textId="77777777" w:rsidR="00B914B2" w:rsidRPr="00B5325D" w:rsidRDefault="00B914B2" w:rsidP="003E22B5">
            <w:pPr>
              <w:rPr>
                <w:rFonts w:asciiTheme="majorHAnsi" w:hAnsiTheme="majorHAnsi"/>
                <w:sz w:val="22"/>
              </w:rPr>
            </w:pPr>
            <w:r w:rsidRPr="00B5325D">
              <w:rPr>
                <w:sz w:val="22"/>
              </w:rPr>
              <w:t>IMERG</w:t>
            </w:r>
          </w:p>
        </w:tc>
        <w:tc>
          <w:tcPr>
            <w:tcW w:w="7575" w:type="dxa"/>
          </w:tcPr>
          <w:p w14:paraId="5E37EE91" w14:textId="01B7AA1F" w:rsidR="00B914B2" w:rsidRPr="00B5325D" w:rsidRDefault="00B914B2" w:rsidP="6136B92D">
            <w:pPr>
              <w:rPr>
                <w:sz w:val="22"/>
                <w:szCs w:val="22"/>
              </w:rPr>
            </w:pPr>
            <w:r w:rsidRPr="0AFE4B75">
              <w:rPr>
                <w:sz w:val="22"/>
                <w:szCs w:val="22"/>
              </w:rPr>
              <w:t>Implementation, Monitoring and Evaluation Reference</w:t>
            </w:r>
            <w:r w:rsidR="00CB4A56">
              <w:rPr>
                <w:sz w:val="22"/>
                <w:szCs w:val="22"/>
              </w:rPr>
              <w:t xml:space="preserve"> </w:t>
            </w:r>
            <w:r w:rsidRPr="0AFE4B75">
              <w:rPr>
                <w:sz w:val="22"/>
                <w:szCs w:val="22"/>
              </w:rPr>
              <w:t>Group</w:t>
            </w:r>
          </w:p>
        </w:tc>
      </w:tr>
      <w:tr w:rsidR="00B914B2" w14:paraId="01DA74CB" w14:textId="77777777" w:rsidTr="3F923778">
        <w:trPr>
          <w:trHeight w:val="388"/>
        </w:trPr>
        <w:tc>
          <w:tcPr>
            <w:tcW w:w="2335" w:type="dxa"/>
          </w:tcPr>
          <w:p w14:paraId="7313CFE9" w14:textId="77777777" w:rsidR="00B914B2" w:rsidRPr="00B5325D" w:rsidRDefault="00B914B2" w:rsidP="003E22B5">
            <w:pPr>
              <w:rPr>
                <w:rFonts w:asciiTheme="majorHAnsi" w:hAnsiTheme="majorHAnsi"/>
                <w:sz w:val="22"/>
              </w:rPr>
            </w:pPr>
            <w:r w:rsidRPr="00B5325D">
              <w:rPr>
                <w:sz w:val="22"/>
              </w:rPr>
              <w:t>NNPAS</w:t>
            </w:r>
          </w:p>
        </w:tc>
        <w:tc>
          <w:tcPr>
            <w:tcW w:w="7575" w:type="dxa"/>
          </w:tcPr>
          <w:p w14:paraId="5A1C118F" w14:textId="37C0BFED" w:rsidR="00B914B2" w:rsidRPr="00B5325D" w:rsidRDefault="00B914B2" w:rsidP="003E22B5">
            <w:pPr>
              <w:rPr>
                <w:sz w:val="22"/>
              </w:rPr>
            </w:pPr>
            <w:r w:rsidRPr="00B5325D">
              <w:rPr>
                <w:sz w:val="22"/>
              </w:rPr>
              <w:t>National Nutrition and Physical Activity Survey 2011-12</w:t>
            </w:r>
          </w:p>
        </w:tc>
      </w:tr>
      <w:tr w:rsidR="00B914B2" w14:paraId="10E94643" w14:textId="77777777" w:rsidTr="3F923778">
        <w:trPr>
          <w:trHeight w:val="377"/>
        </w:trPr>
        <w:tc>
          <w:tcPr>
            <w:tcW w:w="2335" w:type="dxa"/>
          </w:tcPr>
          <w:p w14:paraId="63E0453E" w14:textId="77777777" w:rsidR="05260A5A" w:rsidRDefault="05260A5A" w:rsidP="05260A5A">
            <w:pPr>
              <w:rPr>
                <w:rFonts w:asciiTheme="majorHAnsi" w:hAnsiTheme="majorHAnsi"/>
                <w:sz w:val="22"/>
                <w:szCs w:val="22"/>
              </w:rPr>
            </w:pPr>
            <w:r w:rsidRPr="05260A5A">
              <w:rPr>
                <w:sz w:val="22"/>
                <w:szCs w:val="22"/>
              </w:rPr>
              <w:t>PSWG</w:t>
            </w:r>
          </w:p>
        </w:tc>
        <w:tc>
          <w:tcPr>
            <w:tcW w:w="7575" w:type="dxa"/>
          </w:tcPr>
          <w:p w14:paraId="7F5C2F6A" w14:textId="48D569C6" w:rsidR="05260A5A" w:rsidRDefault="05260A5A" w:rsidP="05260A5A">
            <w:pPr>
              <w:rPr>
                <w:sz w:val="22"/>
                <w:szCs w:val="22"/>
              </w:rPr>
            </w:pPr>
            <w:r w:rsidRPr="05260A5A">
              <w:rPr>
                <w:sz w:val="22"/>
                <w:szCs w:val="22"/>
              </w:rPr>
              <w:t>Portion Size Working Group</w:t>
            </w:r>
          </w:p>
        </w:tc>
      </w:tr>
      <w:tr w:rsidR="00B914B2" w14:paraId="130DE632" w14:textId="77777777" w:rsidTr="3F923778">
        <w:trPr>
          <w:trHeight w:val="388"/>
        </w:trPr>
        <w:tc>
          <w:tcPr>
            <w:tcW w:w="2335" w:type="dxa"/>
          </w:tcPr>
          <w:p w14:paraId="28C8340B" w14:textId="77777777" w:rsidR="05260A5A" w:rsidRDefault="05260A5A" w:rsidP="05260A5A">
            <w:pPr>
              <w:rPr>
                <w:rFonts w:asciiTheme="majorHAnsi" w:hAnsiTheme="majorHAnsi"/>
                <w:sz w:val="22"/>
                <w:szCs w:val="22"/>
              </w:rPr>
            </w:pPr>
            <w:r w:rsidRPr="05260A5A">
              <w:rPr>
                <w:rFonts w:cstheme="minorBidi"/>
                <w:sz w:val="22"/>
                <w:szCs w:val="22"/>
              </w:rPr>
              <w:t>RWG</w:t>
            </w:r>
          </w:p>
        </w:tc>
        <w:tc>
          <w:tcPr>
            <w:tcW w:w="7575" w:type="dxa"/>
          </w:tcPr>
          <w:p w14:paraId="44456173" w14:textId="43C76A6A" w:rsidR="05260A5A" w:rsidRDefault="05260A5A" w:rsidP="05260A5A">
            <w:pPr>
              <w:rPr>
                <w:sz w:val="22"/>
                <w:szCs w:val="22"/>
              </w:rPr>
            </w:pPr>
            <w:r w:rsidRPr="05260A5A">
              <w:rPr>
                <w:sz w:val="22"/>
                <w:szCs w:val="22"/>
              </w:rPr>
              <w:t>Reformulation Working Group</w:t>
            </w:r>
          </w:p>
        </w:tc>
      </w:tr>
      <w:tr w:rsidR="05260A5A" w14:paraId="46CA3CD5" w14:textId="77777777" w:rsidTr="3F923778">
        <w:trPr>
          <w:trHeight w:val="388"/>
        </w:trPr>
        <w:tc>
          <w:tcPr>
            <w:tcW w:w="2335" w:type="dxa"/>
          </w:tcPr>
          <w:p w14:paraId="7B56B6A5" w14:textId="77777777" w:rsidR="05260A5A" w:rsidRDefault="05260A5A" w:rsidP="05260A5A">
            <w:pPr>
              <w:rPr>
                <w:rFonts w:cstheme="minorBidi"/>
                <w:sz w:val="22"/>
                <w:szCs w:val="22"/>
              </w:rPr>
            </w:pPr>
            <w:r w:rsidRPr="05260A5A">
              <w:rPr>
                <w:sz w:val="22"/>
                <w:szCs w:val="22"/>
              </w:rPr>
              <w:t>WHO</w:t>
            </w:r>
          </w:p>
        </w:tc>
        <w:tc>
          <w:tcPr>
            <w:tcW w:w="7575" w:type="dxa"/>
          </w:tcPr>
          <w:p w14:paraId="27E2BE22" w14:textId="43551834" w:rsidR="05260A5A" w:rsidRDefault="05260A5A" w:rsidP="05260A5A">
            <w:pPr>
              <w:rPr>
                <w:sz w:val="22"/>
                <w:szCs w:val="22"/>
              </w:rPr>
            </w:pPr>
            <w:r w:rsidRPr="05260A5A">
              <w:rPr>
                <w:sz w:val="22"/>
                <w:szCs w:val="22"/>
              </w:rPr>
              <w:t>World Health Organization</w:t>
            </w:r>
          </w:p>
        </w:tc>
      </w:tr>
    </w:tbl>
    <w:p w14:paraId="04966509" w14:textId="77777777" w:rsidR="00B914B2" w:rsidRPr="00B914B2" w:rsidRDefault="00B914B2" w:rsidP="00B914B2">
      <w:pPr>
        <w:rPr>
          <w:rFonts w:asciiTheme="majorHAnsi" w:hAnsiTheme="majorHAnsi"/>
          <w:b/>
          <w:sz w:val="32"/>
        </w:rPr>
      </w:pPr>
    </w:p>
    <w:p w14:paraId="3F194A63" w14:textId="77777777" w:rsidR="00340B24" w:rsidRDefault="00B914B2" w:rsidP="00E35936">
      <w:pPr>
        <w:pStyle w:val="Heading1"/>
      </w:pPr>
      <w:bookmarkStart w:id="5" w:name="_Toc109294230"/>
      <w:r>
        <w:t>Glossary</w:t>
      </w:r>
      <w:bookmarkEnd w:id="5"/>
    </w:p>
    <w:tbl>
      <w:tblPr>
        <w:tblStyle w:val="TableGrid"/>
        <w:tblW w:w="9910" w:type="dxa"/>
        <w:tblLook w:val="04A0" w:firstRow="1" w:lastRow="0" w:firstColumn="1" w:lastColumn="0" w:noHBand="0" w:noVBand="1"/>
        <w:tblCaption w:val="Glossary"/>
        <w:tblDescription w:val="This table contains a glossary of common terms used throughout the document"/>
      </w:tblPr>
      <w:tblGrid>
        <w:gridCol w:w="2335"/>
        <w:gridCol w:w="7575"/>
      </w:tblGrid>
      <w:tr w:rsidR="00340B24" w14:paraId="35690D0A" w14:textId="77777777" w:rsidTr="3F923778">
        <w:trPr>
          <w:trHeight w:val="250"/>
          <w:tblHeader/>
        </w:trPr>
        <w:tc>
          <w:tcPr>
            <w:tcW w:w="2335" w:type="dxa"/>
          </w:tcPr>
          <w:p w14:paraId="51EFDD03" w14:textId="73FFDFE1" w:rsidR="00340B24" w:rsidRPr="00B5325D" w:rsidRDefault="00B914B2" w:rsidP="003E22B5">
            <w:pPr>
              <w:rPr>
                <w:b/>
                <w:bCs/>
                <w:color w:val="222222"/>
                <w:sz w:val="22"/>
              </w:rPr>
            </w:pPr>
            <w:r>
              <w:rPr>
                <w:rFonts w:asciiTheme="majorHAnsi" w:hAnsiTheme="majorHAnsi"/>
                <w:b/>
                <w:sz w:val="32"/>
              </w:rPr>
              <w:t xml:space="preserve"> </w:t>
            </w:r>
            <w:r w:rsidR="00340B24" w:rsidRPr="00B5325D">
              <w:rPr>
                <w:b/>
                <w:sz w:val="22"/>
              </w:rPr>
              <w:t>Term</w:t>
            </w:r>
          </w:p>
        </w:tc>
        <w:tc>
          <w:tcPr>
            <w:tcW w:w="7575" w:type="dxa"/>
          </w:tcPr>
          <w:p w14:paraId="79FE8CB6" w14:textId="3AB61AA9" w:rsidR="00340B24" w:rsidRPr="00B5325D" w:rsidRDefault="00340B24" w:rsidP="003E22B5">
            <w:pPr>
              <w:rPr>
                <w:b/>
                <w:sz w:val="22"/>
              </w:rPr>
            </w:pPr>
            <w:r w:rsidRPr="00B5325D">
              <w:rPr>
                <w:b/>
                <w:sz w:val="22"/>
              </w:rPr>
              <w:t>Definition</w:t>
            </w:r>
          </w:p>
        </w:tc>
      </w:tr>
      <w:tr w:rsidR="00340B24" w14:paraId="6B3E6781" w14:textId="77777777" w:rsidTr="3F923778">
        <w:trPr>
          <w:trHeight w:val="386"/>
        </w:trPr>
        <w:tc>
          <w:tcPr>
            <w:tcW w:w="2335" w:type="dxa"/>
          </w:tcPr>
          <w:p w14:paraId="1A261A44" w14:textId="4DD1B0A4" w:rsidR="00340B24" w:rsidRPr="00B5325D" w:rsidRDefault="004A5238" w:rsidP="14552313">
            <w:pPr>
              <w:rPr>
                <w:sz w:val="22"/>
                <w:szCs w:val="22"/>
              </w:rPr>
            </w:pPr>
            <w:r w:rsidRPr="33482807">
              <w:rPr>
                <w:sz w:val="22"/>
                <w:szCs w:val="22"/>
              </w:rPr>
              <w:t xml:space="preserve">Five </w:t>
            </w:r>
            <w:r w:rsidR="6786D9DF" w:rsidRPr="33482807">
              <w:rPr>
                <w:sz w:val="22"/>
                <w:szCs w:val="22"/>
              </w:rPr>
              <w:t>food groups</w:t>
            </w:r>
            <w:r w:rsidR="2B4027E2" w:rsidRPr="33482807">
              <w:rPr>
                <w:sz w:val="22"/>
                <w:szCs w:val="22"/>
              </w:rPr>
              <w:t xml:space="preserve"> (FFG)</w:t>
            </w:r>
          </w:p>
        </w:tc>
        <w:tc>
          <w:tcPr>
            <w:tcW w:w="7575" w:type="dxa"/>
          </w:tcPr>
          <w:p w14:paraId="42CA702E" w14:textId="32889B96" w:rsidR="00340B24" w:rsidRPr="00B5325D" w:rsidRDefault="74C8E391" w:rsidP="06C75855">
            <w:pPr>
              <w:rPr>
                <w:sz w:val="22"/>
                <w:szCs w:val="22"/>
              </w:rPr>
            </w:pPr>
            <w:r w:rsidRPr="3F923778">
              <w:rPr>
                <w:sz w:val="22"/>
                <w:szCs w:val="22"/>
              </w:rPr>
              <w:t xml:space="preserve">Five Food Groups include vegetables, fruits, grains and cereals, lean </w:t>
            </w:r>
            <w:proofErr w:type="gramStart"/>
            <w:r w:rsidRPr="3F923778">
              <w:rPr>
                <w:sz w:val="22"/>
                <w:szCs w:val="22"/>
              </w:rPr>
              <w:t>meats</w:t>
            </w:r>
            <w:proofErr w:type="gramEnd"/>
            <w:r w:rsidRPr="3F923778">
              <w:rPr>
                <w:sz w:val="22"/>
                <w:szCs w:val="22"/>
              </w:rPr>
              <w:t xml:space="preserve"> and alternatives (poultry, fish, legumes, tofu, nuts and seeds), and dairy (milk, cheese and yoghurt). </w:t>
            </w:r>
            <w:r w:rsidR="66AED15F" w:rsidRPr="3F923778">
              <w:rPr>
                <w:sz w:val="22"/>
                <w:szCs w:val="22"/>
              </w:rPr>
              <w:t xml:space="preserve">These </w:t>
            </w:r>
            <w:r w:rsidR="6FC25189" w:rsidRPr="3F923778">
              <w:rPr>
                <w:sz w:val="22"/>
                <w:szCs w:val="22"/>
              </w:rPr>
              <w:t xml:space="preserve">foods form the basis of a healthy diet, based </w:t>
            </w:r>
            <w:proofErr w:type="gramStart"/>
            <w:r w:rsidR="6FC25189" w:rsidRPr="3F923778">
              <w:rPr>
                <w:sz w:val="22"/>
                <w:szCs w:val="22"/>
              </w:rPr>
              <w:t>on</w:t>
            </w:r>
            <w:proofErr w:type="gramEnd"/>
            <w:r w:rsidR="6FC25189" w:rsidRPr="3F923778">
              <w:rPr>
                <w:sz w:val="22"/>
                <w:szCs w:val="22"/>
              </w:rPr>
              <w:t xml:space="preserve"> or developed with reference to </w:t>
            </w:r>
            <w:r w:rsidR="0DFB3013" w:rsidRPr="3F923778">
              <w:rPr>
                <w:sz w:val="22"/>
                <w:szCs w:val="22"/>
              </w:rPr>
              <w:t>recommended daily intakes</w:t>
            </w:r>
            <w:r w:rsidR="6FC25189" w:rsidRPr="3F923778">
              <w:rPr>
                <w:sz w:val="22"/>
                <w:szCs w:val="22"/>
              </w:rPr>
              <w:t>.</w:t>
            </w:r>
          </w:p>
        </w:tc>
      </w:tr>
      <w:tr w:rsidR="00340B24" w14:paraId="38F5194B" w14:textId="77777777" w:rsidTr="3F923778">
        <w:trPr>
          <w:trHeight w:val="386"/>
        </w:trPr>
        <w:tc>
          <w:tcPr>
            <w:tcW w:w="2335" w:type="dxa"/>
          </w:tcPr>
          <w:p w14:paraId="5415B50D" w14:textId="68E162EA" w:rsidR="00340B24" w:rsidRPr="00B5325D" w:rsidRDefault="00340B24" w:rsidP="00340B24">
            <w:pPr>
              <w:rPr>
                <w:sz w:val="22"/>
              </w:rPr>
            </w:pPr>
            <w:r w:rsidRPr="00B5325D">
              <w:rPr>
                <w:sz w:val="22"/>
              </w:rPr>
              <w:t>Discretionary food</w:t>
            </w:r>
            <w:r w:rsidR="001E7C26">
              <w:rPr>
                <w:sz w:val="22"/>
              </w:rPr>
              <w:t>s</w:t>
            </w:r>
            <w:r w:rsidR="00F804E8">
              <w:rPr>
                <w:sz w:val="22"/>
              </w:rPr>
              <w:t xml:space="preserve"> and beverages</w:t>
            </w:r>
          </w:p>
        </w:tc>
        <w:tc>
          <w:tcPr>
            <w:tcW w:w="7575" w:type="dxa"/>
          </w:tcPr>
          <w:p w14:paraId="5FCF90DB" w14:textId="37785B6B" w:rsidR="00340B24" w:rsidRPr="00B5325D" w:rsidRDefault="25B06635" w:rsidP="14552313">
            <w:pPr>
              <w:rPr>
                <w:sz w:val="22"/>
                <w:szCs w:val="22"/>
              </w:rPr>
            </w:pPr>
            <w:r w:rsidRPr="05260A5A">
              <w:rPr>
                <w:sz w:val="22"/>
                <w:szCs w:val="22"/>
              </w:rPr>
              <w:t>This includes foods and</w:t>
            </w:r>
            <w:r w:rsidR="00FF34B4">
              <w:rPr>
                <w:sz w:val="22"/>
                <w:szCs w:val="22"/>
              </w:rPr>
              <w:t>/or</w:t>
            </w:r>
            <w:r w:rsidR="21680490" w:rsidRPr="05260A5A">
              <w:rPr>
                <w:sz w:val="22"/>
                <w:szCs w:val="22"/>
              </w:rPr>
              <w:t xml:space="preserve"> beverages</w:t>
            </w:r>
            <w:r w:rsidRPr="05260A5A">
              <w:rPr>
                <w:sz w:val="22"/>
                <w:szCs w:val="22"/>
              </w:rPr>
              <w:t xml:space="preserve"> not necessary to provide the nutrients the body needs, but that may add variety</w:t>
            </w:r>
            <w:r w:rsidR="00252356">
              <w:rPr>
                <w:sz w:val="22"/>
                <w:szCs w:val="22"/>
              </w:rPr>
              <w:t xml:space="preserve"> to the diet</w:t>
            </w:r>
            <w:r w:rsidRPr="05260A5A">
              <w:rPr>
                <w:sz w:val="22"/>
                <w:szCs w:val="22"/>
              </w:rPr>
              <w:t xml:space="preserve">. However, many of these are high in saturated fats, </w:t>
            </w:r>
            <w:r w:rsidR="00F24BF1" w:rsidRPr="05260A5A">
              <w:rPr>
                <w:sz w:val="22"/>
                <w:szCs w:val="22"/>
              </w:rPr>
              <w:t xml:space="preserve">added </w:t>
            </w:r>
            <w:r w:rsidRPr="05260A5A">
              <w:rPr>
                <w:sz w:val="22"/>
                <w:szCs w:val="22"/>
              </w:rPr>
              <w:t xml:space="preserve">sugars, </w:t>
            </w:r>
            <w:r w:rsidR="00FF34B4">
              <w:rPr>
                <w:sz w:val="22"/>
                <w:szCs w:val="22"/>
              </w:rPr>
              <w:t>sodium (</w:t>
            </w:r>
            <w:r w:rsidRPr="05260A5A">
              <w:rPr>
                <w:sz w:val="22"/>
                <w:szCs w:val="22"/>
              </w:rPr>
              <w:t>salt</w:t>
            </w:r>
            <w:r w:rsidR="00FF34B4">
              <w:rPr>
                <w:sz w:val="22"/>
                <w:szCs w:val="22"/>
              </w:rPr>
              <w:t>)</w:t>
            </w:r>
            <w:r w:rsidRPr="05260A5A">
              <w:rPr>
                <w:sz w:val="22"/>
                <w:szCs w:val="22"/>
              </w:rPr>
              <w:t xml:space="preserve"> and/or alcohol and are therefore described as energy dense. </w:t>
            </w:r>
          </w:p>
        </w:tc>
      </w:tr>
      <w:tr w:rsidR="00340B24" w14:paraId="7860D57E" w14:textId="77777777" w:rsidTr="3F923778">
        <w:trPr>
          <w:trHeight w:val="386"/>
        </w:trPr>
        <w:tc>
          <w:tcPr>
            <w:tcW w:w="2335" w:type="dxa"/>
          </w:tcPr>
          <w:p w14:paraId="2DD83620" w14:textId="4B5F14C8" w:rsidR="00340B24" w:rsidRPr="00B5325D" w:rsidRDefault="6786D9DF" w:rsidP="33482807">
            <w:pPr>
              <w:rPr>
                <w:sz w:val="22"/>
                <w:szCs w:val="22"/>
              </w:rPr>
            </w:pPr>
            <w:r w:rsidRPr="00C427B2">
              <w:rPr>
                <w:sz w:val="22"/>
                <w:szCs w:val="22"/>
              </w:rPr>
              <w:t>Out</w:t>
            </w:r>
            <w:r w:rsidR="004A4456" w:rsidRPr="00C427B2">
              <w:rPr>
                <w:sz w:val="22"/>
                <w:szCs w:val="22"/>
              </w:rPr>
              <w:t xml:space="preserve"> </w:t>
            </w:r>
            <w:r w:rsidRPr="00C427B2">
              <w:rPr>
                <w:sz w:val="22"/>
                <w:szCs w:val="22"/>
              </w:rPr>
              <w:t>of</w:t>
            </w:r>
            <w:r w:rsidR="004A4456" w:rsidRPr="00C427B2">
              <w:rPr>
                <w:sz w:val="22"/>
                <w:szCs w:val="22"/>
              </w:rPr>
              <w:t xml:space="preserve"> </w:t>
            </w:r>
            <w:r w:rsidRPr="00C427B2">
              <w:rPr>
                <w:sz w:val="22"/>
                <w:szCs w:val="22"/>
              </w:rPr>
              <w:t>home</w:t>
            </w:r>
            <w:r w:rsidRPr="278BF13E">
              <w:rPr>
                <w:sz w:val="22"/>
                <w:szCs w:val="22"/>
              </w:rPr>
              <w:t xml:space="preserve"> </w:t>
            </w:r>
          </w:p>
        </w:tc>
        <w:tc>
          <w:tcPr>
            <w:tcW w:w="7575" w:type="dxa"/>
          </w:tcPr>
          <w:p w14:paraId="2DF0ED79" w14:textId="178906A1" w:rsidR="00E52EF5" w:rsidRDefault="00E51998" w:rsidP="00E52EF5">
            <w:pPr>
              <w:textAlignment w:val="baseline"/>
              <w:rPr>
                <w:rFonts w:ascii="Calibri" w:eastAsia="Times New Roman" w:hAnsi="Calibri" w:cs="Calibri"/>
                <w:sz w:val="22"/>
                <w:szCs w:val="22"/>
              </w:rPr>
            </w:pPr>
            <w:r>
              <w:rPr>
                <w:rFonts w:ascii="Calibri" w:eastAsia="Times New Roman" w:hAnsi="Calibri" w:cs="Calibri"/>
                <w:sz w:val="22"/>
                <w:szCs w:val="22"/>
              </w:rPr>
              <w:t>O</w:t>
            </w:r>
            <w:r w:rsidR="00E52EF5" w:rsidRPr="00C61B7D">
              <w:rPr>
                <w:rFonts w:ascii="Calibri" w:eastAsia="Times New Roman" w:hAnsi="Calibri" w:cs="Calibri"/>
                <w:sz w:val="22"/>
                <w:szCs w:val="22"/>
              </w:rPr>
              <w:t>utlet</w:t>
            </w:r>
            <w:r>
              <w:rPr>
                <w:rFonts w:ascii="Calibri" w:eastAsia="Times New Roman" w:hAnsi="Calibri" w:cs="Calibri"/>
                <w:sz w:val="22"/>
                <w:szCs w:val="22"/>
              </w:rPr>
              <w:t>s</w:t>
            </w:r>
            <w:r w:rsidR="00E52EF5" w:rsidRPr="00C61B7D">
              <w:rPr>
                <w:rFonts w:ascii="Calibri" w:eastAsia="Times New Roman" w:hAnsi="Calibri" w:cs="Calibri"/>
                <w:sz w:val="22"/>
                <w:szCs w:val="22"/>
              </w:rPr>
              <w:t xml:space="preserve"> where food </w:t>
            </w:r>
            <w:r w:rsidR="003D5700">
              <w:rPr>
                <w:rFonts w:ascii="Calibri" w:eastAsia="Times New Roman" w:hAnsi="Calibri" w:cs="Calibri"/>
                <w:sz w:val="22"/>
                <w:szCs w:val="22"/>
              </w:rPr>
              <w:t>and/</w:t>
            </w:r>
            <w:r w:rsidR="00E52EF5" w:rsidRPr="00C61B7D">
              <w:rPr>
                <w:rFonts w:ascii="Calibri" w:eastAsia="Times New Roman" w:hAnsi="Calibri" w:cs="Calibri"/>
                <w:sz w:val="22"/>
                <w:szCs w:val="22"/>
              </w:rPr>
              <w:t>or beverage is prepared for immediate consumption</w:t>
            </w:r>
            <w:r>
              <w:rPr>
                <w:rFonts w:ascii="Calibri" w:eastAsia="Times New Roman" w:hAnsi="Calibri" w:cs="Calibri"/>
                <w:sz w:val="22"/>
                <w:szCs w:val="22"/>
              </w:rPr>
              <w:t>,</w:t>
            </w:r>
            <w:r w:rsidR="00E52EF5" w:rsidRPr="00C61B7D">
              <w:rPr>
                <w:rFonts w:ascii="Calibri" w:eastAsia="Times New Roman" w:hAnsi="Calibri" w:cs="Calibri"/>
                <w:sz w:val="22"/>
                <w:szCs w:val="22"/>
              </w:rPr>
              <w:t xml:space="preserve"> </w:t>
            </w:r>
            <w:r w:rsidR="00505B99">
              <w:rPr>
                <w:rFonts w:ascii="Calibri" w:eastAsia="Times New Roman" w:hAnsi="Calibri" w:cs="Calibri"/>
                <w:sz w:val="22"/>
                <w:szCs w:val="22"/>
              </w:rPr>
              <w:t>for example</w:t>
            </w:r>
            <w:r w:rsidR="00E52EF5" w:rsidRPr="00C61B7D">
              <w:rPr>
                <w:rFonts w:ascii="Calibri" w:eastAsia="Times New Roman" w:hAnsi="Calibri" w:cs="Calibri"/>
                <w:sz w:val="22"/>
                <w:szCs w:val="22"/>
              </w:rPr>
              <w:t xml:space="preserve"> </w:t>
            </w:r>
            <w:r w:rsidR="00064A1A" w:rsidRPr="00C61B7D">
              <w:rPr>
                <w:rFonts w:ascii="Calibri" w:eastAsia="Times New Roman" w:hAnsi="Calibri" w:cs="Calibri"/>
                <w:sz w:val="22"/>
                <w:szCs w:val="22"/>
              </w:rPr>
              <w:t>caf</w:t>
            </w:r>
            <w:r w:rsidR="00064A1A">
              <w:rPr>
                <w:rFonts w:ascii="Calibri" w:eastAsia="Times New Roman" w:hAnsi="Calibri" w:cs="Calibri"/>
                <w:sz w:val="22"/>
                <w:szCs w:val="22"/>
              </w:rPr>
              <w:t>é</w:t>
            </w:r>
            <w:r w:rsidR="00064A1A" w:rsidRPr="00C61B7D">
              <w:rPr>
                <w:rFonts w:ascii="Calibri" w:eastAsia="Times New Roman" w:hAnsi="Calibri" w:cs="Calibri"/>
                <w:sz w:val="22"/>
                <w:szCs w:val="22"/>
              </w:rPr>
              <w:t xml:space="preserve">s </w:t>
            </w:r>
            <w:r w:rsidR="00E52EF5" w:rsidRPr="00C61B7D">
              <w:rPr>
                <w:rFonts w:ascii="Calibri" w:eastAsia="Times New Roman" w:hAnsi="Calibri" w:cs="Calibri"/>
                <w:sz w:val="22"/>
                <w:szCs w:val="22"/>
              </w:rPr>
              <w:t xml:space="preserve">(including those within a retail, </w:t>
            </w:r>
            <w:proofErr w:type="gramStart"/>
            <w:r w:rsidR="00E52EF5" w:rsidRPr="00C61B7D">
              <w:rPr>
                <w:rFonts w:ascii="Calibri" w:eastAsia="Times New Roman" w:hAnsi="Calibri" w:cs="Calibri"/>
                <w:sz w:val="22"/>
                <w:szCs w:val="22"/>
              </w:rPr>
              <w:t>petrol</w:t>
            </w:r>
            <w:proofErr w:type="gramEnd"/>
            <w:r w:rsidR="00E52EF5" w:rsidRPr="00C61B7D">
              <w:rPr>
                <w:rFonts w:ascii="Calibri" w:eastAsia="Times New Roman" w:hAnsi="Calibri" w:cs="Calibri"/>
                <w:sz w:val="22"/>
                <w:szCs w:val="22"/>
              </w:rPr>
              <w:t xml:space="preserve"> and convenience store), restaurants, pubs, clubs, quick-service restaurants, canteens, online businesses that sell food or beverage for takeaway or home delivery and retail ‘on the go’ products. </w:t>
            </w:r>
          </w:p>
          <w:p w14:paraId="34DA0E2A" w14:textId="77777777" w:rsidR="00E52EF5" w:rsidRPr="00C61B7D" w:rsidRDefault="00E52EF5" w:rsidP="00E52EF5">
            <w:pPr>
              <w:textAlignment w:val="baseline"/>
              <w:rPr>
                <w:rFonts w:ascii="Segoe UI" w:eastAsia="Times New Roman" w:hAnsi="Segoe UI" w:cs="Segoe UI"/>
                <w:sz w:val="18"/>
                <w:szCs w:val="18"/>
              </w:rPr>
            </w:pPr>
          </w:p>
          <w:p w14:paraId="5AA14855" w14:textId="1D2E5D5C" w:rsidR="00340B24" w:rsidRPr="00B5325D" w:rsidRDefault="49AAD31A" w:rsidP="00E52EF5">
            <w:pPr>
              <w:rPr>
                <w:sz w:val="22"/>
                <w:szCs w:val="22"/>
              </w:rPr>
            </w:pPr>
            <w:r w:rsidRPr="6136B92D">
              <w:rPr>
                <w:rFonts w:ascii="Calibri" w:eastAsia="Times New Roman" w:hAnsi="Calibri" w:cs="Calibri"/>
                <w:sz w:val="22"/>
                <w:szCs w:val="22"/>
              </w:rPr>
              <w:t>Retail ‘</w:t>
            </w:r>
            <w:r w:rsidR="00787287">
              <w:rPr>
                <w:rFonts w:ascii="Calibri" w:eastAsia="Times New Roman" w:hAnsi="Calibri" w:cs="Calibri"/>
                <w:sz w:val="22"/>
                <w:szCs w:val="22"/>
              </w:rPr>
              <w:t>o</w:t>
            </w:r>
            <w:r w:rsidRPr="6136B92D">
              <w:rPr>
                <w:rFonts w:ascii="Calibri" w:eastAsia="Times New Roman" w:hAnsi="Calibri" w:cs="Calibri"/>
                <w:sz w:val="22"/>
                <w:szCs w:val="22"/>
              </w:rPr>
              <w:t xml:space="preserve">n the </w:t>
            </w:r>
            <w:r w:rsidR="00787287">
              <w:rPr>
                <w:rFonts w:ascii="Calibri" w:eastAsia="Times New Roman" w:hAnsi="Calibri" w:cs="Calibri"/>
                <w:sz w:val="22"/>
                <w:szCs w:val="22"/>
              </w:rPr>
              <w:t>g</w:t>
            </w:r>
            <w:r w:rsidRPr="6136B92D">
              <w:rPr>
                <w:rFonts w:ascii="Calibri" w:eastAsia="Times New Roman" w:hAnsi="Calibri" w:cs="Calibri"/>
                <w:sz w:val="22"/>
                <w:szCs w:val="22"/>
              </w:rPr>
              <w:t xml:space="preserve">o’ </w:t>
            </w:r>
            <w:r w:rsidRPr="6136B92D">
              <w:rPr>
                <w:rFonts w:eastAsia="Times New Roman" w:cstheme="minorBidi"/>
                <w:sz w:val="22"/>
                <w:szCs w:val="22"/>
              </w:rPr>
              <w:t xml:space="preserve">products include, but </w:t>
            </w:r>
            <w:r w:rsidR="00E51998">
              <w:rPr>
                <w:rFonts w:eastAsia="Times New Roman" w:cstheme="minorBidi"/>
                <w:sz w:val="22"/>
                <w:szCs w:val="22"/>
              </w:rPr>
              <w:t>are</w:t>
            </w:r>
            <w:r w:rsidR="00E51998" w:rsidRPr="6136B92D">
              <w:rPr>
                <w:rFonts w:eastAsia="Times New Roman" w:cstheme="minorBidi"/>
                <w:sz w:val="22"/>
                <w:szCs w:val="22"/>
              </w:rPr>
              <w:t xml:space="preserve"> </w:t>
            </w:r>
            <w:r w:rsidRPr="6136B92D">
              <w:rPr>
                <w:rFonts w:eastAsia="Times New Roman" w:cstheme="minorBidi"/>
                <w:sz w:val="22"/>
                <w:szCs w:val="22"/>
              </w:rPr>
              <w:t xml:space="preserve">not limited to, </w:t>
            </w:r>
            <w:r w:rsidRPr="6136B92D">
              <w:rPr>
                <w:rFonts w:eastAsia="Arial" w:cstheme="minorBidi"/>
                <w:sz w:val="22"/>
                <w:szCs w:val="22"/>
              </w:rPr>
              <w:t>beverages (all varieties including smoothies, juices and soft</w:t>
            </w:r>
            <w:r w:rsidR="00E06B39">
              <w:rPr>
                <w:rFonts w:eastAsia="Arial" w:cstheme="minorBidi"/>
                <w:sz w:val="22"/>
                <w:szCs w:val="22"/>
              </w:rPr>
              <w:t xml:space="preserve"> </w:t>
            </w:r>
            <w:r w:rsidRPr="6136B92D">
              <w:rPr>
                <w:rFonts w:eastAsia="Arial" w:cstheme="minorBidi"/>
                <w:sz w:val="22"/>
                <w:szCs w:val="22"/>
              </w:rPr>
              <w:t xml:space="preserve">drinks served in cups or glasses, but not prepacked, </w:t>
            </w:r>
            <w:r w:rsidR="00E06B39" w:rsidRPr="6136B92D">
              <w:rPr>
                <w:rFonts w:eastAsia="Arial" w:cstheme="minorBidi"/>
                <w:sz w:val="22"/>
                <w:szCs w:val="22"/>
              </w:rPr>
              <w:t>bottled,</w:t>
            </w:r>
            <w:r w:rsidRPr="6136B92D">
              <w:rPr>
                <w:rFonts w:eastAsia="Arial" w:cstheme="minorBidi"/>
                <w:sz w:val="22"/>
                <w:szCs w:val="22"/>
              </w:rPr>
              <w:t xml:space="preserve"> or canned cold drinks), bakery items (predominantly loose pastries, cakes, biscuits, slices) and ready to eat options such as pizza, chicken nuggets</w:t>
            </w:r>
            <w:r w:rsidR="003D5700">
              <w:rPr>
                <w:rFonts w:eastAsia="Arial" w:cstheme="minorBidi"/>
                <w:sz w:val="22"/>
                <w:szCs w:val="22"/>
              </w:rPr>
              <w:t xml:space="preserve"> and</w:t>
            </w:r>
            <w:r w:rsidRPr="6136B92D">
              <w:rPr>
                <w:rFonts w:eastAsia="Arial" w:cstheme="minorBidi"/>
                <w:sz w:val="22"/>
                <w:szCs w:val="22"/>
              </w:rPr>
              <w:t xml:space="preserve"> hot chips.</w:t>
            </w:r>
          </w:p>
        </w:tc>
      </w:tr>
      <w:tr w:rsidR="00340B24" w14:paraId="015DB295" w14:textId="77777777" w:rsidTr="3F923778">
        <w:trPr>
          <w:trHeight w:val="386"/>
        </w:trPr>
        <w:tc>
          <w:tcPr>
            <w:tcW w:w="2335" w:type="dxa"/>
          </w:tcPr>
          <w:p w14:paraId="35EB4334" w14:textId="19DDF68D" w:rsidR="00340B24" w:rsidRPr="00B5325D" w:rsidRDefault="6786D9DF" w:rsidP="004A4456">
            <w:pPr>
              <w:rPr>
                <w:sz w:val="22"/>
                <w:szCs w:val="22"/>
              </w:rPr>
            </w:pPr>
            <w:r w:rsidRPr="33482807">
              <w:rPr>
                <w:sz w:val="22"/>
                <w:szCs w:val="22"/>
              </w:rPr>
              <w:t>Portion size</w:t>
            </w:r>
            <w:r w:rsidR="6897BFE2" w:rsidRPr="33482807">
              <w:rPr>
                <w:sz w:val="22"/>
                <w:szCs w:val="22"/>
              </w:rPr>
              <w:t xml:space="preserve"> </w:t>
            </w:r>
          </w:p>
        </w:tc>
        <w:tc>
          <w:tcPr>
            <w:tcW w:w="7575" w:type="dxa"/>
          </w:tcPr>
          <w:p w14:paraId="1D7DE242" w14:textId="52668E84" w:rsidR="00340B24" w:rsidRPr="00B5325D" w:rsidRDefault="5F985AC1" w:rsidP="1C6C4E8B">
            <w:pPr>
              <w:rPr>
                <w:sz w:val="22"/>
                <w:szCs w:val="22"/>
              </w:rPr>
            </w:pPr>
            <w:r w:rsidRPr="242B292E">
              <w:rPr>
                <w:sz w:val="22"/>
                <w:szCs w:val="22"/>
              </w:rPr>
              <w:t xml:space="preserve">The size or amount of food and/or </w:t>
            </w:r>
            <w:r w:rsidR="083F7833" w:rsidRPr="242B292E">
              <w:rPr>
                <w:sz w:val="22"/>
                <w:szCs w:val="22"/>
              </w:rPr>
              <w:t xml:space="preserve">beverage </w:t>
            </w:r>
            <w:r w:rsidRPr="242B292E">
              <w:rPr>
                <w:sz w:val="22"/>
                <w:szCs w:val="22"/>
              </w:rPr>
              <w:t>selected by an individual from what is on offer</w:t>
            </w:r>
            <w:r w:rsidR="650E310D" w:rsidRPr="242B292E">
              <w:rPr>
                <w:sz w:val="22"/>
                <w:szCs w:val="22"/>
              </w:rPr>
              <w:t>.</w:t>
            </w:r>
          </w:p>
        </w:tc>
      </w:tr>
      <w:tr w:rsidR="00340B24" w14:paraId="73B91167" w14:textId="77777777" w:rsidTr="3F923778">
        <w:trPr>
          <w:trHeight w:val="386"/>
        </w:trPr>
        <w:tc>
          <w:tcPr>
            <w:tcW w:w="2335" w:type="dxa"/>
          </w:tcPr>
          <w:p w14:paraId="02989EE0" w14:textId="6273ACC0" w:rsidR="00340B24" w:rsidRPr="00B5325D" w:rsidRDefault="00340B24" w:rsidP="005F0FD3">
            <w:pPr>
              <w:rPr>
                <w:sz w:val="22"/>
              </w:rPr>
            </w:pPr>
            <w:r w:rsidRPr="00B5325D">
              <w:rPr>
                <w:sz w:val="22"/>
              </w:rPr>
              <w:t>Retail</w:t>
            </w:r>
            <w:r w:rsidR="003F7BE4">
              <w:rPr>
                <w:sz w:val="22"/>
              </w:rPr>
              <w:t xml:space="preserve"> </w:t>
            </w:r>
          </w:p>
        </w:tc>
        <w:tc>
          <w:tcPr>
            <w:tcW w:w="7575" w:type="dxa"/>
          </w:tcPr>
          <w:p w14:paraId="3413B950" w14:textId="05A7B9B0" w:rsidR="00340B24" w:rsidRPr="00B5325D" w:rsidRDefault="006374DA" w:rsidP="6E106986">
            <w:pPr>
              <w:rPr>
                <w:sz w:val="22"/>
                <w:szCs w:val="22"/>
              </w:rPr>
            </w:pPr>
            <w:r w:rsidRPr="00C61B7D">
              <w:rPr>
                <w:rFonts w:ascii="Calibri" w:eastAsia="Times New Roman" w:hAnsi="Calibri" w:cs="Calibri"/>
                <w:sz w:val="22"/>
                <w:szCs w:val="22"/>
              </w:rPr>
              <w:t>Food products sold in retail environments</w:t>
            </w:r>
            <w:r w:rsidR="00505B99">
              <w:rPr>
                <w:rFonts w:ascii="Calibri" w:eastAsia="Times New Roman" w:hAnsi="Calibri" w:cs="Calibri"/>
                <w:sz w:val="22"/>
                <w:szCs w:val="22"/>
              </w:rPr>
              <w:t>,</w:t>
            </w:r>
            <w:r w:rsidRPr="00C61B7D">
              <w:rPr>
                <w:rFonts w:ascii="Calibri" w:eastAsia="Times New Roman" w:hAnsi="Calibri" w:cs="Calibri"/>
                <w:sz w:val="22"/>
                <w:szCs w:val="22"/>
              </w:rPr>
              <w:t xml:space="preserve"> </w:t>
            </w:r>
            <w:r w:rsidR="00505B99">
              <w:rPr>
                <w:rFonts w:ascii="Calibri" w:eastAsia="Times New Roman" w:hAnsi="Calibri" w:cs="Calibri"/>
                <w:sz w:val="22"/>
                <w:szCs w:val="22"/>
              </w:rPr>
              <w:t>for example</w:t>
            </w:r>
            <w:r w:rsidRPr="00C61B7D">
              <w:rPr>
                <w:rFonts w:ascii="Calibri" w:eastAsia="Times New Roman" w:hAnsi="Calibri" w:cs="Calibri"/>
                <w:sz w:val="22"/>
                <w:szCs w:val="22"/>
              </w:rPr>
              <w:t> supermarkets, petrol</w:t>
            </w:r>
            <w:r w:rsidR="004D039F">
              <w:rPr>
                <w:rFonts w:ascii="Calibri" w:eastAsia="Times New Roman" w:hAnsi="Calibri" w:cs="Calibri"/>
                <w:sz w:val="22"/>
                <w:szCs w:val="22"/>
              </w:rPr>
              <w:t xml:space="preserve"> stations</w:t>
            </w:r>
            <w:r w:rsidR="00E52EF5">
              <w:rPr>
                <w:rFonts w:ascii="Calibri" w:eastAsia="Times New Roman" w:hAnsi="Calibri" w:cs="Calibri"/>
                <w:sz w:val="22"/>
                <w:szCs w:val="22"/>
              </w:rPr>
              <w:t xml:space="preserve"> </w:t>
            </w:r>
            <w:r w:rsidRPr="00C61B7D">
              <w:rPr>
                <w:rFonts w:ascii="Calibri" w:eastAsia="Times New Roman" w:hAnsi="Calibri" w:cs="Calibri"/>
                <w:sz w:val="22"/>
                <w:szCs w:val="22"/>
              </w:rPr>
              <w:t>and</w:t>
            </w:r>
            <w:r w:rsidR="00E52EF5">
              <w:rPr>
                <w:rFonts w:ascii="Calibri" w:eastAsia="Times New Roman" w:hAnsi="Calibri" w:cs="Calibri"/>
                <w:sz w:val="22"/>
                <w:szCs w:val="22"/>
              </w:rPr>
              <w:t xml:space="preserve"> </w:t>
            </w:r>
            <w:r w:rsidRPr="00C61B7D">
              <w:rPr>
                <w:rFonts w:ascii="Calibri" w:eastAsia="Times New Roman" w:hAnsi="Calibri" w:cs="Calibri"/>
                <w:sz w:val="22"/>
                <w:szCs w:val="22"/>
              </w:rPr>
              <w:t>convenience stores. </w:t>
            </w:r>
          </w:p>
        </w:tc>
      </w:tr>
      <w:tr w:rsidR="00340B24" w14:paraId="49E735AA" w14:textId="77777777" w:rsidTr="3F923778">
        <w:trPr>
          <w:trHeight w:val="386"/>
        </w:trPr>
        <w:tc>
          <w:tcPr>
            <w:tcW w:w="2335" w:type="dxa"/>
          </w:tcPr>
          <w:p w14:paraId="6DE235CD" w14:textId="3B2C7F04" w:rsidR="00340B24" w:rsidRPr="00B5325D" w:rsidRDefault="00340B24" w:rsidP="00340B24">
            <w:pPr>
              <w:rPr>
                <w:sz w:val="22"/>
              </w:rPr>
            </w:pPr>
            <w:r w:rsidRPr="00B5325D">
              <w:rPr>
                <w:sz w:val="22"/>
              </w:rPr>
              <w:t>Serve size</w:t>
            </w:r>
          </w:p>
        </w:tc>
        <w:tc>
          <w:tcPr>
            <w:tcW w:w="7575" w:type="dxa"/>
          </w:tcPr>
          <w:p w14:paraId="1A36F87B" w14:textId="44F81617" w:rsidR="00340B24" w:rsidRPr="00B5325D" w:rsidRDefault="005F0FD3" w:rsidP="005F0FD3">
            <w:pPr>
              <w:rPr>
                <w:sz w:val="22"/>
              </w:rPr>
            </w:pPr>
            <w:r w:rsidRPr="00B5325D">
              <w:rPr>
                <w:sz w:val="22"/>
              </w:rPr>
              <w:t xml:space="preserve">A reference amount of a food </w:t>
            </w:r>
            <w:r w:rsidR="00FC1AC5">
              <w:rPr>
                <w:sz w:val="22"/>
              </w:rPr>
              <w:t>and/</w:t>
            </w:r>
            <w:r w:rsidRPr="00B5325D">
              <w:rPr>
                <w:sz w:val="22"/>
              </w:rPr>
              <w:t>or beverage described by the Australian Dietary Guidelines</w:t>
            </w:r>
            <w:r w:rsidR="00815A2E">
              <w:rPr>
                <w:sz w:val="22"/>
              </w:rPr>
              <w:t xml:space="preserve"> and </w:t>
            </w:r>
            <w:r w:rsidR="00973F67">
              <w:rPr>
                <w:sz w:val="22"/>
              </w:rPr>
              <w:t xml:space="preserve">its companion document, </w:t>
            </w:r>
            <w:r w:rsidR="00815A2E">
              <w:rPr>
                <w:sz w:val="22"/>
              </w:rPr>
              <w:t>the Eat for Health Educator Guide</w:t>
            </w:r>
            <w:r w:rsidRPr="00B5325D">
              <w:rPr>
                <w:sz w:val="22"/>
              </w:rPr>
              <w:t>.</w:t>
            </w:r>
            <w:r w:rsidR="00815A2E">
              <w:rPr>
                <w:sz w:val="22"/>
              </w:rPr>
              <w:t xml:space="preserve"> A serve of discretionary food, as defined in the Eat for Health Educator Guide, is the amount that contains 600</w:t>
            </w:r>
            <w:r w:rsidR="004D039F">
              <w:rPr>
                <w:sz w:val="22"/>
              </w:rPr>
              <w:t xml:space="preserve"> </w:t>
            </w:r>
            <w:r w:rsidR="00815A2E">
              <w:rPr>
                <w:sz w:val="22"/>
              </w:rPr>
              <w:t>kJ.</w:t>
            </w:r>
          </w:p>
        </w:tc>
      </w:tr>
      <w:tr w:rsidR="00340B24" w14:paraId="41784963" w14:textId="77777777" w:rsidTr="3F923778">
        <w:trPr>
          <w:trHeight w:val="386"/>
        </w:trPr>
        <w:tc>
          <w:tcPr>
            <w:tcW w:w="2335" w:type="dxa"/>
          </w:tcPr>
          <w:p w14:paraId="1DDD9E15" w14:textId="0FBE40C7" w:rsidR="00340B24" w:rsidRPr="00B5325D" w:rsidRDefault="00340B24" w:rsidP="00340B24">
            <w:pPr>
              <w:rPr>
                <w:sz w:val="22"/>
              </w:rPr>
            </w:pPr>
            <w:r w:rsidRPr="00B5325D">
              <w:rPr>
                <w:sz w:val="22"/>
              </w:rPr>
              <w:t>Serving size</w:t>
            </w:r>
          </w:p>
        </w:tc>
        <w:tc>
          <w:tcPr>
            <w:tcW w:w="7575" w:type="dxa"/>
          </w:tcPr>
          <w:p w14:paraId="5A065F06" w14:textId="323645B5" w:rsidR="00340B24" w:rsidRPr="00B5325D" w:rsidRDefault="523F091E" w:rsidP="004A4456">
            <w:pPr>
              <w:rPr>
                <w:sz w:val="22"/>
                <w:szCs w:val="22"/>
              </w:rPr>
            </w:pPr>
            <w:r w:rsidRPr="1C6C4E8B">
              <w:rPr>
                <w:sz w:val="22"/>
                <w:szCs w:val="22"/>
              </w:rPr>
              <w:t xml:space="preserve">The size or amount of a product (food and/or </w:t>
            </w:r>
            <w:r w:rsidR="4CA902CA" w:rsidRPr="1C6C4E8B">
              <w:rPr>
                <w:sz w:val="22"/>
                <w:szCs w:val="22"/>
              </w:rPr>
              <w:t>beverage</w:t>
            </w:r>
            <w:r w:rsidR="00275AC0">
              <w:rPr>
                <w:sz w:val="22"/>
                <w:szCs w:val="22"/>
              </w:rPr>
              <w:t>)</w:t>
            </w:r>
            <w:r w:rsidRPr="1C6C4E8B">
              <w:rPr>
                <w:sz w:val="22"/>
                <w:szCs w:val="22"/>
              </w:rPr>
              <w:t>, suggested by others, such as on-pack labelling by a manufacturer or provided by a food service business.</w:t>
            </w:r>
          </w:p>
        </w:tc>
      </w:tr>
      <w:tr w:rsidR="00E35936" w14:paraId="405BC428" w14:textId="77777777" w:rsidTr="3F923778">
        <w:trPr>
          <w:trHeight w:val="386"/>
        </w:trPr>
        <w:tc>
          <w:tcPr>
            <w:tcW w:w="2335" w:type="dxa"/>
          </w:tcPr>
          <w:p w14:paraId="7F22097A" w14:textId="241484F5" w:rsidR="00E35936" w:rsidRPr="00B5325D" w:rsidRDefault="00E35936" w:rsidP="00340B24">
            <w:pPr>
              <w:rPr>
                <w:sz w:val="22"/>
              </w:rPr>
            </w:pPr>
            <w:r>
              <w:rPr>
                <w:sz w:val="22"/>
              </w:rPr>
              <w:t>The Guide</w:t>
            </w:r>
          </w:p>
        </w:tc>
        <w:tc>
          <w:tcPr>
            <w:tcW w:w="7575" w:type="dxa"/>
          </w:tcPr>
          <w:p w14:paraId="57D2783E" w14:textId="1A25922B" w:rsidR="00E35936" w:rsidRPr="1C6C4E8B" w:rsidRDefault="00E35936" w:rsidP="004A4456">
            <w:pPr>
              <w:rPr>
                <w:sz w:val="22"/>
                <w:szCs w:val="22"/>
              </w:rPr>
            </w:pPr>
            <w:r>
              <w:rPr>
                <w:sz w:val="22"/>
                <w:szCs w:val="22"/>
              </w:rPr>
              <w:t>Industry Guide to Voluntary Serving Size Reduction. The Guide was originally named the Industry Best Practice Guide, and this name is reflected in the name of the working group.</w:t>
            </w:r>
          </w:p>
        </w:tc>
      </w:tr>
    </w:tbl>
    <w:p w14:paraId="69665BB9" w14:textId="77777777" w:rsidR="00B914B2" w:rsidRPr="00F519AE" w:rsidRDefault="00B914B2" w:rsidP="00340B24">
      <w:pPr>
        <w:sectPr w:rsidR="00B914B2" w:rsidRPr="00F519AE" w:rsidSect="00F519AE">
          <w:headerReference w:type="default" r:id="rId13"/>
          <w:footerReference w:type="default" r:id="rId14"/>
          <w:headerReference w:type="first" r:id="rId15"/>
          <w:footerReference w:type="first" r:id="rId16"/>
          <w:endnotePr>
            <w:numFmt w:val="decimal"/>
          </w:endnotePr>
          <w:pgSz w:w="11906" w:h="16838"/>
          <w:pgMar w:top="1134" w:right="1134" w:bottom="567" w:left="1134" w:header="709" w:footer="232" w:gutter="0"/>
          <w:pgNumType w:fmt="lowerRoman" w:start="1"/>
          <w:cols w:space="708"/>
          <w:docGrid w:linePitch="360"/>
        </w:sectPr>
      </w:pPr>
    </w:p>
    <w:p w14:paraId="153D8C4E" w14:textId="387F6CC8" w:rsidR="00CE5EB8" w:rsidRPr="00B6749F" w:rsidRDefault="00BE490A" w:rsidP="00795E9E">
      <w:pPr>
        <w:pStyle w:val="Heading1"/>
        <w:numPr>
          <w:ilvl w:val="0"/>
          <w:numId w:val="86"/>
        </w:numPr>
        <w:spacing w:before="0" w:after="240"/>
      </w:pPr>
      <w:bookmarkStart w:id="6" w:name="_Toc55809004"/>
      <w:bookmarkStart w:id="7" w:name="_Toc109294231"/>
      <w:r w:rsidRPr="0D6C192D">
        <w:lastRenderedPageBreak/>
        <w:t>Purpose of the p</w:t>
      </w:r>
      <w:r w:rsidR="00CE5EB8" w:rsidRPr="0D6C192D">
        <w:t>aper</w:t>
      </w:r>
      <w:bookmarkEnd w:id="6"/>
      <w:bookmarkEnd w:id="7"/>
    </w:p>
    <w:p w14:paraId="753C3924" w14:textId="676D8278" w:rsidR="00CE5EB8" w:rsidRPr="00B5325D" w:rsidRDefault="00CE5EB8" w:rsidP="00795E9E">
      <w:pPr>
        <w:spacing w:after="240"/>
        <w:rPr>
          <w:sz w:val="22"/>
          <w:szCs w:val="22"/>
        </w:rPr>
      </w:pPr>
      <w:r w:rsidRPr="242B292E">
        <w:rPr>
          <w:sz w:val="22"/>
          <w:szCs w:val="22"/>
        </w:rPr>
        <w:t xml:space="preserve">The intention of this paper is to provide an overview of the process undertaken by the </w:t>
      </w:r>
      <w:r w:rsidR="0040163C" w:rsidRPr="242B292E">
        <w:rPr>
          <w:sz w:val="22"/>
          <w:szCs w:val="22"/>
        </w:rPr>
        <w:t>Industry Best Practice Guide Working Group (</w:t>
      </w:r>
      <w:r w:rsidR="0040163C" w:rsidRPr="00E06B39">
        <w:rPr>
          <w:sz w:val="22"/>
          <w:szCs w:val="22"/>
        </w:rPr>
        <w:t>IBPGWG</w:t>
      </w:r>
      <w:r w:rsidR="0040163C" w:rsidRPr="242B292E">
        <w:rPr>
          <w:sz w:val="22"/>
          <w:szCs w:val="22"/>
        </w:rPr>
        <w:t>)</w:t>
      </w:r>
      <w:r w:rsidRPr="242B292E">
        <w:rPr>
          <w:sz w:val="22"/>
          <w:szCs w:val="22"/>
        </w:rPr>
        <w:t xml:space="preserve"> to develop </w:t>
      </w:r>
      <w:r w:rsidR="001B3475">
        <w:rPr>
          <w:sz w:val="22"/>
          <w:szCs w:val="22"/>
        </w:rPr>
        <w:t xml:space="preserve">serving size </w:t>
      </w:r>
      <w:r w:rsidR="0040163C" w:rsidRPr="242B292E">
        <w:rPr>
          <w:sz w:val="22"/>
          <w:szCs w:val="22"/>
        </w:rPr>
        <w:t>recommendations</w:t>
      </w:r>
      <w:r w:rsidRPr="242B292E">
        <w:rPr>
          <w:sz w:val="22"/>
          <w:szCs w:val="22"/>
        </w:rPr>
        <w:t xml:space="preserve"> </w:t>
      </w:r>
      <w:r w:rsidR="584B2FF2" w:rsidRPr="242B292E">
        <w:rPr>
          <w:sz w:val="22"/>
          <w:szCs w:val="22"/>
        </w:rPr>
        <w:t>for a selected number of discretionary foods</w:t>
      </w:r>
      <w:r w:rsidR="5A2536FC" w:rsidRPr="242B292E">
        <w:rPr>
          <w:sz w:val="22"/>
          <w:szCs w:val="22"/>
        </w:rPr>
        <w:t xml:space="preserve"> and beverages</w:t>
      </w:r>
      <w:r w:rsidR="00B0270B">
        <w:rPr>
          <w:sz w:val="22"/>
          <w:szCs w:val="22"/>
        </w:rPr>
        <w:t xml:space="preserve"> included in the Industry Guide to Voluntary Serving Size Reduction</w:t>
      </w:r>
      <w:r w:rsidR="00C350DD" w:rsidRPr="242B292E">
        <w:rPr>
          <w:sz w:val="22"/>
          <w:szCs w:val="22"/>
        </w:rPr>
        <w:t xml:space="preserve">. </w:t>
      </w:r>
      <w:r w:rsidRPr="242B292E">
        <w:rPr>
          <w:sz w:val="22"/>
          <w:szCs w:val="22"/>
        </w:rPr>
        <w:t>The overall aim of the paper is to improve transparency o</w:t>
      </w:r>
      <w:r w:rsidR="003F17B1" w:rsidRPr="242B292E">
        <w:rPr>
          <w:sz w:val="22"/>
          <w:szCs w:val="22"/>
        </w:rPr>
        <w:t>f</w:t>
      </w:r>
      <w:r w:rsidRPr="242B292E">
        <w:rPr>
          <w:sz w:val="22"/>
          <w:szCs w:val="22"/>
        </w:rPr>
        <w:t xml:space="preserve"> the process</w:t>
      </w:r>
      <w:r w:rsidR="00D017A7">
        <w:rPr>
          <w:sz w:val="22"/>
          <w:szCs w:val="22"/>
        </w:rPr>
        <w:t xml:space="preserve"> used to develop the recommendations</w:t>
      </w:r>
      <w:r w:rsidRPr="242B292E">
        <w:rPr>
          <w:sz w:val="22"/>
          <w:szCs w:val="22"/>
        </w:rPr>
        <w:t xml:space="preserve"> and</w:t>
      </w:r>
      <w:r w:rsidR="00C350DD" w:rsidRPr="242B292E">
        <w:rPr>
          <w:sz w:val="22"/>
          <w:szCs w:val="22"/>
        </w:rPr>
        <w:t xml:space="preserve"> share the evidence that informed the chosen approach</w:t>
      </w:r>
      <w:r w:rsidRPr="242B292E">
        <w:rPr>
          <w:sz w:val="22"/>
          <w:szCs w:val="22"/>
        </w:rPr>
        <w:t>.</w:t>
      </w:r>
    </w:p>
    <w:p w14:paraId="32F466FE" w14:textId="385EAF8C" w:rsidR="00CE5EB8" w:rsidRPr="001E3BE4" w:rsidRDefault="00CE5EB8" w:rsidP="00795E9E">
      <w:pPr>
        <w:pStyle w:val="Heading1"/>
        <w:numPr>
          <w:ilvl w:val="0"/>
          <w:numId w:val="86"/>
        </w:numPr>
        <w:tabs>
          <w:tab w:val="left" w:pos="426"/>
        </w:tabs>
        <w:spacing w:before="0" w:after="240"/>
        <w:rPr>
          <w:shd w:val="clear" w:color="auto" w:fill="FFFFFF"/>
        </w:rPr>
      </w:pPr>
      <w:bookmarkStart w:id="8" w:name="_Toc109294232"/>
      <w:r w:rsidRPr="001E3BE4">
        <w:rPr>
          <w:shd w:val="clear" w:color="auto" w:fill="FFFFFF"/>
        </w:rPr>
        <w:t>Background</w:t>
      </w:r>
      <w:bookmarkEnd w:id="8"/>
    </w:p>
    <w:p w14:paraId="7A2C7DB2" w14:textId="74111D3D" w:rsidR="004E1CB1" w:rsidRPr="00B5325D" w:rsidRDefault="313255A4" w:rsidP="00795E9E">
      <w:pPr>
        <w:spacing w:after="240"/>
        <w:rPr>
          <w:color w:val="000000"/>
          <w:sz w:val="22"/>
          <w:szCs w:val="22"/>
        </w:rPr>
      </w:pPr>
      <w:r w:rsidRPr="50562516">
        <w:rPr>
          <w:sz w:val="22"/>
          <w:szCs w:val="22"/>
        </w:rPr>
        <w:t xml:space="preserve">In </w:t>
      </w:r>
      <w:r w:rsidR="59E1C36C" w:rsidRPr="50562516">
        <w:rPr>
          <w:sz w:val="22"/>
          <w:szCs w:val="22"/>
        </w:rPr>
        <w:t>late 2015</w:t>
      </w:r>
      <w:r w:rsidRPr="50562516">
        <w:rPr>
          <w:sz w:val="22"/>
          <w:szCs w:val="22"/>
        </w:rPr>
        <w:t>, the Austra</w:t>
      </w:r>
      <w:r w:rsidR="5F3A1F9C" w:rsidRPr="50562516">
        <w:rPr>
          <w:sz w:val="22"/>
          <w:szCs w:val="22"/>
        </w:rPr>
        <w:t xml:space="preserve">lian Government established the </w:t>
      </w:r>
      <w:r w:rsidR="00B0270B">
        <w:rPr>
          <w:sz w:val="22"/>
          <w:szCs w:val="22"/>
        </w:rPr>
        <w:t xml:space="preserve">Healthy Food </w:t>
      </w:r>
      <w:r w:rsidR="5F3A1F9C" w:rsidRPr="50562516">
        <w:rPr>
          <w:sz w:val="22"/>
          <w:szCs w:val="22"/>
        </w:rPr>
        <w:t>Partnership</w:t>
      </w:r>
      <w:r w:rsidRPr="50562516">
        <w:rPr>
          <w:sz w:val="22"/>
          <w:szCs w:val="22"/>
        </w:rPr>
        <w:t xml:space="preserve"> </w:t>
      </w:r>
      <w:r w:rsidR="00B0270B">
        <w:rPr>
          <w:sz w:val="22"/>
          <w:szCs w:val="22"/>
        </w:rPr>
        <w:t xml:space="preserve">(the Partnership) </w:t>
      </w:r>
      <w:r w:rsidRPr="50562516">
        <w:rPr>
          <w:sz w:val="22"/>
          <w:szCs w:val="22"/>
        </w:rPr>
        <w:t xml:space="preserve">with the aim of improving the dietary habits of Australians by making healthier food </w:t>
      </w:r>
      <w:r w:rsidR="0F8E6B78" w:rsidRPr="50562516">
        <w:rPr>
          <w:sz w:val="22"/>
          <w:szCs w:val="22"/>
        </w:rPr>
        <w:t xml:space="preserve">and beverage </w:t>
      </w:r>
      <w:r w:rsidRPr="50562516">
        <w:rPr>
          <w:sz w:val="22"/>
          <w:szCs w:val="22"/>
        </w:rPr>
        <w:t xml:space="preserve">choices easier and more accessible, and by raising awareness of appropriate choices and </w:t>
      </w:r>
      <w:r w:rsidRPr="00E06B39">
        <w:rPr>
          <w:bCs/>
          <w:sz w:val="22"/>
          <w:szCs w:val="22"/>
        </w:rPr>
        <w:t>portion</w:t>
      </w:r>
      <w:r w:rsidR="00E35936">
        <w:rPr>
          <w:bCs/>
          <w:sz w:val="22"/>
          <w:szCs w:val="22"/>
        </w:rPr>
        <w:t xml:space="preserve"> </w:t>
      </w:r>
      <w:r w:rsidRPr="00E06B39">
        <w:rPr>
          <w:bCs/>
          <w:sz w:val="22"/>
          <w:szCs w:val="22"/>
        </w:rPr>
        <w:t>sizes</w:t>
      </w:r>
      <w:r w:rsidRPr="50562516">
        <w:rPr>
          <w:b/>
          <w:bCs/>
          <w:sz w:val="22"/>
          <w:szCs w:val="22"/>
        </w:rPr>
        <w:t xml:space="preserve"> </w:t>
      </w:r>
      <w:r w:rsidRPr="00E06B39">
        <w:rPr>
          <w:sz w:val="22"/>
          <w:szCs w:val="22"/>
        </w:rPr>
        <w:t>(1)</w:t>
      </w:r>
      <w:r w:rsidR="43E9D199" w:rsidRPr="50562516">
        <w:rPr>
          <w:sz w:val="22"/>
          <w:szCs w:val="22"/>
        </w:rPr>
        <w:t>.</w:t>
      </w:r>
      <w:r w:rsidRPr="50562516">
        <w:rPr>
          <w:sz w:val="22"/>
          <w:szCs w:val="22"/>
        </w:rPr>
        <w:t xml:space="preserve"> </w:t>
      </w:r>
    </w:p>
    <w:p w14:paraId="6D6A678A" w14:textId="77777777" w:rsidR="004E1CB1" w:rsidRPr="00B5325D" w:rsidRDefault="007259AF" w:rsidP="00795E9E">
      <w:pPr>
        <w:spacing w:after="240"/>
        <w:rPr>
          <w:color w:val="000000"/>
          <w:sz w:val="22"/>
        </w:rPr>
      </w:pPr>
      <w:r w:rsidRPr="00B5325D">
        <w:rPr>
          <w:color w:val="000000"/>
          <w:sz w:val="22"/>
        </w:rPr>
        <w:t xml:space="preserve">The Partnership provides a mechanism for government, the public health </w:t>
      </w:r>
      <w:proofErr w:type="gramStart"/>
      <w:r w:rsidRPr="00B5325D">
        <w:rPr>
          <w:color w:val="000000"/>
          <w:sz w:val="22"/>
        </w:rPr>
        <w:t>sector</w:t>
      </w:r>
      <w:proofErr w:type="gramEnd"/>
      <w:r w:rsidRPr="00B5325D">
        <w:rPr>
          <w:color w:val="000000"/>
          <w:sz w:val="22"/>
        </w:rPr>
        <w:t xml:space="preserve"> and the food industry to cooperatively tackle obesity, encourage healthy eating and empower food manufacturers to make positive changes.</w:t>
      </w:r>
      <w:r w:rsidRPr="00B5325D">
        <w:rPr>
          <w:sz w:val="22"/>
        </w:rPr>
        <w:t xml:space="preserve"> </w:t>
      </w:r>
      <w:r w:rsidR="004E1CB1" w:rsidRPr="00B5325D">
        <w:rPr>
          <w:sz w:val="22"/>
        </w:rPr>
        <w:t>The scope of work within the Partnership comprises several policy areas that consider portion size, food reformulation, food service environments and education.</w:t>
      </w:r>
      <w:r w:rsidR="004E1CB1" w:rsidRPr="00B5325D">
        <w:rPr>
          <w:color w:val="000000"/>
          <w:sz w:val="22"/>
        </w:rPr>
        <w:t xml:space="preserve"> </w:t>
      </w:r>
    </w:p>
    <w:p w14:paraId="1F961E85" w14:textId="7A301F4C" w:rsidR="00D83504" w:rsidRPr="00B5325D" w:rsidRDefault="00CE5EB8" w:rsidP="00795E9E">
      <w:pPr>
        <w:spacing w:after="240"/>
        <w:rPr>
          <w:sz w:val="22"/>
          <w:szCs w:val="22"/>
        </w:rPr>
      </w:pPr>
      <w:r w:rsidRPr="20700834">
        <w:rPr>
          <w:sz w:val="22"/>
          <w:szCs w:val="22"/>
        </w:rPr>
        <w:t>This multifaceted approach reflects the fact that dietary choices are determined through a complex interplay of factors and thus</w:t>
      </w:r>
      <w:r w:rsidR="196EB246" w:rsidRPr="20700834">
        <w:rPr>
          <w:sz w:val="22"/>
          <w:szCs w:val="22"/>
        </w:rPr>
        <w:t>,</w:t>
      </w:r>
      <w:r w:rsidRPr="20700834">
        <w:rPr>
          <w:sz w:val="22"/>
          <w:szCs w:val="22"/>
        </w:rPr>
        <w:t xml:space="preserve"> there is not one single policy measure that can be introduced to shift populations onto a healthier dietary trajectory</w:t>
      </w:r>
      <w:r w:rsidR="002B3E9D" w:rsidRPr="20700834">
        <w:rPr>
          <w:sz w:val="22"/>
          <w:szCs w:val="22"/>
        </w:rPr>
        <w:t>.</w:t>
      </w:r>
    </w:p>
    <w:p w14:paraId="76588F0F" w14:textId="28D40D98" w:rsidR="00B444EA" w:rsidRPr="00A05067" w:rsidRDefault="00D017A7" w:rsidP="00795E9E">
      <w:pPr>
        <w:spacing w:after="240"/>
        <w:rPr>
          <w:sz w:val="22"/>
          <w:szCs w:val="22"/>
        </w:rPr>
      </w:pPr>
      <w:r>
        <w:rPr>
          <w:sz w:val="22"/>
          <w:szCs w:val="22"/>
        </w:rPr>
        <w:t xml:space="preserve">The Portion Size Working Group </w:t>
      </w:r>
      <w:r w:rsidRPr="001B68B7">
        <w:rPr>
          <w:sz w:val="22"/>
          <w:szCs w:val="22"/>
        </w:rPr>
        <w:t>(</w:t>
      </w:r>
      <w:r w:rsidRPr="00E06B39">
        <w:rPr>
          <w:sz w:val="22"/>
          <w:szCs w:val="22"/>
        </w:rPr>
        <w:t>PSWG</w:t>
      </w:r>
      <w:r w:rsidRPr="001B68B7">
        <w:rPr>
          <w:sz w:val="22"/>
          <w:szCs w:val="22"/>
        </w:rPr>
        <w:t xml:space="preserve">) </w:t>
      </w:r>
      <w:r>
        <w:rPr>
          <w:sz w:val="22"/>
          <w:szCs w:val="22"/>
        </w:rPr>
        <w:t>was</w:t>
      </w:r>
      <w:r w:rsidR="00150AC8">
        <w:rPr>
          <w:sz w:val="22"/>
          <w:szCs w:val="22"/>
        </w:rPr>
        <w:t xml:space="preserve"> one of the first working group</w:t>
      </w:r>
      <w:r>
        <w:rPr>
          <w:sz w:val="22"/>
          <w:szCs w:val="22"/>
        </w:rPr>
        <w:t xml:space="preserve">s </w:t>
      </w:r>
      <w:r w:rsidRPr="00A05067">
        <w:rPr>
          <w:sz w:val="22"/>
          <w:szCs w:val="22"/>
        </w:rPr>
        <w:t xml:space="preserve">established under </w:t>
      </w:r>
      <w:r w:rsidR="001B3475">
        <w:rPr>
          <w:sz w:val="22"/>
          <w:szCs w:val="22"/>
        </w:rPr>
        <w:t xml:space="preserve">the </w:t>
      </w:r>
      <w:r w:rsidRPr="00A05067">
        <w:rPr>
          <w:sz w:val="22"/>
          <w:szCs w:val="22"/>
        </w:rPr>
        <w:t>Partnership</w:t>
      </w:r>
      <w:r w:rsidR="00973F67">
        <w:rPr>
          <w:rStyle w:val="FootnoteReference"/>
          <w:sz w:val="22"/>
          <w:szCs w:val="22"/>
        </w:rPr>
        <w:footnoteReference w:id="2"/>
      </w:r>
      <w:r w:rsidRPr="00A05067">
        <w:rPr>
          <w:sz w:val="22"/>
          <w:szCs w:val="22"/>
        </w:rPr>
        <w:t>. O</w:t>
      </w:r>
      <w:r w:rsidR="0032357A" w:rsidRPr="00A05067">
        <w:rPr>
          <w:sz w:val="22"/>
          <w:szCs w:val="22"/>
        </w:rPr>
        <w:t>ne of t</w:t>
      </w:r>
      <w:r w:rsidR="00B444EA" w:rsidRPr="00A05067">
        <w:rPr>
          <w:sz w:val="22"/>
          <w:szCs w:val="22"/>
        </w:rPr>
        <w:t>he</w:t>
      </w:r>
      <w:r w:rsidRPr="00A05067">
        <w:rPr>
          <w:sz w:val="22"/>
          <w:szCs w:val="22"/>
        </w:rPr>
        <w:t xml:space="preserve"> </w:t>
      </w:r>
      <w:r w:rsidR="0032357A" w:rsidRPr="00A05067">
        <w:rPr>
          <w:sz w:val="22"/>
          <w:szCs w:val="22"/>
        </w:rPr>
        <w:t xml:space="preserve">objectives </w:t>
      </w:r>
      <w:r w:rsidRPr="00A05067">
        <w:rPr>
          <w:sz w:val="22"/>
          <w:szCs w:val="22"/>
        </w:rPr>
        <w:t xml:space="preserve">of the PSWG </w:t>
      </w:r>
      <w:r w:rsidR="0032357A" w:rsidRPr="00A05067">
        <w:rPr>
          <w:sz w:val="22"/>
          <w:szCs w:val="22"/>
        </w:rPr>
        <w:t xml:space="preserve">was to consider how to </w:t>
      </w:r>
      <w:r w:rsidR="3EA21DC8" w:rsidRPr="00A05067">
        <w:rPr>
          <w:sz w:val="22"/>
          <w:szCs w:val="22"/>
        </w:rPr>
        <w:t>engage</w:t>
      </w:r>
      <w:r w:rsidR="0032357A" w:rsidRPr="00A05067">
        <w:rPr>
          <w:sz w:val="22"/>
          <w:szCs w:val="22"/>
        </w:rPr>
        <w:t xml:space="preserve"> with industry</w:t>
      </w:r>
      <w:r w:rsidR="007B5FDA" w:rsidRPr="00A05067">
        <w:rPr>
          <w:sz w:val="22"/>
          <w:szCs w:val="22"/>
        </w:rPr>
        <w:t xml:space="preserve"> to </w:t>
      </w:r>
      <w:r w:rsidR="00F80AD6" w:rsidRPr="00A05067">
        <w:rPr>
          <w:sz w:val="22"/>
          <w:szCs w:val="22"/>
        </w:rPr>
        <w:t>optimise portion sizes</w:t>
      </w:r>
      <w:r w:rsidR="0032357A" w:rsidRPr="00A05067">
        <w:rPr>
          <w:sz w:val="22"/>
          <w:szCs w:val="22"/>
        </w:rPr>
        <w:t>. Between September 2016 and June 2018, the PSWG undertook research and assessments</w:t>
      </w:r>
      <w:r w:rsidR="4564066D" w:rsidRPr="00A05067">
        <w:rPr>
          <w:sz w:val="22"/>
          <w:szCs w:val="22"/>
        </w:rPr>
        <w:t>,</w:t>
      </w:r>
      <w:r w:rsidR="0032357A" w:rsidRPr="00A05067">
        <w:rPr>
          <w:sz w:val="22"/>
          <w:szCs w:val="22"/>
        </w:rPr>
        <w:t xml:space="preserve"> </w:t>
      </w:r>
      <w:r w:rsidR="0010357C" w:rsidRPr="00A05067">
        <w:rPr>
          <w:sz w:val="22"/>
          <w:szCs w:val="22"/>
        </w:rPr>
        <w:t>and</w:t>
      </w:r>
      <w:r w:rsidR="0032357A" w:rsidRPr="00A05067">
        <w:rPr>
          <w:sz w:val="22"/>
          <w:szCs w:val="22"/>
        </w:rPr>
        <w:t xml:space="preserve"> developed key recommendations</w:t>
      </w:r>
      <w:r w:rsidR="0010357C" w:rsidRPr="00A05067">
        <w:rPr>
          <w:sz w:val="22"/>
          <w:szCs w:val="22"/>
        </w:rPr>
        <w:t>. One of these recommendations</w:t>
      </w:r>
      <w:r w:rsidR="0032357A" w:rsidRPr="00A05067">
        <w:rPr>
          <w:sz w:val="22"/>
          <w:szCs w:val="22"/>
        </w:rPr>
        <w:t xml:space="preserve"> </w:t>
      </w:r>
      <w:r w:rsidR="00B444EA" w:rsidRPr="00A05067">
        <w:rPr>
          <w:sz w:val="22"/>
          <w:szCs w:val="22"/>
        </w:rPr>
        <w:t xml:space="preserve">was </w:t>
      </w:r>
      <w:r w:rsidR="003C22AC" w:rsidRPr="00A05067">
        <w:rPr>
          <w:sz w:val="22"/>
          <w:szCs w:val="22"/>
        </w:rPr>
        <w:t>to develop an industry engagement strategy</w:t>
      </w:r>
      <w:r w:rsidRPr="00A05067">
        <w:rPr>
          <w:sz w:val="22"/>
          <w:szCs w:val="22"/>
        </w:rPr>
        <w:t xml:space="preserve"> to adopt voluntary activities to support healthier sizes of portions and servings. Key activities of the strategy </w:t>
      </w:r>
      <w:r w:rsidR="003C22AC" w:rsidRPr="00A05067">
        <w:rPr>
          <w:sz w:val="22"/>
          <w:szCs w:val="22"/>
        </w:rPr>
        <w:t>includ</w:t>
      </w:r>
      <w:r w:rsidRPr="00A05067">
        <w:rPr>
          <w:sz w:val="22"/>
          <w:szCs w:val="22"/>
        </w:rPr>
        <w:t>e</w:t>
      </w:r>
      <w:r w:rsidR="003C22AC" w:rsidRPr="00A05067">
        <w:rPr>
          <w:sz w:val="22"/>
          <w:szCs w:val="22"/>
        </w:rPr>
        <w:t xml:space="preserve"> the </w:t>
      </w:r>
      <w:r w:rsidR="0010357C" w:rsidRPr="00A05067">
        <w:rPr>
          <w:sz w:val="22"/>
          <w:szCs w:val="22"/>
        </w:rPr>
        <w:t xml:space="preserve">development of a guide on </w:t>
      </w:r>
      <w:r w:rsidR="0010357C" w:rsidRPr="00E06B39">
        <w:rPr>
          <w:sz w:val="22"/>
          <w:szCs w:val="22"/>
        </w:rPr>
        <w:t>serving size</w:t>
      </w:r>
      <w:r w:rsidR="003C22AC" w:rsidRPr="00A05067">
        <w:rPr>
          <w:sz w:val="22"/>
          <w:szCs w:val="22"/>
          <w:vertAlign w:val="superscript"/>
        </w:rPr>
        <w:t xml:space="preserve"> </w:t>
      </w:r>
      <w:r w:rsidR="003C22AC" w:rsidRPr="00A05067">
        <w:rPr>
          <w:sz w:val="22"/>
          <w:szCs w:val="22"/>
        </w:rPr>
        <w:t>to provid</w:t>
      </w:r>
      <w:r w:rsidRPr="00A05067">
        <w:rPr>
          <w:sz w:val="22"/>
          <w:szCs w:val="22"/>
        </w:rPr>
        <w:t>e i</w:t>
      </w:r>
      <w:r w:rsidR="003C22AC" w:rsidRPr="00A05067">
        <w:rPr>
          <w:sz w:val="22"/>
          <w:szCs w:val="22"/>
        </w:rPr>
        <w:t xml:space="preserve">ndustry with guidance and support, and the development of recommended serving sizes for key discretionary foods and </w:t>
      </w:r>
      <w:r w:rsidR="64E3E9E4" w:rsidRPr="00A05067">
        <w:rPr>
          <w:sz w:val="22"/>
          <w:szCs w:val="22"/>
        </w:rPr>
        <w:t>beverag</w:t>
      </w:r>
      <w:r w:rsidR="003C6F30" w:rsidRPr="00A05067">
        <w:rPr>
          <w:sz w:val="22"/>
          <w:szCs w:val="22"/>
        </w:rPr>
        <w:t>e</w:t>
      </w:r>
      <w:r w:rsidR="64E3E9E4" w:rsidRPr="00A05067">
        <w:rPr>
          <w:sz w:val="22"/>
          <w:szCs w:val="22"/>
        </w:rPr>
        <w:t>s</w:t>
      </w:r>
      <w:r w:rsidR="003C22AC" w:rsidRPr="00A05067">
        <w:rPr>
          <w:sz w:val="22"/>
          <w:szCs w:val="22"/>
        </w:rPr>
        <w:t xml:space="preserve">. </w:t>
      </w:r>
      <w:r w:rsidR="00704D5B">
        <w:rPr>
          <w:sz w:val="22"/>
          <w:szCs w:val="22"/>
        </w:rPr>
        <w:t xml:space="preserve">The </w:t>
      </w:r>
      <w:r w:rsidRPr="00A05067">
        <w:rPr>
          <w:sz w:val="22"/>
          <w:szCs w:val="22"/>
        </w:rPr>
        <w:t>PSWG was disbanded following the release of their report</w:t>
      </w:r>
      <w:r w:rsidR="00704D5B">
        <w:rPr>
          <w:sz w:val="22"/>
          <w:szCs w:val="22"/>
        </w:rPr>
        <w:t xml:space="preserve"> and</w:t>
      </w:r>
      <w:r w:rsidRPr="00A05067">
        <w:rPr>
          <w:sz w:val="22"/>
          <w:szCs w:val="22"/>
        </w:rPr>
        <w:t xml:space="preserve"> t</w:t>
      </w:r>
      <w:r w:rsidR="003C22AC" w:rsidRPr="00A05067">
        <w:rPr>
          <w:sz w:val="22"/>
          <w:szCs w:val="22"/>
        </w:rPr>
        <w:t>he IBPGWG was convened in August 2019 to deliver on this recommendation.</w:t>
      </w:r>
    </w:p>
    <w:p w14:paraId="5645C49B" w14:textId="56A230E6" w:rsidR="00505B99" w:rsidRDefault="00B602D1" w:rsidP="00795E9E">
      <w:pPr>
        <w:widowControl w:val="0"/>
        <w:autoSpaceDE w:val="0"/>
        <w:autoSpaceDN w:val="0"/>
        <w:adjustRightInd w:val="0"/>
        <w:spacing w:after="240"/>
        <w:rPr>
          <w:sz w:val="22"/>
          <w:szCs w:val="22"/>
        </w:rPr>
      </w:pPr>
      <w:r w:rsidRPr="00A05067">
        <w:rPr>
          <w:sz w:val="22"/>
          <w:szCs w:val="22"/>
        </w:rPr>
        <w:t>The IBPGWG was tasked with establishing priorities for serving size recommendations which may help consumers achieve</w:t>
      </w:r>
      <w:r w:rsidR="00D017A7" w:rsidRPr="00A05067">
        <w:rPr>
          <w:sz w:val="22"/>
          <w:szCs w:val="22"/>
        </w:rPr>
        <w:t xml:space="preserve"> dietary patterns that are </w:t>
      </w:r>
      <w:r w:rsidRPr="00A05067">
        <w:rPr>
          <w:sz w:val="22"/>
          <w:szCs w:val="22"/>
        </w:rPr>
        <w:t>consistent with the Australian Dietary Guidelines (</w:t>
      </w:r>
      <w:r w:rsidRPr="00E06B39">
        <w:rPr>
          <w:sz w:val="22"/>
          <w:szCs w:val="22"/>
        </w:rPr>
        <w:t>ADG</w:t>
      </w:r>
      <w:r w:rsidRPr="001B68B7">
        <w:rPr>
          <w:sz w:val="22"/>
          <w:szCs w:val="22"/>
        </w:rPr>
        <w:t>)</w:t>
      </w:r>
      <w:r w:rsidR="00973F67">
        <w:rPr>
          <w:rStyle w:val="FootnoteReference"/>
          <w:sz w:val="22"/>
          <w:szCs w:val="22"/>
        </w:rPr>
        <w:footnoteReference w:id="3"/>
      </w:r>
      <w:r w:rsidRPr="001B68B7">
        <w:rPr>
          <w:sz w:val="22"/>
          <w:szCs w:val="22"/>
        </w:rPr>
        <w:t>.</w:t>
      </w:r>
      <w:r w:rsidRPr="00A05067">
        <w:rPr>
          <w:sz w:val="22"/>
          <w:szCs w:val="22"/>
        </w:rPr>
        <w:t xml:space="preserve"> The</w:t>
      </w:r>
      <w:r w:rsidRPr="14950E1D">
        <w:rPr>
          <w:sz w:val="22"/>
          <w:szCs w:val="22"/>
        </w:rPr>
        <w:t xml:space="preserve"> recommended serving sizes are intended to drive a decrease in energy and risk associated nutrients</w:t>
      </w:r>
      <w:r w:rsidR="00C427B2">
        <w:rPr>
          <w:sz w:val="22"/>
          <w:szCs w:val="22"/>
        </w:rPr>
        <w:t xml:space="preserve"> (added sugar, </w:t>
      </w:r>
      <w:proofErr w:type="gramStart"/>
      <w:r w:rsidR="00C427B2">
        <w:rPr>
          <w:sz w:val="22"/>
          <w:szCs w:val="22"/>
        </w:rPr>
        <w:t>sodium</w:t>
      </w:r>
      <w:proofErr w:type="gramEnd"/>
      <w:r w:rsidR="00C427B2">
        <w:rPr>
          <w:sz w:val="22"/>
          <w:szCs w:val="22"/>
        </w:rPr>
        <w:t xml:space="preserve"> and saturated fat)</w:t>
      </w:r>
      <w:r w:rsidRPr="14950E1D">
        <w:rPr>
          <w:sz w:val="22"/>
          <w:szCs w:val="22"/>
        </w:rPr>
        <w:t xml:space="preserve"> in priority food categor</w:t>
      </w:r>
      <w:r w:rsidRPr="00B0270B">
        <w:rPr>
          <w:sz w:val="22"/>
          <w:szCs w:val="22"/>
        </w:rPr>
        <w:t>ies.</w:t>
      </w:r>
      <w:r w:rsidR="00B0270B" w:rsidRPr="00E06B39">
        <w:rPr>
          <w:sz w:val="22"/>
          <w:szCs w:val="22"/>
        </w:rPr>
        <w:t xml:space="preserve"> The work of the IBPGWG is complementary to the Partnership Reformulation Program, which is an initiative under the Partnership.</w:t>
      </w:r>
      <w:r w:rsidR="00B0270B" w:rsidRPr="242B292E">
        <w:rPr>
          <w:sz w:val="22"/>
          <w:szCs w:val="22"/>
        </w:rPr>
        <w:t xml:space="preserve"> </w:t>
      </w:r>
    </w:p>
    <w:p w14:paraId="63754D3D" w14:textId="77777777" w:rsidR="00505B99" w:rsidRDefault="00505B99">
      <w:pPr>
        <w:rPr>
          <w:sz w:val="22"/>
          <w:szCs w:val="22"/>
        </w:rPr>
      </w:pPr>
      <w:r>
        <w:rPr>
          <w:sz w:val="22"/>
          <w:szCs w:val="22"/>
        </w:rPr>
        <w:br w:type="page"/>
      </w:r>
    </w:p>
    <w:p w14:paraId="36084D2E" w14:textId="4BEEE18E" w:rsidR="00CE5EB8" w:rsidRPr="00AF4E31" w:rsidRDefault="00AF4E31" w:rsidP="00994436">
      <w:pPr>
        <w:pStyle w:val="Heading1"/>
        <w:numPr>
          <w:ilvl w:val="0"/>
          <w:numId w:val="86"/>
        </w:numPr>
        <w:tabs>
          <w:tab w:val="left" w:pos="426"/>
        </w:tabs>
        <w:ind w:left="426" w:hanging="426"/>
      </w:pPr>
      <w:bookmarkStart w:id="9" w:name="_Toc109294233"/>
      <w:r>
        <w:rPr>
          <w:shd w:val="clear" w:color="auto" w:fill="FFFFFF"/>
        </w:rPr>
        <w:lastRenderedPageBreak/>
        <w:t>O</w:t>
      </w:r>
      <w:r w:rsidR="00CE5EB8" w:rsidRPr="001E3BE4">
        <w:rPr>
          <w:shd w:val="clear" w:color="auto" w:fill="FFFFFF"/>
        </w:rPr>
        <w:t xml:space="preserve">bjectives and key activities for the </w:t>
      </w:r>
      <w:r w:rsidR="0040163C">
        <w:rPr>
          <w:shd w:val="clear" w:color="auto" w:fill="FFFFFF"/>
        </w:rPr>
        <w:t xml:space="preserve">Industry Best Practice Guide </w:t>
      </w:r>
      <w:r w:rsidR="00CE5EB8" w:rsidRPr="001E3BE4">
        <w:rPr>
          <w:shd w:val="clear" w:color="auto" w:fill="FFFFFF"/>
        </w:rPr>
        <w:t>Working Group</w:t>
      </w:r>
      <w:bookmarkEnd w:id="9"/>
    </w:p>
    <w:p w14:paraId="2AF25E7A" w14:textId="77777777" w:rsidR="00E35936" w:rsidRDefault="00E35936" w:rsidP="242B292E">
      <w:pPr>
        <w:spacing w:after="120"/>
        <w:contextualSpacing/>
        <w:rPr>
          <w:color w:val="0D0D0D" w:themeColor="text1" w:themeTint="F2"/>
          <w:sz w:val="22"/>
          <w:szCs w:val="22"/>
        </w:rPr>
      </w:pPr>
    </w:p>
    <w:p w14:paraId="7785BE37" w14:textId="0A383FC0" w:rsidR="00CE5EB8" w:rsidRPr="00B5325D" w:rsidRDefault="00CE5EB8" w:rsidP="242B292E">
      <w:pPr>
        <w:spacing w:after="120"/>
        <w:contextualSpacing/>
        <w:rPr>
          <w:color w:val="0D0D0D" w:themeColor="text1" w:themeTint="F2"/>
          <w:sz w:val="22"/>
          <w:szCs w:val="22"/>
        </w:rPr>
      </w:pPr>
      <w:r w:rsidRPr="242B292E">
        <w:rPr>
          <w:color w:val="0D0D0D" w:themeColor="text1" w:themeTint="F2"/>
          <w:sz w:val="22"/>
          <w:szCs w:val="22"/>
        </w:rPr>
        <w:t xml:space="preserve">The </w:t>
      </w:r>
      <w:r w:rsidR="351F36CF" w:rsidRPr="2AA6C5CB">
        <w:rPr>
          <w:color w:val="0D0D0D" w:themeColor="text1" w:themeTint="F2"/>
          <w:sz w:val="22"/>
          <w:szCs w:val="22"/>
        </w:rPr>
        <w:t>principal</w:t>
      </w:r>
      <w:r w:rsidRPr="242B292E">
        <w:rPr>
          <w:color w:val="0D0D0D" w:themeColor="text1" w:themeTint="F2"/>
          <w:sz w:val="22"/>
          <w:szCs w:val="22"/>
        </w:rPr>
        <w:t xml:space="preserve"> </w:t>
      </w:r>
      <w:r w:rsidR="00D62FA9" w:rsidRPr="242B292E">
        <w:rPr>
          <w:color w:val="0D0D0D" w:themeColor="text1" w:themeTint="F2"/>
          <w:sz w:val="22"/>
          <w:szCs w:val="22"/>
        </w:rPr>
        <w:t>objective of the IBPGW</w:t>
      </w:r>
      <w:r w:rsidR="00D83504" w:rsidRPr="242B292E">
        <w:rPr>
          <w:color w:val="0D0D0D" w:themeColor="text1" w:themeTint="F2"/>
          <w:sz w:val="22"/>
          <w:szCs w:val="22"/>
        </w:rPr>
        <w:t>G</w:t>
      </w:r>
      <w:r w:rsidRPr="242B292E">
        <w:rPr>
          <w:color w:val="0D0D0D" w:themeColor="text1" w:themeTint="F2"/>
          <w:sz w:val="22"/>
          <w:szCs w:val="22"/>
        </w:rPr>
        <w:t xml:space="preserve"> is to:</w:t>
      </w:r>
    </w:p>
    <w:p w14:paraId="48718580" w14:textId="6C1CAB4F" w:rsidR="00D62FA9" w:rsidRPr="00B5325D" w:rsidRDefault="00D62FA9" w:rsidP="00795E9E">
      <w:pPr>
        <w:spacing w:after="240"/>
        <w:ind w:left="720"/>
        <w:rPr>
          <w:i/>
          <w:iCs/>
          <w:color w:val="0D0D0D" w:themeColor="text1" w:themeTint="F2"/>
          <w:sz w:val="22"/>
          <w:szCs w:val="22"/>
        </w:rPr>
      </w:pPr>
      <w:r w:rsidRPr="1C6C4E8B">
        <w:rPr>
          <w:i/>
          <w:iCs/>
          <w:color w:val="0D0D0D" w:themeColor="text1" w:themeTint="F2"/>
          <w:sz w:val="22"/>
          <w:szCs w:val="22"/>
        </w:rPr>
        <w:t>develop a guide which will provide guidance and support to food companies</w:t>
      </w:r>
      <w:r w:rsidR="00C350DD" w:rsidRPr="1C6C4E8B">
        <w:rPr>
          <w:i/>
          <w:iCs/>
          <w:color w:val="0D0D0D" w:themeColor="text1" w:themeTint="F2"/>
          <w:sz w:val="22"/>
          <w:szCs w:val="22"/>
        </w:rPr>
        <w:t xml:space="preserve"> (including both retail and out of home sectors)</w:t>
      </w:r>
      <w:r w:rsidRPr="1C6C4E8B">
        <w:rPr>
          <w:i/>
          <w:iCs/>
          <w:color w:val="0D0D0D" w:themeColor="text1" w:themeTint="F2"/>
          <w:sz w:val="22"/>
          <w:szCs w:val="22"/>
        </w:rPr>
        <w:t xml:space="preserve"> to incorporate nutrition as a key driver </w:t>
      </w:r>
      <w:r w:rsidR="4A01CB0D" w:rsidRPr="1C6C4E8B">
        <w:rPr>
          <w:i/>
          <w:iCs/>
          <w:color w:val="0D0D0D" w:themeColor="text1" w:themeTint="F2"/>
          <w:sz w:val="22"/>
          <w:szCs w:val="22"/>
        </w:rPr>
        <w:t xml:space="preserve">in </w:t>
      </w:r>
      <w:r w:rsidR="00EC090D" w:rsidRPr="1C6C4E8B">
        <w:rPr>
          <w:i/>
          <w:iCs/>
          <w:color w:val="0D0D0D" w:themeColor="text1" w:themeTint="F2"/>
          <w:sz w:val="22"/>
          <w:szCs w:val="22"/>
        </w:rPr>
        <w:t>determining</w:t>
      </w:r>
      <w:r w:rsidRPr="1C6C4E8B">
        <w:rPr>
          <w:i/>
          <w:iCs/>
          <w:color w:val="0D0D0D" w:themeColor="text1" w:themeTint="F2"/>
          <w:sz w:val="22"/>
          <w:szCs w:val="22"/>
        </w:rPr>
        <w:t xml:space="preserve"> </w:t>
      </w:r>
      <w:r w:rsidR="00C350DD" w:rsidRPr="1C6C4E8B">
        <w:rPr>
          <w:i/>
          <w:iCs/>
          <w:color w:val="0D0D0D" w:themeColor="text1" w:themeTint="F2"/>
          <w:sz w:val="22"/>
          <w:szCs w:val="22"/>
        </w:rPr>
        <w:t>serving sizes for</w:t>
      </w:r>
      <w:r w:rsidRPr="1C6C4E8B">
        <w:rPr>
          <w:i/>
          <w:iCs/>
          <w:color w:val="0D0D0D" w:themeColor="text1" w:themeTint="F2"/>
          <w:sz w:val="22"/>
          <w:szCs w:val="22"/>
        </w:rPr>
        <w:t xml:space="preserve"> food and </w:t>
      </w:r>
      <w:r w:rsidR="6391556A" w:rsidRPr="1C6C4E8B">
        <w:rPr>
          <w:i/>
          <w:iCs/>
          <w:color w:val="0D0D0D" w:themeColor="text1" w:themeTint="F2"/>
          <w:sz w:val="22"/>
          <w:szCs w:val="22"/>
        </w:rPr>
        <w:t>beverages</w:t>
      </w:r>
      <w:r w:rsidR="00C350DD" w:rsidRPr="1C6C4E8B">
        <w:rPr>
          <w:i/>
          <w:iCs/>
          <w:color w:val="0D0D0D" w:themeColor="text1" w:themeTint="F2"/>
          <w:sz w:val="22"/>
          <w:szCs w:val="22"/>
        </w:rPr>
        <w:t>.</w:t>
      </w:r>
    </w:p>
    <w:p w14:paraId="409FF0FE" w14:textId="5B2994C9" w:rsidR="00D62FA9" w:rsidRPr="00B5325D" w:rsidRDefault="00D62FA9" w:rsidP="00B602D1">
      <w:pPr>
        <w:keepNext/>
        <w:spacing w:before="200"/>
        <w:ind w:left="34"/>
        <w:rPr>
          <w:sz w:val="22"/>
        </w:rPr>
      </w:pPr>
      <w:r w:rsidRPr="00B5325D">
        <w:rPr>
          <w:sz w:val="22"/>
        </w:rPr>
        <w:t xml:space="preserve">Key deliverables for the </w:t>
      </w:r>
      <w:r w:rsidR="003C22AC" w:rsidRPr="00B5325D">
        <w:rPr>
          <w:sz w:val="22"/>
        </w:rPr>
        <w:t>IBPGWG</w:t>
      </w:r>
      <w:r w:rsidRPr="00B5325D">
        <w:rPr>
          <w:sz w:val="22"/>
        </w:rPr>
        <w:t xml:space="preserve"> are:</w:t>
      </w:r>
    </w:p>
    <w:p w14:paraId="29291DDA" w14:textId="39281419" w:rsidR="00C350DD" w:rsidRPr="00B5325D" w:rsidRDefault="00D62FA9" w:rsidP="33482807">
      <w:pPr>
        <w:pStyle w:val="ListParagraph"/>
        <w:numPr>
          <w:ilvl w:val="0"/>
          <w:numId w:val="32"/>
        </w:numPr>
        <w:spacing w:after="60"/>
        <w:contextualSpacing w:val="0"/>
        <w:rPr>
          <w:sz w:val="22"/>
          <w:szCs w:val="22"/>
        </w:rPr>
      </w:pPr>
      <w:r w:rsidRPr="33482807">
        <w:rPr>
          <w:sz w:val="22"/>
          <w:szCs w:val="22"/>
        </w:rPr>
        <w:t>A prioritised list of foods</w:t>
      </w:r>
      <w:r w:rsidR="1690E855" w:rsidRPr="33482807">
        <w:rPr>
          <w:sz w:val="22"/>
          <w:szCs w:val="22"/>
        </w:rPr>
        <w:t xml:space="preserve"> and </w:t>
      </w:r>
      <w:r w:rsidRPr="33482807">
        <w:rPr>
          <w:sz w:val="22"/>
          <w:szCs w:val="22"/>
        </w:rPr>
        <w:t>beverages for which serving size recommendations will apply</w:t>
      </w:r>
      <w:r w:rsidR="00C350DD" w:rsidRPr="33482807">
        <w:rPr>
          <w:sz w:val="22"/>
          <w:szCs w:val="22"/>
        </w:rPr>
        <w:t>, including detailing the methodology used and rationale for the chosen approach</w:t>
      </w:r>
    </w:p>
    <w:p w14:paraId="0AEB58B5" w14:textId="03748766" w:rsidR="00D62FA9" w:rsidRPr="00B5325D" w:rsidRDefault="00D62FA9" w:rsidP="0078360F">
      <w:pPr>
        <w:pStyle w:val="ListParagraph"/>
        <w:numPr>
          <w:ilvl w:val="0"/>
          <w:numId w:val="32"/>
        </w:numPr>
        <w:spacing w:after="60"/>
        <w:contextualSpacing w:val="0"/>
        <w:rPr>
          <w:sz w:val="22"/>
        </w:rPr>
      </w:pPr>
      <w:r w:rsidRPr="00B5325D">
        <w:rPr>
          <w:sz w:val="22"/>
        </w:rPr>
        <w:t xml:space="preserve">A process for engaging stakeholders in developing and agreeing </w:t>
      </w:r>
      <w:r w:rsidR="007B5FDA">
        <w:rPr>
          <w:sz w:val="22"/>
        </w:rPr>
        <w:t xml:space="preserve">to </w:t>
      </w:r>
      <w:r w:rsidRPr="00B5325D">
        <w:rPr>
          <w:sz w:val="22"/>
        </w:rPr>
        <w:t>serving size recommendations</w:t>
      </w:r>
    </w:p>
    <w:p w14:paraId="01B6BCB3" w14:textId="6B6A2932" w:rsidR="00D62FA9" w:rsidRPr="00B5325D" w:rsidRDefault="00D62FA9" w:rsidP="0078360F">
      <w:pPr>
        <w:pStyle w:val="ListParagraph"/>
        <w:numPr>
          <w:ilvl w:val="0"/>
          <w:numId w:val="32"/>
        </w:numPr>
        <w:spacing w:after="60"/>
        <w:contextualSpacing w:val="0"/>
        <w:rPr>
          <w:sz w:val="22"/>
          <w:szCs w:val="22"/>
        </w:rPr>
      </w:pPr>
      <w:r w:rsidRPr="00CC7C59">
        <w:rPr>
          <w:sz w:val="22"/>
          <w:szCs w:val="22"/>
        </w:rPr>
        <w:t xml:space="preserve">Agreed serving size recommendations </w:t>
      </w:r>
      <w:r w:rsidR="00D017A7">
        <w:rPr>
          <w:sz w:val="22"/>
          <w:szCs w:val="22"/>
        </w:rPr>
        <w:t>for the prioritised foods and beverages</w:t>
      </w:r>
    </w:p>
    <w:p w14:paraId="54AA21E7" w14:textId="6EF58C43" w:rsidR="004C4E5C" w:rsidRPr="00B5325D" w:rsidRDefault="007B5FDA" w:rsidP="0078360F">
      <w:pPr>
        <w:pStyle w:val="ListParagraph"/>
        <w:numPr>
          <w:ilvl w:val="0"/>
          <w:numId w:val="32"/>
        </w:numPr>
        <w:spacing w:after="60"/>
        <w:contextualSpacing w:val="0"/>
        <w:rPr>
          <w:sz w:val="22"/>
        </w:rPr>
      </w:pPr>
      <w:r>
        <w:rPr>
          <w:sz w:val="22"/>
        </w:rPr>
        <w:t>A</w:t>
      </w:r>
      <w:r w:rsidR="009549C2" w:rsidRPr="00B5325D">
        <w:rPr>
          <w:sz w:val="22"/>
        </w:rPr>
        <w:t xml:space="preserve"> Best Practice</w:t>
      </w:r>
      <w:r w:rsidR="0052746D" w:rsidRPr="00B5325D">
        <w:rPr>
          <w:sz w:val="22"/>
        </w:rPr>
        <w:t xml:space="preserve"> G</w:t>
      </w:r>
      <w:r w:rsidR="004C4E5C" w:rsidRPr="00B5325D">
        <w:rPr>
          <w:sz w:val="22"/>
        </w:rPr>
        <w:t>uide for Industry, r</w:t>
      </w:r>
      <w:r w:rsidR="00D017A7">
        <w:rPr>
          <w:sz w:val="22"/>
        </w:rPr>
        <w:t xml:space="preserve">elating to serving sizes, </w:t>
      </w:r>
      <w:r w:rsidR="004C4E5C" w:rsidRPr="00B5325D">
        <w:rPr>
          <w:sz w:val="22"/>
        </w:rPr>
        <w:t>includ</w:t>
      </w:r>
      <w:r w:rsidR="00D017A7">
        <w:rPr>
          <w:sz w:val="22"/>
        </w:rPr>
        <w:t>ing</w:t>
      </w:r>
      <w:r w:rsidR="004C4E5C" w:rsidRPr="00B5325D">
        <w:rPr>
          <w:sz w:val="22"/>
        </w:rPr>
        <w:t xml:space="preserve">: </w:t>
      </w:r>
    </w:p>
    <w:p w14:paraId="316AA3C2" w14:textId="77777777" w:rsidR="004C4E5C" w:rsidRPr="00B5325D" w:rsidRDefault="004C4E5C" w:rsidP="0078360F">
      <w:pPr>
        <w:pStyle w:val="ListParagraph"/>
        <w:numPr>
          <w:ilvl w:val="1"/>
          <w:numId w:val="33"/>
        </w:numPr>
        <w:contextualSpacing w:val="0"/>
        <w:rPr>
          <w:sz w:val="22"/>
        </w:rPr>
      </w:pPr>
      <w:r w:rsidRPr="00B5325D">
        <w:rPr>
          <w:sz w:val="22"/>
        </w:rPr>
        <w:t>Adopting consistent terminology</w:t>
      </w:r>
    </w:p>
    <w:p w14:paraId="631909D7" w14:textId="77777777" w:rsidR="004C4E5C" w:rsidRPr="00B5325D" w:rsidRDefault="004C4E5C" w:rsidP="0078360F">
      <w:pPr>
        <w:pStyle w:val="ListParagraph"/>
        <w:numPr>
          <w:ilvl w:val="1"/>
          <w:numId w:val="33"/>
        </w:numPr>
        <w:contextualSpacing w:val="0"/>
        <w:rPr>
          <w:sz w:val="22"/>
        </w:rPr>
      </w:pPr>
      <w:r w:rsidRPr="00B5325D">
        <w:rPr>
          <w:sz w:val="22"/>
        </w:rPr>
        <w:t>Off-pack labelling information</w:t>
      </w:r>
    </w:p>
    <w:p w14:paraId="529B5811" w14:textId="77777777" w:rsidR="004C4E5C" w:rsidRPr="00B5325D" w:rsidRDefault="004C4E5C" w:rsidP="0078360F">
      <w:pPr>
        <w:pStyle w:val="ListParagraph"/>
        <w:numPr>
          <w:ilvl w:val="1"/>
          <w:numId w:val="33"/>
        </w:numPr>
        <w:contextualSpacing w:val="0"/>
        <w:rPr>
          <w:sz w:val="22"/>
        </w:rPr>
      </w:pPr>
      <w:r w:rsidRPr="00B5325D">
        <w:rPr>
          <w:sz w:val="22"/>
        </w:rPr>
        <w:t>Voluntary goals relating to sizes of servings</w:t>
      </w:r>
    </w:p>
    <w:p w14:paraId="2C8E71A6" w14:textId="77777777" w:rsidR="004C4E5C" w:rsidRPr="00B5325D" w:rsidRDefault="004C4E5C" w:rsidP="0078360F">
      <w:pPr>
        <w:pStyle w:val="ListParagraph"/>
        <w:numPr>
          <w:ilvl w:val="1"/>
          <w:numId w:val="33"/>
        </w:numPr>
        <w:contextualSpacing w:val="0"/>
        <w:rPr>
          <w:sz w:val="22"/>
        </w:rPr>
      </w:pPr>
      <w:r w:rsidRPr="00B5325D">
        <w:rPr>
          <w:sz w:val="22"/>
        </w:rPr>
        <w:t>Promoting appropriate sizes of serving</w:t>
      </w:r>
    </w:p>
    <w:p w14:paraId="6FAAAF3D" w14:textId="77777777" w:rsidR="004C4E5C" w:rsidRPr="00B5325D" w:rsidRDefault="004C4E5C" w:rsidP="0078360F">
      <w:pPr>
        <w:pStyle w:val="ListParagraph"/>
        <w:numPr>
          <w:ilvl w:val="1"/>
          <w:numId w:val="33"/>
        </w:numPr>
        <w:contextualSpacing w:val="0"/>
        <w:rPr>
          <w:sz w:val="22"/>
        </w:rPr>
      </w:pPr>
      <w:r w:rsidRPr="00B5325D">
        <w:rPr>
          <w:sz w:val="22"/>
        </w:rPr>
        <w:t>Serving control devices in product presentation</w:t>
      </w:r>
    </w:p>
    <w:p w14:paraId="7C020FF5" w14:textId="3D80D1D9" w:rsidR="004C4E5C" w:rsidRPr="00B5325D" w:rsidRDefault="004C4E5C" w:rsidP="0078360F">
      <w:pPr>
        <w:pStyle w:val="ListParagraph"/>
        <w:numPr>
          <w:ilvl w:val="1"/>
          <w:numId w:val="33"/>
        </w:numPr>
        <w:contextualSpacing w:val="0"/>
        <w:rPr>
          <w:sz w:val="22"/>
        </w:rPr>
      </w:pPr>
      <w:r w:rsidRPr="00B5325D">
        <w:rPr>
          <w:sz w:val="22"/>
        </w:rPr>
        <w:t>Advice about sizes of servings in consumer communication material</w:t>
      </w:r>
    </w:p>
    <w:p w14:paraId="5167CDE3" w14:textId="2F27A21C" w:rsidR="00D62FA9" w:rsidRPr="00B5325D" w:rsidRDefault="00CD3418" w:rsidP="6099F934">
      <w:pPr>
        <w:pStyle w:val="ListParagraph"/>
        <w:numPr>
          <w:ilvl w:val="0"/>
          <w:numId w:val="32"/>
        </w:numPr>
        <w:spacing w:after="60"/>
        <w:rPr>
          <w:sz w:val="22"/>
          <w:szCs w:val="22"/>
        </w:rPr>
      </w:pPr>
      <w:r w:rsidRPr="6099F934">
        <w:rPr>
          <w:sz w:val="22"/>
          <w:szCs w:val="22"/>
        </w:rPr>
        <w:t>K</w:t>
      </w:r>
      <w:r w:rsidR="00D62FA9" w:rsidRPr="6099F934">
        <w:rPr>
          <w:sz w:val="22"/>
          <w:szCs w:val="22"/>
        </w:rPr>
        <w:t>ey performance indicators to provide to the Implementation</w:t>
      </w:r>
      <w:r w:rsidR="006325E8" w:rsidRPr="6099F934">
        <w:rPr>
          <w:sz w:val="22"/>
          <w:szCs w:val="22"/>
        </w:rPr>
        <w:t>, Monitoring and Evaluation</w:t>
      </w:r>
      <w:r w:rsidR="00D62FA9" w:rsidRPr="6099F934">
        <w:rPr>
          <w:sz w:val="22"/>
          <w:szCs w:val="22"/>
        </w:rPr>
        <w:t xml:space="preserve"> </w:t>
      </w:r>
      <w:r w:rsidR="006325E8" w:rsidRPr="6099F934">
        <w:rPr>
          <w:sz w:val="22"/>
          <w:szCs w:val="22"/>
        </w:rPr>
        <w:t>Reference</w:t>
      </w:r>
      <w:r w:rsidR="00D62FA9" w:rsidRPr="6099F934">
        <w:rPr>
          <w:sz w:val="22"/>
          <w:szCs w:val="22"/>
        </w:rPr>
        <w:t xml:space="preserve"> Group</w:t>
      </w:r>
      <w:r w:rsidR="006325E8" w:rsidRPr="6099F934">
        <w:rPr>
          <w:sz w:val="22"/>
          <w:szCs w:val="22"/>
        </w:rPr>
        <w:t xml:space="preserve"> (</w:t>
      </w:r>
      <w:r w:rsidR="006325E8" w:rsidRPr="001B25AE">
        <w:rPr>
          <w:sz w:val="22"/>
          <w:szCs w:val="22"/>
        </w:rPr>
        <w:t>IMERG</w:t>
      </w:r>
      <w:r w:rsidR="006325E8" w:rsidRPr="6099F934">
        <w:rPr>
          <w:sz w:val="22"/>
          <w:szCs w:val="22"/>
        </w:rPr>
        <w:t>)</w:t>
      </w:r>
      <w:r w:rsidR="00D62FA9" w:rsidRPr="6099F934">
        <w:rPr>
          <w:sz w:val="22"/>
          <w:szCs w:val="22"/>
        </w:rPr>
        <w:t xml:space="preserve">. </w:t>
      </w:r>
    </w:p>
    <w:p w14:paraId="779A35F6" w14:textId="20AE29DE" w:rsidR="7CA6AEA2" w:rsidRDefault="7CA6AEA2" w:rsidP="7CA6AEA2">
      <w:pPr>
        <w:spacing w:after="120"/>
        <w:contextualSpacing/>
        <w:rPr>
          <w:sz w:val="22"/>
          <w:szCs w:val="22"/>
        </w:rPr>
      </w:pPr>
    </w:p>
    <w:p w14:paraId="42495E95" w14:textId="28BA225F" w:rsidR="7CA6AEA2" w:rsidRDefault="7CA6AEA2" w:rsidP="7CA6AEA2">
      <w:pPr>
        <w:spacing w:line="257" w:lineRule="auto"/>
        <w:rPr>
          <w:rFonts w:ascii="Calibri" w:eastAsia="Calibri" w:hAnsi="Calibri" w:cs="Calibri"/>
          <w:sz w:val="22"/>
          <w:szCs w:val="22"/>
        </w:rPr>
      </w:pPr>
      <w:r w:rsidRPr="001B25AE">
        <w:rPr>
          <w:sz w:val="22"/>
          <w:szCs w:val="22"/>
        </w:rPr>
        <w:t xml:space="preserve">Following public consultation, the IBPGWG agreed to rename the guide to the </w:t>
      </w:r>
      <w:r w:rsidRPr="001B25AE">
        <w:rPr>
          <w:rFonts w:ascii="Calibri" w:eastAsia="Calibri" w:hAnsi="Calibri" w:cs="Calibri"/>
          <w:sz w:val="22"/>
          <w:szCs w:val="22"/>
        </w:rPr>
        <w:t>Industry Guide to Voluntary Serving Size Reduction</w:t>
      </w:r>
      <w:r w:rsidR="00A44DD3" w:rsidRPr="00F45D71">
        <w:rPr>
          <w:rFonts w:ascii="Calibri" w:eastAsia="Calibri" w:hAnsi="Calibri" w:cs="Calibri"/>
          <w:sz w:val="22"/>
          <w:szCs w:val="22"/>
        </w:rPr>
        <w:t xml:space="preserve"> (the Guide)</w:t>
      </w:r>
      <w:r w:rsidR="0076547B" w:rsidRPr="00F45D71">
        <w:rPr>
          <w:rFonts w:ascii="Calibri" w:eastAsia="Calibri" w:hAnsi="Calibri" w:cs="Calibri"/>
          <w:sz w:val="22"/>
          <w:szCs w:val="22"/>
        </w:rPr>
        <w:t>, as this name best reflects the intention of the Guide</w:t>
      </w:r>
      <w:r w:rsidR="003A3566" w:rsidRPr="00F45D71">
        <w:rPr>
          <w:rFonts w:ascii="Calibri" w:eastAsia="Calibri" w:hAnsi="Calibri" w:cs="Calibri"/>
          <w:sz w:val="22"/>
          <w:szCs w:val="22"/>
        </w:rPr>
        <w:t>.</w:t>
      </w:r>
    </w:p>
    <w:p w14:paraId="7FB10C9A" w14:textId="49796F70" w:rsidR="7CA6AEA2" w:rsidRDefault="7CA6AEA2" w:rsidP="7CA6AEA2">
      <w:pPr>
        <w:spacing w:after="120"/>
        <w:contextualSpacing/>
      </w:pPr>
    </w:p>
    <w:p w14:paraId="6E81571D" w14:textId="77777777" w:rsidR="00AE496B" w:rsidRDefault="00AE496B">
      <w:pPr>
        <w:rPr>
          <w:rFonts w:asciiTheme="majorHAnsi" w:eastAsiaTheme="majorEastAsia" w:hAnsiTheme="majorHAnsi" w:cs="Arial"/>
          <w:b/>
          <w:bCs/>
          <w:kern w:val="32"/>
          <w:sz w:val="32"/>
          <w:szCs w:val="32"/>
          <w:shd w:val="clear" w:color="auto" w:fill="FFFFFF"/>
        </w:rPr>
      </w:pPr>
      <w:r>
        <w:rPr>
          <w:shd w:val="clear" w:color="auto" w:fill="FFFFFF"/>
        </w:rPr>
        <w:br w:type="page"/>
      </w:r>
    </w:p>
    <w:p w14:paraId="636F2894" w14:textId="36A18BEA" w:rsidR="00CE5EB8" w:rsidRPr="001E3BE4" w:rsidRDefault="00B444EA" w:rsidP="00B32AC9">
      <w:pPr>
        <w:pStyle w:val="Heading1"/>
        <w:numPr>
          <w:ilvl w:val="0"/>
          <w:numId w:val="86"/>
        </w:numPr>
        <w:tabs>
          <w:tab w:val="left" w:pos="426"/>
        </w:tabs>
        <w:spacing w:after="240"/>
        <w:ind w:left="425" w:hanging="425"/>
        <w:rPr>
          <w:shd w:val="clear" w:color="auto" w:fill="FFFFFF"/>
        </w:rPr>
      </w:pPr>
      <w:bookmarkStart w:id="10" w:name="_Toc109294234"/>
      <w:r>
        <w:rPr>
          <w:shd w:val="clear" w:color="auto" w:fill="FFFFFF"/>
        </w:rPr>
        <w:lastRenderedPageBreak/>
        <w:t xml:space="preserve">Rationale and actions for addressing </w:t>
      </w:r>
      <w:r w:rsidR="00D017A7">
        <w:rPr>
          <w:shd w:val="clear" w:color="auto" w:fill="FFFFFF"/>
        </w:rPr>
        <w:t>serving s</w:t>
      </w:r>
      <w:r w:rsidR="0040163C">
        <w:rPr>
          <w:shd w:val="clear" w:color="auto" w:fill="FFFFFF"/>
        </w:rPr>
        <w:t>ize</w:t>
      </w:r>
      <w:bookmarkEnd w:id="10"/>
      <w:r w:rsidR="00CE5EB8" w:rsidRPr="001E3BE4">
        <w:rPr>
          <w:shd w:val="clear" w:color="auto" w:fill="FFFFFF"/>
        </w:rPr>
        <w:t xml:space="preserve"> </w:t>
      </w:r>
    </w:p>
    <w:p w14:paraId="2790E9D3" w14:textId="1FE69B72" w:rsidR="003C22AC" w:rsidRPr="00B32AC9" w:rsidRDefault="7E49CDF7" w:rsidP="00B32AC9">
      <w:pPr>
        <w:spacing w:after="240"/>
        <w:rPr>
          <w:rFonts w:ascii="Calibri" w:eastAsia="Calibri" w:hAnsi="Calibri" w:cs="Calibri"/>
          <w:color w:val="000000" w:themeColor="text1"/>
          <w:sz w:val="22"/>
          <w:szCs w:val="22"/>
        </w:rPr>
      </w:pPr>
      <w:r w:rsidRPr="00B32AC9">
        <w:rPr>
          <w:rFonts w:ascii="Calibri" w:eastAsia="Calibri" w:hAnsi="Calibri" w:cs="Calibri"/>
          <w:color w:val="000000" w:themeColor="text1"/>
          <w:sz w:val="22"/>
          <w:szCs w:val="22"/>
        </w:rPr>
        <w:t>Poor</w:t>
      </w:r>
      <w:r w:rsidR="7E58D339" w:rsidRPr="00B32AC9">
        <w:rPr>
          <w:rFonts w:ascii="Calibri" w:eastAsia="Calibri" w:hAnsi="Calibri" w:cs="Calibri"/>
          <w:color w:val="000000" w:themeColor="text1"/>
          <w:sz w:val="22"/>
          <w:szCs w:val="22"/>
        </w:rPr>
        <w:t xml:space="preserve"> eating patterns are a leading contributor to disease burden in Australia</w:t>
      </w:r>
      <w:r w:rsidR="09A39408" w:rsidRPr="00B32AC9">
        <w:rPr>
          <w:rFonts w:ascii="Calibri" w:eastAsia="Calibri" w:hAnsi="Calibri" w:cs="Calibri"/>
          <w:color w:val="000000" w:themeColor="text1"/>
          <w:sz w:val="22"/>
          <w:szCs w:val="22"/>
        </w:rPr>
        <w:t xml:space="preserve"> (2)</w:t>
      </w:r>
      <w:r w:rsidRPr="00B32AC9">
        <w:rPr>
          <w:rFonts w:ascii="Calibri" w:eastAsia="Calibri" w:hAnsi="Calibri" w:cs="Calibri"/>
          <w:color w:val="000000" w:themeColor="text1"/>
          <w:sz w:val="22"/>
          <w:szCs w:val="22"/>
        </w:rPr>
        <w:t>.</w:t>
      </w:r>
      <w:r w:rsidR="7F9B2E66" w:rsidRPr="00B32AC9">
        <w:rPr>
          <w:rFonts w:ascii="Calibri" w:eastAsia="Calibri" w:hAnsi="Calibri" w:cs="Calibri"/>
          <w:color w:val="000000" w:themeColor="text1"/>
          <w:sz w:val="22"/>
          <w:szCs w:val="22"/>
        </w:rPr>
        <w:t xml:space="preserve"> </w:t>
      </w:r>
      <w:r w:rsidRPr="00B32AC9">
        <w:rPr>
          <w:rFonts w:ascii="Calibri" w:eastAsia="Calibri" w:hAnsi="Calibri" w:cs="Calibri"/>
          <w:color w:val="000000" w:themeColor="text1"/>
          <w:sz w:val="22"/>
          <w:szCs w:val="22"/>
        </w:rPr>
        <w:t>Australian</w:t>
      </w:r>
      <w:r w:rsidR="00F804E8" w:rsidRPr="00B32AC9">
        <w:rPr>
          <w:rFonts w:ascii="Calibri" w:eastAsia="Calibri" w:hAnsi="Calibri" w:cs="Calibri"/>
          <w:color w:val="000000" w:themeColor="text1"/>
          <w:sz w:val="22"/>
          <w:szCs w:val="22"/>
        </w:rPr>
        <w:t>s</w:t>
      </w:r>
      <w:r w:rsidRPr="00B32AC9">
        <w:rPr>
          <w:rFonts w:ascii="Calibri" w:eastAsia="Calibri" w:hAnsi="Calibri" w:cs="Calibri"/>
          <w:color w:val="000000" w:themeColor="text1"/>
          <w:sz w:val="22"/>
          <w:szCs w:val="22"/>
        </w:rPr>
        <w:t xml:space="preserve"> of all ages generally do not eat enough of</w:t>
      </w:r>
      <w:r w:rsidR="7E58D339" w:rsidRPr="00B32AC9">
        <w:rPr>
          <w:rFonts w:ascii="Calibri" w:eastAsia="Calibri" w:hAnsi="Calibri" w:cs="Calibri"/>
          <w:color w:val="000000" w:themeColor="text1"/>
          <w:sz w:val="22"/>
          <w:szCs w:val="22"/>
        </w:rPr>
        <w:t xml:space="preserve"> the five food groups</w:t>
      </w:r>
      <w:r w:rsidR="3C54BD64" w:rsidRPr="00B32AC9">
        <w:rPr>
          <w:rFonts w:ascii="Calibri" w:eastAsia="Calibri" w:hAnsi="Calibri" w:cs="Calibri"/>
          <w:color w:val="000000" w:themeColor="text1"/>
          <w:sz w:val="22"/>
          <w:szCs w:val="22"/>
        </w:rPr>
        <w:t xml:space="preserve"> </w:t>
      </w:r>
      <w:r w:rsidR="3839EB58" w:rsidRPr="00B32AC9">
        <w:rPr>
          <w:rFonts w:ascii="Calibri" w:eastAsia="Calibri" w:hAnsi="Calibri" w:cs="Calibri"/>
          <w:color w:val="000000" w:themeColor="text1"/>
          <w:sz w:val="22"/>
          <w:szCs w:val="22"/>
        </w:rPr>
        <w:t>(FFG</w:t>
      </w:r>
      <w:r w:rsidR="00C3671A" w:rsidRPr="00B32AC9">
        <w:rPr>
          <w:rFonts w:ascii="Calibri" w:eastAsia="Calibri" w:hAnsi="Calibri" w:cs="Calibri"/>
          <w:color w:val="000000" w:themeColor="text1"/>
          <w:sz w:val="22"/>
          <w:szCs w:val="22"/>
        </w:rPr>
        <w:t>) and</w:t>
      </w:r>
      <w:r w:rsidRPr="00B32AC9">
        <w:rPr>
          <w:rFonts w:ascii="Calibri" w:eastAsia="Calibri" w:hAnsi="Calibri" w:cs="Calibri"/>
          <w:color w:val="000000" w:themeColor="text1"/>
          <w:sz w:val="22"/>
          <w:szCs w:val="22"/>
        </w:rPr>
        <w:t xml:space="preserve"> eat too many</w:t>
      </w:r>
      <w:r w:rsidR="7E58D339" w:rsidRPr="00B32AC9">
        <w:rPr>
          <w:rFonts w:ascii="Calibri" w:eastAsia="Calibri" w:hAnsi="Calibri" w:cs="Calibri"/>
          <w:color w:val="000000" w:themeColor="text1"/>
          <w:sz w:val="22"/>
          <w:szCs w:val="22"/>
        </w:rPr>
        <w:t xml:space="preserve"> discretionary food and </w:t>
      </w:r>
      <w:r w:rsidR="253176E6" w:rsidRPr="00B32AC9">
        <w:rPr>
          <w:rFonts w:ascii="Calibri" w:eastAsia="Calibri" w:hAnsi="Calibri" w:cs="Calibri"/>
          <w:color w:val="000000" w:themeColor="text1"/>
          <w:sz w:val="22"/>
          <w:szCs w:val="22"/>
        </w:rPr>
        <w:t>beverage</w:t>
      </w:r>
      <w:r w:rsidR="7E58D339" w:rsidRPr="00B32AC9">
        <w:rPr>
          <w:rFonts w:ascii="Calibri" w:eastAsia="Calibri" w:hAnsi="Calibri" w:cs="Calibri"/>
          <w:color w:val="000000" w:themeColor="text1"/>
          <w:sz w:val="22"/>
          <w:szCs w:val="22"/>
        </w:rPr>
        <w:t>s</w:t>
      </w:r>
      <w:r w:rsidR="00F804E8" w:rsidRPr="00B32AC9">
        <w:rPr>
          <w:rFonts w:ascii="Calibri" w:eastAsia="Calibri" w:hAnsi="Calibri" w:cs="Calibri"/>
          <w:color w:val="000000" w:themeColor="text1"/>
          <w:sz w:val="22"/>
          <w:szCs w:val="22"/>
        </w:rPr>
        <w:t>.</w:t>
      </w:r>
      <w:r w:rsidR="2109A37C" w:rsidRPr="00B32AC9">
        <w:rPr>
          <w:rFonts w:ascii="Calibri" w:eastAsia="Calibri" w:hAnsi="Calibri" w:cs="Calibri"/>
          <w:color w:val="000000" w:themeColor="text1"/>
          <w:sz w:val="22"/>
          <w:szCs w:val="22"/>
        </w:rPr>
        <w:t xml:space="preserve"> </w:t>
      </w:r>
      <w:r w:rsidR="7C549A35" w:rsidRPr="00B32AC9">
        <w:rPr>
          <w:rFonts w:ascii="Calibri" w:eastAsia="Calibri" w:hAnsi="Calibri" w:cs="Calibri"/>
          <w:color w:val="000000" w:themeColor="text1"/>
          <w:sz w:val="22"/>
          <w:szCs w:val="22"/>
        </w:rPr>
        <w:t xml:space="preserve">Consumption of discretionary food and beverages </w:t>
      </w:r>
      <w:r w:rsidR="7E58D339" w:rsidRPr="00B32AC9">
        <w:rPr>
          <w:rFonts w:ascii="Calibri" w:eastAsia="Calibri" w:hAnsi="Calibri" w:cs="Calibri"/>
          <w:color w:val="000000" w:themeColor="text1"/>
          <w:sz w:val="22"/>
          <w:szCs w:val="22"/>
        </w:rPr>
        <w:t>acc</w:t>
      </w:r>
      <w:r w:rsidR="7C549A35" w:rsidRPr="00B32AC9">
        <w:rPr>
          <w:rFonts w:ascii="Calibri" w:eastAsia="Calibri" w:hAnsi="Calibri" w:cs="Calibri"/>
          <w:color w:val="000000" w:themeColor="text1"/>
          <w:sz w:val="22"/>
          <w:szCs w:val="22"/>
        </w:rPr>
        <w:t xml:space="preserve">ounts </w:t>
      </w:r>
      <w:r w:rsidR="7E58D339" w:rsidRPr="00B32AC9">
        <w:rPr>
          <w:rFonts w:ascii="Calibri" w:eastAsia="Calibri" w:hAnsi="Calibri" w:cs="Calibri"/>
          <w:color w:val="000000" w:themeColor="text1"/>
          <w:sz w:val="22"/>
          <w:szCs w:val="22"/>
        </w:rPr>
        <w:t xml:space="preserve">for </w:t>
      </w:r>
      <w:r w:rsidR="7B87FF53" w:rsidRPr="00B32AC9">
        <w:rPr>
          <w:rFonts w:ascii="Calibri" w:eastAsia="Calibri" w:hAnsi="Calibri" w:cs="Calibri"/>
          <w:color w:val="000000" w:themeColor="text1"/>
          <w:sz w:val="22"/>
          <w:szCs w:val="22"/>
        </w:rPr>
        <w:t>over</w:t>
      </w:r>
      <w:r w:rsidR="7E58D339" w:rsidRPr="00B32AC9">
        <w:rPr>
          <w:rFonts w:ascii="Calibri" w:eastAsia="Calibri" w:hAnsi="Calibri" w:cs="Calibri"/>
          <w:color w:val="000000" w:themeColor="text1"/>
          <w:sz w:val="22"/>
          <w:szCs w:val="22"/>
        </w:rPr>
        <w:t xml:space="preserve"> one-third of total energy intake in Australia</w:t>
      </w:r>
      <w:r w:rsidR="37C48486" w:rsidRPr="00B32AC9">
        <w:rPr>
          <w:rFonts w:ascii="Calibri" w:eastAsia="Calibri" w:hAnsi="Calibri" w:cs="Calibri"/>
          <w:color w:val="000000" w:themeColor="text1"/>
          <w:sz w:val="22"/>
          <w:szCs w:val="22"/>
        </w:rPr>
        <w:t>n</w:t>
      </w:r>
      <w:r w:rsidR="7E58D339" w:rsidRPr="00B32AC9">
        <w:rPr>
          <w:rFonts w:ascii="Calibri" w:eastAsia="Calibri" w:hAnsi="Calibri" w:cs="Calibri"/>
          <w:color w:val="000000" w:themeColor="text1"/>
          <w:sz w:val="22"/>
          <w:szCs w:val="22"/>
        </w:rPr>
        <w:t xml:space="preserve"> adults</w:t>
      </w:r>
      <w:r w:rsidR="6FCC2C71" w:rsidRPr="00B32AC9">
        <w:rPr>
          <w:rFonts w:ascii="Calibri" w:eastAsia="Calibri" w:hAnsi="Calibri" w:cs="Calibri"/>
          <w:color w:val="000000" w:themeColor="text1"/>
          <w:sz w:val="22"/>
          <w:szCs w:val="22"/>
        </w:rPr>
        <w:t xml:space="preserve"> (3</w:t>
      </w:r>
      <w:r w:rsidR="7F9B2E66" w:rsidRPr="00B32AC9">
        <w:rPr>
          <w:rFonts w:ascii="Calibri" w:eastAsia="Calibri" w:hAnsi="Calibri" w:cs="Calibri"/>
          <w:color w:val="000000" w:themeColor="text1"/>
          <w:sz w:val="22"/>
          <w:szCs w:val="22"/>
        </w:rPr>
        <w:t>).</w:t>
      </w:r>
      <w:r w:rsidR="7E58D339" w:rsidRPr="00B32AC9">
        <w:rPr>
          <w:rFonts w:ascii="Calibri" w:eastAsia="Calibri" w:hAnsi="Calibri" w:cs="Calibri"/>
          <w:color w:val="000000" w:themeColor="text1"/>
          <w:sz w:val="22"/>
          <w:szCs w:val="22"/>
        </w:rPr>
        <w:t xml:space="preserve"> </w:t>
      </w:r>
    </w:p>
    <w:p w14:paraId="34FE779E" w14:textId="7BFB3893" w:rsidR="00CE7D03" w:rsidRPr="00B32AC9" w:rsidRDefault="00CE7D03" w:rsidP="00B32AC9">
      <w:pPr>
        <w:spacing w:after="240"/>
        <w:rPr>
          <w:rFonts w:ascii="Calibri" w:eastAsia="Calibri" w:hAnsi="Calibri" w:cs="Calibri"/>
          <w:color w:val="000000" w:themeColor="text1"/>
          <w:sz w:val="22"/>
          <w:szCs w:val="22"/>
        </w:rPr>
      </w:pPr>
      <w:r w:rsidRPr="00B32AC9">
        <w:rPr>
          <w:rFonts w:ascii="Calibri" w:eastAsia="Calibri" w:hAnsi="Calibri" w:cs="Calibri"/>
          <w:color w:val="000000" w:themeColor="text1"/>
          <w:sz w:val="22"/>
          <w:szCs w:val="22"/>
        </w:rPr>
        <w:t xml:space="preserve">The 2018 Australian Burden of Disease Study reports that the combined effect of the 12 dietary risks analysed accounted for </w:t>
      </w:r>
      <w:r w:rsidR="004C3B0A" w:rsidRPr="00B32AC9">
        <w:rPr>
          <w:rFonts w:ascii="Calibri" w:eastAsia="Calibri" w:hAnsi="Calibri" w:cs="Calibri"/>
          <w:color w:val="000000" w:themeColor="text1"/>
          <w:sz w:val="22"/>
          <w:szCs w:val="22"/>
        </w:rPr>
        <w:t xml:space="preserve">5.4% </w:t>
      </w:r>
      <w:r w:rsidRPr="00B32AC9">
        <w:rPr>
          <w:rFonts w:ascii="Calibri" w:eastAsia="Calibri" w:hAnsi="Calibri" w:cs="Calibri"/>
          <w:color w:val="000000" w:themeColor="text1"/>
          <w:sz w:val="22"/>
          <w:szCs w:val="22"/>
        </w:rPr>
        <w:t xml:space="preserve">of the total disease burden in 2018, while overweight and obesity accounted for </w:t>
      </w:r>
      <w:r w:rsidR="004C3B0A" w:rsidRPr="00B32AC9">
        <w:rPr>
          <w:rFonts w:ascii="Calibri" w:eastAsia="Calibri" w:hAnsi="Calibri" w:cs="Calibri"/>
          <w:color w:val="000000" w:themeColor="text1"/>
          <w:sz w:val="22"/>
          <w:szCs w:val="22"/>
        </w:rPr>
        <w:t>8.4%</w:t>
      </w:r>
      <w:r w:rsidRPr="00B32AC9">
        <w:rPr>
          <w:rFonts w:ascii="Calibri" w:eastAsia="Calibri" w:hAnsi="Calibri" w:cs="Calibri"/>
          <w:color w:val="000000" w:themeColor="text1"/>
          <w:sz w:val="22"/>
          <w:szCs w:val="22"/>
        </w:rPr>
        <w:t>. When all risk factors were ranked by their contribution to years of healthy life lost due to disease, overweight and obesity and dietary risks were the second and third leading risk factors respectively, after tobacco use (</w:t>
      </w:r>
      <w:r w:rsidR="004C3B0A" w:rsidRPr="00B32AC9">
        <w:rPr>
          <w:rFonts w:ascii="Calibri" w:eastAsia="Calibri" w:hAnsi="Calibri" w:cs="Calibri"/>
          <w:color w:val="000000" w:themeColor="text1"/>
          <w:sz w:val="22"/>
          <w:szCs w:val="22"/>
        </w:rPr>
        <w:t>8.6%</w:t>
      </w:r>
      <w:r w:rsidRPr="00B32AC9">
        <w:rPr>
          <w:rFonts w:ascii="Calibri" w:eastAsia="Calibri" w:hAnsi="Calibri" w:cs="Calibri"/>
          <w:color w:val="000000" w:themeColor="text1"/>
          <w:sz w:val="22"/>
          <w:szCs w:val="22"/>
        </w:rPr>
        <w:t xml:space="preserve"> of total disease burden)</w:t>
      </w:r>
      <w:r w:rsidR="00BC1AF9" w:rsidRPr="00B32AC9">
        <w:rPr>
          <w:rFonts w:ascii="Calibri" w:eastAsia="Calibri" w:hAnsi="Calibri" w:cs="Calibri"/>
          <w:color w:val="000000" w:themeColor="text1"/>
          <w:sz w:val="22"/>
          <w:szCs w:val="22"/>
        </w:rPr>
        <w:t xml:space="preserve"> (2)</w:t>
      </w:r>
      <w:r w:rsidR="009C3276" w:rsidRPr="00B32AC9">
        <w:rPr>
          <w:rFonts w:ascii="Calibri" w:eastAsia="Calibri" w:hAnsi="Calibri" w:cs="Calibri"/>
          <w:color w:val="000000" w:themeColor="text1"/>
          <w:sz w:val="22"/>
          <w:szCs w:val="22"/>
        </w:rPr>
        <w:t>.</w:t>
      </w:r>
    </w:p>
    <w:p w14:paraId="61B73F49" w14:textId="7BFEE35D" w:rsidR="0052746D" w:rsidRDefault="00C14AC8" w:rsidP="00B32AC9">
      <w:pPr>
        <w:spacing w:after="240"/>
        <w:rPr>
          <w:sz w:val="22"/>
          <w:szCs w:val="22"/>
        </w:rPr>
      </w:pPr>
      <w:r w:rsidRPr="00B32AC9">
        <w:rPr>
          <w:rFonts w:ascii="Calibri" w:eastAsia="Calibri" w:hAnsi="Calibri" w:cs="Calibri"/>
          <w:color w:val="000000" w:themeColor="text1"/>
          <w:sz w:val="22"/>
          <w:szCs w:val="22"/>
        </w:rPr>
        <w:t xml:space="preserve">To date, </w:t>
      </w:r>
      <w:r w:rsidR="0052746D" w:rsidRPr="00B32AC9">
        <w:rPr>
          <w:rFonts w:ascii="Calibri" w:eastAsia="Calibri" w:hAnsi="Calibri" w:cs="Calibri"/>
          <w:color w:val="000000" w:themeColor="text1"/>
          <w:sz w:val="22"/>
          <w:szCs w:val="22"/>
        </w:rPr>
        <w:t xml:space="preserve">the focus of </w:t>
      </w:r>
      <w:r w:rsidR="003F17B1" w:rsidRPr="00B32AC9">
        <w:rPr>
          <w:rFonts w:ascii="Calibri" w:eastAsia="Calibri" w:hAnsi="Calibri" w:cs="Calibri"/>
          <w:color w:val="000000" w:themeColor="text1"/>
          <w:sz w:val="22"/>
          <w:szCs w:val="22"/>
        </w:rPr>
        <w:t xml:space="preserve">dietary </w:t>
      </w:r>
      <w:r w:rsidR="0052746D" w:rsidRPr="00B32AC9">
        <w:rPr>
          <w:rFonts w:ascii="Calibri" w:eastAsia="Calibri" w:hAnsi="Calibri" w:cs="Calibri"/>
          <w:color w:val="000000" w:themeColor="text1"/>
          <w:sz w:val="22"/>
          <w:szCs w:val="22"/>
        </w:rPr>
        <w:t>advice to the community</w:t>
      </w:r>
      <w:r w:rsidR="0052746D" w:rsidRPr="3F923778">
        <w:rPr>
          <w:sz w:val="22"/>
          <w:szCs w:val="22"/>
        </w:rPr>
        <w:t xml:space="preserve"> has been on achieving and maintaining a healthy weight through </w:t>
      </w:r>
      <w:r w:rsidR="00704D5B" w:rsidRPr="3F923778">
        <w:rPr>
          <w:sz w:val="22"/>
          <w:szCs w:val="22"/>
        </w:rPr>
        <w:t xml:space="preserve">the </w:t>
      </w:r>
      <w:r w:rsidR="00D50689">
        <w:rPr>
          <w:sz w:val="22"/>
          <w:szCs w:val="22"/>
        </w:rPr>
        <w:t>ADG</w:t>
      </w:r>
      <w:r w:rsidRPr="3F923778">
        <w:rPr>
          <w:sz w:val="22"/>
          <w:szCs w:val="22"/>
        </w:rPr>
        <w:t>,</w:t>
      </w:r>
      <w:r w:rsidR="0052746D" w:rsidRPr="3F923778">
        <w:rPr>
          <w:sz w:val="22"/>
          <w:szCs w:val="22"/>
        </w:rPr>
        <w:t xml:space="preserve"> which promote the </w:t>
      </w:r>
      <w:r w:rsidR="790F8992" w:rsidRPr="3F923778">
        <w:rPr>
          <w:sz w:val="22"/>
          <w:szCs w:val="22"/>
        </w:rPr>
        <w:t>FFG</w:t>
      </w:r>
      <w:r w:rsidRPr="3F923778">
        <w:rPr>
          <w:sz w:val="22"/>
          <w:szCs w:val="22"/>
        </w:rPr>
        <w:t>,</w:t>
      </w:r>
      <w:r w:rsidR="0052746D" w:rsidRPr="3F923778">
        <w:rPr>
          <w:sz w:val="22"/>
          <w:szCs w:val="22"/>
        </w:rPr>
        <w:t xml:space="preserve"> and reducing risk associated nutrients in the Australian diet (saturated fat, sodium, </w:t>
      </w:r>
      <w:r w:rsidR="00344A96" w:rsidRPr="3F923778">
        <w:rPr>
          <w:sz w:val="22"/>
          <w:szCs w:val="22"/>
        </w:rPr>
        <w:t xml:space="preserve">added </w:t>
      </w:r>
      <w:r w:rsidR="0052746D" w:rsidRPr="3F923778">
        <w:rPr>
          <w:sz w:val="22"/>
          <w:szCs w:val="22"/>
        </w:rPr>
        <w:t xml:space="preserve">sugar and alcohol). A complementary approach is to specifically support the community to reduce </w:t>
      </w:r>
      <w:r w:rsidR="4122A786" w:rsidRPr="3F923778">
        <w:rPr>
          <w:sz w:val="22"/>
          <w:szCs w:val="22"/>
        </w:rPr>
        <w:t>the number of serv</w:t>
      </w:r>
      <w:r w:rsidR="004A5238" w:rsidRPr="3F923778">
        <w:rPr>
          <w:sz w:val="22"/>
          <w:szCs w:val="22"/>
        </w:rPr>
        <w:t>es a</w:t>
      </w:r>
      <w:r w:rsidR="4122A786" w:rsidRPr="3F923778">
        <w:rPr>
          <w:sz w:val="22"/>
          <w:szCs w:val="22"/>
        </w:rPr>
        <w:t xml:space="preserve">nd </w:t>
      </w:r>
      <w:r w:rsidRPr="3F923778">
        <w:rPr>
          <w:sz w:val="22"/>
          <w:szCs w:val="22"/>
        </w:rPr>
        <w:t xml:space="preserve">portion </w:t>
      </w:r>
      <w:r w:rsidR="0052746D" w:rsidRPr="3F923778">
        <w:rPr>
          <w:sz w:val="22"/>
          <w:szCs w:val="22"/>
        </w:rPr>
        <w:t xml:space="preserve">sizes of discretionary food and </w:t>
      </w:r>
      <w:r w:rsidR="577BF631" w:rsidRPr="3F923778">
        <w:rPr>
          <w:sz w:val="22"/>
          <w:szCs w:val="22"/>
        </w:rPr>
        <w:t>beverages</w:t>
      </w:r>
      <w:r w:rsidR="0052746D" w:rsidRPr="3F923778">
        <w:rPr>
          <w:sz w:val="22"/>
          <w:szCs w:val="22"/>
        </w:rPr>
        <w:t xml:space="preserve"> consumed, and in some cases increase</w:t>
      </w:r>
      <w:r w:rsidRPr="3F923778">
        <w:rPr>
          <w:sz w:val="22"/>
          <w:szCs w:val="22"/>
        </w:rPr>
        <w:t xml:space="preserve"> the</w:t>
      </w:r>
      <w:r w:rsidR="0052746D" w:rsidRPr="3F923778">
        <w:rPr>
          <w:sz w:val="22"/>
          <w:szCs w:val="22"/>
        </w:rPr>
        <w:t xml:space="preserve"> </w:t>
      </w:r>
      <w:r w:rsidR="7336AB6D" w:rsidRPr="3F923778">
        <w:rPr>
          <w:sz w:val="22"/>
          <w:szCs w:val="22"/>
        </w:rPr>
        <w:t xml:space="preserve">number of servings and </w:t>
      </w:r>
      <w:r w:rsidRPr="3F923778">
        <w:rPr>
          <w:sz w:val="22"/>
          <w:szCs w:val="22"/>
        </w:rPr>
        <w:t xml:space="preserve">portion </w:t>
      </w:r>
      <w:r w:rsidR="0052746D" w:rsidRPr="3F923778">
        <w:rPr>
          <w:sz w:val="22"/>
          <w:szCs w:val="22"/>
        </w:rPr>
        <w:t xml:space="preserve">sizes of </w:t>
      </w:r>
      <w:r w:rsidRPr="3F923778">
        <w:rPr>
          <w:sz w:val="22"/>
          <w:szCs w:val="22"/>
        </w:rPr>
        <w:t xml:space="preserve">the </w:t>
      </w:r>
      <w:r w:rsidR="427D764E" w:rsidRPr="3F923778">
        <w:rPr>
          <w:sz w:val="22"/>
          <w:szCs w:val="22"/>
        </w:rPr>
        <w:t xml:space="preserve">FFG </w:t>
      </w:r>
      <w:r w:rsidR="0052746D" w:rsidRPr="3F923778">
        <w:rPr>
          <w:sz w:val="22"/>
          <w:szCs w:val="22"/>
        </w:rPr>
        <w:t xml:space="preserve">foods. </w:t>
      </w:r>
    </w:p>
    <w:p w14:paraId="0AAF50DF" w14:textId="560C8D83" w:rsidR="0098211D" w:rsidRDefault="0098211D" w:rsidP="00B32AC9">
      <w:pPr>
        <w:spacing w:after="240"/>
      </w:pPr>
      <w:r w:rsidRPr="08C5F493">
        <w:rPr>
          <w:rFonts w:ascii="Calibri" w:eastAsia="Calibri" w:hAnsi="Calibri" w:cs="Calibri"/>
          <w:color w:val="000000" w:themeColor="text1"/>
          <w:sz w:val="22"/>
          <w:szCs w:val="22"/>
        </w:rPr>
        <w:t>In Australia, both serving sizes (amount provided) and portion sizes (amount consumed per eating occasion) of many discretionary foods</w:t>
      </w:r>
      <w:r w:rsidR="3745A61A" w:rsidRPr="08C5F493">
        <w:rPr>
          <w:rFonts w:ascii="Calibri" w:eastAsia="Calibri" w:hAnsi="Calibri" w:cs="Calibri"/>
          <w:color w:val="000000" w:themeColor="text1"/>
          <w:sz w:val="22"/>
          <w:szCs w:val="22"/>
        </w:rPr>
        <w:t xml:space="preserve"> and beverages</w:t>
      </w:r>
      <w:r w:rsidRPr="08C5F493">
        <w:rPr>
          <w:rFonts w:ascii="Calibri" w:eastAsia="Calibri" w:hAnsi="Calibri" w:cs="Calibri"/>
          <w:color w:val="000000" w:themeColor="text1"/>
          <w:sz w:val="22"/>
          <w:szCs w:val="22"/>
        </w:rPr>
        <w:t xml:space="preserve"> have been increasing in the past decades. A 2017 study examining changes in portion sizes between the 1995 and 2011</w:t>
      </w:r>
      <w:r w:rsidR="00EB2E43">
        <w:rPr>
          <w:rFonts w:ascii="Calibri" w:eastAsia="Calibri" w:hAnsi="Calibri" w:cs="Calibri"/>
          <w:color w:val="000000" w:themeColor="text1"/>
          <w:sz w:val="22"/>
          <w:szCs w:val="22"/>
        </w:rPr>
        <w:t>–</w:t>
      </w:r>
      <w:r w:rsidRPr="08C5F493">
        <w:rPr>
          <w:rFonts w:ascii="Calibri" w:eastAsia="Calibri" w:hAnsi="Calibri" w:cs="Calibri"/>
          <w:color w:val="000000" w:themeColor="text1"/>
          <w:sz w:val="22"/>
          <w:szCs w:val="22"/>
        </w:rPr>
        <w:t>2012 national dietary surveys found that portion sizes had increased for half of the discretionary foods</w:t>
      </w:r>
      <w:r w:rsidR="0FF6D0AB" w:rsidRPr="08C5F493">
        <w:rPr>
          <w:rFonts w:ascii="Calibri" w:eastAsia="Calibri" w:hAnsi="Calibri" w:cs="Calibri"/>
          <w:color w:val="000000" w:themeColor="text1"/>
          <w:sz w:val="22"/>
          <w:szCs w:val="22"/>
        </w:rPr>
        <w:t xml:space="preserve"> and beverages </w:t>
      </w:r>
      <w:r w:rsidRPr="08C5F493">
        <w:rPr>
          <w:rFonts w:ascii="Calibri" w:eastAsia="Calibri" w:hAnsi="Calibri" w:cs="Calibri"/>
          <w:color w:val="000000" w:themeColor="text1"/>
          <w:sz w:val="22"/>
          <w:szCs w:val="22"/>
        </w:rPr>
        <w:t>surveyed</w:t>
      </w:r>
      <w:r w:rsidR="003E44C3">
        <w:rPr>
          <w:rFonts w:ascii="Calibri" w:eastAsia="Calibri" w:hAnsi="Calibri" w:cs="Calibri"/>
          <w:color w:val="000000" w:themeColor="text1"/>
          <w:sz w:val="22"/>
          <w:szCs w:val="22"/>
        </w:rPr>
        <w:t xml:space="preserve"> (4</w:t>
      </w:r>
      <w:r w:rsidR="006A3D58">
        <w:rPr>
          <w:rFonts w:ascii="Calibri" w:eastAsia="Calibri" w:hAnsi="Calibri" w:cs="Calibri"/>
          <w:color w:val="000000" w:themeColor="text1"/>
          <w:sz w:val="22"/>
          <w:szCs w:val="22"/>
        </w:rPr>
        <w:t>).</w:t>
      </w:r>
      <w:r w:rsidRPr="08C5F493">
        <w:rPr>
          <w:rFonts w:ascii="Calibri" w:eastAsia="Calibri" w:hAnsi="Calibri" w:cs="Calibri"/>
          <w:color w:val="000000" w:themeColor="text1"/>
          <w:sz w:val="22"/>
          <w:szCs w:val="22"/>
        </w:rPr>
        <w:t xml:space="preserve"> These increases were consistent across age groups, gender, and socioeconomic status. Serving sizes of many out of home foods such as burgers, sugar-sweetened </w:t>
      </w:r>
      <w:r w:rsidR="00B602D1">
        <w:rPr>
          <w:rFonts w:ascii="Calibri" w:eastAsia="Calibri" w:hAnsi="Calibri" w:cs="Calibri"/>
          <w:color w:val="000000" w:themeColor="text1"/>
          <w:sz w:val="22"/>
          <w:szCs w:val="22"/>
        </w:rPr>
        <w:t>be</w:t>
      </w:r>
      <w:r w:rsidRPr="08C5F493">
        <w:rPr>
          <w:rFonts w:ascii="Calibri" w:eastAsia="Calibri" w:hAnsi="Calibri" w:cs="Calibri"/>
          <w:color w:val="000000" w:themeColor="text1"/>
          <w:sz w:val="22"/>
          <w:szCs w:val="22"/>
        </w:rPr>
        <w:t>verages and</w:t>
      </w:r>
      <w:r w:rsidR="00C14AC8">
        <w:rPr>
          <w:rFonts w:ascii="Calibri" w:eastAsia="Calibri" w:hAnsi="Calibri" w:cs="Calibri"/>
          <w:color w:val="000000" w:themeColor="text1"/>
          <w:sz w:val="22"/>
          <w:szCs w:val="22"/>
        </w:rPr>
        <w:t xml:space="preserve"> cakes have also increased, including</w:t>
      </w:r>
      <w:r w:rsidRPr="08C5F493">
        <w:rPr>
          <w:rFonts w:ascii="Calibri" w:eastAsia="Calibri" w:hAnsi="Calibri" w:cs="Calibri"/>
          <w:color w:val="000000" w:themeColor="text1"/>
          <w:sz w:val="22"/>
          <w:szCs w:val="22"/>
        </w:rPr>
        <w:t xml:space="preserve"> over the </w:t>
      </w:r>
      <w:r w:rsidR="00C14AC8">
        <w:rPr>
          <w:rFonts w:ascii="Calibri" w:eastAsia="Calibri" w:hAnsi="Calibri" w:cs="Calibri"/>
          <w:color w:val="000000" w:themeColor="text1"/>
          <w:sz w:val="22"/>
          <w:szCs w:val="22"/>
        </w:rPr>
        <w:t>recent years up to 2020</w:t>
      </w:r>
      <w:r w:rsidR="003E44C3">
        <w:rPr>
          <w:rFonts w:ascii="Calibri" w:eastAsia="Calibri" w:hAnsi="Calibri" w:cs="Calibri"/>
          <w:color w:val="000000" w:themeColor="text1"/>
          <w:sz w:val="22"/>
          <w:szCs w:val="22"/>
        </w:rPr>
        <w:t xml:space="preserve"> (5</w:t>
      </w:r>
      <w:r w:rsidR="006A3D58">
        <w:rPr>
          <w:rFonts w:ascii="Calibri" w:eastAsia="Calibri" w:hAnsi="Calibri" w:cs="Calibri"/>
          <w:color w:val="000000" w:themeColor="text1"/>
          <w:sz w:val="22"/>
          <w:szCs w:val="22"/>
        </w:rPr>
        <w:t xml:space="preserve">). </w:t>
      </w:r>
    </w:p>
    <w:p w14:paraId="552701CA" w14:textId="77777777" w:rsidR="0098211D" w:rsidRPr="00463FBE" w:rsidRDefault="0098211D" w:rsidP="00B32AC9">
      <w:pPr>
        <w:keepNext/>
        <w:widowControl w:val="0"/>
        <w:rPr>
          <w:rFonts w:ascii="Calibri" w:eastAsia="Calibri" w:hAnsi="Calibri" w:cs="Calibri"/>
          <w:b/>
          <w:bCs/>
          <w:color w:val="000000" w:themeColor="text1"/>
          <w:sz w:val="22"/>
          <w:szCs w:val="22"/>
        </w:rPr>
      </w:pPr>
      <w:r w:rsidRPr="00463FBE">
        <w:rPr>
          <w:rFonts w:ascii="Calibri" w:eastAsia="Calibri" w:hAnsi="Calibri" w:cs="Calibri"/>
          <w:b/>
          <w:bCs/>
          <w:color w:val="000000" w:themeColor="text1"/>
          <w:sz w:val="22"/>
          <w:szCs w:val="22"/>
        </w:rPr>
        <w:t>Larger serving sizes result in higher energy intakes</w:t>
      </w:r>
    </w:p>
    <w:p w14:paraId="486936BB" w14:textId="1F648534" w:rsidR="21D9BFCF" w:rsidRDefault="00C14AC8" w:rsidP="00B32AC9">
      <w:pPr>
        <w:spacing w:after="240"/>
      </w:pPr>
      <w:r w:rsidRPr="3F923778">
        <w:rPr>
          <w:rFonts w:ascii="Calibri" w:eastAsia="Calibri" w:hAnsi="Calibri" w:cs="Calibri"/>
          <w:color w:val="000000" w:themeColor="text1"/>
          <w:sz w:val="22"/>
          <w:szCs w:val="22"/>
        </w:rPr>
        <w:t>E</w:t>
      </w:r>
      <w:r w:rsidR="0098211D" w:rsidRPr="3F923778">
        <w:rPr>
          <w:rFonts w:ascii="Calibri" w:eastAsia="Calibri" w:hAnsi="Calibri" w:cs="Calibri"/>
          <w:color w:val="000000" w:themeColor="text1"/>
          <w:sz w:val="22"/>
          <w:szCs w:val="22"/>
        </w:rPr>
        <w:t>vidence</w:t>
      </w:r>
      <w:r w:rsidRPr="3F923778">
        <w:rPr>
          <w:rFonts w:ascii="Calibri" w:eastAsia="Calibri" w:hAnsi="Calibri" w:cs="Calibri"/>
          <w:color w:val="000000" w:themeColor="text1"/>
          <w:sz w:val="22"/>
          <w:szCs w:val="22"/>
        </w:rPr>
        <w:t xml:space="preserve"> consistently</w:t>
      </w:r>
      <w:r w:rsidR="0098211D" w:rsidRPr="3F923778">
        <w:rPr>
          <w:rFonts w:ascii="Calibri" w:eastAsia="Calibri" w:hAnsi="Calibri" w:cs="Calibri"/>
          <w:color w:val="000000" w:themeColor="text1"/>
          <w:sz w:val="22"/>
          <w:szCs w:val="22"/>
        </w:rPr>
        <w:t xml:space="preserve"> shows that people consume more food</w:t>
      </w:r>
      <w:r w:rsidR="54B8CBC2" w:rsidRPr="3F923778">
        <w:rPr>
          <w:rFonts w:ascii="Calibri" w:eastAsia="Calibri" w:hAnsi="Calibri" w:cs="Calibri"/>
          <w:color w:val="000000" w:themeColor="text1"/>
          <w:sz w:val="22"/>
          <w:szCs w:val="22"/>
        </w:rPr>
        <w:t xml:space="preserve"> and beverages</w:t>
      </w:r>
      <w:r w:rsidR="0098211D" w:rsidRPr="3F923778">
        <w:rPr>
          <w:rFonts w:ascii="Calibri" w:eastAsia="Calibri" w:hAnsi="Calibri" w:cs="Calibri"/>
          <w:color w:val="000000" w:themeColor="text1"/>
          <w:sz w:val="22"/>
          <w:szCs w:val="22"/>
        </w:rPr>
        <w:t xml:space="preserve"> when offered larger serving sizes than when offered smaller </w:t>
      </w:r>
      <w:r w:rsidRPr="3F923778">
        <w:rPr>
          <w:rFonts w:ascii="Calibri" w:eastAsia="Calibri" w:hAnsi="Calibri" w:cs="Calibri"/>
          <w:color w:val="000000" w:themeColor="text1"/>
          <w:sz w:val="22"/>
          <w:szCs w:val="22"/>
        </w:rPr>
        <w:t>servin</w:t>
      </w:r>
      <w:r w:rsidR="0098211D" w:rsidRPr="3F923778">
        <w:rPr>
          <w:rFonts w:ascii="Calibri" w:eastAsia="Calibri" w:hAnsi="Calibri" w:cs="Calibri"/>
          <w:color w:val="000000" w:themeColor="text1"/>
          <w:sz w:val="22"/>
          <w:szCs w:val="22"/>
        </w:rPr>
        <w:t>g</w:t>
      </w:r>
      <w:r w:rsidRPr="3F923778">
        <w:rPr>
          <w:rFonts w:ascii="Calibri" w:eastAsia="Calibri" w:hAnsi="Calibri" w:cs="Calibri"/>
          <w:color w:val="000000" w:themeColor="text1"/>
          <w:sz w:val="22"/>
          <w:szCs w:val="22"/>
        </w:rPr>
        <w:t xml:space="preserve"> sizes</w:t>
      </w:r>
      <w:r w:rsidR="0098211D" w:rsidRPr="3F923778">
        <w:rPr>
          <w:rFonts w:ascii="Calibri" w:eastAsia="Calibri" w:hAnsi="Calibri" w:cs="Calibri"/>
          <w:color w:val="000000" w:themeColor="text1"/>
          <w:sz w:val="22"/>
          <w:szCs w:val="22"/>
        </w:rPr>
        <w:t xml:space="preserve">. This ‘portion size effect’ has been observed in children and adults, </w:t>
      </w:r>
      <w:proofErr w:type="gramStart"/>
      <w:r w:rsidR="0098211D" w:rsidRPr="3F923778">
        <w:rPr>
          <w:rFonts w:ascii="Calibri" w:eastAsia="Calibri" w:hAnsi="Calibri" w:cs="Calibri"/>
          <w:color w:val="000000" w:themeColor="text1"/>
          <w:sz w:val="22"/>
          <w:szCs w:val="22"/>
        </w:rPr>
        <w:t>males</w:t>
      </w:r>
      <w:proofErr w:type="gramEnd"/>
      <w:r w:rsidR="0098211D" w:rsidRPr="3F923778">
        <w:rPr>
          <w:rFonts w:ascii="Calibri" w:eastAsia="Calibri" w:hAnsi="Calibri" w:cs="Calibri"/>
          <w:color w:val="000000" w:themeColor="text1"/>
          <w:sz w:val="22"/>
          <w:szCs w:val="22"/>
        </w:rPr>
        <w:t xml:space="preserve"> and females, and across those with different body weights, levels of dietary restraint and susceptibility to hunger</w:t>
      </w:r>
      <w:r w:rsidR="00245D87" w:rsidRPr="3F923778">
        <w:rPr>
          <w:rFonts w:ascii="Calibri" w:eastAsia="Calibri" w:hAnsi="Calibri" w:cs="Calibri"/>
          <w:color w:val="000000" w:themeColor="text1"/>
          <w:sz w:val="22"/>
          <w:szCs w:val="22"/>
        </w:rPr>
        <w:t xml:space="preserve"> (6)</w:t>
      </w:r>
      <w:r w:rsidR="006A3D58" w:rsidRPr="3F923778">
        <w:rPr>
          <w:rFonts w:ascii="Calibri" w:eastAsia="Calibri" w:hAnsi="Calibri" w:cs="Calibri"/>
          <w:color w:val="000000" w:themeColor="text1"/>
          <w:sz w:val="22"/>
          <w:szCs w:val="22"/>
        </w:rPr>
        <w:t>.</w:t>
      </w:r>
      <w:r w:rsidR="21D9BFCF" w:rsidRPr="3F923778">
        <w:rPr>
          <w:rFonts w:ascii="Calibri" w:eastAsia="Calibri" w:hAnsi="Calibri" w:cs="Calibri"/>
          <w:color w:val="000000" w:themeColor="text1"/>
          <w:sz w:val="22"/>
          <w:szCs w:val="22"/>
        </w:rPr>
        <w:t xml:space="preserve"> Highly palatable discretionary foods</w:t>
      </w:r>
      <w:r w:rsidR="571D5155" w:rsidRPr="3F923778">
        <w:rPr>
          <w:rFonts w:ascii="Calibri" w:eastAsia="Calibri" w:hAnsi="Calibri" w:cs="Calibri"/>
          <w:color w:val="000000" w:themeColor="text1"/>
          <w:sz w:val="22"/>
          <w:szCs w:val="22"/>
        </w:rPr>
        <w:t xml:space="preserve"> and beverages</w:t>
      </w:r>
      <w:r w:rsidR="21D9BFCF" w:rsidRPr="3F923778">
        <w:rPr>
          <w:rFonts w:ascii="Calibri" w:eastAsia="Calibri" w:hAnsi="Calibri" w:cs="Calibri"/>
          <w:color w:val="000000" w:themeColor="text1"/>
          <w:sz w:val="22"/>
          <w:szCs w:val="22"/>
        </w:rPr>
        <w:t xml:space="preserve"> are particularly susceptible to this portion size effect. Consumption of large portion sizes not only leads to higher energy intakes at the meal occasion</w:t>
      </w:r>
      <w:r w:rsidR="5C751FE8" w:rsidRPr="3F923778">
        <w:rPr>
          <w:rFonts w:ascii="Calibri" w:eastAsia="Calibri" w:hAnsi="Calibri" w:cs="Calibri"/>
          <w:color w:val="000000" w:themeColor="text1"/>
          <w:sz w:val="22"/>
          <w:szCs w:val="22"/>
        </w:rPr>
        <w:t>,</w:t>
      </w:r>
      <w:r w:rsidR="21D9BFCF" w:rsidRPr="3F923778">
        <w:rPr>
          <w:rFonts w:ascii="Calibri" w:eastAsia="Calibri" w:hAnsi="Calibri" w:cs="Calibri"/>
          <w:color w:val="000000" w:themeColor="text1"/>
          <w:sz w:val="22"/>
          <w:szCs w:val="22"/>
        </w:rPr>
        <w:t xml:space="preserve"> but to higher energy intake over the day, as there is little compensation in energy intake at subsequent meals. If sustained over time, this can result in increased risk of overweight and obesity</w:t>
      </w:r>
      <w:r w:rsidR="00541671" w:rsidRPr="3F923778">
        <w:rPr>
          <w:rFonts w:ascii="Calibri" w:eastAsia="Calibri" w:hAnsi="Calibri" w:cs="Calibri"/>
          <w:color w:val="000000" w:themeColor="text1"/>
          <w:sz w:val="22"/>
          <w:szCs w:val="22"/>
        </w:rPr>
        <w:t xml:space="preserve"> (7)</w:t>
      </w:r>
      <w:r w:rsidR="006A3D58" w:rsidRPr="3F923778">
        <w:rPr>
          <w:rFonts w:ascii="Calibri" w:eastAsia="Calibri" w:hAnsi="Calibri" w:cs="Calibri"/>
          <w:color w:val="000000" w:themeColor="text1"/>
          <w:sz w:val="22"/>
          <w:szCs w:val="22"/>
        </w:rPr>
        <w:t>.</w:t>
      </w:r>
    </w:p>
    <w:p w14:paraId="1EBE8E97" w14:textId="5BE8682B" w:rsidR="21D9BFCF" w:rsidRDefault="21D9BFCF" w:rsidP="00B32AC9">
      <w:pPr>
        <w:spacing w:after="240"/>
      </w:pPr>
      <w:r w:rsidRPr="544211C1">
        <w:rPr>
          <w:rFonts w:ascii="Calibri" w:eastAsia="Calibri" w:hAnsi="Calibri" w:cs="Calibri"/>
          <w:color w:val="000000" w:themeColor="text1"/>
          <w:sz w:val="22"/>
          <w:szCs w:val="22"/>
        </w:rPr>
        <w:t>Many factors have been identified as contributing to how much</w:t>
      </w:r>
      <w:r w:rsidR="00C14AC8">
        <w:rPr>
          <w:rFonts w:ascii="Calibri" w:eastAsia="Calibri" w:hAnsi="Calibri" w:cs="Calibri"/>
          <w:color w:val="000000" w:themeColor="text1"/>
          <w:sz w:val="22"/>
          <w:szCs w:val="22"/>
        </w:rPr>
        <w:t xml:space="preserve"> food and beverage</w:t>
      </w:r>
      <w:r w:rsidRPr="544211C1">
        <w:rPr>
          <w:rFonts w:ascii="Calibri" w:eastAsia="Calibri" w:hAnsi="Calibri" w:cs="Calibri"/>
          <w:color w:val="000000" w:themeColor="text1"/>
          <w:sz w:val="22"/>
          <w:szCs w:val="22"/>
        </w:rPr>
        <w:t xml:space="preserve"> is consumed, including the presentation (e.g., meal and snack serving size and packaging cues, unit number and size, presence of segmentation cues, size of tableware, calibration marks on packaging or tableware); how the food is consumed (e.g. plate-cleaning tendencies, bite size/eating rate, attention while eating); how the amount of food served is perceived (e.g. “appropriateness” or portion-size norms, familiarity, expectation, awareness, and estimation biases); and factors that interact to influence such perceptions (e.g. palatability and energy density). External factors such as value for money and packaging information also contribute to how much is purchased, self-served</w:t>
      </w:r>
      <w:r w:rsidR="00C14AC8">
        <w:rPr>
          <w:rFonts w:ascii="Calibri" w:eastAsia="Calibri" w:hAnsi="Calibri" w:cs="Calibri"/>
          <w:color w:val="000000" w:themeColor="text1"/>
          <w:sz w:val="22"/>
          <w:szCs w:val="22"/>
        </w:rPr>
        <w:t>,</w:t>
      </w:r>
      <w:r w:rsidRPr="544211C1">
        <w:rPr>
          <w:rFonts w:ascii="Calibri" w:eastAsia="Calibri" w:hAnsi="Calibri" w:cs="Calibri"/>
          <w:color w:val="000000" w:themeColor="text1"/>
          <w:sz w:val="22"/>
          <w:szCs w:val="22"/>
        </w:rPr>
        <w:t xml:space="preserve"> and consumed. Thus, consumers may rely on the amounts served or contained in a package as a practical cue to determine intake, together with other factors such as taste and value for money</w:t>
      </w:r>
      <w:r w:rsidR="00973F67">
        <w:rPr>
          <w:rFonts w:ascii="Calibri" w:eastAsia="Calibri" w:hAnsi="Calibri" w:cs="Calibri"/>
          <w:color w:val="000000" w:themeColor="text1"/>
          <w:sz w:val="22"/>
          <w:szCs w:val="22"/>
        </w:rPr>
        <w:t> </w:t>
      </w:r>
      <w:r w:rsidR="00541671">
        <w:rPr>
          <w:rFonts w:ascii="Calibri" w:eastAsia="Calibri" w:hAnsi="Calibri" w:cs="Calibri"/>
          <w:color w:val="000000" w:themeColor="text1"/>
          <w:sz w:val="22"/>
          <w:szCs w:val="22"/>
        </w:rPr>
        <w:t>(8)</w:t>
      </w:r>
      <w:r w:rsidR="006A3D58">
        <w:rPr>
          <w:rFonts w:ascii="Calibri" w:eastAsia="Calibri" w:hAnsi="Calibri" w:cs="Calibri"/>
          <w:color w:val="000000" w:themeColor="text1"/>
          <w:sz w:val="22"/>
          <w:szCs w:val="22"/>
        </w:rPr>
        <w:t>.</w:t>
      </w:r>
    </w:p>
    <w:p w14:paraId="410EC9CC" w14:textId="77777777" w:rsidR="00B32AC9" w:rsidRDefault="00B32AC9">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59637CBD" w14:textId="4E8A31F2" w:rsidR="002C4ACE" w:rsidRDefault="21D9BFCF" w:rsidP="00B32AC9">
      <w:pPr>
        <w:spacing w:after="240"/>
        <w:rPr>
          <w:rFonts w:ascii="Calibri" w:eastAsia="Calibri" w:hAnsi="Calibri" w:cs="Calibri"/>
          <w:color w:val="000000" w:themeColor="text1"/>
          <w:sz w:val="22"/>
          <w:szCs w:val="22"/>
        </w:rPr>
      </w:pPr>
      <w:r w:rsidRPr="08C5F493">
        <w:rPr>
          <w:rFonts w:ascii="Calibri" w:eastAsia="Calibri" w:hAnsi="Calibri" w:cs="Calibri"/>
          <w:color w:val="000000" w:themeColor="text1"/>
          <w:sz w:val="22"/>
          <w:szCs w:val="22"/>
        </w:rPr>
        <w:lastRenderedPageBreak/>
        <w:t xml:space="preserve"> Studies have shown that recalibration of consumption norms toward smaller portions is a promising strategy</w:t>
      </w:r>
      <w:r w:rsidR="00541671">
        <w:rPr>
          <w:rFonts w:ascii="Calibri" w:eastAsia="Calibri" w:hAnsi="Calibri" w:cs="Calibri"/>
          <w:color w:val="000000" w:themeColor="text1"/>
          <w:sz w:val="22"/>
          <w:szCs w:val="22"/>
        </w:rPr>
        <w:t xml:space="preserve"> (9)</w:t>
      </w:r>
      <w:r w:rsidR="006A3D58">
        <w:rPr>
          <w:rFonts w:ascii="Calibri" w:eastAsia="Calibri" w:hAnsi="Calibri" w:cs="Calibri"/>
          <w:color w:val="000000" w:themeColor="text1"/>
          <w:sz w:val="22"/>
          <w:szCs w:val="22"/>
        </w:rPr>
        <w:t>.</w:t>
      </w:r>
      <w:r w:rsidRPr="08C5F493">
        <w:rPr>
          <w:rFonts w:ascii="Calibri" w:eastAsia="Calibri" w:hAnsi="Calibri" w:cs="Calibri"/>
          <w:color w:val="000000" w:themeColor="text1"/>
          <w:sz w:val="22"/>
          <w:szCs w:val="22"/>
        </w:rPr>
        <w:t xml:space="preserve"> Exposure to smaller serving sizes, as opposed to larger serving sizes, leads consumers to perceive the smaller size to be a normal serving size and leads to less food consumed on subsequent occasions. </w:t>
      </w:r>
      <w:r w:rsidR="08BBA754" w:rsidRPr="08C5F493">
        <w:rPr>
          <w:rFonts w:ascii="Calibri" w:eastAsia="Calibri" w:hAnsi="Calibri" w:cs="Calibri"/>
          <w:color w:val="000000" w:themeColor="text1"/>
          <w:sz w:val="22"/>
          <w:szCs w:val="22"/>
        </w:rPr>
        <w:t>Several</w:t>
      </w:r>
      <w:r w:rsidRPr="08C5F493">
        <w:rPr>
          <w:rFonts w:ascii="Calibri" w:eastAsia="Calibri" w:hAnsi="Calibri" w:cs="Calibri"/>
          <w:color w:val="000000" w:themeColor="text1"/>
          <w:sz w:val="22"/>
          <w:szCs w:val="22"/>
        </w:rPr>
        <w:t xml:space="preserve"> reviews, including the rapid review undertaken for the </w:t>
      </w:r>
      <w:r w:rsidR="001B7ECE">
        <w:rPr>
          <w:rFonts w:ascii="Calibri" w:eastAsia="Calibri" w:hAnsi="Calibri" w:cs="Calibri"/>
          <w:color w:val="000000" w:themeColor="text1"/>
          <w:sz w:val="22"/>
          <w:szCs w:val="22"/>
        </w:rPr>
        <w:t xml:space="preserve">PSWG </w:t>
      </w:r>
      <w:r w:rsidR="00334279">
        <w:rPr>
          <w:rFonts w:ascii="Calibri" w:eastAsia="Calibri" w:hAnsi="Calibri" w:cs="Calibri"/>
          <w:color w:val="000000" w:themeColor="text1"/>
          <w:sz w:val="22"/>
          <w:szCs w:val="22"/>
        </w:rPr>
        <w:t>(10)</w:t>
      </w:r>
      <w:r w:rsidR="006A3D58" w:rsidRPr="08C5F493">
        <w:rPr>
          <w:rFonts w:ascii="Calibri" w:eastAsia="Calibri" w:hAnsi="Calibri" w:cs="Calibri"/>
          <w:color w:val="000000" w:themeColor="text1"/>
          <w:sz w:val="22"/>
          <w:szCs w:val="22"/>
        </w:rPr>
        <w:t xml:space="preserve"> </w:t>
      </w:r>
      <w:r w:rsidRPr="08C5F493">
        <w:rPr>
          <w:rFonts w:ascii="Calibri" w:eastAsia="Calibri" w:hAnsi="Calibri" w:cs="Calibri"/>
          <w:color w:val="000000" w:themeColor="text1"/>
          <w:sz w:val="22"/>
          <w:szCs w:val="22"/>
        </w:rPr>
        <w:t xml:space="preserve">propose that targeting the reduction of size, availability and appeal of large serving sizes and packages will contribute to meaningful reductions in the selection and consumption of food and beverages. This was illustrated using statistical modelling in a Cochrane review that showed elimination of larger portion sizes from the diets could reduce energy intake by 12-16% in the UK and 22-29% in the </w:t>
      </w:r>
      <w:r w:rsidRPr="00033E42">
        <w:rPr>
          <w:rFonts w:ascii="Calibri" w:eastAsia="Calibri" w:hAnsi="Calibri" w:cs="Calibri"/>
          <w:color w:val="000000" w:themeColor="text1"/>
          <w:sz w:val="22"/>
          <w:szCs w:val="22"/>
        </w:rPr>
        <w:t>US</w:t>
      </w:r>
      <w:r w:rsidR="00795E9E">
        <w:rPr>
          <w:rFonts w:ascii="Calibri" w:eastAsia="Calibri" w:hAnsi="Calibri" w:cs="Calibri"/>
          <w:color w:val="000000" w:themeColor="text1"/>
          <w:sz w:val="22"/>
          <w:szCs w:val="22"/>
        </w:rPr>
        <w:t> </w:t>
      </w:r>
      <w:r w:rsidR="00245D87">
        <w:rPr>
          <w:rFonts w:ascii="Calibri" w:eastAsia="Calibri" w:hAnsi="Calibri" w:cs="Calibri"/>
          <w:color w:val="000000" w:themeColor="text1"/>
          <w:sz w:val="22"/>
          <w:szCs w:val="22"/>
        </w:rPr>
        <w:t>(6</w:t>
      </w:r>
      <w:r w:rsidR="006A3D58">
        <w:rPr>
          <w:rFonts w:ascii="Calibri" w:eastAsia="Calibri" w:hAnsi="Calibri" w:cs="Calibri"/>
          <w:color w:val="000000" w:themeColor="text1"/>
          <w:sz w:val="22"/>
          <w:szCs w:val="22"/>
        </w:rPr>
        <w:t>).</w:t>
      </w:r>
      <w:r w:rsidRPr="00033E42">
        <w:rPr>
          <w:rFonts w:ascii="Calibri" w:eastAsia="Calibri" w:hAnsi="Calibri" w:cs="Calibri"/>
          <w:color w:val="000000" w:themeColor="text1"/>
          <w:sz w:val="22"/>
          <w:szCs w:val="22"/>
        </w:rPr>
        <w:t xml:space="preserve"> This strategy will require efforts from food industry as education or changing food</w:t>
      </w:r>
      <w:r w:rsidR="27E7C984" w:rsidRPr="00033E42">
        <w:rPr>
          <w:rFonts w:ascii="Calibri" w:eastAsia="Calibri" w:hAnsi="Calibri" w:cs="Calibri"/>
          <w:color w:val="000000" w:themeColor="text1"/>
          <w:sz w:val="22"/>
          <w:szCs w:val="22"/>
        </w:rPr>
        <w:t xml:space="preserve"> and beverage</w:t>
      </w:r>
      <w:r w:rsidRPr="00033E42">
        <w:rPr>
          <w:rFonts w:ascii="Calibri" w:eastAsia="Calibri" w:hAnsi="Calibri" w:cs="Calibri"/>
          <w:color w:val="000000" w:themeColor="text1"/>
          <w:sz w:val="22"/>
          <w:szCs w:val="22"/>
        </w:rPr>
        <w:t xml:space="preserve"> labels on their own have had limited impact</w:t>
      </w:r>
      <w:r w:rsidR="00541671">
        <w:rPr>
          <w:rFonts w:ascii="Calibri" w:eastAsia="Calibri" w:hAnsi="Calibri" w:cs="Calibri"/>
          <w:color w:val="000000" w:themeColor="text1"/>
          <w:sz w:val="22"/>
          <w:szCs w:val="22"/>
        </w:rPr>
        <w:t xml:space="preserve"> (8</w:t>
      </w:r>
      <w:r w:rsidR="006A3D58">
        <w:rPr>
          <w:rFonts w:ascii="Calibri" w:eastAsia="Calibri" w:hAnsi="Calibri" w:cs="Calibri"/>
          <w:color w:val="000000" w:themeColor="text1"/>
          <w:sz w:val="22"/>
          <w:szCs w:val="22"/>
        </w:rPr>
        <w:t xml:space="preserve">). </w:t>
      </w:r>
    </w:p>
    <w:p w14:paraId="7722EAD1" w14:textId="49FDA991" w:rsidR="00B602D1" w:rsidRPr="00B602D1" w:rsidRDefault="00CE3EF8" w:rsidP="278BF13E">
      <w:pPr>
        <w:widowControl w:val="0"/>
        <w:autoSpaceDE w:val="0"/>
        <w:autoSpaceDN w:val="0"/>
        <w:adjustRightInd w:val="0"/>
        <w:spacing w:before="120"/>
        <w:rPr>
          <w:b/>
          <w:bCs/>
          <w:sz w:val="22"/>
          <w:szCs w:val="22"/>
        </w:rPr>
      </w:pPr>
      <w:r>
        <w:rPr>
          <w:b/>
          <w:bCs/>
          <w:sz w:val="22"/>
          <w:szCs w:val="22"/>
        </w:rPr>
        <w:t>Different serving sizes in different</w:t>
      </w:r>
      <w:r w:rsidR="00B602D1" w:rsidRPr="05260A5A">
        <w:rPr>
          <w:b/>
          <w:bCs/>
          <w:sz w:val="22"/>
          <w:szCs w:val="22"/>
        </w:rPr>
        <w:t xml:space="preserve"> environments</w:t>
      </w:r>
    </w:p>
    <w:p w14:paraId="7636FC36" w14:textId="0EB91C80" w:rsidR="3D300E8B" w:rsidRDefault="00B602D1" w:rsidP="00B602D1">
      <w:pPr>
        <w:widowControl w:val="0"/>
        <w:autoSpaceDE w:val="0"/>
        <w:autoSpaceDN w:val="0"/>
        <w:adjustRightInd w:val="0"/>
        <w:spacing w:after="240"/>
        <w:rPr>
          <w:sz w:val="22"/>
          <w:szCs w:val="22"/>
        </w:rPr>
      </w:pPr>
      <w:r w:rsidRPr="05260A5A">
        <w:rPr>
          <w:sz w:val="22"/>
          <w:szCs w:val="22"/>
        </w:rPr>
        <w:t xml:space="preserve">There </w:t>
      </w:r>
      <w:r w:rsidR="3D300E8B" w:rsidRPr="05260A5A">
        <w:rPr>
          <w:sz w:val="22"/>
          <w:szCs w:val="22"/>
        </w:rPr>
        <w:t xml:space="preserve">are often significant differences between </w:t>
      </w:r>
      <w:r w:rsidR="003E22B5" w:rsidRPr="05260A5A">
        <w:rPr>
          <w:sz w:val="22"/>
          <w:szCs w:val="22"/>
        </w:rPr>
        <w:t>foods</w:t>
      </w:r>
      <w:r w:rsidR="6727813A" w:rsidRPr="05260A5A">
        <w:rPr>
          <w:sz w:val="22"/>
          <w:szCs w:val="22"/>
        </w:rPr>
        <w:t xml:space="preserve"> and beverages</w:t>
      </w:r>
      <w:r w:rsidR="003E22B5" w:rsidRPr="05260A5A">
        <w:rPr>
          <w:sz w:val="22"/>
          <w:szCs w:val="22"/>
        </w:rPr>
        <w:t xml:space="preserve"> purchased in the </w:t>
      </w:r>
      <w:r w:rsidR="003E22B5" w:rsidRPr="005E3B58">
        <w:rPr>
          <w:sz w:val="22"/>
          <w:szCs w:val="22"/>
        </w:rPr>
        <w:t>retail</w:t>
      </w:r>
      <w:r w:rsidR="003E22B5" w:rsidRPr="05260A5A">
        <w:rPr>
          <w:sz w:val="22"/>
          <w:szCs w:val="22"/>
        </w:rPr>
        <w:t xml:space="preserve"> </w:t>
      </w:r>
      <w:r w:rsidR="00F45D71" w:rsidRPr="6099F934">
        <w:rPr>
          <w:sz w:val="22"/>
          <w:szCs w:val="22"/>
        </w:rPr>
        <w:t>settings</w:t>
      </w:r>
      <w:r w:rsidR="008C4752" w:rsidRPr="6099F934">
        <w:rPr>
          <w:sz w:val="22"/>
          <w:szCs w:val="22"/>
        </w:rPr>
        <w:t xml:space="preserve"> </w:t>
      </w:r>
      <w:r w:rsidR="0076547B">
        <w:rPr>
          <w:sz w:val="22"/>
          <w:szCs w:val="22"/>
        </w:rPr>
        <w:t>and</w:t>
      </w:r>
      <w:r w:rsidR="001B7ECE">
        <w:rPr>
          <w:sz w:val="22"/>
          <w:szCs w:val="22"/>
        </w:rPr>
        <w:t xml:space="preserve"> </w:t>
      </w:r>
      <w:r w:rsidR="003E22B5" w:rsidRPr="05260A5A">
        <w:rPr>
          <w:sz w:val="22"/>
          <w:szCs w:val="22"/>
        </w:rPr>
        <w:t>those purchase</w:t>
      </w:r>
      <w:r w:rsidR="00880623" w:rsidRPr="05260A5A">
        <w:rPr>
          <w:sz w:val="22"/>
          <w:szCs w:val="22"/>
        </w:rPr>
        <w:t>d</w:t>
      </w:r>
      <w:r w:rsidR="003E22B5" w:rsidRPr="05260A5A">
        <w:rPr>
          <w:sz w:val="22"/>
          <w:szCs w:val="22"/>
        </w:rPr>
        <w:t xml:space="preserve"> </w:t>
      </w:r>
      <w:r w:rsidR="003E22B5" w:rsidRPr="005E3B58">
        <w:rPr>
          <w:sz w:val="22"/>
          <w:szCs w:val="22"/>
        </w:rPr>
        <w:t>out of home</w:t>
      </w:r>
      <w:r w:rsidR="003E22B5" w:rsidRPr="05260A5A">
        <w:rPr>
          <w:sz w:val="22"/>
          <w:szCs w:val="22"/>
        </w:rPr>
        <w:t xml:space="preserve">. </w:t>
      </w:r>
      <w:r w:rsidR="00880623" w:rsidRPr="05260A5A">
        <w:rPr>
          <w:sz w:val="22"/>
          <w:szCs w:val="22"/>
        </w:rPr>
        <w:t xml:space="preserve">In most cases, the size of restaurant or takeaway servings are larger than those purchased from supermarkets. </w:t>
      </w:r>
      <w:r w:rsidR="00880623" w:rsidRPr="002E1F49">
        <w:rPr>
          <w:sz w:val="22"/>
          <w:szCs w:val="22"/>
        </w:rPr>
        <w:t>For example, the average size of a typical biscuit sold in a café is about double the size of those purchased from retail</w:t>
      </w:r>
      <w:r w:rsidR="002E1F49" w:rsidRPr="002E1F49">
        <w:rPr>
          <w:sz w:val="22"/>
          <w:szCs w:val="22"/>
        </w:rPr>
        <w:t xml:space="preserve"> </w:t>
      </w:r>
      <w:r w:rsidR="6A35DF1E" w:rsidRPr="002E1F49">
        <w:rPr>
          <w:sz w:val="22"/>
          <w:szCs w:val="22"/>
        </w:rPr>
        <w:t>outlets</w:t>
      </w:r>
      <w:r w:rsidR="002E1F49" w:rsidRPr="002E1F49">
        <w:rPr>
          <w:sz w:val="22"/>
          <w:szCs w:val="22"/>
        </w:rPr>
        <w:t xml:space="preserve"> (outlined at Appendix A)</w:t>
      </w:r>
      <w:r w:rsidR="00880623" w:rsidRPr="00A05067">
        <w:rPr>
          <w:sz w:val="22"/>
          <w:szCs w:val="22"/>
        </w:rPr>
        <w:t>.</w:t>
      </w:r>
      <w:r w:rsidR="00880623" w:rsidRPr="05260A5A">
        <w:rPr>
          <w:sz w:val="22"/>
          <w:szCs w:val="22"/>
        </w:rPr>
        <w:t xml:space="preserve"> Unfortunately, these larger serving sizes are starting to </w:t>
      </w:r>
      <w:r w:rsidR="00C14AC8">
        <w:rPr>
          <w:sz w:val="22"/>
          <w:szCs w:val="22"/>
        </w:rPr>
        <w:t>enter</w:t>
      </w:r>
      <w:r w:rsidR="00880623" w:rsidRPr="05260A5A">
        <w:rPr>
          <w:sz w:val="22"/>
          <w:szCs w:val="22"/>
        </w:rPr>
        <w:t xml:space="preserve"> the retail environment, with café style biscuits becoming more common. The IBPGWG is therefore recommending different serving sizes across retail</w:t>
      </w:r>
      <w:r w:rsidR="1A9BA6F1" w:rsidRPr="05260A5A">
        <w:rPr>
          <w:sz w:val="22"/>
          <w:szCs w:val="22"/>
        </w:rPr>
        <w:t xml:space="preserve"> settings</w:t>
      </w:r>
      <w:r w:rsidR="00880623" w:rsidRPr="05260A5A">
        <w:rPr>
          <w:sz w:val="22"/>
          <w:szCs w:val="22"/>
        </w:rPr>
        <w:t xml:space="preserve"> and the out of home sector</w:t>
      </w:r>
      <w:r w:rsidR="00C14AC8">
        <w:rPr>
          <w:sz w:val="22"/>
          <w:szCs w:val="22"/>
        </w:rPr>
        <w:t xml:space="preserve"> </w:t>
      </w:r>
      <w:r w:rsidR="00397BC7" w:rsidRPr="05260A5A">
        <w:rPr>
          <w:sz w:val="22"/>
          <w:szCs w:val="22"/>
        </w:rPr>
        <w:t>to discourage continued serving size increases</w:t>
      </w:r>
      <w:r w:rsidR="4DD66875" w:rsidRPr="05260A5A">
        <w:rPr>
          <w:sz w:val="22"/>
          <w:szCs w:val="22"/>
        </w:rPr>
        <w:t xml:space="preserve">. </w:t>
      </w:r>
    </w:p>
    <w:p w14:paraId="764A97BA" w14:textId="23B5BED1" w:rsidR="004A5238" w:rsidRPr="00B5325D" w:rsidRDefault="004A5238" w:rsidP="62766362">
      <w:pPr>
        <w:widowControl w:val="0"/>
        <w:autoSpaceDE w:val="0"/>
        <w:autoSpaceDN w:val="0"/>
        <w:adjustRightInd w:val="0"/>
        <w:spacing w:before="120" w:after="240"/>
        <w:rPr>
          <w:sz w:val="22"/>
          <w:szCs w:val="22"/>
        </w:rPr>
      </w:pPr>
      <w:r w:rsidRPr="03C20349">
        <w:rPr>
          <w:sz w:val="22"/>
          <w:szCs w:val="22"/>
        </w:rPr>
        <w:t xml:space="preserve">The IBPGWG considered the differences between discretionary foods </w:t>
      </w:r>
      <w:r w:rsidR="5E5BAD22" w:rsidRPr="03C20349">
        <w:rPr>
          <w:sz w:val="22"/>
          <w:szCs w:val="22"/>
        </w:rPr>
        <w:t xml:space="preserve">and beverages </w:t>
      </w:r>
      <w:r w:rsidRPr="03C20349">
        <w:rPr>
          <w:sz w:val="22"/>
          <w:szCs w:val="22"/>
        </w:rPr>
        <w:t>that are typically eaten in place of a meal</w:t>
      </w:r>
      <w:r w:rsidR="00C14AC8" w:rsidRPr="03C20349">
        <w:rPr>
          <w:sz w:val="22"/>
          <w:szCs w:val="22"/>
        </w:rPr>
        <w:t xml:space="preserve"> (</w:t>
      </w:r>
      <w:r w:rsidR="00CE3EF8">
        <w:rPr>
          <w:sz w:val="22"/>
          <w:szCs w:val="22"/>
        </w:rPr>
        <w:t>for example,</w:t>
      </w:r>
      <w:r w:rsidR="00C14AC8" w:rsidRPr="03C20349">
        <w:rPr>
          <w:sz w:val="22"/>
          <w:szCs w:val="22"/>
        </w:rPr>
        <w:t xml:space="preserve"> savoury pastries)</w:t>
      </w:r>
      <w:r w:rsidRPr="03C20349">
        <w:rPr>
          <w:sz w:val="22"/>
          <w:szCs w:val="22"/>
        </w:rPr>
        <w:t xml:space="preserve"> and those that are eaten as a snack</w:t>
      </w:r>
      <w:r w:rsidR="7D9AEF16" w:rsidRPr="03C20349">
        <w:rPr>
          <w:sz w:val="22"/>
          <w:szCs w:val="22"/>
        </w:rPr>
        <w:t xml:space="preserve"> </w:t>
      </w:r>
      <w:r w:rsidR="00C14AC8" w:rsidRPr="03C20349">
        <w:rPr>
          <w:sz w:val="22"/>
          <w:szCs w:val="22"/>
        </w:rPr>
        <w:t>(</w:t>
      </w:r>
      <w:r w:rsidR="00CE3EF8">
        <w:rPr>
          <w:sz w:val="22"/>
          <w:szCs w:val="22"/>
        </w:rPr>
        <w:t>for example,</w:t>
      </w:r>
      <w:r w:rsidR="7D9AEF16" w:rsidRPr="03C20349">
        <w:rPr>
          <w:sz w:val="22"/>
          <w:szCs w:val="22"/>
        </w:rPr>
        <w:t xml:space="preserve"> sweet biscuit</w:t>
      </w:r>
      <w:r w:rsidR="00C14AC8" w:rsidRPr="03C20349">
        <w:rPr>
          <w:sz w:val="22"/>
          <w:szCs w:val="22"/>
        </w:rPr>
        <w:t>)</w:t>
      </w:r>
      <w:r w:rsidRPr="03C20349">
        <w:rPr>
          <w:sz w:val="22"/>
          <w:szCs w:val="22"/>
        </w:rPr>
        <w:t xml:space="preserve">. </w:t>
      </w:r>
      <w:r w:rsidR="19AA11F0" w:rsidRPr="03C20349">
        <w:rPr>
          <w:sz w:val="22"/>
          <w:szCs w:val="22"/>
        </w:rPr>
        <w:t>Thus</w:t>
      </w:r>
      <w:r w:rsidRPr="03C20349">
        <w:rPr>
          <w:sz w:val="22"/>
          <w:szCs w:val="22"/>
        </w:rPr>
        <w:t xml:space="preserve">, the maximum serving size </w:t>
      </w:r>
      <w:r w:rsidR="001B7ECE" w:rsidRPr="03C20349">
        <w:rPr>
          <w:sz w:val="22"/>
          <w:szCs w:val="22"/>
        </w:rPr>
        <w:t xml:space="preserve">recommendations </w:t>
      </w:r>
      <w:r w:rsidRPr="03C20349">
        <w:rPr>
          <w:sz w:val="22"/>
          <w:szCs w:val="22"/>
        </w:rPr>
        <w:t xml:space="preserve">for some </w:t>
      </w:r>
      <w:r w:rsidR="4252416E" w:rsidRPr="03C20349">
        <w:rPr>
          <w:sz w:val="22"/>
          <w:szCs w:val="22"/>
        </w:rPr>
        <w:t xml:space="preserve">categories </w:t>
      </w:r>
      <w:r w:rsidRPr="03C20349">
        <w:rPr>
          <w:sz w:val="22"/>
          <w:szCs w:val="22"/>
        </w:rPr>
        <w:t xml:space="preserve">are equivalent to </w:t>
      </w:r>
      <w:r w:rsidR="00CE3EF8">
        <w:rPr>
          <w:sz w:val="22"/>
          <w:szCs w:val="22"/>
        </w:rPr>
        <w:t xml:space="preserve">multiple </w:t>
      </w:r>
      <w:r w:rsidRPr="03C20349">
        <w:rPr>
          <w:sz w:val="22"/>
          <w:szCs w:val="22"/>
        </w:rPr>
        <w:t xml:space="preserve">discretionary </w:t>
      </w:r>
      <w:r w:rsidRPr="00973F67">
        <w:rPr>
          <w:sz w:val="22"/>
          <w:szCs w:val="22"/>
        </w:rPr>
        <w:t xml:space="preserve">serves (based on </w:t>
      </w:r>
      <w:r w:rsidR="00EB7AC5" w:rsidRPr="00973F67">
        <w:rPr>
          <w:sz w:val="22"/>
          <w:szCs w:val="22"/>
        </w:rPr>
        <w:t xml:space="preserve">about </w:t>
      </w:r>
      <w:r w:rsidRPr="00973F67">
        <w:rPr>
          <w:sz w:val="22"/>
          <w:szCs w:val="22"/>
        </w:rPr>
        <w:t>600</w:t>
      </w:r>
      <w:r w:rsidR="00E35936">
        <w:rPr>
          <w:sz w:val="22"/>
          <w:szCs w:val="22"/>
        </w:rPr>
        <w:t xml:space="preserve"> </w:t>
      </w:r>
      <w:r w:rsidRPr="00973F67">
        <w:rPr>
          <w:sz w:val="22"/>
          <w:szCs w:val="22"/>
        </w:rPr>
        <w:t>kJ per serve</w:t>
      </w:r>
      <w:r w:rsidR="00C14AC8" w:rsidRPr="00973F67">
        <w:rPr>
          <w:sz w:val="22"/>
          <w:szCs w:val="22"/>
        </w:rPr>
        <w:t>), as</w:t>
      </w:r>
      <w:r w:rsidR="45298D10" w:rsidRPr="00973F67">
        <w:rPr>
          <w:sz w:val="22"/>
          <w:szCs w:val="22"/>
        </w:rPr>
        <w:t xml:space="preserve"> a smaller</w:t>
      </w:r>
      <w:r w:rsidR="45298D10" w:rsidRPr="03C20349">
        <w:rPr>
          <w:sz w:val="22"/>
          <w:szCs w:val="22"/>
        </w:rPr>
        <w:t xml:space="preserve"> serving size (and </w:t>
      </w:r>
      <w:r w:rsidR="363895E7" w:rsidRPr="03C20349">
        <w:rPr>
          <w:sz w:val="22"/>
          <w:szCs w:val="22"/>
        </w:rPr>
        <w:t>fewer</w:t>
      </w:r>
      <w:r w:rsidRPr="03C20349">
        <w:rPr>
          <w:sz w:val="22"/>
          <w:szCs w:val="22"/>
        </w:rPr>
        <w:t xml:space="preserve"> discretionary serves</w:t>
      </w:r>
      <w:r w:rsidR="1E2AD2BD" w:rsidRPr="03C20349">
        <w:rPr>
          <w:sz w:val="22"/>
          <w:szCs w:val="22"/>
        </w:rPr>
        <w:t>)</w:t>
      </w:r>
      <w:r w:rsidRPr="03C20349">
        <w:rPr>
          <w:sz w:val="22"/>
          <w:szCs w:val="22"/>
        </w:rPr>
        <w:t xml:space="preserve"> </w:t>
      </w:r>
      <w:r w:rsidR="3B3BAB0A" w:rsidRPr="03C20349">
        <w:rPr>
          <w:sz w:val="22"/>
          <w:szCs w:val="22"/>
        </w:rPr>
        <w:t>may</w:t>
      </w:r>
      <w:r w:rsidRPr="03C20349">
        <w:rPr>
          <w:sz w:val="22"/>
          <w:szCs w:val="22"/>
        </w:rPr>
        <w:t xml:space="preserve"> result i</w:t>
      </w:r>
      <w:r w:rsidR="00C14AC8" w:rsidRPr="03C20349">
        <w:rPr>
          <w:sz w:val="22"/>
          <w:szCs w:val="22"/>
        </w:rPr>
        <w:t xml:space="preserve">n </w:t>
      </w:r>
      <w:r w:rsidR="5C4DEAEE" w:rsidRPr="03C20349">
        <w:rPr>
          <w:sz w:val="22"/>
          <w:szCs w:val="22"/>
        </w:rPr>
        <w:t>poor</w:t>
      </w:r>
      <w:r w:rsidRPr="03C20349">
        <w:rPr>
          <w:sz w:val="22"/>
          <w:szCs w:val="22"/>
        </w:rPr>
        <w:t xml:space="preserve"> accept</w:t>
      </w:r>
      <w:r w:rsidR="7F7EC59A" w:rsidRPr="03C20349">
        <w:rPr>
          <w:sz w:val="22"/>
          <w:szCs w:val="22"/>
        </w:rPr>
        <w:t>ance</w:t>
      </w:r>
      <w:r w:rsidRPr="03C20349">
        <w:rPr>
          <w:sz w:val="22"/>
          <w:szCs w:val="22"/>
        </w:rPr>
        <w:t xml:space="preserve"> by consumers.</w:t>
      </w:r>
    </w:p>
    <w:p w14:paraId="57732FDB" w14:textId="0652A062" w:rsidR="009637F4" w:rsidRPr="00AB2DB0" w:rsidRDefault="009637F4" w:rsidP="009637F4">
      <w:pPr>
        <w:widowControl w:val="0"/>
        <w:autoSpaceDE w:val="0"/>
        <w:autoSpaceDN w:val="0"/>
        <w:adjustRightInd w:val="0"/>
        <w:spacing w:before="120"/>
        <w:rPr>
          <w:b/>
          <w:sz w:val="22"/>
        </w:rPr>
      </w:pPr>
      <w:r w:rsidRPr="00AB2DB0">
        <w:rPr>
          <w:b/>
          <w:sz w:val="22"/>
        </w:rPr>
        <w:t xml:space="preserve">Consumer perceptions </w:t>
      </w:r>
    </w:p>
    <w:p w14:paraId="0EFA69C8" w14:textId="42509085" w:rsidR="001432E8" w:rsidRDefault="00012536" w:rsidP="45B117C5">
      <w:pPr>
        <w:spacing w:after="240" w:line="259" w:lineRule="auto"/>
        <w:rPr>
          <w:sz w:val="22"/>
          <w:szCs w:val="22"/>
        </w:rPr>
      </w:pPr>
      <w:r w:rsidRPr="6099F934">
        <w:rPr>
          <w:sz w:val="22"/>
          <w:szCs w:val="22"/>
        </w:rPr>
        <w:t xml:space="preserve">Along with considering the differences between </w:t>
      </w:r>
      <w:r w:rsidR="0076547B" w:rsidRPr="6099F934">
        <w:rPr>
          <w:sz w:val="22"/>
          <w:szCs w:val="22"/>
        </w:rPr>
        <w:t>retail</w:t>
      </w:r>
      <w:r w:rsidRPr="6099F934">
        <w:rPr>
          <w:sz w:val="22"/>
          <w:szCs w:val="22"/>
        </w:rPr>
        <w:t xml:space="preserve"> and out of home serving sizes, the IBPGWG was </w:t>
      </w:r>
      <w:r w:rsidR="01953E69" w:rsidRPr="6099F934">
        <w:rPr>
          <w:sz w:val="22"/>
          <w:szCs w:val="22"/>
        </w:rPr>
        <w:t xml:space="preserve">sensitive to </w:t>
      </w:r>
      <w:r w:rsidRPr="6099F934">
        <w:rPr>
          <w:sz w:val="22"/>
          <w:szCs w:val="22"/>
        </w:rPr>
        <w:t xml:space="preserve">consumer attitudes to reduced serving sizes. </w:t>
      </w:r>
      <w:r w:rsidR="0001375F" w:rsidRPr="6099F934">
        <w:rPr>
          <w:sz w:val="22"/>
          <w:szCs w:val="22"/>
        </w:rPr>
        <w:t>Recent r</w:t>
      </w:r>
      <w:r w:rsidRPr="6099F934">
        <w:rPr>
          <w:sz w:val="22"/>
          <w:szCs w:val="22"/>
        </w:rPr>
        <w:t xml:space="preserve">esearch </w:t>
      </w:r>
      <w:r w:rsidR="0001375F" w:rsidRPr="6099F934">
        <w:rPr>
          <w:sz w:val="22"/>
          <w:szCs w:val="22"/>
        </w:rPr>
        <w:t xml:space="preserve">commissioned </w:t>
      </w:r>
      <w:r w:rsidR="2DBDA5C9" w:rsidRPr="6099F934">
        <w:rPr>
          <w:sz w:val="22"/>
          <w:szCs w:val="22"/>
        </w:rPr>
        <w:t xml:space="preserve">in the UK </w:t>
      </w:r>
      <w:r w:rsidR="0001375F" w:rsidRPr="6099F934">
        <w:rPr>
          <w:sz w:val="22"/>
          <w:szCs w:val="22"/>
        </w:rPr>
        <w:t>by the</w:t>
      </w:r>
      <w:r w:rsidR="00CB4CBC" w:rsidRPr="6099F934">
        <w:rPr>
          <w:sz w:val="22"/>
          <w:szCs w:val="22"/>
        </w:rPr>
        <w:t xml:space="preserve"> </w:t>
      </w:r>
      <w:r w:rsidR="00004DE7" w:rsidRPr="6099F934">
        <w:rPr>
          <w:sz w:val="22"/>
          <w:szCs w:val="22"/>
        </w:rPr>
        <w:t xml:space="preserve">commercial and </w:t>
      </w:r>
      <w:r w:rsidR="007C775E" w:rsidRPr="6099F934">
        <w:rPr>
          <w:sz w:val="22"/>
          <w:szCs w:val="22"/>
        </w:rPr>
        <w:t xml:space="preserve">consumer insights group, the </w:t>
      </w:r>
      <w:r w:rsidR="00CB4CBC" w:rsidRPr="6099F934">
        <w:rPr>
          <w:sz w:val="22"/>
          <w:szCs w:val="22"/>
        </w:rPr>
        <w:t>Institute of Grocery Distribution (</w:t>
      </w:r>
      <w:r w:rsidR="0001375F" w:rsidRPr="001B25AE">
        <w:rPr>
          <w:sz w:val="22"/>
          <w:szCs w:val="22"/>
        </w:rPr>
        <w:t>IGD</w:t>
      </w:r>
      <w:r w:rsidR="00CB4CBC" w:rsidRPr="6099F934">
        <w:rPr>
          <w:sz w:val="22"/>
          <w:szCs w:val="22"/>
        </w:rPr>
        <w:t>)</w:t>
      </w:r>
      <w:r w:rsidR="0001375F" w:rsidRPr="6099F934">
        <w:rPr>
          <w:sz w:val="22"/>
          <w:szCs w:val="22"/>
        </w:rPr>
        <w:t>,</w:t>
      </w:r>
      <w:r w:rsidR="007C775E" w:rsidRPr="6099F934">
        <w:rPr>
          <w:sz w:val="22"/>
          <w:szCs w:val="22"/>
        </w:rPr>
        <w:t xml:space="preserve"> </w:t>
      </w:r>
      <w:r w:rsidR="0001375F" w:rsidRPr="6099F934">
        <w:rPr>
          <w:sz w:val="22"/>
          <w:szCs w:val="22"/>
        </w:rPr>
        <w:t xml:space="preserve">in collaboration with the University of Cambridge, </w:t>
      </w:r>
      <w:r w:rsidRPr="6099F934">
        <w:rPr>
          <w:sz w:val="22"/>
          <w:szCs w:val="22"/>
        </w:rPr>
        <w:t xml:space="preserve">has shown consumers will accept </w:t>
      </w:r>
      <w:r w:rsidR="004E77B6" w:rsidRPr="6099F934">
        <w:rPr>
          <w:sz w:val="22"/>
          <w:szCs w:val="22"/>
        </w:rPr>
        <w:t xml:space="preserve">serving size </w:t>
      </w:r>
      <w:r w:rsidR="0076547B" w:rsidRPr="6099F934">
        <w:rPr>
          <w:sz w:val="22"/>
          <w:szCs w:val="22"/>
        </w:rPr>
        <w:t>reductions of around 10</w:t>
      </w:r>
      <w:r w:rsidR="004C3B0A" w:rsidRPr="6099F934">
        <w:rPr>
          <w:sz w:val="22"/>
          <w:szCs w:val="22"/>
        </w:rPr>
        <w:t>%</w:t>
      </w:r>
      <w:r w:rsidRPr="6099F934">
        <w:rPr>
          <w:sz w:val="22"/>
          <w:szCs w:val="22"/>
        </w:rPr>
        <w:t xml:space="preserve">, </w:t>
      </w:r>
      <w:r w:rsidR="0001375F" w:rsidRPr="6099F934">
        <w:rPr>
          <w:sz w:val="22"/>
          <w:szCs w:val="22"/>
        </w:rPr>
        <w:t xml:space="preserve">with </w:t>
      </w:r>
      <w:r w:rsidRPr="6099F934">
        <w:rPr>
          <w:sz w:val="22"/>
          <w:szCs w:val="22"/>
        </w:rPr>
        <w:t>reductions of this size</w:t>
      </w:r>
      <w:r w:rsidR="0001375F" w:rsidRPr="6099F934">
        <w:rPr>
          <w:sz w:val="22"/>
          <w:szCs w:val="22"/>
        </w:rPr>
        <w:t xml:space="preserve"> often going unnoticed</w:t>
      </w:r>
      <w:r w:rsidR="00334279" w:rsidRPr="6099F934">
        <w:rPr>
          <w:sz w:val="22"/>
          <w:szCs w:val="22"/>
        </w:rPr>
        <w:t xml:space="preserve"> (11)</w:t>
      </w:r>
      <w:r w:rsidR="006A3D58" w:rsidRPr="6099F934">
        <w:rPr>
          <w:sz w:val="22"/>
          <w:szCs w:val="22"/>
        </w:rPr>
        <w:t>.</w:t>
      </w:r>
    </w:p>
    <w:p w14:paraId="0CD3AF37" w14:textId="27C50520" w:rsidR="001432E8" w:rsidRDefault="6A00087D" w:rsidP="45B117C5">
      <w:pPr>
        <w:spacing w:after="240" w:line="259" w:lineRule="auto"/>
        <w:rPr>
          <w:sz w:val="22"/>
          <w:szCs w:val="22"/>
        </w:rPr>
      </w:pPr>
      <w:r w:rsidRPr="6099F934">
        <w:rPr>
          <w:sz w:val="22"/>
          <w:szCs w:val="22"/>
        </w:rPr>
        <w:t xml:space="preserve">However, consumer acceptance is closely linked to </w:t>
      </w:r>
      <w:r w:rsidR="355CB0FF" w:rsidRPr="6099F934">
        <w:rPr>
          <w:sz w:val="22"/>
          <w:szCs w:val="22"/>
        </w:rPr>
        <w:t xml:space="preserve">a value proposition. </w:t>
      </w:r>
      <w:r w:rsidR="004E77B6" w:rsidRPr="6099F934">
        <w:rPr>
          <w:sz w:val="22"/>
          <w:szCs w:val="22"/>
        </w:rPr>
        <w:t>A</w:t>
      </w:r>
      <w:r w:rsidR="730E9B64" w:rsidRPr="6099F934">
        <w:rPr>
          <w:sz w:val="22"/>
          <w:szCs w:val="22"/>
        </w:rPr>
        <w:t xml:space="preserve"> rapid review</w:t>
      </w:r>
      <w:r w:rsidR="00AB2DB0" w:rsidRPr="6099F934">
        <w:rPr>
          <w:sz w:val="22"/>
          <w:szCs w:val="22"/>
        </w:rPr>
        <w:t xml:space="preserve"> </w:t>
      </w:r>
      <w:r w:rsidR="730E9B64" w:rsidRPr="6099F934">
        <w:rPr>
          <w:sz w:val="22"/>
          <w:szCs w:val="22"/>
        </w:rPr>
        <w:t>commissioned by the</w:t>
      </w:r>
      <w:r w:rsidR="00150AC8" w:rsidRPr="6099F934">
        <w:rPr>
          <w:sz w:val="22"/>
          <w:szCs w:val="22"/>
        </w:rPr>
        <w:t xml:space="preserve"> </w:t>
      </w:r>
      <w:r w:rsidR="004E77B6" w:rsidRPr="6099F934">
        <w:rPr>
          <w:sz w:val="22"/>
          <w:szCs w:val="22"/>
        </w:rPr>
        <w:t>PSWG</w:t>
      </w:r>
      <w:r w:rsidR="730E9B64" w:rsidRPr="6099F934">
        <w:rPr>
          <w:sz w:val="22"/>
          <w:szCs w:val="22"/>
        </w:rPr>
        <w:t xml:space="preserve"> found t</w:t>
      </w:r>
      <w:r w:rsidR="4128A9E1" w:rsidRPr="6099F934">
        <w:rPr>
          <w:sz w:val="22"/>
          <w:szCs w:val="22"/>
        </w:rPr>
        <w:t>hat i</w:t>
      </w:r>
      <w:r w:rsidR="0B238EED" w:rsidRPr="6099F934">
        <w:rPr>
          <w:sz w:val="22"/>
          <w:szCs w:val="22"/>
        </w:rPr>
        <w:t>nterventions w</w:t>
      </w:r>
      <w:r w:rsidR="67172686" w:rsidRPr="6099F934">
        <w:rPr>
          <w:sz w:val="22"/>
          <w:szCs w:val="22"/>
        </w:rPr>
        <w:t xml:space="preserve">ere ineffective when they </w:t>
      </w:r>
      <w:r w:rsidR="004E77B6" w:rsidRPr="6099F934">
        <w:rPr>
          <w:sz w:val="22"/>
          <w:szCs w:val="22"/>
        </w:rPr>
        <w:t xml:space="preserve">reduced </w:t>
      </w:r>
      <w:r w:rsidR="096CF863" w:rsidRPr="6099F934">
        <w:rPr>
          <w:sz w:val="22"/>
          <w:szCs w:val="22"/>
        </w:rPr>
        <w:t>serving</w:t>
      </w:r>
      <w:r w:rsidR="004E77B6" w:rsidRPr="6099F934">
        <w:rPr>
          <w:sz w:val="22"/>
          <w:szCs w:val="22"/>
        </w:rPr>
        <w:t xml:space="preserve"> </w:t>
      </w:r>
      <w:r w:rsidR="0B238EED" w:rsidRPr="6099F934">
        <w:rPr>
          <w:sz w:val="22"/>
          <w:szCs w:val="22"/>
        </w:rPr>
        <w:t xml:space="preserve">size of discretionary foods and </w:t>
      </w:r>
      <w:r w:rsidR="7601D800" w:rsidRPr="6099F934">
        <w:rPr>
          <w:sz w:val="22"/>
          <w:szCs w:val="22"/>
        </w:rPr>
        <w:t>beverages</w:t>
      </w:r>
      <w:r w:rsidR="0B238EED" w:rsidRPr="6099F934">
        <w:rPr>
          <w:sz w:val="22"/>
          <w:szCs w:val="22"/>
        </w:rPr>
        <w:t xml:space="preserve"> without </w:t>
      </w:r>
      <w:r w:rsidR="00CB7D05" w:rsidRPr="6099F934">
        <w:rPr>
          <w:sz w:val="22"/>
          <w:szCs w:val="22"/>
        </w:rPr>
        <w:t xml:space="preserve">a </w:t>
      </w:r>
      <w:r w:rsidR="22B45053" w:rsidRPr="6099F934">
        <w:rPr>
          <w:sz w:val="22"/>
          <w:szCs w:val="22"/>
        </w:rPr>
        <w:t>concomitant</w:t>
      </w:r>
      <w:r w:rsidR="0B238EED" w:rsidRPr="6099F934">
        <w:rPr>
          <w:sz w:val="22"/>
          <w:szCs w:val="22"/>
        </w:rPr>
        <w:t xml:space="preserve"> reduction in price</w:t>
      </w:r>
      <w:r w:rsidR="00F81FAB" w:rsidRPr="6099F934">
        <w:rPr>
          <w:sz w:val="22"/>
          <w:szCs w:val="22"/>
        </w:rPr>
        <w:t xml:space="preserve"> (10)</w:t>
      </w:r>
      <w:r w:rsidR="006A3D58" w:rsidRPr="6099F934">
        <w:rPr>
          <w:sz w:val="22"/>
          <w:szCs w:val="22"/>
        </w:rPr>
        <w:t>.</w:t>
      </w:r>
      <w:r w:rsidR="11523C5F" w:rsidRPr="6099F934">
        <w:rPr>
          <w:sz w:val="22"/>
          <w:szCs w:val="22"/>
        </w:rPr>
        <w:t xml:space="preserve"> </w:t>
      </w:r>
      <w:r w:rsidR="578CF3E0" w:rsidRPr="6099F934">
        <w:rPr>
          <w:sz w:val="22"/>
          <w:szCs w:val="22"/>
        </w:rPr>
        <w:t xml:space="preserve">The review recommended that linear unit price reductions must </w:t>
      </w:r>
      <w:r w:rsidR="7AF7E742" w:rsidRPr="6099F934">
        <w:rPr>
          <w:sz w:val="22"/>
          <w:szCs w:val="22"/>
        </w:rPr>
        <w:t xml:space="preserve">accompany </w:t>
      </w:r>
      <w:r w:rsidR="004E77B6" w:rsidRPr="6099F934">
        <w:rPr>
          <w:sz w:val="22"/>
          <w:szCs w:val="22"/>
        </w:rPr>
        <w:t>s</w:t>
      </w:r>
      <w:r w:rsidR="0D07813D" w:rsidRPr="6099F934">
        <w:rPr>
          <w:sz w:val="22"/>
          <w:szCs w:val="22"/>
        </w:rPr>
        <w:t>erving</w:t>
      </w:r>
      <w:r w:rsidR="7AF7E742" w:rsidRPr="6099F934">
        <w:rPr>
          <w:sz w:val="22"/>
          <w:szCs w:val="22"/>
        </w:rPr>
        <w:t xml:space="preserve"> size interventions.</w:t>
      </w:r>
      <w:r w:rsidR="356EDE8A" w:rsidRPr="6099F934">
        <w:rPr>
          <w:sz w:val="22"/>
          <w:szCs w:val="22"/>
        </w:rPr>
        <w:t xml:space="preserve"> </w:t>
      </w:r>
      <w:r w:rsidR="1C927627" w:rsidRPr="6099F934">
        <w:rPr>
          <w:sz w:val="22"/>
          <w:szCs w:val="22"/>
        </w:rPr>
        <w:t xml:space="preserve">This position is </w:t>
      </w:r>
      <w:r w:rsidR="1D086F2F" w:rsidRPr="6099F934">
        <w:rPr>
          <w:sz w:val="22"/>
          <w:szCs w:val="22"/>
        </w:rPr>
        <w:t xml:space="preserve">supported </w:t>
      </w:r>
      <w:r w:rsidR="1C927627" w:rsidRPr="6099F934">
        <w:rPr>
          <w:sz w:val="22"/>
          <w:szCs w:val="22"/>
        </w:rPr>
        <w:t xml:space="preserve">by </w:t>
      </w:r>
      <w:r w:rsidR="00CB7D05" w:rsidRPr="6099F934">
        <w:rPr>
          <w:sz w:val="22"/>
          <w:szCs w:val="22"/>
        </w:rPr>
        <w:t xml:space="preserve">the </w:t>
      </w:r>
      <w:r w:rsidR="1C927627" w:rsidRPr="6099F934">
        <w:rPr>
          <w:sz w:val="22"/>
          <w:szCs w:val="22"/>
        </w:rPr>
        <w:t>IGD</w:t>
      </w:r>
      <w:r w:rsidR="5132C58F" w:rsidRPr="6099F934">
        <w:rPr>
          <w:sz w:val="22"/>
          <w:szCs w:val="22"/>
        </w:rPr>
        <w:t>,</w:t>
      </w:r>
      <w:r w:rsidR="1C927627" w:rsidRPr="6099F934">
        <w:rPr>
          <w:sz w:val="22"/>
          <w:szCs w:val="22"/>
        </w:rPr>
        <w:t xml:space="preserve"> in the </w:t>
      </w:r>
      <w:r w:rsidR="1C927627" w:rsidRPr="6099F934">
        <w:rPr>
          <w:i/>
          <w:iCs/>
          <w:sz w:val="22"/>
          <w:szCs w:val="22"/>
        </w:rPr>
        <w:t>Sizing Up the Opportunity</w:t>
      </w:r>
      <w:r w:rsidR="1C927627" w:rsidRPr="6099F934">
        <w:rPr>
          <w:sz w:val="22"/>
          <w:szCs w:val="22"/>
        </w:rPr>
        <w:t xml:space="preserve"> industry guid</w:t>
      </w:r>
      <w:r w:rsidR="00297970" w:rsidRPr="6099F934">
        <w:rPr>
          <w:sz w:val="22"/>
          <w:szCs w:val="22"/>
        </w:rPr>
        <w:t>anc</w:t>
      </w:r>
      <w:r w:rsidR="1C927627" w:rsidRPr="6099F934">
        <w:rPr>
          <w:sz w:val="22"/>
          <w:szCs w:val="22"/>
        </w:rPr>
        <w:t xml:space="preserve">e which recommends </w:t>
      </w:r>
      <w:r w:rsidR="0577ADC9" w:rsidRPr="6099F934">
        <w:rPr>
          <w:sz w:val="22"/>
          <w:szCs w:val="22"/>
        </w:rPr>
        <w:t xml:space="preserve">conducting </w:t>
      </w:r>
      <w:r w:rsidR="1C927627" w:rsidRPr="6099F934">
        <w:rPr>
          <w:sz w:val="22"/>
          <w:szCs w:val="22"/>
        </w:rPr>
        <w:t xml:space="preserve">a commercial assessment as part of the steps towards </w:t>
      </w:r>
      <w:r w:rsidR="0A18780F" w:rsidRPr="6099F934">
        <w:rPr>
          <w:sz w:val="22"/>
          <w:szCs w:val="22"/>
        </w:rPr>
        <w:t xml:space="preserve">serving </w:t>
      </w:r>
      <w:r w:rsidR="1C927627" w:rsidRPr="6099F934">
        <w:rPr>
          <w:sz w:val="22"/>
          <w:szCs w:val="22"/>
        </w:rPr>
        <w:t>s</w:t>
      </w:r>
      <w:r w:rsidR="4887CA4E" w:rsidRPr="6099F934">
        <w:rPr>
          <w:sz w:val="22"/>
          <w:szCs w:val="22"/>
        </w:rPr>
        <w:t>ize changes</w:t>
      </w:r>
      <w:r w:rsidR="00F81FAB" w:rsidRPr="6099F934">
        <w:rPr>
          <w:sz w:val="22"/>
          <w:szCs w:val="22"/>
        </w:rPr>
        <w:t xml:space="preserve"> (12)</w:t>
      </w:r>
      <w:r w:rsidR="4887CA4E" w:rsidRPr="6099F934">
        <w:rPr>
          <w:sz w:val="22"/>
          <w:szCs w:val="22"/>
        </w:rPr>
        <w:t xml:space="preserve">. </w:t>
      </w:r>
      <w:r w:rsidR="00CB7D05" w:rsidRPr="6099F934">
        <w:rPr>
          <w:sz w:val="22"/>
          <w:szCs w:val="22"/>
        </w:rPr>
        <w:t xml:space="preserve">The </w:t>
      </w:r>
      <w:r w:rsidR="74A42138" w:rsidRPr="6099F934">
        <w:rPr>
          <w:sz w:val="22"/>
          <w:szCs w:val="22"/>
        </w:rPr>
        <w:t>I</w:t>
      </w:r>
      <w:r w:rsidR="47ABBF9E" w:rsidRPr="6099F934">
        <w:rPr>
          <w:sz w:val="22"/>
          <w:szCs w:val="22"/>
        </w:rPr>
        <w:t>GD</w:t>
      </w:r>
      <w:r w:rsidR="74A42138" w:rsidRPr="6099F934">
        <w:rPr>
          <w:sz w:val="22"/>
          <w:szCs w:val="22"/>
        </w:rPr>
        <w:t xml:space="preserve"> acknowledge</w:t>
      </w:r>
      <w:r w:rsidR="59A73549" w:rsidRPr="6099F934">
        <w:rPr>
          <w:sz w:val="22"/>
          <w:szCs w:val="22"/>
        </w:rPr>
        <w:t>s</w:t>
      </w:r>
      <w:r w:rsidR="74A42138" w:rsidRPr="6099F934">
        <w:rPr>
          <w:sz w:val="22"/>
          <w:szCs w:val="22"/>
        </w:rPr>
        <w:t xml:space="preserve"> that other strategies</w:t>
      </w:r>
      <w:r w:rsidR="7C5AE1C7" w:rsidRPr="6099F934">
        <w:rPr>
          <w:sz w:val="22"/>
          <w:szCs w:val="22"/>
        </w:rPr>
        <w:t xml:space="preserve"> </w:t>
      </w:r>
      <w:r w:rsidR="74A42138" w:rsidRPr="6099F934">
        <w:rPr>
          <w:sz w:val="22"/>
          <w:szCs w:val="22"/>
        </w:rPr>
        <w:t xml:space="preserve">may </w:t>
      </w:r>
      <w:r w:rsidR="1E2E7EBD" w:rsidRPr="6099F934">
        <w:rPr>
          <w:sz w:val="22"/>
          <w:szCs w:val="22"/>
        </w:rPr>
        <w:t xml:space="preserve">also </w:t>
      </w:r>
      <w:r w:rsidR="74A42138" w:rsidRPr="6099F934">
        <w:rPr>
          <w:sz w:val="22"/>
          <w:szCs w:val="22"/>
        </w:rPr>
        <w:t xml:space="preserve">drive consumer acceptance </w:t>
      </w:r>
      <w:r w:rsidR="50502428" w:rsidRPr="6099F934">
        <w:rPr>
          <w:sz w:val="22"/>
          <w:szCs w:val="22"/>
        </w:rPr>
        <w:t xml:space="preserve">and </w:t>
      </w:r>
      <w:r w:rsidR="5BFA33D7" w:rsidRPr="6099F934">
        <w:rPr>
          <w:sz w:val="22"/>
          <w:szCs w:val="22"/>
        </w:rPr>
        <w:t xml:space="preserve">enhance the value perception, for example </w:t>
      </w:r>
      <w:r w:rsidR="004E77B6" w:rsidRPr="6099F934">
        <w:rPr>
          <w:sz w:val="22"/>
          <w:szCs w:val="22"/>
        </w:rPr>
        <w:t>p</w:t>
      </w:r>
      <w:r w:rsidR="272C0C59" w:rsidRPr="6099F934">
        <w:rPr>
          <w:sz w:val="22"/>
          <w:szCs w:val="22"/>
        </w:rPr>
        <w:t>roduct</w:t>
      </w:r>
      <w:r w:rsidR="5BFA33D7" w:rsidRPr="6099F934">
        <w:rPr>
          <w:sz w:val="22"/>
          <w:szCs w:val="22"/>
        </w:rPr>
        <w:t xml:space="preserve"> and packaging shape</w:t>
      </w:r>
      <w:r w:rsidR="6A2F82DF" w:rsidRPr="6099F934">
        <w:rPr>
          <w:sz w:val="22"/>
          <w:szCs w:val="22"/>
        </w:rPr>
        <w:t>.</w:t>
      </w:r>
    </w:p>
    <w:p w14:paraId="7A6E0559" w14:textId="16C05A81" w:rsidR="001432E8" w:rsidRDefault="7A32AB3D" w:rsidP="45B117C5">
      <w:pPr>
        <w:spacing w:after="240" w:line="259" w:lineRule="auto"/>
        <w:rPr>
          <w:sz w:val="22"/>
          <w:szCs w:val="22"/>
        </w:rPr>
      </w:pPr>
      <w:r w:rsidRPr="6099F934">
        <w:rPr>
          <w:sz w:val="22"/>
          <w:szCs w:val="22"/>
        </w:rPr>
        <w:t xml:space="preserve">It </w:t>
      </w:r>
      <w:r w:rsidR="5B75A28F" w:rsidRPr="6099F934">
        <w:rPr>
          <w:sz w:val="22"/>
          <w:szCs w:val="22"/>
        </w:rPr>
        <w:t xml:space="preserve">is </w:t>
      </w:r>
      <w:r w:rsidRPr="6099F934">
        <w:rPr>
          <w:sz w:val="22"/>
          <w:szCs w:val="22"/>
        </w:rPr>
        <w:t xml:space="preserve">also </w:t>
      </w:r>
      <w:r w:rsidR="0076547B" w:rsidRPr="6099F934">
        <w:rPr>
          <w:sz w:val="22"/>
          <w:szCs w:val="22"/>
        </w:rPr>
        <w:t>recognised</w:t>
      </w:r>
      <w:r w:rsidRPr="6099F934">
        <w:rPr>
          <w:sz w:val="22"/>
          <w:szCs w:val="22"/>
        </w:rPr>
        <w:t xml:space="preserve"> that in</w:t>
      </w:r>
      <w:r w:rsidR="6A48EE6E" w:rsidRPr="6099F934">
        <w:rPr>
          <w:sz w:val="22"/>
          <w:szCs w:val="22"/>
        </w:rPr>
        <w:t xml:space="preserve"> </w:t>
      </w:r>
      <w:r w:rsidR="003E1B69" w:rsidRPr="6099F934">
        <w:rPr>
          <w:sz w:val="22"/>
          <w:szCs w:val="22"/>
        </w:rPr>
        <w:t>out of home</w:t>
      </w:r>
      <w:r w:rsidR="6A48EE6E" w:rsidRPr="6099F934">
        <w:rPr>
          <w:sz w:val="22"/>
          <w:szCs w:val="22"/>
        </w:rPr>
        <w:t xml:space="preserve"> settings it is </w:t>
      </w:r>
      <w:r w:rsidR="412EAB8C" w:rsidRPr="6099F934">
        <w:rPr>
          <w:sz w:val="22"/>
          <w:szCs w:val="22"/>
        </w:rPr>
        <w:t>common</w:t>
      </w:r>
      <w:r w:rsidR="6A48EE6E" w:rsidRPr="6099F934">
        <w:rPr>
          <w:sz w:val="22"/>
          <w:szCs w:val="22"/>
        </w:rPr>
        <w:t xml:space="preserve"> </w:t>
      </w:r>
      <w:r w:rsidR="301430D5" w:rsidRPr="6099F934">
        <w:rPr>
          <w:sz w:val="22"/>
          <w:szCs w:val="22"/>
        </w:rPr>
        <w:t>for</w:t>
      </w:r>
      <w:r w:rsidR="6A48EE6E" w:rsidRPr="6099F934">
        <w:rPr>
          <w:sz w:val="22"/>
          <w:szCs w:val="22"/>
        </w:rPr>
        <w:t xml:space="preserve"> lar</w:t>
      </w:r>
      <w:r w:rsidR="4CA4DFE8" w:rsidRPr="6099F934">
        <w:rPr>
          <w:sz w:val="22"/>
          <w:szCs w:val="22"/>
        </w:rPr>
        <w:t>ge serving size</w:t>
      </w:r>
      <w:r w:rsidR="09963F60" w:rsidRPr="6099F934">
        <w:rPr>
          <w:sz w:val="22"/>
          <w:szCs w:val="22"/>
        </w:rPr>
        <w:t>s</w:t>
      </w:r>
      <w:r w:rsidR="35E67EAC" w:rsidRPr="6099F934">
        <w:rPr>
          <w:sz w:val="22"/>
          <w:szCs w:val="22"/>
        </w:rPr>
        <w:t xml:space="preserve"> </w:t>
      </w:r>
      <w:r w:rsidR="4646AA57" w:rsidRPr="6099F934">
        <w:rPr>
          <w:sz w:val="22"/>
          <w:szCs w:val="22"/>
        </w:rPr>
        <w:t xml:space="preserve">to be perceived as </w:t>
      </w:r>
      <w:r w:rsidR="6693715F" w:rsidRPr="6099F934">
        <w:rPr>
          <w:sz w:val="22"/>
          <w:szCs w:val="22"/>
        </w:rPr>
        <w:t>a better</w:t>
      </w:r>
      <w:r w:rsidR="6A48EE6E" w:rsidRPr="6099F934">
        <w:rPr>
          <w:sz w:val="22"/>
          <w:szCs w:val="22"/>
        </w:rPr>
        <w:t xml:space="preserve"> </w:t>
      </w:r>
      <w:r w:rsidR="00E35936">
        <w:rPr>
          <w:sz w:val="22"/>
          <w:szCs w:val="22"/>
        </w:rPr>
        <w:t>‘</w:t>
      </w:r>
      <w:r w:rsidR="6A48EE6E" w:rsidRPr="6099F934">
        <w:rPr>
          <w:sz w:val="22"/>
          <w:szCs w:val="22"/>
        </w:rPr>
        <w:t>deal</w:t>
      </w:r>
      <w:r w:rsidR="00E35936">
        <w:rPr>
          <w:sz w:val="22"/>
          <w:szCs w:val="22"/>
        </w:rPr>
        <w:t>’</w:t>
      </w:r>
      <w:r w:rsidR="6A48EE6E" w:rsidRPr="6099F934">
        <w:rPr>
          <w:sz w:val="22"/>
          <w:szCs w:val="22"/>
        </w:rPr>
        <w:t xml:space="preserve"> compared with </w:t>
      </w:r>
      <w:r w:rsidR="4A7EC281" w:rsidRPr="6099F934">
        <w:rPr>
          <w:sz w:val="22"/>
          <w:szCs w:val="22"/>
        </w:rPr>
        <w:t>smaller</w:t>
      </w:r>
      <w:r w:rsidR="08404639" w:rsidRPr="6099F934">
        <w:rPr>
          <w:sz w:val="22"/>
          <w:szCs w:val="22"/>
        </w:rPr>
        <w:t xml:space="preserve"> </w:t>
      </w:r>
      <w:r w:rsidR="08348F1F" w:rsidRPr="6099F934">
        <w:rPr>
          <w:sz w:val="22"/>
          <w:szCs w:val="22"/>
        </w:rPr>
        <w:t>s</w:t>
      </w:r>
      <w:r w:rsidR="7EA27119" w:rsidRPr="6099F934">
        <w:rPr>
          <w:sz w:val="22"/>
          <w:szCs w:val="22"/>
        </w:rPr>
        <w:t>ervings</w:t>
      </w:r>
      <w:r w:rsidR="117ABD84" w:rsidRPr="6099F934">
        <w:rPr>
          <w:sz w:val="22"/>
          <w:szCs w:val="22"/>
        </w:rPr>
        <w:t>,</w:t>
      </w:r>
      <w:r w:rsidR="7EA27119" w:rsidRPr="6099F934">
        <w:rPr>
          <w:sz w:val="22"/>
          <w:szCs w:val="22"/>
        </w:rPr>
        <w:t xml:space="preserve"> </w:t>
      </w:r>
      <w:r w:rsidR="17313D62" w:rsidRPr="6099F934">
        <w:rPr>
          <w:sz w:val="22"/>
          <w:szCs w:val="22"/>
        </w:rPr>
        <w:t xml:space="preserve">and </w:t>
      </w:r>
      <w:r w:rsidR="00C76B09">
        <w:rPr>
          <w:sz w:val="22"/>
          <w:szCs w:val="22"/>
        </w:rPr>
        <w:t>consumers</w:t>
      </w:r>
      <w:r w:rsidR="00C76B09" w:rsidRPr="6099F934">
        <w:rPr>
          <w:sz w:val="22"/>
          <w:szCs w:val="22"/>
        </w:rPr>
        <w:t xml:space="preserve"> </w:t>
      </w:r>
      <w:r w:rsidR="17313D62" w:rsidRPr="6099F934">
        <w:rPr>
          <w:sz w:val="22"/>
          <w:szCs w:val="22"/>
        </w:rPr>
        <w:t>are</w:t>
      </w:r>
      <w:r w:rsidR="692BAE75" w:rsidRPr="6099F934">
        <w:rPr>
          <w:sz w:val="22"/>
          <w:szCs w:val="22"/>
        </w:rPr>
        <w:t xml:space="preserve"> </w:t>
      </w:r>
      <w:r w:rsidR="31C554FA" w:rsidRPr="6099F934">
        <w:rPr>
          <w:sz w:val="22"/>
          <w:szCs w:val="22"/>
        </w:rPr>
        <w:t>accustomed</w:t>
      </w:r>
      <w:r w:rsidR="17313D62" w:rsidRPr="6099F934">
        <w:rPr>
          <w:sz w:val="22"/>
          <w:szCs w:val="22"/>
        </w:rPr>
        <w:t xml:space="preserve"> to these pricing strategies</w:t>
      </w:r>
      <w:r w:rsidR="00F81FAB" w:rsidRPr="6099F934">
        <w:rPr>
          <w:sz w:val="22"/>
          <w:szCs w:val="22"/>
        </w:rPr>
        <w:t xml:space="preserve"> (13)</w:t>
      </w:r>
      <w:r w:rsidR="006A3D58" w:rsidRPr="6099F934">
        <w:rPr>
          <w:sz w:val="22"/>
          <w:szCs w:val="22"/>
        </w:rPr>
        <w:t>.</w:t>
      </w:r>
      <w:r w:rsidR="3B0AF96E" w:rsidRPr="6099F934">
        <w:rPr>
          <w:sz w:val="22"/>
          <w:szCs w:val="22"/>
        </w:rPr>
        <w:t xml:space="preserve"> </w:t>
      </w:r>
      <w:r w:rsidR="17313D62" w:rsidRPr="6099F934">
        <w:rPr>
          <w:sz w:val="22"/>
          <w:szCs w:val="22"/>
        </w:rPr>
        <w:t>In a competitive market</w:t>
      </w:r>
      <w:r w:rsidR="7733C680" w:rsidRPr="6099F934">
        <w:rPr>
          <w:sz w:val="22"/>
          <w:szCs w:val="22"/>
        </w:rPr>
        <w:t>,</w:t>
      </w:r>
      <w:r w:rsidR="17313D62" w:rsidRPr="6099F934">
        <w:rPr>
          <w:sz w:val="22"/>
          <w:szCs w:val="22"/>
        </w:rPr>
        <w:t xml:space="preserve"> </w:t>
      </w:r>
      <w:r w:rsidR="28DE3502" w:rsidRPr="6099F934">
        <w:rPr>
          <w:sz w:val="22"/>
          <w:szCs w:val="22"/>
        </w:rPr>
        <w:t>'value for money’</w:t>
      </w:r>
      <w:r w:rsidR="64AD6C8A" w:rsidRPr="6099F934">
        <w:rPr>
          <w:sz w:val="22"/>
          <w:szCs w:val="22"/>
        </w:rPr>
        <w:t xml:space="preserve"> </w:t>
      </w:r>
      <w:r w:rsidR="28DE3502" w:rsidRPr="6099F934">
        <w:rPr>
          <w:sz w:val="22"/>
          <w:szCs w:val="22"/>
        </w:rPr>
        <w:t xml:space="preserve">is one of the main consumer benefits of large </w:t>
      </w:r>
      <w:r w:rsidR="41D2890B" w:rsidRPr="6099F934">
        <w:rPr>
          <w:sz w:val="22"/>
          <w:szCs w:val="22"/>
        </w:rPr>
        <w:t>s</w:t>
      </w:r>
      <w:r w:rsidR="017D5D1F" w:rsidRPr="6099F934">
        <w:rPr>
          <w:sz w:val="22"/>
          <w:szCs w:val="22"/>
        </w:rPr>
        <w:t xml:space="preserve">ervings </w:t>
      </w:r>
      <w:r w:rsidR="00150F80" w:rsidRPr="6099F934">
        <w:rPr>
          <w:sz w:val="22"/>
          <w:szCs w:val="22"/>
        </w:rPr>
        <w:t>when eating out of the home</w:t>
      </w:r>
      <w:r w:rsidR="415E8082" w:rsidRPr="6099F934">
        <w:rPr>
          <w:sz w:val="22"/>
          <w:szCs w:val="22"/>
        </w:rPr>
        <w:t>,</w:t>
      </w:r>
      <w:r w:rsidR="0073697E" w:rsidRPr="6099F934">
        <w:rPr>
          <w:sz w:val="22"/>
          <w:szCs w:val="22"/>
        </w:rPr>
        <w:t xml:space="preserve"> </w:t>
      </w:r>
      <w:r w:rsidR="00150F80" w:rsidRPr="6099F934">
        <w:rPr>
          <w:sz w:val="22"/>
          <w:szCs w:val="22"/>
        </w:rPr>
        <w:t>particularly</w:t>
      </w:r>
      <w:r w:rsidR="1D8E5A9A" w:rsidRPr="6099F934">
        <w:rPr>
          <w:sz w:val="22"/>
          <w:szCs w:val="22"/>
        </w:rPr>
        <w:t>,</w:t>
      </w:r>
      <w:r w:rsidR="00150F80" w:rsidRPr="6099F934">
        <w:rPr>
          <w:sz w:val="22"/>
          <w:szCs w:val="22"/>
        </w:rPr>
        <w:t xml:space="preserve"> in the </w:t>
      </w:r>
      <w:r w:rsidR="0B7F8367" w:rsidRPr="6099F934">
        <w:rPr>
          <w:sz w:val="22"/>
          <w:szCs w:val="22"/>
        </w:rPr>
        <w:t xml:space="preserve">quick service </w:t>
      </w:r>
      <w:r w:rsidR="00150F80" w:rsidRPr="6099F934">
        <w:rPr>
          <w:sz w:val="22"/>
          <w:szCs w:val="22"/>
        </w:rPr>
        <w:t>restaurant</w:t>
      </w:r>
      <w:r w:rsidR="505EEE1C" w:rsidRPr="6099F934">
        <w:rPr>
          <w:sz w:val="22"/>
          <w:szCs w:val="22"/>
        </w:rPr>
        <w:t xml:space="preserve"> sector</w:t>
      </w:r>
      <w:r w:rsidR="00334279" w:rsidRPr="6099F934">
        <w:rPr>
          <w:sz w:val="22"/>
          <w:szCs w:val="22"/>
        </w:rPr>
        <w:t xml:space="preserve"> (10</w:t>
      </w:r>
      <w:r w:rsidR="006A3D58" w:rsidRPr="6099F934">
        <w:rPr>
          <w:sz w:val="22"/>
          <w:szCs w:val="22"/>
        </w:rPr>
        <w:t>).</w:t>
      </w:r>
      <w:r w:rsidR="00300D05" w:rsidRPr="6099F934">
        <w:rPr>
          <w:sz w:val="22"/>
          <w:szCs w:val="22"/>
        </w:rPr>
        <w:t xml:space="preserve"> </w:t>
      </w:r>
      <w:r w:rsidR="007D88C4" w:rsidRPr="6099F934">
        <w:rPr>
          <w:sz w:val="22"/>
          <w:szCs w:val="22"/>
        </w:rPr>
        <w:t>L</w:t>
      </w:r>
      <w:r w:rsidR="2F291288" w:rsidRPr="6099F934">
        <w:rPr>
          <w:sz w:val="22"/>
          <w:szCs w:val="22"/>
        </w:rPr>
        <w:t xml:space="preserve">abour and operational costs </w:t>
      </w:r>
      <w:r w:rsidR="42CB9E5E" w:rsidRPr="6099F934">
        <w:rPr>
          <w:sz w:val="22"/>
          <w:szCs w:val="22"/>
        </w:rPr>
        <w:t xml:space="preserve">often remain fixed when plating up smaller </w:t>
      </w:r>
      <w:r w:rsidR="1A7CD68D" w:rsidRPr="6099F934">
        <w:rPr>
          <w:sz w:val="22"/>
          <w:szCs w:val="22"/>
        </w:rPr>
        <w:t xml:space="preserve">serving </w:t>
      </w:r>
      <w:r w:rsidR="42CB9E5E" w:rsidRPr="6099F934">
        <w:rPr>
          <w:sz w:val="22"/>
          <w:szCs w:val="22"/>
        </w:rPr>
        <w:t xml:space="preserve">sizes across the </w:t>
      </w:r>
      <w:r w:rsidR="00800BEF" w:rsidRPr="6099F934">
        <w:rPr>
          <w:sz w:val="22"/>
          <w:szCs w:val="22"/>
        </w:rPr>
        <w:t xml:space="preserve">out of home </w:t>
      </w:r>
      <w:r w:rsidR="42CB9E5E" w:rsidRPr="6099F934">
        <w:rPr>
          <w:sz w:val="22"/>
          <w:szCs w:val="22"/>
        </w:rPr>
        <w:t>sector</w:t>
      </w:r>
      <w:r w:rsidR="7151623E" w:rsidRPr="6099F934">
        <w:rPr>
          <w:sz w:val="22"/>
          <w:szCs w:val="22"/>
        </w:rPr>
        <w:t>,</w:t>
      </w:r>
      <w:r w:rsidR="42CB9E5E" w:rsidRPr="6099F934">
        <w:rPr>
          <w:sz w:val="22"/>
          <w:szCs w:val="22"/>
        </w:rPr>
        <w:t xml:space="preserve"> and therefore profit margins are not proportionate to ser</w:t>
      </w:r>
      <w:r w:rsidR="33C4D11E" w:rsidRPr="6099F934">
        <w:rPr>
          <w:sz w:val="22"/>
          <w:szCs w:val="22"/>
        </w:rPr>
        <w:t>ving</w:t>
      </w:r>
      <w:r w:rsidR="42CB9E5E" w:rsidRPr="6099F934">
        <w:rPr>
          <w:sz w:val="22"/>
          <w:szCs w:val="22"/>
        </w:rPr>
        <w:t xml:space="preserve"> size </w:t>
      </w:r>
      <w:r w:rsidR="32D9734F" w:rsidRPr="6099F934">
        <w:rPr>
          <w:sz w:val="22"/>
          <w:szCs w:val="22"/>
        </w:rPr>
        <w:t>offerings</w:t>
      </w:r>
      <w:r w:rsidR="15BC426F" w:rsidRPr="6099F934">
        <w:rPr>
          <w:sz w:val="22"/>
          <w:szCs w:val="22"/>
        </w:rPr>
        <w:t xml:space="preserve"> when linear pricing exists.</w:t>
      </w:r>
    </w:p>
    <w:p w14:paraId="06D17638" w14:textId="77777777" w:rsidR="00795E9E" w:rsidRDefault="00795E9E" w:rsidP="00033E42">
      <w:pPr>
        <w:widowControl w:val="0"/>
        <w:autoSpaceDE w:val="0"/>
        <w:autoSpaceDN w:val="0"/>
        <w:adjustRightInd w:val="0"/>
        <w:spacing w:line="259" w:lineRule="auto"/>
        <w:rPr>
          <w:b/>
          <w:sz w:val="22"/>
          <w:szCs w:val="22"/>
        </w:rPr>
      </w:pPr>
    </w:p>
    <w:p w14:paraId="44F09B0E" w14:textId="26AAF04D" w:rsidR="006157AA" w:rsidRPr="00033E42" w:rsidRDefault="006157AA" w:rsidP="00033E42">
      <w:pPr>
        <w:widowControl w:val="0"/>
        <w:autoSpaceDE w:val="0"/>
        <w:autoSpaceDN w:val="0"/>
        <w:adjustRightInd w:val="0"/>
        <w:spacing w:line="259" w:lineRule="auto"/>
        <w:rPr>
          <w:sz w:val="22"/>
          <w:szCs w:val="22"/>
        </w:rPr>
      </w:pPr>
      <w:r w:rsidRPr="006157AA">
        <w:rPr>
          <w:b/>
          <w:sz w:val="22"/>
          <w:szCs w:val="22"/>
        </w:rPr>
        <w:lastRenderedPageBreak/>
        <w:t>Feasibility considerations</w:t>
      </w:r>
    </w:p>
    <w:p w14:paraId="764890F8" w14:textId="591C15C2" w:rsidR="00505B99" w:rsidRDefault="004E77B6" w:rsidP="004E77B6">
      <w:pPr>
        <w:widowControl w:val="0"/>
        <w:autoSpaceDE w:val="0"/>
        <w:autoSpaceDN w:val="0"/>
        <w:adjustRightInd w:val="0"/>
        <w:spacing w:after="240"/>
        <w:rPr>
          <w:sz w:val="22"/>
          <w:szCs w:val="22"/>
        </w:rPr>
      </w:pPr>
      <w:bookmarkStart w:id="11" w:name="_Toc521657835"/>
      <w:r w:rsidRPr="6099F934">
        <w:rPr>
          <w:sz w:val="22"/>
          <w:szCs w:val="22"/>
        </w:rPr>
        <w:t xml:space="preserve">In developing the serving size recommendations, the IBPGWG considered feasibility, and aimed to set realistic serving size recommendations. It is noted that some of these recommendations may appear optimistic, especially where current serving sizes are significantly out of step with such guidance. The recommended serving sizes </w:t>
      </w:r>
      <w:r w:rsidR="001B7856" w:rsidRPr="6099F934">
        <w:rPr>
          <w:sz w:val="22"/>
          <w:szCs w:val="22"/>
        </w:rPr>
        <w:t>are intended to</w:t>
      </w:r>
      <w:r w:rsidRPr="6099F934">
        <w:rPr>
          <w:sz w:val="22"/>
          <w:szCs w:val="22"/>
        </w:rPr>
        <w:t xml:space="preserve"> provide industry with a path to follow. </w:t>
      </w:r>
    </w:p>
    <w:p w14:paraId="09BBBFFF" w14:textId="280774C2" w:rsidR="007818AA" w:rsidRPr="00EC5D63" w:rsidRDefault="00994436" w:rsidP="7CA6AEA2">
      <w:pPr>
        <w:pStyle w:val="Heading2"/>
        <w:rPr>
          <w:sz w:val="24"/>
          <w:szCs w:val="24"/>
        </w:rPr>
      </w:pPr>
      <w:bookmarkStart w:id="12" w:name="_Toc109294235"/>
      <w:r>
        <w:rPr>
          <w:sz w:val="24"/>
          <w:szCs w:val="24"/>
        </w:rPr>
        <w:t>4</w:t>
      </w:r>
      <w:r w:rsidR="00D46E00" w:rsidRPr="3F923778">
        <w:rPr>
          <w:sz w:val="24"/>
          <w:szCs w:val="24"/>
        </w:rPr>
        <w:t>.1</w:t>
      </w:r>
      <w:r w:rsidR="007818AA" w:rsidRPr="3F923778">
        <w:rPr>
          <w:sz w:val="24"/>
          <w:szCs w:val="24"/>
        </w:rPr>
        <w:t xml:space="preserve"> Develop and implement an </w:t>
      </w:r>
      <w:r w:rsidR="00AE496B" w:rsidRPr="3F923778">
        <w:rPr>
          <w:sz w:val="24"/>
          <w:szCs w:val="24"/>
        </w:rPr>
        <w:t>industry</w:t>
      </w:r>
      <w:r w:rsidR="007818AA" w:rsidRPr="3F923778">
        <w:rPr>
          <w:sz w:val="24"/>
          <w:szCs w:val="24"/>
        </w:rPr>
        <w:t xml:space="preserve"> guide on serving size</w:t>
      </w:r>
      <w:bookmarkEnd w:id="11"/>
      <w:bookmarkEnd w:id="12"/>
    </w:p>
    <w:p w14:paraId="0A0245F1" w14:textId="15AC4E47" w:rsidR="007818AA" w:rsidRPr="00B5325D" w:rsidRDefault="007818AA" w:rsidP="1744B1F8">
      <w:pPr>
        <w:spacing w:after="120"/>
        <w:rPr>
          <w:rFonts w:eastAsia="Calibri" w:cstheme="minorHAnsi"/>
          <w:sz w:val="22"/>
          <w:szCs w:val="22"/>
          <w:highlight w:val="yellow"/>
        </w:rPr>
      </w:pPr>
      <w:r w:rsidRPr="00B5325D">
        <w:rPr>
          <w:rFonts w:eastAsia="Calibri" w:cstheme="minorHAnsi"/>
          <w:sz w:val="22"/>
          <w:szCs w:val="22"/>
        </w:rPr>
        <w:t xml:space="preserve">Given the </w:t>
      </w:r>
      <w:r w:rsidR="003655EB">
        <w:rPr>
          <w:rFonts w:eastAsia="Calibri" w:cstheme="minorHAnsi"/>
          <w:sz w:val="22"/>
          <w:szCs w:val="22"/>
        </w:rPr>
        <w:t>link</w:t>
      </w:r>
      <w:r w:rsidR="003655EB" w:rsidRPr="00B5325D">
        <w:rPr>
          <w:rFonts w:eastAsia="Calibri" w:cstheme="minorHAnsi"/>
          <w:sz w:val="22"/>
          <w:szCs w:val="22"/>
        </w:rPr>
        <w:t xml:space="preserve"> </w:t>
      </w:r>
      <w:r w:rsidRPr="00B5325D">
        <w:rPr>
          <w:rFonts w:eastAsia="Calibri" w:cstheme="minorHAnsi"/>
          <w:sz w:val="22"/>
          <w:szCs w:val="22"/>
        </w:rPr>
        <w:t xml:space="preserve">between larger sizes and increased intake, and the existing (but variable) guidance, there is an opportunity to develop industry guidance </w:t>
      </w:r>
      <w:r w:rsidR="006325E8" w:rsidRPr="00B5325D">
        <w:rPr>
          <w:rFonts w:cstheme="minorHAnsi"/>
          <w:sz w:val="22"/>
          <w:szCs w:val="22"/>
        </w:rPr>
        <w:t xml:space="preserve">to support food companies (including both retail and out of home sectors). </w:t>
      </w:r>
    </w:p>
    <w:p w14:paraId="02C13F2E" w14:textId="01B461B3" w:rsidR="007818AA" w:rsidRPr="00B5325D" w:rsidRDefault="007818AA" w:rsidP="33482807">
      <w:pPr>
        <w:spacing w:after="60"/>
        <w:rPr>
          <w:rFonts w:eastAsia="Calibri" w:cstheme="minorBidi"/>
          <w:sz w:val="22"/>
          <w:szCs w:val="22"/>
        </w:rPr>
      </w:pPr>
      <w:r w:rsidRPr="1C6C4E8B">
        <w:rPr>
          <w:rFonts w:eastAsia="Calibri" w:cstheme="minorBidi"/>
          <w:sz w:val="22"/>
          <w:szCs w:val="22"/>
        </w:rPr>
        <w:t xml:space="preserve">The </w:t>
      </w:r>
      <w:r w:rsidR="00DD1C93" w:rsidRPr="1C6C4E8B">
        <w:rPr>
          <w:rFonts w:eastAsia="Calibri" w:cstheme="minorBidi"/>
          <w:sz w:val="22"/>
          <w:szCs w:val="22"/>
        </w:rPr>
        <w:t>G</w:t>
      </w:r>
      <w:r w:rsidRPr="1C6C4E8B">
        <w:rPr>
          <w:rFonts w:eastAsia="Calibri" w:cstheme="minorBidi"/>
          <w:sz w:val="22"/>
          <w:szCs w:val="22"/>
        </w:rPr>
        <w:t xml:space="preserve">uide will provide </w:t>
      </w:r>
      <w:r w:rsidR="003F17B1" w:rsidRPr="1C6C4E8B">
        <w:rPr>
          <w:rFonts w:eastAsia="Calibri" w:cstheme="minorBidi"/>
          <w:sz w:val="22"/>
          <w:szCs w:val="22"/>
        </w:rPr>
        <w:t xml:space="preserve">practical </w:t>
      </w:r>
      <w:r w:rsidRPr="1C6C4E8B">
        <w:rPr>
          <w:rFonts w:eastAsia="Calibri" w:cstheme="minorBidi"/>
          <w:sz w:val="22"/>
          <w:szCs w:val="22"/>
        </w:rPr>
        <w:t xml:space="preserve">guidance and support to food companies to </w:t>
      </w:r>
      <w:r w:rsidR="00CE7D03" w:rsidRPr="1C6C4E8B">
        <w:rPr>
          <w:rFonts w:cstheme="minorBidi"/>
          <w:color w:val="000000" w:themeColor="text1"/>
          <w:sz w:val="22"/>
          <w:szCs w:val="22"/>
        </w:rPr>
        <w:t xml:space="preserve">incorporate nutrition as a key driver </w:t>
      </w:r>
      <w:r w:rsidR="00316336" w:rsidRPr="1C6C4E8B">
        <w:rPr>
          <w:rFonts w:cstheme="minorBidi"/>
          <w:color w:val="000000" w:themeColor="text1"/>
          <w:sz w:val="22"/>
          <w:szCs w:val="22"/>
        </w:rPr>
        <w:t>for setting</w:t>
      </w:r>
      <w:r w:rsidR="00C21C9F" w:rsidRPr="1C6C4E8B">
        <w:rPr>
          <w:rFonts w:cstheme="minorBidi"/>
          <w:color w:val="000000" w:themeColor="text1"/>
          <w:sz w:val="22"/>
          <w:szCs w:val="22"/>
        </w:rPr>
        <w:t xml:space="preserve"> appropriate</w:t>
      </w:r>
      <w:r w:rsidR="00CE7D03" w:rsidRPr="1C6C4E8B">
        <w:rPr>
          <w:rFonts w:cstheme="minorBidi"/>
          <w:color w:val="000000" w:themeColor="text1"/>
          <w:sz w:val="22"/>
          <w:szCs w:val="22"/>
        </w:rPr>
        <w:t xml:space="preserve"> serving sizes for food and </w:t>
      </w:r>
      <w:r w:rsidR="56F6C4D6" w:rsidRPr="1C6C4E8B">
        <w:rPr>
          <w:rFonts w:cstheme="minorBidi"/>
          <w:color w:val="000000" w:themeColor="text1"/>
          <w:sz w:val="22"/>
          <w:szCs w:val="22"/>
        </w:rPr>
        <w:t>beverages</w:t>
      </w:r>
      <w:r w:rsidR="00CE7D03" w:rsidRPr="1C6C4E8B">
        <w:rPr>
          <w:rFonts w:cstheme="minorBidi"/>
          <w:color w:val="000000" w:themeColor="text1"/>
          <w:sz w:val="22"/>
          <w:szCs w:val="22"/>
        </w:rPr>
        <w:t xml:space="preserve">. </w:t>
      </w:r>
      <w:r w:rsidRPr="1C6C4E8B">
        <w:rPr>
          <w:rFonts w:eastAsia="Calibri" w:cstheme="minorBidi"/>
          <w:sz w:val="22"/>
          <w:szCs w:val="22"/>
        </w:rPr>
        <w:t>This guide draws on existing guidance, including:</w:t>
      </w:r>
    </w:p>
    <w:p w14:paraId="4A81C55B" w14:textId="11AD7CCD" w:rsidR="00CE7D03" w:rsidRPr="00B5325D" w:rsidRDefault="00CE7D03" w:rsidP="4F4A73DF">
      <w:pPr>
        <w:pStyle w:val="ListParagraph"/>
        <w:numPr>
          <w:ilvl w:val="0"/>
          <w:numId w:val="34"/>
        </w:numPr>
        <w:spacing w:after="60"/>
        <w:ind w:left="567" w:hanging="283"/>
        <w:rPr>
          <w:rFonts w:eastAsia="Calibri" w:cstheme="minorBidi"/>
          <w:sz w:val="22"/>
          <w:szCs w:val="22"/>
        </w:rPr>
      </w:pPr>
      <w:r w:rsidRPr="4F4A73DF">
        <w:rPr>
          <w:rFonts w:eastAsia="Calibri" w:cstheme="minorBidi"/>
          <w:sz w:val="22"/>
          <w:szCs w:val="22"/>
        </w:rPr>
        <w:t xml:space="preserve">jurisdiction information, for example state government policies on healthy food guidelines </w:t>
      </w:r>
      <w:r w:rsidR="400789F8" w:rsidRPr="4F4A73DF">
        <w:rPr>
          <w:rFonts w:eastAsia="Calibri" w:cstheme="minorBidi"/>
          <w:sz w:val="22"/>
          <w:szCs w:val="22"/>
        </w:rPr>
        <w:t xml:space="preserve">in </w:t>
      </w:r>
      <w:r w:rsidRPr="4F4A73DF">
        <w:rPr>
          <w:rFonts w:eastAsia="Calibri" w:cstheme="minorBidi"/>
          <w:sz w:val="22"/>
          <w:szCs w:val="22"/>
        </w:rPr>
        <w:t xml:space="preserve">health </w:t>
      </w:r>
      <w:proofErr w:type="gramStart"/>
      <w:r w:rsidRPr="4F4A73DF">
        <w:rPr>
          <w:rFonts w:eastAsia="Calibri" w:cstheme="minorBidi"/>
          <w:sz w:val="22"/>
          <w:szCs w:val="22"/>
        </w:rPr>
        <w:t>facilities</w:t>
      </w:r>
      <w:r w:rsidR="00F962EB" w:rsidRPr="4F4A73DF">
        <w:rPr>
          <w:rFonts w:eastAsia="Calibri" w:cstheme="minorBidi"/>
          <w:sz w:val="22"/>
          <w:szCs w:val="22"/>
        </w:rPr>
        <w:t>;</w:t>
      </w:r>
      <w:proofErr w:type="gramEnd"/>
    </w:p>
    <w:p w14:paraId="5DC8C0FB" w14:textId="65DC5037" w:rsidR="00305FCE" w:rsidRPr="00B5325D" w:rsidRDefault="00CE7D03" w:rsidP="4F4A73DF">
      <w:pPr>
        <w:pStyle w:val="ListParagraph"/>
        <w:numPr>
          <w:ilvl w:val="0"/>
          <w:numId w:val="34"/>
        </w:numPr>
        <w:spacing w:after="120"/>
        <w:ind w:left="567" w:hanging="283"/>
        <w:rPr>
          <w:rFonts w:eastAsia="Calibri" w:cstheme="minorBidi"/>
          <w:sz w:val="22"/>
          <w:szCs w:val="22"/>
        </w:rPr>
      </w:pPr>
      <w:r w:rsidRPr="4F4A73DF">
        <w:rPr>
          <w:rFonts w:eastAsia="Calibri" w:cstheme="minorBidi"/>
          <w:sz w:val="22"/>
          <w:szCs w:val="22"/>
        </w:rPr>
        <w:t xml:space="preserve">guidance from other countries, for example. </w:t>
      </w:r>
      <w:r w:rsidR="008D65D9" w:rsidRPr="4F4A73DF">
        <w:rPr>
          <w:rFonts w:eastAsia="Calibri" w:cstheme="minorBidi"/>
          <w:sz w:val="22"/>
          <w:szCs w:val="22"/>
        </w:rPr>
        <w:t>Health Canada Table of Reference Amounts for Food</w:t>
      </w:r>
      <w:r w:rsidR="00BC58E6">
        <w:rPr>
          <w:rFonts w:eastAsia="Calibri" w:cstheme="minorBidi"/>
          <w:sz w:val="22"/>
          <w:szCs w:val="22"/>
        </w:rPr>
        <w:t xml:space="preserve"> </w:t>
      </w:r>
      <w:r w:rsidR="00BC58E6" w:rsidRPr="4F4A73DF">
        <w:rPr>
          <w:rFonts w:eastAsia="Calibri" w:cstheme="minorBidi"/>
          <w:sz w:val="22"/>
          <w:szCs w:val="22"/>
        </w:rPr>
        <w:t>(14)</w:t>
      </w:r>
      <w:r w:rsidR="00F962EB" w:rsidRPr="4F4A73DF">
        <w:rPr>
          <w:rFonts w:eastAsia="Calibri" w:cstheme="minorBidi"/>
          <w:sz w:val="22"/>
          <w:szCs w:val="22"/>
        </w:rPr>
        <w:t>; and</w:t>
      </w:r>
    </w:p>
    <w:p w14:paraId="277F824A" w14:textId="0AB1F168" w:rsidR="00CE7D03" w:rsidRDefault="00305FCE" w:rsidP="0078360F">
      <w:pPr>
        <w:pStyle w:val="ListParagraph"/>
        <w:numPr>
          <w:ilvl w:val="0"/>
          <w:numId w:val="34"/>
        </w:numPr>
        <w:spacing w:after="120"/>
        <w:ind w:left="567" w:hanging="283"/>
        <w:contextualSpacing w:val="0"/>
        <w:rPr>
          <w:rFonts w:ascii="Calibri" w:eastAsia="Calibri" w:hAnsi="Calibri" w:cs="Calibri"/>
          <w:sz w:val="22"/>
          <w:szCs w:val="22"/>
        </w:rPr>
      </w:pPr>
      <w:r w:rsidRPr="23A9BDDA">
        <w:rPr>
          <w:rFonts w:eastAsia="Calibri" w:cstheme="minorBidi"/>
          <w:sz w:val="22"/>
          <w:szCs w:val="22"/>
        </w:rPr>
        <w:t xml:space="preserve">The </w:t>
      </w:r>
      <w:r w:rsidR="0696F0B6" w:rsidRPr="23A9BDDA">
        <w:rPr>
          <w:rFonts w:eastAsia="Calibri" w:cstheme="minorBidi"/>
          <w:sz w:val="22"/>
          <w:szCs w:val="22"/>
        </w:rPr>
        <w:t xml:space="preserve">UK </w:t>
      </w:r>
      <w:r w:rsidRPr="23A9BDDA">
        <w:rPr>
          <w:rFonts w:eastAsia="Calibri" w:cstheme="minorBidi"/>
          <w:sz w:val="22"/>
          <w:szCs w:val="22"/>
        </w:rPr>
        <w:t>IGD industry guidance for portion size</w:t>
      </w:r>
      <w:r w:rsidR="00717817">
        <w:rPr>
          <w:rFonts w:eastAsia="Calibri" w:cstheme="minorBidi"/>
          <w:sz w:val="22"/>
          <w:szCs w:val="22"/>
        </w:rPr>
        <w:t xml:space="preserve"> (12)</w:t>
      </w:r>
      <w:r w:rsidR="00F962EB" w:rsidRPr="23A9BDDA">
        <w:rPr>
          <w:rFonts w:eastAsia="Calibri" w:cstheme="minorBidi"/>
          <w:sz w:val="22"/>
          <w:szCs w:val="22"/>
        </w:rPr>
        <w:t>.</w:t>
      </w:r>
      <w:r w:rsidRPr="00B5325D">
        <w:rPr>
          <w:rFonts w:ascii="Calibri" w:eastAsia="Calibri" w:hAnsi="Calibri" w:cs="Calibri"/>
          <w:sz w:val="22"/>
          <w:szCs w:val="22"/>
        </w:rPr>
        <w:t xml:space="preserve"> </w:t>
      </w:r>
      <w:r w:rsidR="008D65D9" w:rsidRPr="00B5325D">
        <w:rPr>
          <w:rFonts w:ascii="Calibri" w:eastAsia="Calibri" w:hAnsi="Calibri" w:cs="Calibri"/>
          <w:sz w:val="22"/>
          <w:szCs w:val="22"/>
        </w:rPr>
        <w:t xml:space="preserve"> </w:t>
      </w:r>
    </w:p>
    <w:p w14:paraId="4B478AB0" w14:textId="2199707F" w:rsidR="004A5238" w:rsidRPr="00B5325D" w:rsidRDefault="004A5238" w:rsidP="33482807">
      <w:pPr>
        <w:spacing w:after="120"/>
        <w:rPr>
          <w:rFonts w:eastAsia="Calibri" w:cstheme="minorBidi"/>
          <w:sz w:val="22"/>
          <w:szCs w:val="22"/>
        </w:rPr>
      </w:pPr>
      <w:r w:rsidRPr="33482807">
        <w:rPr>
          <w:rFonts w:cstheme="minorBidi"/>
          <w:sz w:val="22"/>
          <w:szCs w:val="22"/>
          <w:shd w:val="clear" w:color="auto" w:fill="FFFFFF"/>
        </w:rPr>
        <w:t xml:space="preserve">The </w:t>
      </w:r>
      <w:r w:rsidR="7D4955A1" w:rsidRPr="0073697E">
        <w:rPr>
          <w:rFonts w:cstheme="minorBidi"/>
          <w:sz w:val="22"/>
          <w:szCs w:val="22"/>
          <w:shd w:val="clear" w:color="auto" w:fill="FFFFFF"/>
        </w:rPr>
        <w:t>Guide</w:t>
      </w:r>
      <w:r w:rsidRPr="33482807">
        <w:rPr>
          <w:rFonts w:cstheme="minorBidi"/>
          <w:sz w:val="22"/>
          <w:szCs w:val="22"/>
          <w:shd w:val="clear" w:color="auto" w:fill="FFFFFF"/>
        </w:rPr>
        <w:t xml:space="preserve"> builds upon current and previous work undertaken by the food industry in Australia and takes into consideration examples of existing serving size recommendations to assist in gauging technical feasibility, such as:</w:t>
      </w:r>
    </w:p>
    <w:p w14:paraId="12A04E71" w14:textId="7C194B7D" w:rsidR="004A5238" w:rsidRPr="00B5325D" w:rsidRDefault="004A5238" w:rsidP="001B25AE">
      <w:pPr>
        <w:pStyle w:val="ListParagraph"/>
        <w:numPr>
          <w:ilvl w:val="0"/>
          <w:numId w:val="34"/>
        </w:numPr>
        <w:spacing w:after="60"/>
        <w:ind w:left="567" w:hanging="283"/>
        <w:rPr>
          <w:rFonts w:eastAsia="Calibri" w:cstheme="minorBidi"/>
          <w:sz w:val="22"/>
          <w:szCs w:val="22"/>
        </w:rPr>
      </w:pPr>
      <w:r w:rsidRPr="4F4A73DF">
        <w:rPr>
          <w:rFonts w:eastAsia="Calibri" w:cstheme="minorBidi"/>
          <w:sz w:val="22"/>
          <w:szCs w:val="22"/>
        </w:rPr>
        <w:t>existing industry voluntary goals for sizes of category level servings (for example beverages and chocolate/sugar confectionery);</w:t>
      </w:r>
      <w:r w:rsidR="00491F42">
        <w:rPr>
          <w:rFonts w:eastAsia="Calibri" w:cstheme="minorBidi"/>
          <w:sz w:val="22"/>
          <w:szCs w:val="22"/>
        </w:rPr>
        <w:t xml:space="preserve"> and</w:t>
      </w:r>
    </w:p>
    <w:p w14:paraId="4678CB51" w14:textId="31EDAFC7" w:rsidR="004A5238" w:rsidRPr="00491F42" w:rsidRDefault="004A5238" w:rsidP="001B25AE">
      <w:pPr>
        <w:pStyle w:val="ListParagraph"/>
        <w:numPr>
          <w:ilvl w:val="0"/>
          <w:numId w:val="34"/>
        </w:numPr>
        <w:spacing w:after="60"/>
        <w:ind w:left="567" w:hanging="283"/>
        <w:rPr>
          <w:rFonts w:eastAsia="Calibri" w:cstheme="minorBidi"/>
          <w:sz w:val="22"/>
          <w:szCs w:val="22"/>
        </w:rPr>
      </w:pPr>
      <w:r w:rsidRPr="00491F42">
        <w:rPr>
          <w:rFonts w:eastAsia="Calibri" w:cstheme="minorBidi"/>
          <w:sz w:val="22"/>
          <w:szCs w:val="22"/>
        </w:rPr>
        <w:t>assessment of currently available serving sizes in the retail and out of home sectors.</w:t>
      </w:r>
    </w:p>
    <w:p w14:paraId="2F5DCFF7" w14:textId="2770436F" w:rsidR="00B444EA" w:rsidRPr="00994436" w:rsidRDefault="00994436" w:rsidP="00994436">
      <w:pPr>
        <w:pStyle w:val="Heading2"/>
        <w:rPr>
          <w:sz w:val="24"/>
          <w:szCs w:val="24"/>
        </w:rPr>
      </w:pPr>
      <w:bookmarkStart w:id="13" w:name="_Toc521657834"/>
      <w:bookmarkStart w:id="14" w:name="_Toc109294236"/>
      <w:r w:rsidRPr="00994436">
        <w:rPr>
          <w:sz w:val="24"/>
          <w:szCs w:val="24"/>
        </w:rPr>
        <w:t>4</w:t>
      </w:r>
      <w:r w:rsidR="00B444EA" w:rsidRPr="00994436">
        <w:rPr>
          <w:sz w:val="24"/>
          <w:szCs w:val="24"/>
        </w:rPr>
        <w:t>.</w:t>
      </w:r>
      <w:r w:rsidR="00D46E00" w:rsidRPr="00994436">
        <w:rPr>
          <w:sz w:val="24"/>
          <w:szCs w:val="24"/>
        </w:rPr>
        <w:t>2</w:t>
      </w:r>
      <w:r w:rsidR="00B444EA" w:rsidRPr="00994436">
        <w:rPr>
          <w:sz w:val="24"/>
          <w:szCs w:val="24"/>
        </w:rPr>
        <w:t xml:space="preserve"> Development of </w:t>
      </w:r>
      <w:r w:rsidR="007818AA" w:rsidRPr="00994436">
        <w:rPr>
          <w:sz w:val="24"/>
          <w:szCs w:val="24"/>
        </w:rPr>
        <w:t>recommended</w:t>
      </w:r>
      <w:r w:rsidR="00B444EA" w:rsidRPr="00994436">
        <w:rPr>
          <w:sz w:val="24"/>
          <w:szCs w:val="24"/>
        </w:rPr>
        <w:t xml:space="preserve"> serving</w:t>
      </w:r>
      <w:r w:rsidR="007818AA" w:rsidRPr="00994436">
        <w:rPr>
          <w:sz w:val="24"/>
          <w:szCs w:val="24"/>
        </w:rPr>
        <w:t xml:space="preserve"> size</w:t>
      </w:r>
      <w:bookmarkEnd w:id="13"/>
      <w:r w:rsidR="00D46E00" w:rsidRPr="00994436">
        <w:rPr>
          <w:sz w:val="24"/>
          <w:szCs w:val="24"/>
        </w:rPr>
        <w:t>s</w:t>
      </w:r>
      <w:bookmarkEnd w:id="14"/>
      <w:r w:rsidR="00B444EA" w:rsidRPr="00994436">
        <w:rPr>
          <w:sz w:val="24"/>
          <w:szCs w:val="24"/>
        </w:rPr>
        <w:t xml:space="preserve"> </w:t>
      </w:r>
    </w:p>
    <w:p w14:paraId="04511129" w14:textId="0C1638D1" w:rsidR="00ED207F" w:rsidRPr="00973F67" w:rsidRDefault="00B444EA" w:rsidP="00E35936">
      <w:pPr>
        <w:tabs>
          <w:tab w:val="left" w:pos="567"/>
        </w:tabs>
        <w:spacing w:after="120"/>
        <w:rPr>
          <w:rFonts w:eastAsia="Calibri" w:cstheme="minorBidi"/>
          <w:sz w:val="22"/>
          <w:szCs w:val="22"/>
        </w:rPr>
      </w:pPr>
      <w:r w:rsidRPr="7CA6AEA2">
        <w:rPr>
          <w:rFonts w:eastAsia="Calibri" w:cstheme="minorBidi"/>
          <w:sz w:val="22"/>
          <w:szCs w:val="22"/>
        </w:rPr>
        <w:t>The</w:t>
      </w:r>
      <w:r w:rsidR="00D46E00" w:rsidRPr="7CA6AEA2">
        <w:rPr>
          <w:rFonts w:eastAsia="Calibri" w:cstheme="minorBidi"/>
          <w:sz w:val="22"/>
          <w:szCs w:val="22"/>
        </w:rPr>
        <w:t xml:space="preserve"> serving size </w:t>
      </w:r>
      <w:r w:rsidR="00871BCE" w:rsidRPr="7CA6AEA2">
        <w:rPr>
          <w:rFonts w:eastAsia="Calibri" w:cstheme="minorBidi"/>
          <w:sz w:val="22"/>
          <w:szCs w:val="22"/>
        </w:rPr>
        <w:t>recommendations provided by the IBP</w:t>
      </w:r>
      <w:r w:rsidR="00297970">
        <w:rPr>
          <w:rFonts w:eastAsia="Calibri" w:cstheme="minorBidi"/>
          <w:sz w:val="22"/>
          <w:szCs w:val="22"/>
        </w:rPr>
        <w:t>G</w:t>
      </w:r>
      <w:r w:rsidR="00871BCE" w:rsidRPr="7CA6AEA2">
        <w:rPr>
          <w:rFonts w:eastAsia="Calibri" w:cstheme="minorBidi"/>
          <w:sz w:val="22"/>
          <w:szCs w:val="22"/>
        </w:rPr>
        <w:t xml:space="preserve">WG </w:t>
      </w:r>
      <w:r w:rsidR="00D46E00" w:rsidRPr="7CA6AEA2">
        <w:rPr>
          <w:rFonts w:eastAsia="Calibri" w:cstheme="minorBidi"/>
          <w:sz w:val="22"/>
          <w:szCs w:val="22"/>
        </w:rPr>
        <w:t>can</w:t>
      </w:r>
      <w:r w:rsidRPr="7CA6AEA2">
        <w:rPr>
          <w:rFonts w:eastAsia="Calibri" w:cstheme="minorBidi"/>
          <w:sz w:val="22"/>
          <w:szCs w:val="22"/>
        </w:rPr>
        <w:t xml:space="preserve"> provide guidance </w:t>
      </w:r>
      <w:r w:rsidR="006325E8" w:rsidRPr="7CA6AEA2">
        <w:rPr>
          <w:rFonts w:cstheme="minorBidi"/>
          <w:sz w:val="22"/>
          <w:szCs w:val="22"/>
        </w:rPr>
        <w:t xml:space="preserve">to food companies (including both retail and out of home sectors) </w:t>
      </w:r>
      <w:r w:rsidR="00D46E00" w:rsidRPr="7CA6AEA2">
        <w:rPr>
          <w:rFonts w:eastAsia="Calibri" w:cstheme="minorBidi"/>
          <w:sz w:val="22"/>
          <w:szCs w:val="22"/>
        </w:rPr>
        <w:t xml:space="preserve">on </w:t>
      </w:r>
      <w:r w:rsidR="00871BCE" w:rsidRPr="7CA6AEA2">
        <w:rPr>
          <w:rFonts w:eastAsia="Calibri" w:cstheme="minorBidi"/>
          <w:sz w:val="22"/>
          <w:szCs w:val="22"/>
        </w:rPr>
        <w:t>appropriate</w:t>
      </w:r>
      <w:r w:rsidRPr="7CA6AEA2">
        <w:rPr>
          <w:rFonts w:eastAsia="Calibri" w:cstheme="minorBidi"/>
          <w:sz w:val="22"/>
          <w:szCs w:val="22"/>
        </w:rPr>
        <w:t xml:space="preserve"> sizes of servings </w:t>
      </w:r>
      <w:r w:rsidR="00871BCE" w:rsidRPr="7CA6AEA2">
        <w:rPr>
          <w:rFonts w:eastAsia="Calibri" w:cstheme="minorBidi"/>
          <w:sz w:val="22"/>
          <w:szCs w:val="22"/>
        </w:rPr>
        <w:t>to</w:t>
      </w:r>
      <w:r w:rsidRPr="7CA6AEA2">
        <w:rPr>
          <w:rFonts w:eastAsia="Calibri" w:cstheme="minorBidi"/>
          <w:sz w:val="22"/>
          <w:szCs w:val="22"/>
        </w:rPr>
        <w:t xml:space="preserve"> be offered</w:t>
      </w:r>
      <w:r w:rsidR="00D46E00" w:rsidRPr="7CA6AEA2">
        <w:rPr>
          <w:rFonts w:eastAsia="Calibri" w:cstheme="minorBidi"/>
          <w:sz w:val="22"/>
          <w:szCs w:val="22"/>
        </w:rPr>
        <w:t>.</w:t>
      </w:r>
      <w:r w:rsidR="00871BCE" w:rsidRPr="7CA6AEA2">
        <w:rPr>
          <w:rFonts w:eastAsia="Calibri" w:cstheme="minorBidi"/>
          <w:sz w:val="22"/>
          <w:szCs w:val="22"/>
        </w:rPr>
        <w:t xml:space="preserve"> Serving size recommendations may be goals or maximum </w:t>
      </w:r>
      <w:r w:rsidR="004C3B0A" w:rsidRPr="7CA6AEA2">
        <w:rPr>
          <w:rFonts w:eastAsia="Calibri" w:cstheme="minorBidi"/>
          <w:sz w:val="22"/>
          <w:szCs w:val="22"/>
        </w:rPr>
        <w:t>limits and</w:t>
      </w:r>
      <w:r w:rsidR="00871BCE" w:rsidRPr="7CA6AEA2">
        <w:rPr>
          <w:rFonts w:eastAsia="Calibri" w:cstheme="minorBidi"/>
          <w:sz w:val="22"/>
          <w:szCs w:val="22"/>
        </w:rPr>
        <w:t xml:space="preserve"> are not necessarily the best or healthiest choice for </w:t>
      </w:r>
      <w:proofErr w:type="gramStart"/>
      <w:r w:rsidR="00871BCE" w:rsidRPr="7CA6AEA2">
        <w:rPr>
          <w:rFonts w:eastAsia="Calibri" w:cstheme="minorBidi"/>
          <w:sz w:val="22"/>
          <w:szCs w:val="22"/>
        </w:rPr>
        <w:t>each individual</w:t>
      </w:r>
      <w:proofErr w:type="gramEnd"/>
      <w:r w:rsidR="00871BCE" w:rsidRPr="7CA6AEA2">
        <w:rPr>
          <w:rFonts w:eastAsia="Calibri" w:cstheme="minorBidi"/>
          <w:sz w:val="22"/>
          <w:szCs w:val="22"/>
        </w:rPr>
        <w:t xml:space="preserve">. </w:t>
      </w:r>
      <w:r w:rsidR="00E53A22" w:rsidRPr="7CA6AEA2">
        <w:rPr>
          <w:rFonts w:eastAsia="Calibri" w:cstheme="minorBidi"/>
          <w:sz w:val="22"/>
          <w:szCs w:val="22"/>
        </w:rPr>
        <w:t xml:space="preserve">Providing a range of smaller serving sizes is important to </w:t>
      </w:r>
      <w:r w:rsidR="00800BEF" w:rsidRPr="7CA6AEA2">
        <w:rPr>
          <w:rFonts w:eastAsia="Calibri" w:cstheme="minorBidi"/>
          <w:sz w:val="22"/>
          <w:szCs w:val="22"/>
        </w:rPr>
        <w:t>support</w:t>
      </w:r>
      <w:r w:rsidR="00E53A22" w:rsidRPr="7CA6AEA2">
        <w:rPr>
          <w:rFonts w:eastAsia="Calibri" w:cstheme="minorBidi"/>
          <w:sz w:val="22"/>
          <w:szCs w:val="22"/>
        </w:rPr>
        <w:t xml:space="preserve"> diverse appetites and </w:t>
      </w:r>
      <w:r w:rsidR="00E53A22" w:rsidRPr="00973F67">
        <w:rPr>
          <w:rFonts w:eastAsia="Calibri" w:cstheme="minorBidi"/>
          <w:sz w:val="22"/>
          <w:szCs w:val="22"/>
        </w:rPr>
        <w:t xml:space="preserve">energy requirements. </w:t>
      </w:r>
    </w:p>
    <w:p w14:paraId="6C574CD2" w14:textId="54AE58C7" w:rsidR="7CA6AEA2" w:rsidRDefault="00973F67" w:rsidP="00E35936">
      <w:pPr>
        <w:spacing w:after="120"/>
        <w:rPr>
          <w:rFonts w:ascii="Calibri" w:eastAsia="Calibri" w:hAnsi="Calibri" w:cs="Calibri"/>
          <w:color w:val="000000" w:themeColor="text1"/>
          <w:sz w:val="22"/>
          <w:szCs w:val="22"/>
        </w:rPr>
      </w:pPr>
      <w:r w:rsidRPr="00973F67">
        <w:rPr>
          <w:rFonts w:ascii="Calibri" w:eastAsia="Calibri" w:hAnsi="Calibri" w:cs="Calibri"/>
          <w:color w:val="000000" w:themeColor="text1"/>
          <w:sz w:val="22"/>
          <w:szCs w:val="22"/>
        </w:rPr>
        <w:t xml:space="preserve">The </w:t>
      </w:r>
      <w:r w:rsidRPr="00F826E2">
        <w:rPr>
          <w:rFonts w:ascii="Calibri" w:eastAsia="Calibri" w:hAnsi="Calibri" w:cs="Calibri"/>
          <w:i/>
          <w:iCs/>
          <w:color w:val="000000" w:themeColor="text1"/>
          <w:sz w:val="22"/>
          <w:szCs w:val="22"/>
        </w:rPr>
        <w:t>Eat for Health Educator Guide</w:t>
      </w:r>
      <w:r w:rsidRPr="00973F67">
        <w:rPr>
          <w:rFonts w:ascii="Calibri" w:eastAsia="Calibri" w:hAnsi="Calibri" w:cs="Calibri"/>
          <w:color w:val="000000" w:themeColor="text1"/>
          <w:sz w:val="22"/>
          <w:szCs w:val="22"/>
        </w:rPr>
        <w:t xml:space="preserve"> (a companion document to the ADG)</w:t>
      </w:r>
      <w:r w:rsidR="7CA6AEA2" w:rsidRPr="00973F67">
        <w:rPr>
          <w:rFonts w:ascii="Calibri" w:eastAsia="Calibri" w:hAnsi="Calibri" w:cs="Calibri"/>
          <w:color w:val="000000" w:themeColor="text1"/>
          <w:sz w:val="22"/>
          <w:szCs w:val="22"/>
        </w:rPr>
        <w:t xml:space="preserve"> state</w:t>
      </w:r>
      <w:r w:rsidRPr="00973F67">
        <w:rPr>
          <w:rFonts w:ascii="Calibri" w:eastAsia="Calibri" w:hAnsi="Calibri" w:cs="Calibri"/>
          <w:color w:val="000000" w:themeColor="text1"/>
          <w:sz w:val="22"/>
          <w:szCs w:val="22"/>
        </w:rPr>
        <w:t>s</w:t>
      </w:r>
      <w:r w:rsidR="7CA6AEA2" w:rsidRPr="00973F67">
        <w:rPr>
          <w:rFonts w:ascii="Calibri" w:eastAsia="Calibri" w:hAnsi="Calibri" w:cs="Calibri"/>
          <w:color w:val="000000" w:themeColor="text1"/>
          <w:sz w:val="22"/>
          <w:szCs w:val="22"/>
        </w:rPr>
        <w:t xml:space="preserve"> that a serve of discretionary food</w:t>
      </w:r>
      <w:r w:rsidR="00297970" w:rsidRPr="00973F67">
        <w:rPr>
          <w:rFonts w:ascii="Calibri" w:eastAsia="Calibri" w:hAnsi="Calibri" w:cs="Calibri"/>
          <w:color w:val="000000" w:themeColor="text1"/>
          <w:sz w:val="22"/>
          <w:szCs w:val="22"/>
        </w:rPr>
        <w:t>s</w:t>
      </w:r>
      <w:r w:rsidR="7CA6AEA2" w:rsidRPr="00973F67">
        <w:rPr>
          <w:rFonts w:ascii="Calibri" w:eastAsia="Calibri" w:hAnsi="Calibri" w:cs="Calibri"/>
          <w:color w:val="000000" w:themeColor="text1"/>
          <w:sz w:val="22"/>
          <w:szCs w:val="22"/>
        </w:rPr>
        <w:t xml:space="preserve"> is the amount that provides about 600kJ.</w:t>
      </w:r>
      <w:r>
        <w:rPr>
          <w:rFonts w:ascii="Calibri" w:eastAsia="Calibri" w:hAnsi="Calibri" w:cs="Calibri"/>
          <w:color w:val="000000" w:themeColor="text1"/>
          <w:sz w:val="22"/>
          <w:szCs w:val="22"/>
        </w:rPr>
        <w:t xml:space="preserve"> </w:t>
      </w:r>
      <w:r w:rsidR="0089463A">
        <w:rPr>
          <w:rFonts w:ascii="Calibri" w:eastAsia="Calibri" w:hAnsi="Calibri" w:cs="Calibri"/>
          <w:color w:val="000000" w:themeColor="text1"/>
          <w:sz w:val="22"/>
          <w:szCs w:val="22"/>
        </w:rPr>
        <w:t xml:space="preserve">Discretionary </w:t>
      </w:r>
      <w:r>
        <w:rPr>
          <w:rFonts w:ascii="Calibri" w:eastAsia="Calibri" w:hAnsi="Calibri" w:cs="Calibri"/>
          <w:color w:val="000000" w:themeColor="text1"/>
          <w:sz w:val="22"/>
          <w:szCs w:val="22"/>
        </w:rPr>
        <w:t>foods are not a necessary part of the diet</w:t>
      </w:r>
      <w:r w:rsidR="0089463A">
        <w:rPr>
          <w:rFonts w:ascii="Calibri" w:eastAsia="Calibri" w:hAnsi="Calibri" w:cs="Calibri"/>
          <w:color w:val="000000" w:themeColor="text1"/>
          <w:sz w:val="22"/>
          <w:szCs w:val="22"/>
        </w:rPr>
        <w:t xml:space="preserve"> and should only be consumed sometimes and in small amounts. However, </w:t>
      </w:r>
      <w:r>
        <w:rPr>
          <w:rFonts w:ascii="Calibri" w:eastAsia="Calibri" w:hAnsi="Calibri" w:cs="Calibri"/>
          <w:color w:val="000000" w:themeColor="text1"/>
          <w:sz w:val="22"/>
          <w:szCs w:val="22"/>
        </w:rPr>
        <w:t>d</w:t>
      </w:r>
      <w:r w:rsidR="7CA6AEA2" w:rsidRPr="00973F67">
        <w:rPr>
          <w:rFonts w:ascii="Calibri" w:eastAsia="Calibri" w:hAnsi="Calibri" w:cs="Calibri"/>
          <w:color w:val="000000" w:themeColor="text1"/>
          <w:sz w:val="22"/>
          <w:szCs w:val="22"/>
        </w:rPr>
        <w:t>epending</w:t>
      </w:r>
      <w:r w:rsidR="7CA6AEA2" w:rsidRPr="001B25AE">
        <w:rPr>
          <w:rFonts w:ascii="Calibri" w:eastAsia="Calibri" w:hAnsi="Calibri" w:cs="Calibri"/>
          <w:color w:val="000000" w:themeColor="text1"/>
          <w:sz w:val="22"/>
          <w:szCs w:val="22"/>
        </w:rPr>
        <w:t xml:space="preserve"> on a person’s individual circumstances, including </w:t>
      </w:r>
      <w:r w:rsidR="0089463A">
        <w:rPr>
          <w:rFonts w:ascii="Calibri" w:eastAsia="Calibri" w:hAnsi="Calibri" w:cs="Calibri"/>
          <w:color w:val="000000" w:themeColor="text1"/>
          <w:sz w:val="22"/>
          <w:szCs w:val="22"/>
        </w:rPr>
        <w:t>age</w:t>
      </w:r>
      <w:r w:rsidR="7CA6AEA2" w:rsidRPr="001B25AE">
        <w:rPr>
          <w:rFonts w:ascii="Calibri" w:eastAsia="Calibri" w:hAnsi="Calibri" w:cs="Calibri"/>
          <w:color w:val="000000" w:themeColor="text1"/>
          <w:sz w:val="22"/>
          <w:szCs w:val="22"/>
        </w:rPr>
        <w:t>, height, and physical activity</w:t>
      </w:r>
      <w:r w:rsidR="0089463A">
        <w:rPr>
          <w:rFonts w:ascii="Calibri" w:eastAsia="Calibri" w:hAnsi="Calibri" w:cs="Calibri"/>
          <w:color w:val="000000" w:themeColor="text1"/>
          <w:sz w:val="22"/>
          <w:szCs w:val="22"/>
        </w:rPr>
        <w:t xml:space="preserve"> level</w:t>
      </w:r>
      <w:r w:rsidR="7CA6AEA2" w:rsidRPr="001B25AE">
        <w:rPr>
          <w:rFonts w:ascii="Calibri" w:eastAsia="Calibri" w:hAnsi="Calibri" w:cs="Calibri"/>
          <w:color w:val="000000" w:themeColor="text1"/>
          <w:sz w:val="22"/>
          <w:szCs w:val="22"/>
        </w:rPr>
        <w:t>, varying numbers of serves of discretionary foods each day</w:t>
      </w:r>
      <w:r>
        <w:rPr>
          <w:rFonts w:ascii="Calibri" w:eastAsia="Calibri" w:hAnsi="Calibri" w:cs="Calibri"/>
          <w:color w:val="000000" w:themeColor="text1"/>
          <w:sz w:val="22"/>
          <w:szCs w:val="22"/>
        </w:rPr>
        <w:t xml:space="preserve"> can be consumed</w:t>
      </w:r>
      <w:r w:rsidR="7CA6AEA2" w:rsidRPr="001B25AE">
        <w:rPr>
          <w:rFonts w:ascii="Calibri" w:eastAsia="Calibri" w:hAnsi="Calibri" w:cs="Calibri"/>
          <w:color w:val="000000" w:themeColor="text1"/>
          <w:sz w:val="22"/>
          <w:szCs w:val="22"/>
        </w:rPr>
        <w:t xml:space="preserve">. For example, </w:t>
      </w:r>
      <w:r w:rsidR="003517E4" w:rsidRPr="001B25AE">
        <w:rPr>
          <w:rFonts w:ascii="Calibri" w:eastAsia="Calibri" w:hAnsi="Calibri" w:cs="Calibri"/>
          <w:color w:val="000000" w:themeColor="text1"/>
          <w:sz w:val="22"/>
          <w:szCs w:val="22"/>
        </w:rPr>
        <w:t xml:space="preserve">some </w:t>
      </w:r>
      <w:r w:rsidR="00E40053" w:rsidRPr="001B25AE">
        <w:rPr>
          <w:rFonts w:ascii="Calibri" w:eastAsia="Calibri" w:hAnsi="Calibri" w:cs="Calibri"/>
          <w:color w:val="000000" w:themeColor="text1"/>
          <w:sz w:val="22"/>
          <w:szCs w:val="22"/>
        </w:rPr>
        <w:t>adults</w:t>
      </w:r>
      <w:r w:rsidR="7CA6AEA2" w:rsidRPr="001B25AE">
        <w:rPr>
          <w:rFonts w:ascii="Calibri" w:eastAsia="Calibri" w:hAnsi="Calibri" w:cs="Calibri"/>
          <w:color w:val="000000" w:themeColor="text1"/>
          <w:sz w:val="22"/>
          <w:szCs w:val="22"/>
        </w:rPr>
        <w:t xml:space="preserve"> can have up to 3 serves of discretionary food</w:t>
      </w:r>
      <w:r w:rsidR="00FD0979" w:rsidRPr="001B25AE">
        <w:rPr>
          <w:rFonts w:ascii="Calibri" w:eastAsia="Calibri" w:hAnsi="Calibri" w:cs="Calibri"/>
          <w:color w:val="000000" w:themeColor="text1"/>
          <w:sz w:val="22"/>
          <w:szCs w:val="22"/>
        </w:rPr>
        <w:t>s</w:t>
      </w:r>
      <w:r w:rsidR="7CA6AEA2" w:rsidRPr="001B25AE">
        <w:rPr>
          <w:rFonts w:ascii="Calibri" w:eastAsia="Calibri" w:hAnsi="Calibri" w:cs="Calibri"/>
          <w:color w:val="000000" w:themeColor="text1"/>
          <w:sz w:val="22"/>
          <w:szCs w:val="22"/>
        </w:rPr>
        <w:t xml:space="preserve"> each day</w:t>
      </w:r>
      <w:r w:rsidR="0035245A">
        <w:rPr>
          <w:rFonts w:ascii="Calibri" w:eastAsia="Calibri" w:hAnsi="Calibri" w:cs="Calibri"/>
          <w:color w:val="000000" w:themeColor="text1"/>
          <w:sz w:val="22"/>
          <w:szCs w:val="22"/>
        </w:rPr>
        <w:t xml:space="preserve"> (15)</w:t>
      </w:r>
      <w:r w:rsidR="7CA6AEA2" w:rsidRPr="001B25AE">
        <w:rPr>
          <w:rFonts w:ascii="Calibri" w:eastAsia="Calibri" w:hAnsi="Calibri" w:cs="Calibri"/>
          <w:color w:val="000000" w:themeColor="text1"/>
          <w:sz w:val="22"/>
          <w:szCs w:val="22"/>
        </w:rPr>
        <w:t xml:space="preserve">. For this reason, this Guide allows for serving sizes that equate to multiple </w:t>
      </w:r>
      <w:r w:rsidR="00EB7AC5" w:rsidRPr="001B25AE">
        <w:rPr>
          <w:rFonts w:ascii="Calibri" w:eastAsia="Calibri" w:hAnsi="Calibri" w:cs="Calibri"/>
          <w:color w:val="000000" w:themeColor="text1"/>
          <w:sz w:val="22"/>
          <w:szCs w:val="22"/>
        </w:rPr>
        <w:t xml:space="preserve">serves of </w:t>
      </w:r>
      <w:r w:rsidR="7CA6AEA2" w:rsidRPr="001B25AE">
        <w:rPr>
          <w:rFonts w:ascii="Calibri" w:eastAsia="Calibri" w:hAnsi="Calibri" w:cs="Calibri"/>
          <w:color w:val="000000" w:themeColor="text1"/>
          <w:sz w:val="22"/>
          <w:szCs w:val="22"/>
        </w:rPr>
        <w:t xml:space="preserve">discretionary </w:t>
      </w:r>
      <w:r w:rsidR="00EB7AC5" w:rsidRPr="001B25AE">
        <w:rPr>
          <w:rFonts w:ascii="Calibri" w:eastAsia="Calibri" w:hAnsi="Calibri" w:cs="Calibri"/>
          <w:color w:val="000000" w:themeColor="text1"/>
          <w:sz w:val="22"/>
          <w:szCs w:val="22"/>
        </w:rPr>
        <w:t>food</w:t>
      </w:r>
      <w:r w:rsidR="7CA6AEA2" w:rsidRPr="001B25AE">
        <w:rPr>
          <w:rFonts w:ascii="Calibri" w:eastAsia="Calibri" w:hAnsi="Calibri" w:cs="Calibri"/>
          <w:color w:val="000000" w:themeColor="text1"/>
          <w:sz w:val="22"/>
          <w:szCs w:val="22"/>
        </w:rPr>
        <w:t>s.</w:t>
      </w:r>
    </w:p>
    <w:p w14:paraId="0F34469C" w14:textId="374FC3F6" w:rsidR="002D6C6C" w:rsidRDefault="22F3DE48" w:rsidP="00E35936">
      <w:pPr>
        <w:tabs>
          <w:tab w:val="left" w:pos="567"/>
        </w:tabs>
        <w:spacing w:after="120"/>
        <w:rPr>
          <w:rFonts w:ascii="Calibri" w:eastAsia="Calibri" w:hAnsi="Calibri" w:cs="Calibri"/>
          <w:sz w:val="22"/>
          <w:szCs w:val="22"/>
        </w:rPr>
      </w:pPr>
      <w:r w:rsidRPr="4F4A73DF">
        <w:rPr>
          <w:rFonts w:eastAsia="Calibri" w:cstheme="minorBidi"/>
          <w:sz w:val="22"/>
          <w:szCs w:val="22"/>
        </w:rPr>
        <w:t>I</w:t>
      </w:r>
      <w:r w:rsidR="6CAA770F" w:rsidRPr="4F4A73DF">
        <w:rPr>
          <w:rFonts w:eastAsia="Calibri" w:cstheme="minorBidi"/>
          <w:sz w:val="22"/>
          <w:szCs w:val="22"/>
        </w:rPr>
        <w:t xml:space="preserve">t should be noted that the </w:t>
      </w:r>
      <w:r w:rsidR="00EB7AC5" w:rsidRPr="4F4A73DF">
        <w:rPr>
          <w:rFonts w:eastAsia="Calibri" w:cstheme="minorBidi"/>
          <w:sz w:val="22"/>
          <w:szCs w:val="22"/>
        </w:rPr>
        <w:t xml:space="preserve">serving size recommendations </w:t>
      </w:r>
      <w:r w:rsidR="6CAA770F" w:rsidRPr="4F4A73DF">
        <w:rPr>
          <w:rFonts w:eastAsia="Calibri" w:cstheme="minorBidi"/>
          <w:sz w:val="22"/>
          <w:szCs w:val="22"/>
        </w:rPr>
        <w:t xml:space="preserve">are intended for the adult population. Industry </w:t>
      </w:r>
      <w:r w:rsidR="1FA44BCA" w:rsidRPr="4F4A73DF">
        <w:rPr>
          <w:rFonts w:eastAsia="Calibri" w:cstheme="minorBidi"/>
          <w:sz w:val="22"/>
          <w:szCs w:val="22"/>
        </w:rPr>
        <w:t xml:space="preserve">is encouraged to </w:t>
      </w:r>
      <w:r w:rsidR="6CAA770F" w:rsidRPr="4F4A73DF">
        <w:rPr>
          <w:rFonts w:eastAsia="Calibri" w:cstheme="minorBidi"/>
          <w:sz w:val="22"/>
          <w:szCs w:val="22"/>
        </w:rPr>
        <w:t>consider the</w:t>
      </w:r>
      <w:r w:rsidR="44728F30" w:rsidRPr="4F4A73DF">
        <w:rPr>
          <w:rFonts w:eastAsia="Calibri" w:cstheme="minorBidi"/>
          <w:sz w:val="22"/>
          <w:szCs w:val="22"/>
        </w:rPr>
        <w:t>ir</w:t>
      </w:r>
      <w:r w:rsidR="6CAA770F" w:rsidRPr="4F4A73DF">
        <w:rPr>
          <w:rFonts w:eastAsia="Calibri" w:cstheme="minorBidi"/>
          <w:sz w:val="22"/>
          <w:szCs w:val="22"/>
        </w:rPr>
        <w:t xml:space="preserve"> intended consumer</w:t>
      </w:r>
      <w:r w:rsidR="00491F42">
        <w:rPr>
          <w:rFonts w:eastAsia="Calibri" w:cstheme="minorBidi"/>
          <w:sz w:val="22"/>
          <w:szCs w:val="22"/>
        </w:rPr>
        <w:t>s</w:t>
      </w:r>
      <w:r w:rsidR="6CAA770F" w:rsidRPr="4F4A73DF">
        <w:rPr>
          <w:rFonts w:eastAsia="Calibri" w:cstheme="minorBidi"/>
          <w:sz w:val="22"/>
          <w:szCs w:val="22"/>
        </w:rPr>
        <w:t xml:space="preserve"> when determining</w:t>
      </w:r>
      <w:r w:rsidR="5041CBEF" w:rsidRPr="4F4A73DF">
        <w:rPr>
          <w:rFonts w:eastAsia="Calibri" w:cstheme="minorBidi"/>
          <w:sz w:val="22"/>
          <w:szCs w:val="22"/>
        </w:rPr>
        <w:t xml:space="preserve"> appropriate</w:t>
      </w:r>
      <w:r w:rsidR="6CAA770F" w:rsidRPr="4F4A73DF">
        <w:rPr>
          <w:rFonts w:eastAsia="Calibri" w:cstheme="minorBidi"/>
          <w:sz w:val="22"/>
          <w:szCs w:val="22"/>
        </w:rPr>
        <w:t xml:space="preserve"> serving sizes for their products. </w:t>
      </w:r>
      <w:r w:rsidR="6B4CD04A" w:rsidRPr="4F4A73DF">
        <w:rPr>
          <w:rFonts w:ascii="Calibri" w:eastAsia="Calibri" w:hAnsi="Calibri" w:cs="Calibri"/>
          <w:sz w:val="22"/>
          <w:szCs w:val="22"/>
        </w:rPr>
        <w:t xml:space="preserve"> </w:t>
      </w:r>
      <w:r w:rsidR="6B4CD04A" w:rsidRPr="001B25AE">
        <w:rPr>
          <w:rFonts w:ascii="Calibri" w:eastAsia="Calibri" w:hAnsi="Calibri" w:cs="Calibri"/>
          <w:sz w:val="22"/>
          <w:szCs w:val="22"/>
        </w:rPr>
        <w:t>Serving sizes for children were considered out</w:t>
      </w:r>
      <w:r w:rsidR="00EB7AC5" w:rsidRPr="001B25AE">
        <w:rPr>
          <w:rFonts w:ascii="Calibri" w:eastAsia="Calibri" w:hAnsi="Calibri" w:cs="Calibri"/>
          <w:sz w:val="22"/>
          <w:szCs w:val="22"/>
        </w:rPr>
        <w:t xml:space="preserve"> </w:t>
      </w:r>
      <w:r w:rsidR="6B4CD04A" w:rsidRPr="001B25AE">
        <w:rPr>
          <w:rFonts w:ascii="Calibri" w:eastAsia="Calibri" w:hAnsi="Calibri" w:cs="Calibri"/>
          <w:sz w:val="22"/>
          <w:szCs w:val="22"/>
        </w:rPr>
        <w:t>of</w:t>
      </w:r>
      <w:r w:rsidR="00EB7AC5" w:rsidRPr="001B25AE">
        <w:rPr>
          <w:rFonts w:ascii="Calibri" w:eastAsia="Calibri" w:hAnsi="Calibri" w:cs="Calibri"/>
          <w:sz w:val="22"/>
          <w:szCs w:val="22"/>
        </w:rPr>
        <w:t xml:space="preserve"> </w:t>
      </w:r>
      <w:r w:rsidR="6B4CD04A" w:rsidRPr="001B25AE">
        <w:rPr>
          <w:rFonts w:ascii="Calibri" w:eastAsia="Calibri" w:hAnsi="Calibri" w:cs="Calibri"/>
          <w:sz w:val="22"/>
          <w:szCs w:val="22"/>
        </w:rPr>
        <w:t>scope for the IBPGWG</w:t>
      </w:r>
      <w:r w:rsidR="001B25AE">
        <w:rPr>
          <w:rFonts w:ascii="Calibri" w:eastAsia="Calibri" w:hAnsi="Calibri" w:cs="Calibri"/>
          <w:sz w:val="22"/>
          <w:szCs w:val="22"/>
        </w:rPr>
        <w:t>;</w:t>
      </w:r>
      <w:r w:rsidR="6B4CD04A" w:rsidRPr="001B25AE">
        <w:rPr>
          <w:rFonts w:ascii="Calibri" w:eastAsia="Calibri" w:hAnsi="Calibri" w:cs="Calibri"/>
          <w:sz w:val="22"/>
          <w:szCs w:val="22"/>
        </w:rPr>
        <w:t xml:space="preserve"> however, a separate Healthy Food Partnership project </w:t>
      </w:r>
      <w:r w:rsidR="00EB7AC5" w:rsidRPr="001B25AE">
        <w:rPr>
          <w:rFonts w:ascii="Calibri" w:eastAsia="Calibri" w:hAnsi="Calibri" w:cs="Calibri"/>
          <w:sz w:val="22"/>
          <w:szCs w:val="22"/>
        </w:rPr>
        <w:t xml:space="preserve">committee based </w:t>
      </w:r>
      <w:r w:rsidR="6B4CD04A" w:rsidRPr="001B25AE">
        <w:rPr>
          <w:rFonts w:ascii="Calibri" w:eastAsia="Calibri" w:hAnsi="Calibri" w:cs="Calibri"/>
          <w:sz w:val="22"/>
          <w:szCs w:val="22"/>
        </w:rPr>
        <w:t xml:space="preserve">on </w:t>
      </w:r>
      <w:r w:rsidR="00EB7AC5" w:rsidRPr="001B25AE">
        <w:rPr>
          <w:rFonts w:ascii="Calibri" w:eastAsia="Calibri" w:hAnsi="Calibri" w:cs="Calibri"/>
          <w:sz w:val="22"/>
          <w:szCs w:val="22"/>
        </w:rPr>
        <w:t xml:space="preserve">commercial </w:t>
      </w:r>
      <w:r w:rsidR="6B4CD04A" w:rsidRPr="001B25AE">
        <w:rPr>
          <w:rFonts w:ascii="Calibri" w:eastAsia="Calibri" w:hAnsi="Calibri" w:cs="Calibri"/>
          <w:sz w:val="22"/>
          <w:szCs w:val="22"/>
        </w:rPr>
        <w:t xml:space="preserve">Foods for Early Childhood will </w:t>
      </w:r>
      <w:r w:rsidR="00EB7AC5" w:rsidRPr="001B25AE">
        <w:rPr>
          <w:rFonts w:ascii="Calibri" w:eastAsia="Calibri" w:hAnsi="Calibri" w:cs="Calibri"/>
          <w:sz w:val="22"/>
          <w:szCs w:val="22"/>
        </w:rPr>
        <w:t xml:space="preserve">examine serving size guidance </w:t>
      </w:r>
      <w:r w:rsidR="6B4CD04A" w:rsidRPr="001B25AE">
        <w:rPr>
          <w:rFonts w:ascii="Calibri" w:eastAsia="Calibri" w:hAnsi="Calibri" w:cs="Calibri"/>
          <w:sz w:val="22"/>
          <w:szCs w:val="22"/>
        </w:rPr>
        <w:t xml:space="preserve">for foods for infants and toddlers. </w:t>
      </w:r>
      <w:proofErr w:type="gramStart"/>
      <w:r w:rsidR="6B4CD04A" w:rsidRPr="001B25AE">
        <w:rPr>
          <w:rFonts w:ascii="Calibri" w:eastAsia="Calibri" w:hAnsi="Calibri" w:cs="Calibri"/>
          <w:sz w:val="22"/>
          <w:szCs w:val="22"/>
        </w:rPr>
        <w:t>A number of</w:t>
      </w:r>
      <w:proofErr w:type="gramEnd"/>
      <w:r w:rsidR="6B4CD04A" w:rsidRPr="001B25AE">
        <w:rPr>
          <w:rFonts w:ascii="Calibri" w:eastAsia="Calibri" w:hAnsi="Calibri" w:cs="Calibri"/>
          <w:sz w:val="22"/>
          <w:szCs w:val="22"/>
        </w:rPr>
        <w:t xml:space="preserve"> states and territories have school canteen guidelines in place – these provide a useful reference point for some </w:t>
      </w:r>
      <w:r w:rsidR="00DA60D6" w:rsidRPr="001B25AE">
        <w:rPr>
          <w:rFonts w:ascii="Calibri" w:eastAsia="Calibri" w:hAnsi="Calibri" w:cs="Calibri"/>
          <w:sz w:val="22"/>
          <w:szCs w:val="22"/>
        </w:rPr>
        <w:t xml:space="preserve">discretionary </w:t>
      </w:r>
      <w:r w:rsidR="6B4CD04A" w:rsidRPr="001B25AE">
        <w:rPr>
          <w:rFonts w:ascii="Calibri" w:eastAsia="Calibri" w:hAnsi="Calibri" w:cs="Calibri"/>
          <w:sz w:val="22"/>
          <w:szCs w:val="22"/>
        </w:rPr>
        <w:t>products.</w:t>
      </w:r>
    </w:p>
    <w:p w14:paraId="1CF21C4C" w14:textId="77777777" w:rsidR="002D6C6C" w:rsidRPr="004A5238" w:rsidRDefault="002D6C6C" w:rsidP="4F4A73DF">
      <w:pPr>
        <w:tabs>
          <w:tab w:val="left" w:pos="567"/>
        </w:tabs>
        <w:spacing w:after="120"/>
        <w:rPr>
          <w:rFonts w:eastAsia="Calibri" w:cstheme="minorBidi"/>
          <w:sz w:val="22"/>
          <w:szCs w:val="22"/>
        </w:rPr>
      </w:pPr>
    </w:p>
    <w:p w14:paraId="098AEEEE" w14:textId="78A96472" w:rsidR="00CE7D03" w:rsidRPr="00E92B38" w:rsidRDefault="00CE7D03" w:rsidP="00994436">
      <w:pPr>
        <w:pStyle w:val="Heading1"/>
        <w:numPr>
          <w:ilvl w:val="0"/>
          <w:numId w:val="86"/>
        </w:numPr>
        <w:ind w:left="426" w:hanging="426"/>
        <w:rPr>
          <w:shd w:val="clear" w:color="auto" w:fill="FFFFFF"/>
        </w:rPr>
      </w:pPr>
      <w:bookmarkStart w:id="15" w:name="_Toc109294237"/>
      <w:r w:rsidRPr="00E92B38">
        <w:rPr>
          <w:shd w:val="clear" w:color="auto" w:fill="FFFFFF"/>
        </w:rPr>
        <w:lastRenderedPageBreak/>
        <w:t>Evidence for selection of food and beverage categories</w:t>
      </w:r>
      <w:bookmarkEnd w:id="15"/>
      <w:r w:rsidRPr="00E92B38">
        <w:rPr>
          <w:shd w:val="clear" w:color="auto" w:fill="FFFFFF"/>
        </w:rPr>
        <w:t xml:space="preserve"> </w:t>
      </w:r>
    </w:p>
    <w:p w14:paraId="78178812" w14:textId="486B9B46" w:rsidR="00E92B38" w:rsidRPr="00EC5D63" w:rsidRDefault="00994436" w:rsidP="00EC5D63">
      <w:pPr>
        <w:pStyle w:val="Heading2"/>
        <w:rPr>
          <w:sz w:val="24"/>
        </w:rPr>
      </w:pPr>
      <w:bookmarkStart w:id="16" w:name="_Toc109294238"/>
      <w:r>
        <w:rPr>
          <w:sz w:val="24"/>
        </w:rPr>
        <w:t>5</w:t>
      </w:r>
      <w:r w:rsidR="00181F25" w:rsidRPr="00EC5D63">
        <w:rPr>
          <w:sz w:val="24"/>
        </w:rPr>
        <w:t xml:space="preserve">.1 </w:t>
      </w:r>
      <w:r w:rsidR="00181F25" w:rsidRPr="00EC5D63">
        <w:rPr>
          <w:sz w:val="24"/>
        </w:rPr>
        <w:tab/>
      </w:r>
      <w:r w:rsidR="00E92B38" w:rsidRPr="00EC5D63">
        <w:rPr>
          <w:sz w:val="24"/>
        </w:rPr>
        <w:t>Key contributors to discretionary energy</w:t>
      </w:r>
      <w:bookmarkEnd w:id="16"/>
    </w:p>
    <w:p w14:paraId="310CB375" w14:textId="225CA07D" w:rsidR="00E92B38" w:rsidRPr="00B5325D" w:rsidRDefault="00E92B38" w:rsidP="00795E9E">
      <w:pPr>
        <w:spacing w:after="240"/>
        <w:rPr>
          <w:sz w:val="22"/>
          <w:szCs w:val="22"/>
          <w:shd w:val="clear" w:color="auto" w:fill="FFFFFF"/>
        </w:rPr>
      </w:pPr>
      <w:r w:rsidRPr="14950E1D">
        <w:rPr>
          <w:sz w:val="22"/>
          <w:szCs w:val="22"/>
          <w:shd w:val="clear" w:color="auto" w:fill="FFFFFF"/>
        </w:rPr>
        <w:t>The ADG recommend</w:t>
      </w:r>
      <w:r w:rsidR="00491F42">
        <w:rPr>
          <w:sz w:val="22"/>
          <w:szCs w:val="22"/>
          <w:shd w:val="clear" w:color="auto" w:fill="FFFFFF"/>
        </w:rPr>
        <w:t>s</w:t>
      </w:r>
      <w:r w:rsidRPr="14950E1D">
        <w:rPr>
          <w:sz w:val="22"/>
          <w:szCs w:val="22"/>
          <w:shd w:val="clear" w:color="auto" w:fill="FFFFFF"/>
        </w:rPr>
        <w:t xml:space="preserve"> model diets based around consumption from </w:t>
      </w:r>
      <w:r w:rsidR="00E53A22" w:rsidRPr="14950E1D">
        <w:rPr>
          <w:sz w:val="22"/>
          <w:szCs w:val="22"/>
          <w:shd w:val="clear" w:color="auto" w:fill="FFFFFF"/>
        </w:rPr>
        <w:t xml:space="preserve">the </w:t>
      </w:r>
      <w:r w:rsidR="31D5880D" w:rsidRPr="14950E1D">
        <w:rPr>
          <w:sz w:val="22"/>
          <w:szCs w:val="22"/>
          <w:shd w:val="clear" w:color="auto" w:fill="FFFFFF"/>
        </w:rPr>
        <w:t>FFG</w:t>
      </w:r>
      <w:r w:rsidRPr="14950E1D">
        <w:rPr>
          <w:sz w:val="22"/>
          <w:szCs w:val="22"/>
          <w:shd w:val="clear" w:color="auto" w:fill="FFFFFF"/>
        </w:rPr>
        <w:t xml:space="preserve">. In addition, the ADG recommend limiting the intake of foods containing </w:t>
      </w:r>
      <w:r w:rsidR="00F002E9">
        <w:rPr>
          <w:sz w:val="22"/>
          <w:szCs w:val="22"/>
          <w:shd w:val="clear" w:color="auto" w:fill="FFFFFF"/>
        </w:rPr>
        <w:t xml:space="preserve">added sugars, saturated fat, </w:t>
      </w:r>
      <w:proofErr w:type="gramStart"/>
      <w:r w:rsidR="00F002E9">
        <w:rPr>
          <w:sz w:val="22"/>
          <w:szCs w:val="22"/>
          <w:shd w:val="clear" w:color="auto" w:fill="FFFFFF"/>
        </w:rPr>
        <w:t>sodium</w:t>
      </w:r>
      <w:proofErr w:type="gramEnd"/>
      <w:r w:rsidR="00F002E9">
        <w:rPr>
          <w:sz w:val="22"/>
          <w:szCs w:val="22"/>
          <w:shd w:val="clear" w:color="auto" w:fill="FFFFFF"/>
        </w:rPr>
        <w:t xml:space="preserve"> and alcohol</w:t>
      </w:r>
      <w:r w:rsidRPr="14950E1D">
        <w:rPr>
          <w:sz w:val="22"/>
          <w:szCs w:val="22"/>
          <w:shd w:val="clear" w:color="auto" w:fill="FFFFFF"/>
        </w:rPr>
        <w:t xml:space="preserve">. </w:t>
      </w:r>
      <w:r w:rsidR="00F002E9">
        <w:rPr>
          <w:sz w:val="22"/>
          <w:szCs w:val="22"/>
          <w:shd w:val="clear" w:color="auto" w:fill="FFFFFF"/>
        </w:rPr>
        <w:t xml:space="preserve">Added sugars, saturated fat, </w:t>
      </w:r>
      <w:proofErr w:type="gramStart"/>
      <w:r w:rsidRPr="14950E1D">
        <w:rPr>
          <w:sz w:val="22"/>
          <w:szCs w:val="22"/>
          <w:shd w:val="clear" w:color="auto" w:fill="FFFFFF"/>
        </w:rPr>
        <w:t>sodium</w:t>
      </w:r>
      <w:proofErr w:type="gramEnd"/>
      <w:r w:rsidRPr="14950E1D">
        <w:rPr>
          <w:sz w:val="22"/>
          <w:szCs w:val="22"/>
          <w:shd w:val="clear" w:color="auto" w:fill="FFFFFF"/>
        </w:rPr>
        <w:t xml:space="preserve"> </w:t>
      </w:r>
      <w:r w:rsidR="00F002E9">
        <w:rPr>
          <w:sz w:val="22"/>
          <w:szCs w:val="22"/>
          <w:shd w:val="clear" w:color="auto" w:fill="FFFFFF"/>
        </w:rPr>
        <w:t xml:space="preserve">and alcohol, </w:t>
      </w:r>
      <w:r w:rsidRPr="14950E1D">
        <w:rPr>
          <w:sz w:val="22"/>
          <w:szCs w:val="22"/>
          <w:shd w:val="clear" w:color="auto" w:fill="FFFFFF"/>
        </w:rPr>
        <w:t>along with total energy</w:t>
      </w:r>
      <w:r w:rsidR="00F002E9">
        <w:rPr>
          <w:sz w:val="22"/>
          <w:szCs w:val="22"/>
          <w:shd w:val="clear" w:color="auto" w:fill="FFFFFF"/>
        </w:rPr>
        <w:t>,</w:t>
      </w:r>
      <w:r w:rsidRPr="14950E1D">
        <w:rPr>
          <w:sz w:val="22"/>
          <w:szCs w:val="22"/>
          <w:shd w:val="clear" w:color="auto" w:fill="FFFFFF"/>
        </w:rPr>
        <w:t xml:space="preserve"> are commonly described as ‘risk-associated nutrients’, a</w:t>
      </w:r>
      <w:r w:rsidR="17A12252" w:rsidRPr="14950E1D">
        <w:rPr>
          <w:sz w:val="22"/>
          <w:szCs w:val="22"/>
          <w:shd w:val="clear" w:color="auto" w:fill="FFFFFF"/>
        </w:rPr>
        <w:t xml:space="preserve">nd </w:t>
      </w:r>
      <w:r w:rsidRPr="14950E1D">
        <w:rPr>
          <w:sz w:val="22"/>
          <w:szCs w:val="22"/>
          <w:shd w:val="clear" w:color="auto" w:fill="FFFFFF"/>
        </w:rPr>
        <w:t>a diet high in these increases the risk of many diet-related chronic conditions</w:t>
      </w:r>
      <w:r w:rsidR="2980E5FA" w:rsidRPr="14950E1D">
        <w:rPr>
          <w:sz w:val="22"/>
          <w:szCs w:val="22"/>
          <w:shd w:val="clear" w:color="auto" w:fill="FFFFFF"/>
        </w:rPr>
        <w:t xml:space="preserve">. </w:t>
      </w:r>
      <w:r w:rsidRPr="14950E1D">
        <w:rPr>
          <w:sz w:val="22"/>
          <w:szCs w:val="22"/>
          <w:shd w:val="clear" w:color="auto" w:fill="FFFFFF"/>
        </w:rPr>
        <w:t xml:space="preserve">Levels of these nutrients are typically higher in what are termed ‘discretionary’ food and </w:t>
      </w:r>
      <w:r w:rsidR="4A4775A2" w:rsidRPr="14950E1D">
        <w:rPr>
          <w:sz w:val="22"/>
          <w:szCs w:val="22"/>
          <w:shd w:val="clear" w:color="auto" w:fill="FFFFFF"/>
        </w:rPr>
        <w:t>beverages</w:t>
      </w:r>
      <w:r w:rsidR="004E77B6">
        <w:rPr>
          <w:sz w:val="22"/>
          <w:szCs w:val="22"/>
          <w:shd w:val="clear" w:color="auto" w:fill="FFFFFF"/>
        </w:rPr>
        <w:t xml:space="preserve"> in the</w:t>
      </w:r>
      <w:r w:rsidR="00491F42">
        <w:rPr>
          <w:sz w:val="22"/>
          <w:szCs w:val="22"/>
          <w:shd w:val="clear" w:color="auto" w:fill="FFFFFF"/>
        </w:rPr>
        <w:t xml:space="preserve"> </w:t>
      </w:r>
      <w:r w:rsidRPr="14950E1D">
        <w:rPr>
          <w:sz w:val="22"/>
          <w:szCs w:val="22"/>
          <w:shd w:val="clear" w:color="auto" w:fill="FFFFFF"/>
        </w:rPr>
        <w:t>ADG</w:t>
      </w:r>
      <w:r w:rsidR="007079FF">
        <w:rPr>
          <w:sz w:val="22"/>
          <w:szCs w:val="22"/>
          <w:shd w:val="clear" w:color="auto" w:fill="FFFFFF"/>
        </w:rPr>
        <w:t xml:space="preserve"> (1</w:t>
      </w:r>
      <w:r w:rsidR="00A6006D">
        <w:rPr>
          <w:sz w:val="22"/>
          <w:szCs w:val="22"/>
          <w:shd w:val="clear" w:color="auto" w:fill="FFFFFF"/>
        </w:rPr>
        <w:t>6</w:t>
      </w:r>
      <w:r w:rsidR="006A3D58">
        <w:rPr>
          <w:sz w:val="22"/>
          <w:szCs w:val="22"/>
          <w:shd w:val="clear" w:color="auto" w:fill="FFFFFF"/>
        </w:rPr>
        <w:t>).</w:t>
      </w:r>
    </w:p>
    <w:p w14:paraId="4F4D4E71" w14:textId="4F2BD7B4" w:rsidR="00E92B38" w:rsidRPr="00B5325D" w:rsidRDefault="00E92B38" w:rsidP="00795E9E">
      <w:pPr>
        <w:widowControl w:val="0"/>
        <w:autoSpaceDE w:val="0"/>
        <w:autoSpaceDN w:val="0"/>
        <w:adjustRightInd w:val="0"/>
        <w:spacing w:after="240"/>
        <w:rPr>
          <w:sz w:val="22"/>
          <w:szCs w:val="22"/>
        </w:rPr>
      </w:pPr>
      <w:r w:rsidRPr="6099F934">
        <w:rPr>
          <w:sz w:val="22"/>
          <w:szCs w:val="22"/>
        </w:rPr>
        <w:t xml:space="preserve">Most Australians consume a diet that is significantly out of step with </w:t>
      </w:r>
      <w:r w:rsidR="00DA60D6" w:rsidRPr="6099F934">
        <w:rPr>
          <w:sz w:val="22"/>
          <w:szCs w:val="22"/>
        </w:rPr>
        <w:t>the ADG</w:t>
      </w:r>
      <w:r w:rsidRPr="6099F934">
        <w:rPr>
          <w:sz w:val="22"/>
          <w:szCs w:val="22"/>
        </w:rPr>
        <w:t xml:space="preserve">. For example, less than </w:t>
      </w:r>
      <w:r w:rsidR="00DA60D6" w:rsidRPr="6099F934">
        <w:rPr>
          <w:sz w:val="22"/>
          <w:szCs w:val="22"/>
        </w:rPr>
        <w:t>1</w:t>
      </w:r>
      <w:r w:rsidRPr="6099F934">
        <w:rPr>
          <w:sz w:val="22"/>
          <w:szCs w:val="22"/>
        </w:rPr>
        <w:t xml:space="preserve"> in 24 Australians consume the recommended number of serves of vegetables and legumes/beans on a usual basis, only </w:t>
      </w:r>
      <w:r w:rsidR="00DA60D6" w:rsidRPr="6099F934">
        <w:rPr>
          <w:sz w:val="22"/>
          <w:szCs w:val="22"/>
        </w:rPr>
        <w:t xml:space="preserve">1 </w:t>
      </w:r>
      <w:r w:rsidRPr="6099F934">
        <w:rPr>
          <w:sz w:val="22"/>
          <w:szCs w:val="22"/>
        </w:rPr>
        <w:t xml:space="preserve">in 10 meet the guidelines for dairy products, while only </w:t>
      </w:r>
      <w:r w:rsidR="00DA60D6" w:rsidRPr="6099F934">
        <w:rPr>
          <w:sz w:val="22"/>
          <w:szCs w:val="22"/>
        </w:rPr>
        <w:t>1</w:t>
      </w:r>
      <w:r w:rsidRPr="6099F934">
        <w:rPr>
          <w:sz w:val="22"/>
          <w:szCs w:val="22"/>
        </w:rPr>
        <w:t xml:space="preserve"> in </w:t>
      </w:r>
      <w:r w:rsidR="00DA60D6" w:rsidRPr="6099F934">
        <w:rPr>
          <w:sz w:val="22"/>
          <w:szCs w:val="22"/>
        </w:rPr>
        <w:t xml:space="preserve">7 </w:t>
      </w:r>
      <w:r w:rsidRPr="6099F934">
        <w:rPr>
          <w:sz w:val="22"/>
          <w:szCs w:val="22"/>
        </w:rPr>
        <w:t>meet the guidelines for lean meats and alternatives</w:t>
      </w:r>
      <w:r w:rsidR="00360123" w:rsidRPr="6099F934">
        <w:rPr>
          <w:sz w:val="22"/>
          <w:szCs w:val="22"/>
        </w:rPr>
        <w:t xml:space="preserve"> (3</w:t>
      </w:r>
      <w:r w:rsidR="007079FF" w:rsidRPr="6099F934">
        <w:rPr>
          <w:sz w:val="22"/>
          <w:szCs w:val="22"/>
        </w:rPr>
        <w:t>)</w:t>
      </w:r>
      <w:r w:rsidRPr="6099F934">
        <w:rPr>
          <w:sz w:val="22"/>
          <w:szCs w:val="22"/>
        </w:rPr>
        <w:t>. Conversely, Australians spend more than half (58</w:t>
      </w:r>
      <w:r w:rsidR="004C3B0A" w:rsidRPr="6099F934">
        <w:rPr>
          <w:sz w:val="22"/>
          <w:szCs w:val="22"/>
        </w:rPr>
        <w:t>%</w:t>
      </w:r>
      <w:r w:rsidRPr="6099F934">
        <w:rPr>
          <w:sz w:val="22"/>
          <w:szCs w:val="22"/>
        </w:rPr>
        <w:t xml:space="preserve">) of their food budget on energy-dense, nutrient-poor discretionary foods such as sugar-sweetened beverages, cakes, </w:t>
      </w:r>
      <w:proofErr w:type="gramStart"/>
      <w:r w:rsidR="22DCC92B" w:rsidRPr="6099F934">
        <w:rPr>
          <w:sz w:val="22"/>
          <w:szCs w:val="22"/>
        </w:rPr>
        <w:t>confectionery</w:t>
      </w:r>
      <w:proofErr w:type="gramEnd"/>
      <w:r w:rsidRPr="6099F934">
        <w:rPr>
          <w:sz w:val="22"/>
          <w:szCs w:val="22"/>
        </w:rPr>
        <w:t xml:space="preserve"> and pastry products</w:t>
      </w:r>
      <w:r w:rsidR="00360123" w:rsidRPr="6099F934">
        <w:rPr>
          <w:sz w:val="22"/>
          <w:szCs w:val="22"/>
        </w:rPr>
        <w:t xml:space="preserve"> (1</w:t>
      </w:r>
      <w:r w:rsidR="00A6006D">
        <w:rPr>
          <w:sz w:val="22"/>
          <w:szCs w:val="22"/>
        </w:rPr>
        <w:t>7</w:t>
      </w:r>
      <w:r w:rsidR="002A5DA3" w:rsidRPr="6099F934">
        <w:rPr>
          <w:sz w:val="22"/>
          <w:szCs w:val="22"/>
        </w:rPr>
        <w:t>)</w:t>
      </w:r>
      <w:r w:rsidR="006A3D58">
        <w:t>.</w:t>
      </w:r>
      <w:r w:rsidRPr="6099F934">
        <w:rPr>
          <w:sz w:val="22"/>
          <w:szCs w:val="22"/>
        </w:rPr>
        <w:t xml:space="preserve"> Discretionary foods </w:t>
      </w:r>
      <w:r w:rsidR="6D0D992E" w:rsidRPr="6099F934">
        <w:rPr>
          <w:sz w:val="22"/>
          <w:szCs w:val="22"/>
        </w:rPr>
        <w:t xml:space="preserve">and beverages </w:t>
      </w:r>
      <w:r w:rsidRPr="6099F934">
        <w:rPr>
          <w:sz w:val="22"/>
          <w:szCs w:val="22"/>
        </w:rPr>
        <w:t>account for over one-third of the Australian population’s total energy intake</w:t>
      </w:r>
      <w:r w:rsidR="00931D2A" w:rsidRPr="6099F934">
        <w:rPr>
          <w:sz w:val="22"/>
          <w:szCs w:val="22"/>
        </w:rPr>
        <w:t>;</w:t>
      </w:r>
      <w:r w:rsidR="00360123" w:rsidRPr="6099F934">
        <w:rPr>
          <w:sz w:val="22"/>
          <w:szCs w:val="22"/>
        </w:rPr>
        <w:t xml:space="preserve"> (3</w:t>
      </w:r>
      <w:r w:rsidR="00931D2A" w:rsidRPr="6099F934">
        <w:rPr>
          <w:sz w:val="22"/>
          <w:szCs w:val="22"/>
        </w:rPr>
        <w:t xml:space="preserve">) </w:t>
      </w:r>
      <w:r w:rsidR="00931D2A" w:rsidRPr="6099F934">
        <w:rPr>
          <w:rStyle w:val="FootnoteReference"/>
          <w:sz w:val="22"/>
          <w:szCs w:val="22"/>
        </w:rPr>
        <w:t xml:space="preserve"> </w:t>
      </w:r>
      <w:r w:rsidRPr="6099F934">
        <w:rPr>
          <w:sz w:val="22"/>
          <w:szCs w:val="22"/>
        </w:rPr>
        <w:t>and</w:t>
      </w:r>
      <w:r w:rsidR="00F002E9" w:rsidRPr="6099F934">
        <w:rPr>
          <w:sz w:val="22"/>
          <w:szCs w:val="22"/>
        </w:rPr>
        <w:t xml:space="preserve"> contribute to excessive intake</w:t>
      </w:r>
      <w:r w:rsidRPr="6099F934">
        <w:rPr>
          <w:sz w:val="22"/>
          <w:szCs w:val="22"/>
        </w:rPr>
        <w:t xml:space="preserve"> of energy, </w:t>
      </w:r>
      <w:r w:rsidR="006273C7" w:rsidRPr="6099F934">
        <w:rPr>
          <w:sz w:val="22"/>
          <w:szCs w:val="22"/>
        </w:rPr>
        <w:t xml:space="preserve">added </w:t>
      </w:r>
      <w:r w:rsidRPr="6099F934">
        <w:rPr>
          <w:sz w:val="22"/>
          <w:szCs w:val="22"/>
        </w:rPr>
        <w:t>sugars</w:t>
      </w:r>
      <w:r w:rsidR="006273C7" w:rsidRPr="6099F934">
        <w:rPr>
          <w:sz w:val="22"/>
          <w:szCs w:val="22"/>
        </w:rPr>
        <w:t>,</w:t>
      </w:r>
      <w:r w:rsidRPr="6099F934">
        <w:rPr>
          <w:sz w:val="22"/>
          <w:szCs w:val="22"/>
        </w:rPr>
        <w:t xml:space="preserve"> saturated fat</w:t>
      </w:r>
      <w:r w:rsidR="006273C7" w:rsidRPr="6099F934">
        <w:rPr>
          <w:sz w:val="22"/>
          <w:szCs w:val="22"/>
        </w:rPr>
        <w:t xml:space="preserve"> and sodium.</w:t>
      </w:r>
    </w:p>
    <w:p w14:paraId="11F6CE2D" w14:textId="77777777" w:rsidR="003F2B7E" w:rsidRDefault="00E92B38" w:rsidP="00795E9E">
      <w:pPr>
        <w:autoSpaceDE w:val="0"/>
        <w:autoSpaceDN w:val="0"/>
        <w:adjustRightInd w:val="0"/>
        <w:spacing w:after="240"/>
        <w:rPr>
          <w:rFonts w:cstheme="minorBidi"/>
          <w:sz w:val="22"/>
        </w:rPr>
      </w:pPr>
      <w:r w:rsidRPr="05260A5A">
        <w:rPr>
          <w:sz w:val="22"/>
          <w:szCs w:val="22"/>
        </w:rPr>
        <w:t xml:space="preserve">For these reasons, </w:t>
      </w:r>
      <w:r w:rsidR="00E522DE" w:rsidRPr="05260A5A">
        <w:rPr>
          <w:sz w:val="22"/>
          <w:szCs w:val="22"/>
        </w:rPr>
        <w:t xml:space="preserve">the IBPGWG prioritised </w:t>
      </w:r>
      <w:r w:rsidR="00DA60D6">
        <w:rPr>
          <w:sz w:val="22"/>
          <w:szCs w:val="22"/>
        </w:rPr>
        <w:t xml:space="preserve">reducing </w:t>
      </w:r>
      <w:r w:rsidR="00E522DE" w:rsidRPr="05260A5A">
        <w:rPr>
          <w:sz w:val="22"/>
          <w:szCs w:val="22"/>
        </w:rPr>
        <w:t>serving sizes of</w:t>
      </w:r>
      <w:r w:rsidRPr="05260A5A">
        <w:rPr>
          <w:sz w:val="22"/>
          <w:szCs w:val="22"/>
        </w:rPr>
        <w:t xml:space="preserve"> discretionary foods, noting that increasing serving sizes for </w:t>
      </w:r>
      <w:r w:rsidR="00F002E9">
        <w:rPr>
          <w:sz w:val="22"/>
          <w:szCs w:val="22"/>
        </w:rPr>
        <w:t xml:space="preserve">the </w:t>
      </w:r>
      <w:r w:rsidR="4E94B20C" w:rsidRPr="05260A5A">
        <w:rPr>
          <w:sz w:val="22"/>
          <w:szCs w:val="22"/>
        </w:rPr>
        <w:t>FFG</w:t>
      </w:r>
      <w:r w:rsidR="006273C7" w:rsidRPr="05260A5A">
        <w:rPr>
          <w:sz w:val="22"/>
          <w:szCs w:val="22"/>
        </w:rPr>
        <w:t xml:space="preserve"> </w:t>
      </w:r>
      <w:r w:rsidRPr="05260A5A">
        <w:rPr>
          <w:sz w:val="22"/>
          <w:szCs w:val="22"/>
        </w:rPr>
        <w:t xml:space="preserve">foods may be considered at a future time. </w:t>
      </w:r>
      <w:r w:rsidR="003F2B7E" w:rsidRPr="00B5325D">
        <w:rPr>
          <w:rFonts w:cstheme="minorBidi"/>
          <w:sz w:val="22"/>
        </w:rPr>
        <w:t xml:space="preserve">While the IBPGWG acknowledges the contribution </w:t>
      </w:r>
      <w:r w:rsidR="003F2B7E">
        <w:rPr>
          <w:rFonts w:cstheme="minorBidi"/>
          <w:sz w:val="22"/>
        </w:rPr>
        <w:t xml:space="preserve">of </w:t>
      </w:r>
      <w:r w:rsidR="003F2B7E" w:rsidRPr="00B5325D">
        <w:rPr>
          <w:rFonts w:cstheme="minorBidi"/>
          <w:sz w:val="22"/>
        </w:rPr>
        <w:t>alcoholic beverages to discretionary energy</w:t>
      </w:r>
      <w:r w:rsidR="003F2B7E">
        <w:rPr>
          <w:rFonts w:cstheme="minorBidi"/>
          <w:sz w:val="22"/>
        </w:rPr>
        <w:t xml:space="preserve"> intake</w:t>
      </w:r>
      <w:r w:rsidR="003F2B7E" w:rsidRPr="00B5325D">
        <w:rPr>
          <w:rFonts w:cstheme="minorBidi"/>
          <w:sz w:val="22"/>
        </w:rPr>
        <w:t>, this sector was deemed out of scope</w:t>
      </w:r>
      <w:r w:rsidR="003F2B7E">
        <w:rPr>
          <w:rFonts w:cstheme="minorBidi"/>
          <w:sz w:val="22"/>
        </w:rPr>
        <w:t xml:space="preserve"> for the Guide</w:t>
      </w:r>
      <w:r w:rsidR="003F2B7E" w:rsidRPr="00B5325D">
        <w:rPr>
          <w:rFonts w:cstheme="minorBidi"/>
          <w:sz w:val="22"/>
        </w:rPr>
        <w:t>.</w:t>
      </w:r>
    </w:p>
    <w:p w14:paraId="565C2240" w14:textId="2468C66B" w:rsidR="00DD1EB6" w:rsidRDefault="0011150D" w:rsidP="00795E9E">
      <w:pPr>
        <w:spacing w:after="240"/>
        <w:rPr>
          <w:sz w:val="22"/>
          <w:szCs w:val="22"/>
        </w:rPr>
      </w:pPr>
      <w:r w:rsidRPr="3BD28443">
        <w:rPr>
          <w:sz w:val="22"/>
          <w:szCs w:val="22"/>
        </w:rPr>
        <w:t>The foods and beverages contributing the most to discretionary energy in the 2011</w:t>
      </w:r>
      <w:r w:rsidR="00B4019E">
        <w:rPr>
          <w:sz w:val="22"/>
          <w:szCs w:val="22"/>
        </w:rPr>
        <w:t>–</w:t>
      </w:r>
      <w:r w:rsidRPr="3BD28443">
        <w:rPr>
          <w:sz w:val="22"/>
          <w:szCs w:val="22"/>
        </w:rPr>
        <w:t xml:space="preserve">12 </w:t>
      </w:r>
      <w:r w:rsidR="3225BDBF" w:rsidRPr="3BD28443">
        <w:rPr>
          <w:sz w:val="22"/>
          <w:szCs w:val="22"/>
        </w:rPr>
        <w:t>N</w:t>
      </w:r>
      <w:r w:rsidR="5E1B11E6" w:rsidRPr="3BD28443">
        <w:rPr>
          <w:sz w:val="22"/>
          <w:szCs w:val="22"/>
        </w:rPr>
        <w:t>a</w:t>
      </w:r>
      <w:r w:rsidR="3225BDBF" w:rsidRPr="3BD28443">
        <w:rPr>
          <w:sz w:val="22"/>
          <w:szCs w:val="22"/>
        </w:rPr>
        <w:t>tional Nutrition and Physical Activity Survey (</w:t>
      </w:r>
      <w:r w:rsidRPr="001B25AE">
        <w:rPr>
          <w:sz w:val="22"/>
          <w:szCs w:val="22"/>
        </w:rPr>
        <w:t>NNPAS</w:t>
      </w:r>
      <w:r w:rsidR="1D5BDA9A" w:rsidRPr="3BD28443">
        <w:rPr>
          <w:sz w:val="22"/>
          <w:szCs w:val="22"/>
        </w:rPr>
        <w:t>)</w:t>
      </w:r>
      <w:r w:rsidRPr="3BD28443">
        <w:rPr>
          <w:sz w:val="22"/>
          <w:szCs w:val="22"/>
        </w:rPr>
        <w:t xml:space="preserve"> are listed in </w:t>
      </w:r>
      <w:r w:rsidR="006273C7" w:rsidRPr="3BD28443">
        <w:rPr>
          <w:sz w:val="22"/>
          <w:szCs w:val="22"/>
        </w:rPr>
        <w:t>T</w:t>
      </w:r>
      <w:r w:rsidRPr="3BD28443">
        <w:rPr>
          <w:sz w:val="22"/>
          <w:szCs w:val="22"/>
        </w:rPr>
        <w:t xml:space="preserve">able </w:t>
      </w:r>
      <w:r w:rsidR="006273C7" w:rsidRPr="3BD28443">
        <w:rPr>
          <w:sz w:val="22"/>
          <w:szCs w:val="22"/>
        </w:rPr>
        <w:t>1</w:t>
      </w:r>
      <w:r w:rsidR="005A233D" w:rsidRPr="3BD28443">
        <w:rPr>
          <w:sz w:val="22"/>
          <w:szCs w:val="22"/>
        </w:rPr>
        <w:t xml:space="preserve"> and </w:t>
      </w:r>
      <w:r w:rsidR="006273C7" w:rsidRPr="3BD28443">
        <w:rPr>
          <w:sz w:val="22"/>
          <w:szCs w:val="22"/>
        </w:rPr>
        <w:t>T</w:t>
      </w:r>
      <w:r w:rsidR="005A233D" w:rsidRPr="3BD28443">
        <w:rPr>
          <w:sz w:val="22"/>
          <w:szCs w:val="22"/>
        </w:rPr>
        <w:t xml:space="preserve">able </w:t>
      </w:r>
      <w:r w:rsidR="006273C7" w:rsidRPr="3BD28443">
        <w:rPr>
          <w:sz w:val="22"/>
          <w:szCs w:val="22"/>
        </w:rPr>
        <w:t>2</w:t>
      </w:r>
      <w:r w:rsidR="3A249713" w:rsidRPr="3BD28443">
        <w:rPr>
          <w:sz w:val="22"/>
          <w:szCs w:val="22"/>
        </w:rPr>
        <w:t xml:space="preserve">. </w:t>
      </w:r>
    </w:p>
    <w:p w14:paraId="7A5F4CA7" w14:textId="77777777" w:rsidR="00DD1EB6" w:rsidRDefault="00DD1EB6" w:rsidP="00DD1EB6">
      <w:pPr>
        <w:spacing w:before="120"/>
        <w:rPr>
          <w:b/>
          <w:bCs/>
          <w:sz w:val="22"/>
          <w:szCs w:val="22"/>
        </w:rPr>
      </w:pPr>
    </w:p>
    <w:p w14:paraId="6DF190C5" w14:textId="279AD80E" w:rsidR="004F5DB5" w:rsidRPr="00B5325D" w:rsidRDefault="4728EA07" w:rsidP="00795E9E">
      <w:pPr>
        <w:spacing w:before="120" w:after="120"/>
        <w:rPr>
          <w:b/>
          <w:bCs/>
          <w:sz w:val="22"/>
          <w:szCs w:val="22"/>
        </w:rPr>
      </w:pPr>
      <w:r w:rsidRPr="6099F934">
        <w:rPr>
          <w:b/>
          <w:bCs/>
          <w:sz w:val="22"/>
          <w:szCs w:val="22"/>
        </w:rPr>
        <w:t>Table 1</w:t>
      </w:r>
      <w:r w:rsidR="2105A452" w:rsidRPr="6099F934">
        <w:rPr>
          <w:b/>
          <w:bCs/>
          <w:sz w:val="22"/>
          <w:szCs w:val="22"/>
        </w:rPr>
        <w:t>: Food contributing</w:t>
      </w:r>
      <w:r w:rsidR="71A531AD" w:rsidRPr="6099F934">
        <w:rPr>
          <w:b/>
          <w:bCs/>
          <w:sz w:val="22"/>
          <w:szCs w:val="22"/>
        </w:rPr>
        <w:t xml:space="preserve"> </w:t>
      </w:r>
      <w:r w:rsidR="5CEFE978" w:rsidRPr="6099F934">
        <w:rPr>
          <w:b/>
          <w:bCs/>
          <w:sz w:val="22"/>
          <w:szCs w:val="22"/>
        </w:rPr>
        <w:t xml:space="preserve">&gt;0.5% </w:t>
      </w:r>
      <w:r w:rsidR="71A531AD" w:rsidRPr="6099F934">
        <w:rPr>
          <w:b/>
          <w:bCs/>
          <w:sz w:val="22"/>
          <w:szCs w:val="22"/>
        </w:rPr>
        <w:t xml:space="preserve">discretionary energy </w:t>
      </w:r>
      <w:r w:rsidR="2105A452" w:rsidRPr="6099F934">
        <w:rPr>
          <w:b/>
          <w:bCs/>
          <w:sz w:val="22"/>
          <w:szCs w:val="22"/>
        </w:rPr>
        <w:t>intake</w:t>
      </w:r>
      <w:r w:rsidR="5CEFE978" w:rsidRPr="6099F934">
        <w:rPr>
          <w:b/>
          <w:bCs/>
          <w:sz w:val="22"/>
          <w:szCs w:val="22"/>
        </w:rPr>
        <w:t xml:space="preserve"> (</w:t>
      </w:r>
      <w:r w:rsidR="3D4521EA" w:rsidRPr="6099F934">
        <w:rPr>
          <w:b/>
          <w:bCs/>
          <w:sz w:val="22"/>
          <w:szCs w:val="22"/>
        </w:rPr>
        <w:t xml:space="preserve">as proportion </w:t>
      </w:r>
      <w:r w:rsidR="5CEFE978" w:rsidRPr="6099F934">
        <w:rPr>
          <w:b/>
          <w:bCs/>
          <w:sz w:val="22"/>
          <w:szCs w:val="22"/>
        </w:rPr>
        <w:t>of total energy)</w:t>
      </w:r>
      <w:r w:rsidR="2105A452" w:rsidRPr="6099F934">
        <w:rPr>
          <w:b/>
          <w:bCs/>
          <w:sz w:val="22"/>
          <w:szCs w:val="22"/>
        </w:rPr>
        <w:t xml:space="preserve"> for the Australian population (2+ years)</w:t>
      </w:r>
      <w:r w:rsidR="232B24F8" w:rsidRPr="6099F934">
        <w:rPr>
          <w:b/>
          <w:bCs/>
          <w:sz w:val="22"/>
          <w:szCs w:val="22"/>
        </w:rPr>
        <w:t xml:space="preserve"> at the 3-digit level</w:t>
      </w:r>
      <w:r w:rsidR="000B2385" w:rsidRPr="6099F934">
        <w:rPr>
          <w:b/>
          <w:bCs/>
          <w:sz w:val="22"/>
          <w:szCs w:val="22"/>
        </w:rPr>
        <w:t xml:space="preserve"> (3</w:t>
      </w:r>
      <w:r w:rsidR="00334279" w:rsidRPr="6099F934">
        <w:rPr>
          <w:b/>
          <w:bCs/>
          <w:sz w:val="22"/>
          <w:szCs w:val="22"/>
        </w:rPr>
        <w:t>)</w:t>
      </w:r>
    </w:p>
    <w:tbl>
      <w:tblPr>
        <w:tblStyle w:val="GridTable4-Accent52"/>
        <w:tblW w:w="9639" w:type="dxa"/>
        <w:tblInd w:w="108" w:type="dxa"/>
        <w:tblLook w:val="04A0" w:firstRow="1" w:lastRow="0" w:firstColumn="1" w:lastColumn="0" w:noHBand="0" w:noVBand="1"/>
        <w:tblCaption w:val="Table 4: Food contributing ≥1 per cent sodium intake for the Australian population (2+ years), ABS 2014"/>
      </w:tblPr>
      <w:tblGrid>
        <w:gridCol w:w="8505"/>
        <w:gridCol w:w="1134"/>
      </w:tblGrid>
      <w:tr w:rsidR="004F5DB5" w:rsidRPr="00B5325D" w14:paraId="5A52A531" w14:textId="77777777" w:rsidTr="3BD28443">
        <w:trPr>
          <w:cnfStyle w:val="100000000000" w:firstRow="1" w:lastRow="0" w:firstColumn="0" w:lastColumn="0" w:oddVBand="0" w:evenVBand="0" w:oddHBand="0" w:evenHBand="0" w:firstRowFirstColumn="0" w:firstRowLastColumn="0" w:lastRowFirstColumn="0" w:lastRowLastColumn="0"/>
          <w:cantSplit/>
          <w:trHeight w:val="315"/>
          <w:tblHeader/>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auto"/>
              <w:left w:val="single" w:sz="4" w:space="0" w:color="auto"/>
            </w:tcBorders>
            <w:noWrap/>
          </w:tcPr>
          <w:p w14:paraId="674BC2BC" w14:textId="05B25A83" w:rsidR="004F5DB5" w:rsidRPr="00B5325D" w:rsidRDefault="004F5DB5" w:rsidP="005A233D">
            <w:pPr>
              <w:spacing w:before="120"/>
              <w:contextualSpacing/>
              <w:rPr>
                <w:sz w:val="22"/>
                <w:szCs w:val="22"/>
              </w:rPr>
            </w:pPr>
            <w:r w:rsidRPr="00B5325D">
              <w:rPr>
                <w:sz w:val="22"/>
                <w:szCs w:val="22"/>
              </w:rPr>
              <w:t>Food Category (NNPAS 3-digit</w:t>
            </w:r>
            <w:r w:rsidR="00FF0B87" w:rsidRPr="00B5325D">
              <w:rPr>
                <w:sz w:val="22"/>
                <w:szCs w:val="22"/>
              </w:rPr>
              <w:t xml:space="preserve"> food categories</w:t>
            </w:r>
            <w:r w:rsidRPr="00B5325D">
              <w:rPr>
                <w:sz w:val="22"/>
                <w:szCs w:val="22"/>
              </w:rPr>
              <w:t>)</w:t>
            </w:r>
          </w:p>
        </w:tc>
        <w:tc>
          <w:tcPr>
            <w:tcW w:w="1134" w:type="dxa"/>
            <w:tcBorders>
              <w:top w:val="single" w:sz="4" w:space="0" w:color="auto"/>
              <w:right w:val="single" w:sz="4" w:space="0" w:color="auto"/>
            </w:tcBorders>
            <w:noWrap/>
          </w:tcPr>
          <w:p w14:paraId="607A9929" w14:textId="77777777" w:rsidR="004F5DB5" w:rsidRPr="00B5325D" w:rsidRDefault="004F5DB5" w:rsidP="00D3783A">
            <w:pPr>
              <w:spacing w:before="120"/>
              <w:contextualSpacing/>
              <w:jc w:val="right"/>
              <w:cnfStyle w:val="100000000000" w:firstRow="1" w:lastRow="0" w:firstColumn="0" w:lastColumn="0" w:oddVBand="0" w:evenVBand="0" w:oddHBand="0" w:evenHBand="0" w:firstRowFirstColumn="0" w:firstRowLastColumn="0" w:lastRowFirstColumn="0" w:lastRowLastColumn="0"/>
              <w:rPr>
                <w:sz w:val="22"/>
                <w:szCs w:val="22"/>
              </w:rPr>
            </w:pPr>
            <w:r w:rsidRPr="00B5325D">
              <w:rPr>
                <w:sz w:val="22"/>
                <w:szCs w:val="22"/>
              </w:rPr>
              <w:t>%</w:t>
            </w:r>
          </w:p>
        </w:tc>
      </w:tr>
      <w:tr w:rsidR="00FF0B87" w:rsidRPr="00B5325D" w14:paraId="319DFD85" w14:textId="77777777" w:rsidTr="3BD2844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vAlign w:val="bottom"/>
          </w:tcPr>
          <w:p w14:paraId="2F9826D6" w14:textId="44EDF7B2"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Cereal-based products and dishes </w:t>
            </w:r>
          </w:p>
        </w:tc>
        <w:tc>
          <w:tcPr>
            <w:tcW w:w="1134" w:type="dxa"/>
            <w:tcBorders>
              <w:right w:val="single" w:sz="4" w:space="0" w:color="auto"/>
            </w:tcBorders>
            <w:noWrap/>
            <w:vAlign w:val="bottom"/>
          </w:tcPr>
          <w:p w14:paraId="7B16B801" w14:textId="3F7BE98B" w:rsidR="00FF0B87" w:rsidRPr="00B5325D" w:rsidRDefault="00FF0B87" w:rsidP="00FF0B87">
            <w:pPr>
              <w:spacing w:before="120"/>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10.0</w:t>
            </w:r>
          </w:p>
        </w:tc>
      </w:tr>
      <w:tr w:rsidR="00FF0B87" w:rsidRPr="00B5325D" w14:paraId="1AC1837D" w14:textId="77777777" w:rsidTr="3BD28443">
        <w:trPr>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tcPr>
          <w:p w14:paraId="1513943C" w14:textId="7B17A74E"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Alcoholic beverages </w:t>
            </w:r>
          </w:p>
        </w:tc>
        <w:tc>
          <w:tcPr>
            <w:tcW w:w="1134" w:type="dxa"/>
            <w:tcBorders>
              <w:right w:val="single" w:sz="4" w:space="0" w:color="auto"/>
            </w:tcBorders>
            <w:noWrap/>
            <w:vAlign w:val="bottom"/>
          </w:tcPr>
          <w:p w14:paraId="2B2A8F20" w14:textId="2216C94B" w:rsidR="00FF0B87" w:rsidRPr="00B5325D" w:rsidRDefault="00FF0B87" w:rsidP="00FF0B87">
            <w:pPr>
              <w:spacing w:before="120"/>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4.8</w:t>
            </w:r>
          </w:p>
        </w:tc>
      </w:tr>
      <w:tr w:rsidR="00FF0B87" w:rsidRPr="00B5325D" w14:paraId="3DAF7526" w14:textId="77777777" w:rsidTr="3BD284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vAlign w:val="bottom"/>
          </w:tcPr>
          <w:p w14:paraId="0CDE031E" w14:textId="68D20B3D"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Non-alcoholic beverages </w:t>
            </w:r>
          </w:p>
        </w:tc>
        <w:tc>
          <w:tcPr>
            <w:tcW w:w="1134" w:type="dxa"/>
            <w:tcBorders>
              <w:right w:val="single" w:sz="4" w:space="0" w:color="auto"/>
            </w:tcBorders>
            <w:noWrap/>
            <w:vAlign w:val="bottom"/>
          </w:tcPr>
          <w:p w14:paraId="3C2A4BEC" w14:textId="10C0297B" w:rsidR="00FF0B87" w:rsidRPr="00B5325D" w:rsidRDefault="00FF0B87" w:rsidP="00FF0B87">
            <w:pPr>
              <w:spacing w:before="120"/>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3.8</w:t>
            </w:r>
          </w:p>
        </w:tc>
      </w:tr>
      <w:tr w:rsidR="00FF0B87" w:rsidRPr="00B5325D" w14:paraId="4C6B1381" w14:textId="77777777" w:rsidTr="3BD28443">
        <w:trPr>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tcPr>
          <w:p w14:paraId="7B3945C5" w14:textId="2859B5FB"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Confectionery and cereal/nut/fruit/seed bars </w:t>
            </w:r>
          </w:p>
        </w:tc>
        <w:tc>
          <w:tcPr>
            <w:tcW w:w="1134" w:type="dxa"/>
            <w:tcBorders>
              <w:right w:val="single" w:sz="4" w:space="0" w:color="auto"/>
            </w:tcBorders>
            <w:noWrap/>
            <w:vAlign w:val="bottom"/>
          </w:tcPr>
          <w:p w14:paraId="5F3697D1" w14:textId="1CD6D264" w:rsidR="00FF0B87" w:rsidRPr="00B5325D" w:rsidRDefault="00FF0B87" w:rsidP="00FF0B87">
            <w:pPr>
              <w:spacing w:before="120"/>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2.8</w:t>
            </w:r>
          </w:p>
        </w:tc>
      </w:tr>
      <w:tr w:rsidR="00FF0B87" w:rsidRPr="00B5325D" w14:paraId="65C6BFE6" w14:textId="77777777"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vAlign w:val="bottom"/>
          </w:tcPr>
          <w:p w14:paraId="42D808E4" w14:textId="5C37237D"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Meat, poultry and game products and dishes </w:t>
            </w:r>
          </w:p>
        </w:tc>
        <w:tc>
          <w:tcPr>
            <w:tcW w:w="1134" w:type="dxa"/>
            <w:tcBorders>
              <w:right w:val="single" w:sz="4" w:space="0" w:color="auto"/>
            </w:tcBorders>
            <w:noWrap/>
            <w:vAlign w:val="bottom"/>
          </w:tcPr>
          <w:p w14:paraId="74D9E22D" w14:textId="7CE61A20" w:rsidR="00FF0B87" w:rsidRPr="00B5325D" w:rsidRDefault="00FF0B87" w:rsidP="00FF0B87">
            <w:pPr>
              <w:spacing w:before="120"/>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2.7</w:t>
            </w:r>
          </w:p>
        </w:tc>
      </w:tr>
      <w:tr w:rsidR="00FF0B87" w:rsidRPr="00B5325D" w14:paraId="6C935102" w14:textId="77777777" w:rsidTr="3BD28443">
        <w:trPr>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vAlign w:val="bottom"/>
          </w:tcPr>
          <w:p w14:paraId="4ACFACD1" w14:textId="52DA6C44"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Milk products and dishes </w:t>
            </w:r>
          </w:p>
        </w:tc>
        <w:tc>
          <w:tcPr>
            <w:tcW w:w="1134" w:type="dxa"/>
            <w:tcBorders>
              <w:right w:val="single" w:sz="4" w:space="0" w:color="auto"/>
            </w:tcBorders>
            <w:noWrap/>
            <w:vAlign w:val="bottom"/>
          </w:tcPr>
          <w:p w14:paraId="1C25AE10" w14:textId="64BD8AC7" w:rsidR="00FF0B87" w:rsidRPr="00B5325D" w:rsidRDefault="00FF0B87" w:rsidP="00FF0B87">
            <w:pPr>
              <w:spacing w:before="120"/>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2.1</w:t>
            </w:r>
          </w:p>
        </w:tc>
      </w:tr>
      <w:tr w:rsidR="00FF0B87" w:rsidRPr="00B5325D" w14:paraId="2BB30104" w14:textId="77777777"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vAlign w:val="bottom"/>
          </w:tcPr>
          <w:p w14:paraId="5E08F425" w14:textId="7F41EAA2"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Vegetable products and dishes </w:t>
            </w:r>
          </w:p>
        </w:tc>
        <w:tc>
          <w:tcPr>
            <w:tcW w:w="1134" w:type="dxa"/>
            <w:tcBorders>
              <w:right w:val="single" w:sz="4" w:space="0" w:color="auto"/>
            </w:tcBorders>
            <w:noWrap/>
            <w:vAlign w:val="bottom"/>
          </w:tcPr>
          <w:p w14:paraId="188B1BB7" w14:textId="2D2335C3" w:rsidR="00FF0B87" w:rsidRPr="00B5325D" w:rsidRDefault="00FF0B87" w:rsidP="00FF0B87">
            <w:pPr>
              <w:spacing w:before="120"/>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1.8</w:t>
            </w:r>
          </w:p>
        </w:tc>
      </w:tr>
      <w:tr w:rsidR="00FF0B87" w:rsidRPr="00B5325D" w14:paraId="0621CF41" w14:textId="77777777" w:rsidTr="3BD28443">
        <w:trPr>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tcPr>
          <w:p w14:paraId="0D3ABF83" w14:textId="4AC817B8"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Sugar products and dishes </w:t>
            </w:r>
          </w:p>
        </w:tc>
        <w:tc>
          <w:tcPr>
            <w:tcW w:w="1134" w:type="dxa"/>
            <w:tcBorders>
              <w:right w:val="single" w:sz="4" w:space="0" w:color="auto"/>
            </w:tcBorders>
            <w:noWrap/>
            <w:vAlign w:val="bottom"/>
          </w:tcPr>
          <w:p w14:paraId="21D1BBE4" w14:textId="3120748D" w:rsidR="00FF0B87" w:rsidRPr="00B5325D" w:rsidRDefault="00FF0B87" w:rsidP="00FF0B87">
            <w:pPr>
              <w:spacing w:before="120"/>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1.8</w:t>
            </w:r>
          </w:p>
        </w:tc>
      </w:tr>
      <w:tr w:rsidR="00FF0B87" w:rsidRPr="00B5325D" w14:paraId="499CF23C" w14:textId="77777777"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vAlign w:val="bottom"/>
          </w:tcPr>
          <w:p w14:paraId="0339B218" w14:textId="62778C30" w:rsidR="00FF0B87" w:rsidRPr="00B5325D" w:rsidRDefault="00FF0B87" w:rsidP="3BD28443">
            <w:pPr>
              <w:spacing w:before="120"/>
              <w:contextualSpacing/>
              <w:rPr>
                <w:rFonts w:cstheme="minorBidi"/>
                <w:b w:val="0"/>
                <w:bCs w:val="0"/>
                <w:color w:val="000000"/>
                <w:sz w:val="22"/>
                <w:szCs w:val="22"/>
              </w:rPr>
            </w:pPr>
            <w:r w:rsidRPr="3BD28443">
              <w:rPr>
                <w:rFonts w:cstheme="minorBidi"/>
                <w:b w:val="0"/>
                <w:bCs w:val="0"/>
                <w:color w:val="000000" w:themeColor="text1"/>
                <w:sz w:val="22"/>
                <w:szCs w:val="22"/>
              </w:rPr>
              <w:t xml:space="preserve">Sauces, </w:t>
            </w:r>
            <w:r w:rsidR="305988F0" w:rsidRPr="3BD28443">
              <w:rPr>
                <w:rFonts w:cstheme="minorBidi"/>
                <w:b w:val="0"/>
                <w:bCs w:val="0"/>
                <w:color w:val="000000" w:themeColor="text1"/>
                <w:sz w:val="22"/>
                <w:szCs w:val="22"/>
              </w:rPr>
              <w:t>dips,</w:t>
            </w:r>
            <w:r w:rsidRPr="3BD28443">
              <w:rPr>
                <w:rFonts w:cstheme="minorBidi"/>
                <w:b w:val="0"/>
                <w:bCs w:val="0"/>
                <w:color w:val="000000" w:themeColor="text1"/>
                <w:sz w:val="22"/>
                <w:szCs w:val="22"/>
              </w:rPr>
              <w:t xml:space="preserve"> and condiments </w:t>
            </w:r>
          </w:p>
        </w:tc>
        <w:tc>
          <w:tcPr>
            <w:tcW w:w="1134" w:type="dxa"/>
            <w:tcBorders>
              <w:right w:val="single" w:sz="4" w:space="0" w:color="auto"/>
            </w:tcBorders>
            <w:noWrap/>
            <w:vAlign w:val="bottom"/>
          </w:tcPr>
          <w:p w14:paraId="5771F3A5" w14:textId="7EF3FCC8" w:rsidR="00FF0B87" w:rsidRPr="00B5325D" w:rsidRDefault="00FF0B87" w:rsidP="00FF0B87">
            <w:pPr>
              <w:spacing w:before="120"/>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1.5</w:t>
            </w:r>
          </w:p>
        </w:tc>
      </w:tr>
      <w:tr w:rsidR="00FF0B87" w:rsidRPr="00B5325D" w14:paraId="4AC0CD68" w14:textId="77777777" w:rsidTr="3BD28443">
        <w:trPr>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tcPr>
          <w:p w14:paraId="2505CADB" w14:textId="5A674A0F"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Snack foods </w:t>
            </w:r>
          </w:p>
        </w:tc>
        <w:tc>
          <w:tcPr>
            <w:tcW w:w="1134" w:type="dxa"/>
            <w:tcBorders>
              <w:right w:val="single" w:sz="4" w:space="0" w:color="auto"/>
            </w:tcBorders>
            <w:noWrap/>
            <w:vAlign w:val="bottom"/>
          </w:tcPr>
          <w:p w14:paraId="6A43EBFA" w14:textId="2BDAED65" w:rsidR="00FF0B87" w:rsidRPr="00B5325D" w:rsidRDefault="00FF0B87" w:rsidP="00FF0B87">
            <w:pPr>
              <w:spacing w:before="120"/>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1.5</w:t>
            </w:r>
          </w:p>
        </w:tc>
      </w:tr>
      <w:tr w:rsidR="00FF0B87" w:rsidRPr="00B5325D" w14:paraId="215E8F60" w14:textId="77777777"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vAlign w:val="bottom"/>
          </w:tcPr>
          <w:p w14:paraId="7AE0329B" w14:textId="08B388F8"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Fish and seafood products and dishes </w:t>
            </w:r>
          </w:p>
        </w:tc>
        <w:tc>
          <w:tcPr>
            <w:tcW w:w="1134" w:type="dxa"/>
            <w:tcBorders>
              <w:right w:val="single" w:sz="4" w:space="0" w:color="auto"/>
            </w:tcBorders>
            <w:noWrap/>
            <w:vAlign w:val="bottom"/>
          </w:tcPr>
          <w:p w14:paraId="06024D5D" w14:textId="11A77A9B" w:rsidR="00FF0B87" w:rsidRPr="00B5325D" w:rsidRDefault="00FF0B87" w:rsidP="00FF0B87">
            <w:pPr>
              <w:spacing w:before="120"/>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0.9</w:t>
            </w:r>
          </w:p>
        </w:tc>
      </w:tr>
      <w:tr w:rsidR="00FF0B87" w:rsidRPr="00B5325D" w14:paraId="332611BB" w14:textId="77777777" w:rsidTr="3BD28443">
        <w:trPr>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vAlign w:val="bottom"/>
          </w:tcPr>
          <w:p w14:paraId="5F4DB574" w14:textId="442B5014"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Fats and oils </w:t>
            </w:r>
          </w:p>
        </w:tc>
        <w:tc>
          <w:tcPr>
            <w:tcW w:w="1134" w:type="dxa"/>
            <w:tcBorders>
              <w:right w:val="single" w:sz="4" w:space="0" w:color="auto"/>
            </w:tcBorders>
            <w:noWrap/>
            <w:vAlign w:val="bottom"/>
          </w:tcPr>
          <w:p w14:paraId="433714CF" w14:textId="328A6D70" w:rsidR="00FF0B87" w:rsidRPr="00B5325D" w:rsidRDefault="00FF0B87" w:rsidP="00FF0B87">
            <w:pPr>
              <w:spacing w:before="120"/>
              <w:contextualSpacing/>
              <w:jc w:val="right"/>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0.8</w:t>
            </w:r>
          </w:p>
        </w:tc>
      </w:tr>
      <w:tr w:rsidR="00FF0B87" w:rsidRPr="00B5325D" w14:paraId="615D6577" w14:textId="77777777"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8505" w:type="dxa"/>
            <w:tcBorders>
              <w:left w:val="single" w:sz="4" w:space="0" w:color="auto"/>
            </w:tcBorders>
            <w:noWrap/>
            <w:vAlign w:val="bottom"/>
          </w:tcPr>
          <w:p w14:paraId="15929120" w14:textId="07773482" w:rsidR="00FF0B87" w:rsidRPr="00B5325D" w:rsidRDefault="00FF0B87" w:rsidP="00EC5D63">
            <w:pPr>
              <w:spacing w:before="120"/>
              <w:contextualSpacing/>
              <w:rPr>
                <w:rFonts w:cstheme="minorHAnsi"/>
                <w:b w:val="0"/>
                <w:color w:val="000000"/>
                <w:sz w:val="22"/>
                <w:szCs w:val="22"/>
              </w:rPr>
            </w:pPr>
            <w:r w:rsidRPr="00B5325D">
              <w:rPr>
                <w:rFonts w:cstheme="minorHAnsi"/>
                <w:b w:val="0"/>
                <w:bCs w:val="0"/>
                <w:color w:val="000000"/>
                <w:sz w:val="22"/>
                <w:szCs w:val="22"/>
              </w:rPr>
              <w:t xml:space="preserve">Cereals and cereal products </w:t>
            </w:r>
          </w:p>
        </w:tc>
        <w:tc>
          <w:tcPr>
            <w:tcW w:w="1134" w:type="dxa"/>
            <w:tcBorders>
              <w:right w:val="single" w:sz="4" w:space="0" w:color="auto"/>
            </w:tcBorders>
            <w:noWrap/>
            <w:vAlign w:val="bottom"/>
          </w:tcPr>
          <w:p w14:paraId="32D6468D" w14:textId="0F24FB33" w:rsidR="00FF0B87" w:rsidRPr="00B5325D" w:rsidRDefault="00FF0B87" w:rsidP="00FF0B87">
            <w:pPr>
              <w:spacing w:before="120"/>
              <w:contextualSpacing/>
              <w:jc w:val="right"/>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B5325D">
              <w:rPr>
                <w:rFonts w:cstheme="minorHAnsi"/>
                <w:color w:val="000000"/>
                <w:sz w:val="22"/>
                <w:szCs w:val="22"/>
              </w:rPr>
              <w:t>0.7</w:t>
            </w:r>
          </w:p>
        </w:tc>
      </w:tr>
    </w:tbl>
    <w:p w14:paraId="398E6A34" w14:textId="52A36927" w:rsidR="00AE496B" w:rsidRPr="001B25AE" w:rsidRDefault="009C4DAD" w:rsidP="005A233D">
      <w:pPr>
        <w:autoSpaceDE w:val="0"/>
        <w:autoSpaceDN w:val="0"/>
        <w:adjustRightInd w:val="0"/>
        <w:spacing w:before="120"/>
        <w:rPr>
          <w:i/>
          <w:iCs/>
          <w:sz w:val="22"/>
          <w:szCs w:val="22"/>
        </w:rPr>
      </w:pPr>
      <w:r w:rsidRPr="001B25AE">
        <w:rPr>
          <w:i/>
          <w:iCs/>
          <w:sz w:val="22"/>
          <w:szCs w:val="22"/>
        </w:rPr>
        <w:t>Source: NNPAS 2011</w:t>
      </w:r>
      <w:r w:rsidR="00EB2E43">
        <w:rPr>
          <w:i/>
          <w:iCs/>
          <w:sz w:val="22"/>
          <w:szCs w:val="22"/>
        </w:rPr>
        <w:t>–</w:t>
      </w:r>
      <w:r w:rsidRPr="001B25AE">
        <w:rPr>
          <w:i/>
          <w:iCs/>
          <w:sz w:val="22"/>
          <w:szCs w:val="22"/>
        </w:rPr>
        <w:t>12</w:t>
      </w:r>
    </w:p>
    <w:p w14:paraId="5698480A" w14:textId="77777777" w:rsidR="00AE496B" w:rsidRDefault="00AE496B">
      <w:pPr>
        <w:rPr>
          <w:b/>
          <w:bCs/>
          <w:sz w:val="22"/>
          <w:szCs w:val="22"/>
        </w:rPr>
      </w:pPr>
      <w:r>
        <w:rPr>
          <w:b/>
          <w:bCs/>
          <w:sz w:val="22"/>
          <w:szCs w:val="22"/>
        </w:rPr>
        <w:br w:type="page"/>
      </w:r>
    </w:p>
    <w:p w14:paraId="69B33B18" w14:textId="6F34C5E1" w:rsidR="005A233D" w:rsidRPr="00B5325D" w:rsidRDefault="005A233D" w:rsidP="00795E9E">
      <w:pPr>
        <w:autoSpaceDE w:val="0"/>
        <w:autoSpaceDN w:val="0"/>
        <w:adjustRightInd w:val="0"/>
        <w:spacing w:before="120" w:after="120"/>
        <w:rPr>
          <w:b/>
          <w:sz w:val="22"/>
          <w:szCs w:val="22"/>
        </w:rPr>
      </w:pPr>
      <w:r w:rsidRPr="00B5325D">
        <w:rPr>
          <w:b/>
          <w:bCs/>
          <w:sz w:val="22"/>
          <w:szCs w:val="22"/>
        </w:rPr>
        <w:lastRenderedPageBreak/>
        <w:t xml:space="preserve">Table </w:t>
      </w:r>
      <w:r w:rsidR="00B13BE8" w:rsidRPr="00B5325D">
        <w:rPr>
          <w:b/>
          <w:bCs/>
          <w:sz w:val="22"/>
          <w:szCs w:val="22"/>
        </w:rPr>
        <w:t>2</w:t>
      </w:r>
      <w:r w:rsidRPr="00B5325D">
        <w:rPr>
          <w:b/>
          <w:bCs/>
          <w:sz w:val="22"/>
          <w:szCs w:val="22"/>
        </w:rPr>
        <w:t>: Top 35 food categories contributing to discretionary energy intake (of total energy) for the Australian population (2+ years) at the 5-digit level</w:t>
      </w:r>
      <w:r w:rsidR="001C6D11">
        <w:rPr>
          <w:b/>
          <w:bCs/>
          <w:sz w:val="22"/>
          <w:szCs w:val="22"/>
        </w:rPr>
        <w:t xml:space="preserve"> </w:t>
      </w:r>
      <w:r w:rsidR="000B7572">
        <w:rPr>
          <w:b/>
          <w:bCs/>
          <w:sz w:val="22"/>
          <w:szCs w:val="22"/>
        </w:rPr>
        <w:t>(3</w:t>
      </w:r>
      <w:r w:rsidR="001C6D11">
        <w:rPr>
          <w:b/>
          <w:bCs/>
          <w:sz w:val="22"/>
          <w:szCs w:val="22"/>
        </w:rPr>
        <w:t>)</w:t>
      </w:r>
      <w:r w:rsidR="006A3D58" w:rsidRPr="00B5325D">
        <w:rPr>
          <w:b/>
          <w:sz w:val="22"/>
          <w:szCs w:val="22"/>
        </w:rPr>
        <w:t xml:space="preserve"> </w:t>
      </w:r>
    </w:p>
    <w:tbl>
      <w:tblPr>
        <w:tblStyle w:val="GridTable4-Accent51"/>
        <w:tblW w:w="9720"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Table 2: Top 35 food categories contributing to discretionary energy intake (of total energy) for the Australian population (2+ years) at the 5-digit level "/>
      </w:tblPr>
      <w:tblGrid>
        <w:gridCol w:w="8460"/>
        <w:gridCol w:w="1260"/>
      </w:tblGrid>
      <w:tr w:rsidR="005A233D" w:rsidRPr="005A233D" w14:paraId="515272B6" w14:textId="77777777" w:rsidTr="721DF8A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60" w:type="dxa"/>
            <w:noWrap/>
          </w:tcPr>
          <w:p w14:paraId="390247B5" w14:textId="19342AA3" w:rsidR="005A233D" w:rsidRPr="005A233D" w:rsidRDefault="005A233D" w:rsidP="005A233D">
            <w:pPr>
              <w:rPr>
                <w:rFonts w:ascii="Arial" w:eastAsia="Times New Roman" w:hAnsi="Arial" w:cs="Arial"/>
                <w:color w:val="000000"/>
                <w:sz w:val="16"/>
                <w:szCs w:val="16"/>
              </w:rPr>
            </w:pPr>
            <w:r>
              <w:rPr>
                <w:sz w:val="22"/>
                <w:szCs w:val="22"/>
              </w:rPr>
              <w:t>Food Category (NNPAS 5</w:t>
            </w:r>
            <w:r w:rsidRPr="00445CA0">
              <w:rPr>
                <w:sz w:val="22"/>
                <w:szCs w:val="22"/>
              </w:rPr>
              <w:t>-digit</w:t>
            </w:r>
            <w:r>
              <w:rPr>
                <w:sz w:val="22"/>
                <w:szCs w:val="22"/>
              </w:rPr>
              <w:t xml:space="preserve"> food categories</w:t>
            </w:r>
            <w:r w:rsidRPr="00445CA0">
              <w:rPr>
                <w:sz w:val="22"/>
                <w:szCs w:val="22"/>
              </w:rPr>
              <w:t>)</w:t>
            </w:r>
          </w:p>
        </w:tc>
        <w:tc>
          <w:tcPr>
            <w:tcW w:w="1260" w:type="dxa"/>
            <w:noWrap/>
          </w:tcPr>
          <w:p w14:paraId="2785C139" w14:textId="32FFB4E8" w:rsidR="005A233D" w:rsidRPr="005A233D" w:rsidRDefault="005A233D" w:rsidP="005A233D">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Pr>
                <w:rFonts w:ascii="Arial" w:eastAsia="Times New Roman" w:hAnsi="Arial" w:cs="Arial"/>
                <w:color w:val="000000"/>
                <w:sz w:val="16"/>
                <w:szCs w:val="16"/>
              </w:rPr>
              <w:t>%</w:t>
            </w:r>
          </w:p>
        </w:tc>
      </w:tr>
      <w:tr w:rsidR="005A233D" w:rsidRPr="005A233D" w14:paraId="7275A86E"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112F945D" w14:textId="0B9A067C" w:rsidR="005A233D" w:rsidRPr="005A233D" w:rsidRDefault="00B13BE8" w:rsidP="721DF8A1">
            <w:pPr>
              <w:rPr>
                <w:rFonts w:eastAsia="Times New Roman" w:cstheme="minorBidi"/>
                <w:b w:val="0"/>
                <w:bCs w:val="0"/>
                <w:color w:val="000000"/>
                <w:sz w:val="20"/>
                <w:szCs w:val="20"/>
              </w:rPr>
            </w:pPr>
            <w:r w:rsidRPr="721DF8A1">
              <w:rPr>
                <w:rFonts w:eastAsia="Times New Roman"/>
                <w:b w:val="0"/>
                <w:bCs w:val="0"/>
                <w:color w:val="000000" w:themeColor="text1"/>
                <w:sz w:val="20"/>
                <w:szCs w:val="20"/>
              </w:rPr>
              <w:t>24102</w:t>
            </w:r>
            <w:r w:rsidRPr="721DF8A1">
              <w:rPr>
                <w:rFonts w:eastAsia="Times New Roman"/>
                <w:b w:val="0"/>
                <w:bCs w:val="0"/>
                <w:color w:val="000000" w:themeColor="text1"/>
              </w:rPr>
              <w:t>,</w:t>
            </w:r>
            <w:r w:rsidRPr="721DF8A1">
              <w:rPr>
                <w:rStyle w:val="normaltextrun"/>
                <w:rFonts w:cstheme="minorBidi"/>
                <w:sz w:val="20"/>
                <w:szCs w:val="20"/>
              </w:rPr>
              <w:t xml:space="preserve"> </w:t>
            </w:r>
            <w:r w:rsidR="005A233D" w:rsidRPr="721DF8A1">
              <w:rPr>
                <w:rFonts w:eastAsia="Times New Roman" w:cstheme="minorBidi"/>
                <w:b w:val="0"/>
                <w:bCs w:val="0"/>
                <w:color w:val="000000" w:themeColor="text1"/>
                <w:sz w:val="20"/>
                <w:szCs w:val="20"/>
              </w:rPr>
              <w:t xml:space="preserve">Potato products </w:t>
            </w:r>
            <w:r w:rsidRPr="721DF8A1">
              <w:rPr>
                <w:rFonts w:eastAsia="Times New Roman" w:cstheme="minorBidi"/>
                <w:b w:val="0"/>
                <w:bCs w:val="0"/>
                <w:color w:val="000000" w:themeColor="text1"/>
                <w:sz w:val="20"/>
                <w:szCs w:val="20"/>
              </w:rPr>
              <w:t>(</w:t>
            </w:r>
            <w:proofErr w:type="gramStart"/>
            <w:r w:rsidR="009653D3" w:rsidRPr="721DF8A1">
              <w:rPr>
                <w:rFonts w:eastAsia="Times New Roman" w:cstheme="minorBidi"/>
                <w:b w:val="0"/>
                <w:bCs w:val="0"/>
                <w:color w:val="000000" w:themeColor="text1"/>
                <w:sz w:val="20"/>
                <w:szCs w:val="20"/>
              </w:rPr>
              <w:t>e.g.</w:t>
            </w:r>
            <w:proofErr w:type="gramEnd"/>
            <w:r w:rsidRPr="721DF8A1">
              <w:rPr>
                <w:rFonts w:eastAsia="Times New Roman" w:cstheme="minorBidi"/>
                <w:b w:val="0"/>
                <w:bCs w:val="0"/>
                <w:color w:val="000000" w:themeColor="text1"/>
                <w:sz w:val="20"/>
                <w:szCs w:val="20"/>
              </w:rPr>
              <w:t xml:space="preserve"> hot chips, fries, wedges)</w:t>
            </w:r>
            <w:r w:rsidR="005A233D" w:rsidRPr="721DF8A1">
              <w:rPr>
                <w:rFonts w:eastAsia="Times New Roman" w:cstheme="minorBidi"/>
                <w:b w:val="0"/>
                <w:bCs w:val="0"/>
                <w:color w:val="000000" w:themeColor="text1"/>
                <w:sz w:val="20"/>
                <w:szCs w:val="20"/>
              </w:rPr>
              <w:t xml:space="preserve"> </w:t>
            </w:r>
          </w:p>
        </w:tc>
        <w:tc>
          <w:tcPr>
            <w:tcW w:w="1260" w:type="dxa"/>
            <w:noWrap/>
            <w:hideMark/>
          </w:tcPr>
          <w:p w14:paraId="695B666F"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1.8</w:t>
            </w:r>
          </w:p>
        </w:tc>
      </w:tr>
      <w:tr w:rsidR="005A233D" w:rsidRPr="005A233D" w14:paraId="737C1014"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26CB8AAF" w14:textId="379135F2" w:rsidR="005A233D" w:rsidRPr="005A233D" w:rsidRDefault="00B13BE8" w:rsidP="3BD28443">
            <w:pPr>
              <w:rPr>
                <w:rFonts w:eastAsia="Times New Roman" w:cstheme="minorBidi"/>
                <w:b w:val="0"/>
                <w:bCs w:val="0"/>
                <w:color w:val="000000"/>
                <w:sz w:val="20"/>
                <w:szCs w:val="20"/>
              </w:rPr>
            </w:pPr>
            <w:r w:rsidRPr="3BD28443">
              <w:rPr>
                <w:rFonts w:eastAsia="Times New Roman" w:cstheme="minorBidi"/>
                <w:b w:val="0"/>
                <w:bCs w:val="0"/>
                <w:color w:val="000000" w:themeColor="text1"/>
                <w:sz w:val="20"/>
                <w:szCs w:val="20"/>
              </w:rPr>
              <w:t>13405,</w:t>
            </w:r>
            <w:r w:rsidR="005A233D" w:rsidRPr="3BD28443">
              <w:rPr>
                <w:rFonts w:eastAsia="Times New Roman" w:cstheme="minorBidi"/>
                <w:b w:val="0"/>
                <w:bCs w:val="0"/>
                <w:color w:val="000000" w:themeColor="text1"/>
                <w:sz w:val="20"/>
                <w:szCs w:val="20"/>
              </w:rPr>
              <w:t xml:space="preserve"> Savoury pastry products, pies, </w:t>
            </w:r>
            <w:r w:rsidR="5665C136" w:rsidRPr="3BD28443">
              <w:rPr>
                <w:rFonts w:eastAsia="Times New Roman" w:cstheme="minorBidi"/>
                <w:b w:val="0"/>
                <w:bCs w:val="0"/>
                <w:color w:val="000000" w:themeColor="text1"/>
                <w:sz w:val="20"/>
                <w:szCs w:val="20"/>
              </w:rPr>
              <w:t>rolls,</w:t>
            </w:r>
            <w:r w:rsidR="005A233D" w:rsidRPr="3BD28443">
              <w:rPr>
                <w:rFonts w:eastAsia="Times New Roman" w:cstheme="minorBidi"/>
                <w:b w:val="0"/>
                <w:bCs w:val="0"/>
                <w:color w:val="000000" w:themeColor="text1"/>
                <w:sz w:val="20"/>
                <w:szCs w:val="20"/>
              </w:rPr>
              <w:t xml:space="preserve"> and envelopes </w:t>
            </w:r>
          </w:p>
        </w:tc>
        <w:tc>
          <w:tcPr>
            <w:tcW w:w="1260" w:type="dxa"/>
            <w:noWrap/>
            <w:hideMark/>
          </w:tcPr>
          <w:p w14:paraId="699425D3"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1.6</w:t>
            </w:r>
          </w:p>
        </w:tc>
      </w:tr>
      <w:tr w:rsidR="005A233D" w:rsidRPr="005A233D" w14:paraId="6365736E"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7981B5D7" w14:textId="02600DD9"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29101, Beers, &gt; 3.5% alcohol </w:t>
            </w:r>
          </w:p>
        </w:tc>
        <w:tc>
          <w:tcPr>
            <w:tcW w:w="1260" w:type="dxa"/>
            <w:noWrap/>
            <w:hideMark/>
          </w:tcPr>
          <w:p w14:paraId="0029EC93"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1.5</w:t>
            </w:r>
          </w:p>
        </w:tc>
      </w:tr>
      <w:tr w:rsidR="005A233D" w:rsidRPr="005A233D" w14:paraId="7DECD3D5"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460A2D5C" w14:textId="76164527"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13303, Cakes and cake mixes, other types </w:t>
            </w:r>
          </w:p>
        </w:tc>
        <w:tc>
          <w:tcPr>
            <w:tcW w:w="1260" w:type="dxa"/>
            <w:noWrap/>
            <w:hideMark/>
          </w:tcPr>
          <w:p w14:paraId="0F7B07F4"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1.2</w:t>
            </w:r>
          </w:p>
        </w:tc>
      </w:tr>
      <w:tr w:rsidR="005A233D" w:rsidRPr="005A233D" w14:paraId="3B2153D5"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01879B6D" w14:textId="3A2BB8BC"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18501, Sausage, saturated fat content &gt;5 g/100g </w:t>
            </w:r>
          </w:p>
        </w:tc>
        <w:tc>
          <w:tcPr>
            <w:tcW w:w="1260" w:type="dxa"/>
            <w:noWrap/>
            <w:hideMark/>
          </w:tcPr>
          <w:p w14:paraId="4A62609D"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1.2</w:t>
            </w:r>
          </w:p>
        </w:tc>
      </w:tr>
      <w:tr w:rsidR="005A233D" w:rsidRPr="005A233D" w14:paraId="1BA30C8D"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0899EDCC" w14:textId="5AA2E25B"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11503, Soft drinks, cola </w:t>
            </w:r>
          </w:p>
        </w:tc>
        <w:tc>
          <w:tcPr>
            <w:tcW w:w="1260" w:type="dxa"/>
            <w:noWrap/>
            <w:hideMark/>
          </w:tcPr>
          <w:p w14:paraId="14444F4E"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1.1</w:t>
            </w:r>
          </w:p>
        </w:tc>
      </w:tr>
      <w:tr w:rsidR="005A233D" w:rsidRPr="005A233D" w14:paraId="13C841E3"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59252CF3" w14:textId="6D533158"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29201, Wines, red (including sparkling varieties and rose styles) </w:t>
            </w:r>
          </w:p>
        </w:tc>
        <w:tc>
          <w:tcPr>
            <w:tcW w:w="1260" w:type="dxa"/>
            <w:noWrap/>
            <w:hideMark/>
          </w:tcPr>
          <w:p w14:paraId="023A5B2B"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1.0</w:t>
            </w:r>
          </w:p>
        </w:tc>
      </w:tr>
      <w:tr w:rsidR="005A233D" w:rsidRPr="005A233D" w14:paraId="20B0E5B2"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04945CF7" w14:textId="2504F927"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27101, Sugar </w:t>
            </w:r>
          </w:p>
        </w:tc>
        <w:tc>
          <w:tcPr>
            <w:tcW w:w="1260" w:type="dxa"/>
            <w:noWrap/>
            <w:hideMark/>
          </w:tcPr>
          <w:p w14:paraId="4ABF1C63"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1.0</w:t>
            </w:r>
          </w:p>
        </w:tc>
      </w:tr>
      <w:tr w:rsidR="005A233D" w:rsidRPr="005A233D" w14:paraId="2B7DD164"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3D68AE70" w14:textId="07030838"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19501, Ice cream, tub varieties, fat content &gt;10 g/100 g </w:t>
            </w:r>
          </w:p>
        </w:tc>
        <w:tc>
          <w:tcPr>
            <w:tcW w:w="1260" w:type="dxa"/>
            <w:noWrap/>
            <w:hideMark/>
          </w:tcPr>
          <w:p w14:paraId="73F8D12E"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0.9</w:t>
            </w:r>
          </w:p>
        </w:tc>
      </w:tr>
      <w:tr w:rsidR="005A233D" w:rsidRPr="005A233D" w14:paraId="6068F3C0"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14D6B097" w14:textId="403408AE"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29202, Wines, white (including sparkling varieties) </w:t>
            </w:r>
          </w:p>
        </w:tc>
        <w:tc>
          <w:tcPr>
            <w:tcW w:w="1260" w:type="dxa"/>
            <w:noWrap/>
            <w:hideMark/>
          </w:tcPr>
          <w:p w14:paraId="0B413A5F"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0.9</w:t>
            </w:r>
          </w:p>
        </w:tc>
      </w:tr>
      <w:tr w:rsidR="005A233D" w:rsidRPr="005A233D" w14:paraId="4EAB6704"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355BF128" w14:textId="6AD86564"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26101, Potato crisps </w:t>
            </w:r>
          </w:p>
        </w:tc>
        <w:tc>
          <w:tcPr>
            <w:tcW w:w="1260" w:type="dxa"/>
            <w:noWrap/>
            <w:hideMark/>
          </w:tcPr>
          <w:p w14:paraId="233F4E4B"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0.8</w:t>
            </w:r>
          </w:p>
        </w:tc>
      </w:tr>
      <w:tr w:rsidR="005A233D" w:rsidRPr="005A233D" w14:paraId="32BC2C9B"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209BE124" w14:textId="302DB32E"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11307, Fruit drinks (ready to drink or made from concentrate) </w:t>
            </w:r>
          </w:p>
        </w:tc>
        <w:tc>
          <w:tcPr>
            <w:tcW w:w="1260" w:type="dxa"/>
            <w:noWrap/>
            <w:hideMark/>
          </w:tcPr>
          <w:p w14:paraId="1718F002"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0.8</w:t>
            </w:r>
          </w:p>
        </w:tc>
      </w:tr>
      <w:tr w:rsidR="005A233D" w:rsidRPr="005A233D" w14:paraId="660FC2F5"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780812C4" w14:textId="30DDBFA9"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13101, Sweet biscuits, plain or flavoured including short bread varieties </w:t>
            </w:r>
          </w:p>
        </w:tc>
        <w:tc>
          <w:tcPr>
            <w:tcW w:w="1260" w:type="dxa"/>
            <w:noWrap/>
            <w:hideMark/>
          </w:tcPr>
          <w:p w14:paraId="68C4EEF3"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0.8</w:t>
            </w:r>
          </w:p>
        </w:tc>
      </w:tr>
      <w:tr w:rsidR="005A233D" w:rsidRPr="005A233D" w14:paraId="71CA461C"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05B71350" w14:textId="75CA74DC"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11501, Soft drinks, non-cola </w:t>
            </w:r>
          </w:p>
        </w:tc>
        <w:tc>
          <w:tcPr>
            <w:tcW w:w="1260" w:type="dxa"/>
            <w:noWrap/>
            <w:hideMark/>
          </w:tcPr>
          <w:p w14:paraId="5B6CA387"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0.8</w:t>
            </w:r>
          </w:p>
        </w:tc>
      </w:tr>
      <w:tr w:rsidR="005A233D" w:rsidRPr="005A233D" w14:paraId="3FBE0759"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77F098BA" w14:textId="5E6DEBED"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13301, Cakes and cake mixes, chocolate </w:t>
            </w:r>
          </w:p>
        </w:tc>
        <w:tc>
          <w:tcPr>
            <w:tcW w:w="1260" w:type="dxa"/>
            <w:noWrap/>
            <w:hideMark/>
          </w:tcPr>
          <w:p w14:paraId="642021D0"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0.8</w:t>
            </w:r>
          </w:p>
        </w:tc>
      </w:tr>
      <w:tr w:rsidR="005A233D" w:rsidRPr="005A233D" w14:paraId="2F556D12"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782CB28D" w14:textId="42972C3E"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13304, Muffins, cake type, and muffin mixes </w:t>
            </w:r>
          </w:p>
        </w:tc>
        <w:tc>
          <w:tcPr>
            <w:tcW w:w="1260" w:type="dxa"/>
            <w:noWrap/>
            <w:hideMark/>
          </w:tcPr>
          <w:p w14:paraId="65CAC787"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0.7</w:t>
            </w:r>
          </w:p>
        </w:tc>
      </w:tr>
      <w:tr w:rsidR="005A233D" w:rsidRPr="005A233D" w14:paraId="597DCEC6"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7B461C02" w14:textId="6D3B67D7"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28101, Chocolate (plain, unfilled varieties) </w:t>
            </w:r>
          </w:p>
        </w:tc>
        <w:tc>
          <w:tcPr>
            <w:tcW w:w="1260" w:type="dxa"/>
            <w:noWrap/>
            <w:hideMark/>
          </w:tcPr>
          <w:p w14:paraId="4BAD7C13"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0.7</w:t>
            </w:r>
          </w:p>
        </w:tc>
      </w:tr>
      <w:tr w:rsidR="005A233D" w:rsidRPr="005A233D" w14:paraId="330B70B4"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4A727505" w14:textId="774B7808"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28103, Chocolate-based confectionery with other fillings or additions </w:t>
            </w:r>
          </w:p>
        </w:tc>
        <w:tc>
          <w:tcPr>
            <w:tcW w:w="1260" w:type="dxa"/>
            <w:noWrap/>
            <w:hideMark/>
          </w:tcPr>
          <w:p w14:paraId="24001AA8"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0.7</w:t>
            </w:r>
          </w:p>
        </w:tc>
      </w:tr>
      <w:tr w:rsidR="005A233D" w:rsidRPr="005A233D" w14:paraId="7823A9DA"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58EF82C7" w14:textId="59053060"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15501, Fin fish, battered or crumbed </w:t>
            </w:r>
          </w:p>
        </w:tc>
        <w:tc>
          <w:tcPr>
            <w:tcW w:w="1260" w:type="dxa"/>
            <w:noWrap/>
            <w:hideMark/>
          </w:tcPr>
          <w:p w14:paraId="777900E1"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0.7</w:t>
            </w:r>
          </w:p>
        </w:tc>
      </w:tr>
      <w:tr w:rsidR="005A233D" w:rsidRPr="005A233D" w14:paraId="00757EF4"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0B38029D" w14:textId="21799006"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14101, Butter </w:t>
            </w:r>
          </w:p>
        </w:tc>
        <w:tc>
          <w:tcPr>
            <w:tcW w:w="1260" w:type="dxa"/>
            <w:noWrap/>
            <w:hideMark/>
          </w:tcPr>
          <w:p w14:paraId="7EC90298"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0.6</w:t>
            </w:r>
          </w:p>
        </w:tc>
      </w:tr>
      <w:tr w:rsidR="005A233D" w:rsidRPr="005A233D" w14:paraId="514FAB43"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36940253" w14:textId="520B793D"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13202, Savoury biscuits, wheat based, plain, energy &gt;1800 kJ per 100 g </w:t>
            </w:r>
          </w:p>
        </w:tc>
        <w:tc>
          <w:tcPr>
            <w:tcW w:w="1260" w:type="dxa"/>
            <w:noWrap/>
            <w:hideMark/>
          </w:tcPr>
          <w:p w14:paraId="672A0005"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0.6</w:t>
            </w:r>
          </w:p>
        </w:tc>
      </w:tr>
      <w:tr w:rsidR="005A233D" w:rsidRPr="005A233D" w14:paraId="294C1B89"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786A154F" w14:textId="32462A3D"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11401, Cordials, made from concentrate </w:t>
            </w:r>
          </w:p>
        </w:tc>
        <w:tc>
          <w:tcPr>
            <w:tcW w:w="1260" w:type="dxa"/>
            <w:noWrap/>
            <w:hideMark/>
          </w:tcPr>
          <w:p w14:paraId="18C06E17"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0.5</w:t>
            </w:r>
          </w:p>
        </w:tc>
      </w:tr>
      <w:tr w:rsidR="005A233D" w:rsidRPr="005A233D" w14:paraId="79C5EDF2"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67C90C91" w14:textId="7A52D888"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13502, Pizza, saturated fat &gt;5 g/100 g </w:t>
            </w:r>
          </w:p>
        </w:tc>
        <w:tc>
          <w:tcPr>
            <w:tcW w:w="1260" w:type="dxa"/>
            <w:noWrap/>
            <w:hideMark/>
          </w:tcPr>
          <w:p w14:paraId="26F4008D"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0.5</w:t>
            </w:r>
          </w:p>
        </w:tc>
      </w:tr>
      <w:tr w:rsidR="005A233D" w:rsidRPr="005A233D" w14:paraId="5037AF4C"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39465D1E" w14:textId="1596ACBA"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28401, Lollies and other confectionery, sugar sweetened </w:t>
            </w:r>
          </w:p>
        </w:tc>
        <w:tc>
          <w:tcPr>
            <w:tcW w:w="1260" w:type="dxa"/>
            <w:noWrap/>
            <w:hideMark/>
          </w:tcPr>
          <w:p w14:paraId="5B6F19A5"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0.5</w:t>
            </w:r>
          </w:p>
        </w:tc>
      </w:tr>
      <w:tr w:rsidR="005A233D" w:rsidRPr="005A233D" w14:paraId="7EE70925"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034CE715" w14:textId="03535158"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13105, Sweet biscuits, chocolate-coated, chocolate chip </w:t>
            </w:r>
          </w:p>
        </w:tc>
        <w:tc>
          <w:tcPr>
            <w:tcW w:w="1260" w:type="dxa"/>
            <w:noWrap/>
            <w:hideMark/>
          </w:tcPr>
          <w:p w14:paraId="3849B665"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0.4</w:t>
            </w:r>
          </w:p>
        </w:tc>
      </w:tr>
      <w:tr w:rsidR="005A233D" w:rsidRPr="005A233D" w14:paraId="5CCE2D85"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0056DA17" w14:textId="12631E04"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18601, Bacon </w:t>
            </w:r>
          </w:p>
        </w:tc>
        <w:tc>
          <w:tcPr>
            <w:tcW w:w="1260" w:type="dxa"/>
            <w:noWrap/>
            <w:hideMark/>
          </w:tcPr>
          <w:p w14:paraId="1EF94B65"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0.4</w:t>
            </w:r>
          </w:p>
        </w:tc>
      </w:tr>
      <w:tr w:rsidR="005A233D" w:rsidRPr="005A233D" w14:paraId="01DF7A80"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6CB528A5" w14:textId="3ED0A369"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29102, Beers, 1.15- 3.5% alcohol, reduced alcohol / light </w:t>
            </w:r>
          </w:p>
        </w:tc>
        <w:tc>
          <w:tcPr>
            <w:tcW w:w="1260" w:type="dxa"/>
            <w:noWrap/>
            <w:hideMark/>
          </w:tcPr>
          <w:p w14:paraId="7CE54044"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0.4</w:t>
            </w:r>
          </w:p>
        </w:tc>
      </w:tr>
      <w:tr w:rsidR="005A233D" w:rsidRPr="005A233D" w14:paraId="73664B0D"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756B3579" w14:textId="411768F6"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23301, Mayonnaise and cream-style dressings, full fat </w:t>
            </w:r>
          </w:p>
        </w:tc>
        <w:tc>
          <w:tcPr>
            <w:tcW w:w="1260" w:type="dxa"/>
            <w:noWrap/>
            <w:hideMark/>
          </w:tcPr>
          <w:p w14:paraId="2CEF4CE9"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0.4</w:t>
            </w:r>
          </w:p>
        </w:tc>
      </w:tr>
      <w:tr w:rsidR="005A233D" w:rsidRPr="005A233D" w14:paraId="39806408"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365A2BB5" w14:textId="7E02644A"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13104, Sweet biscuits, cream-filled </w:t>
            </w:r>
          </w:p>
        </w:tc>
        <w:tc>
          <w:tcPr>
            <w:tcW w:w="1260" w:type="dxa"/>
            <w:noWrap/>
            <w:hideMark/>
          </w:tcPr>
          <w:p w14:paraId="3C4B8D81"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0.4</w:t>
            </w:r>
          </w:p>
        </w:tc>
      </w:tr>
      <w:tr w:rsidR="005A233D" w:rsidRPr="005A233D" w14:paraId="0E74882F"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0D8A5C67" w14:textId="052818B1"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28102, Chocolate-based confectionery with nut fillings or additions </w:t>
            </w:r>
          </w:p>
        </w:tc>
        <w:tc>
          <w:tcPr>
            <w:tcW w:w="1260" w:type="dxa"/>
            <w:noWrap/>
            <w:hideMark/>
          </w:tcPr>
          <w:p w14:paraId="10079890"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0.3</w:t>
            </w:r>
          </w:p>
        </w:tc>
      </w:tr>
      <w:tr w:rsidR="005A233D" w:rsidRPr="005A233D" w14:paraId="5F2AA141"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27992B92" w14:textId="1F96CD61"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18903, Poultry crumbed, battered, meatloaf or patty type with cereal and/or vegetables </w:t>
            </w:r>
          </w:p>
        </w:tc>
        <w:tc>
          <w:tcPr>
            <w:tcW w:w="1260" w:type="dxa"/>
            <w:noWrap/>
            <w:hideMark/>
          </w:tcPr>
          <w:p w14:paraId="3A29583B"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0.3</w:t>
            </w:r>
          </w:p>
        </w:tc>
      </w:tr>
      <w:tr w:rsidR="005A233D" w:rsidRPr="005A233D" w14:paraId="720DB445"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017921F2" w14:textId="02A764C0" w:rsidR="005A233D" w:rsidRPr="005A233D" w:rsidRDefault="005A233D" w:rsidP="3BD28443">
            <w:pPr>
              <w:rPr>
                <w:rFonts w:eastAsia="Times New Roman" w:cstheme="minorBidi"/>
                <w:b w:val="0"/>
                <w:bCs w:val="0"/>
                <w:color w:val="000000"/>
                <w:sz w:val="20"/>
                <w:szCs w:val="20"/>
              </w:rPr>
            </w:pPr>
            <w:r w:rsidRPr="3BD28443">
              <w:rPr>
                <w:rFonts w:eastAsia="Times New Roman" w:cstheme="minorBidi"/>
                <w:b w:val="0"/>
                <w:bCs w:val="0"/>
                <w:color w:val="000000" w:themeColor="text1"/>
                <w:sz w:val="20"/>
                <w:szCs w:val="20"/>
              </w:rPr>
              <w:t xml:space="preserve">13306, Slices, </w:t>
            </w:r>
            <w:r w:rsidR="598FCDD4" w:rsidRPr="3BD28443">
              <w:rPr>
                <w:rFonts w:eastAsia="Times New Roman" w:cstheme="minorBidi"/>
                <w:b w:val="0"/>
                <w:bCs w:val="0"/>
                <w:color w:val="000000" w:themeColor="text1"/>
                <w:sz w:val="20"/>
                <w:szCs w:val="20"/>
              </w:rPr>
              <w:t>biscuit,</w:t>
            </w:r>
            <w:r w:rsidRPr="3BD28443">
              <w:rPr>
                <w:rFonts w:eastAsia="Times New Roman" w:cstheme="minorBidi"/>
                <w:b w:val="0"/>
                <w:bCs w:val="0"/>
                <w:color w:val="000000" w:themeColor="text1"/>
                <w:sz w:val="20"/>
                <w:szCs w:val="20"/>
              </w:rPr>
              <w:t xml:space="preserve"> and cake-type </w:t>
            </w:r>
          </w:p>
        </w:tc>
        <w:tc>
          <w:tcPr>
            <w:tcW w:w="1260" w:type="dxa"/>
            <w:noWrap/>
            <w:hideMark/>
          </w:tcPr>
          <w:p w14:paraId="1F17E089"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0.3</w:t>
            </w:r>
          </w:p>
        </w:tc>
      </w:tr>
      <w:tr w:rsidR="005A233D" w:rsidRPr="005A233D" w14:paraId="07720DB6"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12C9B1DE" w14:textId="00A6DBD5"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13302, Cakes and cake mixes, sponge </w:t>
            </w:r>
          </w:p>
        </w:tc>
        <w:tc>
          <w:tcPr>
            <w:tcW w:w="1260" w:type="dxa"/>
            <w:noWrap/>
            <w:hideMark/>
          </w:tcPr>
          <w:p w14:paraId="5EB95801"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0.3</w:t>
            </w:r>
          </w:p>
        </w:tc>
      </w:tr>
      <w:tr w:rsidR="005A233D" w:rsidRPr="005A233D" w14:paraId="12A44AD8" w14:textId="77777777" w:rsidTr="721DF8A1">
        <w:trPr>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22901467" w14:textId="7758D658"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13506, Burgers, saturated fat &gt;5 g/100 g </w:t>
            </w:r>
          </w:p>
        </w:tc>
        <w:tc>
          <w:tcPr>
            <w:tcW w:w="1260" w:type="dxa"/>
            <w:noWrap/>
            <w:hideMark/>
          </w:tcPr>
          <w:p w14:paraId="0C6B7CED" w14:textId="77777777" w:rsidR="005A233D" w:rsidRPr="005A233D" w:rsidRDefault="005A233D" w:rsidP="005A233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0.3</w:t>
            </w:r>
          </w:p>
        </w:tc>
      </w:tr>
      <w:tr w:rsidR="005A233D" w:rsidRPr="005A233D" w14:paraId="5E40C923" w14:textId="77777777" w:rsidTr="721DF8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60" w:type="dxa"/>
            <w:noWrap/>
            <w:hideMark/>
          </w:tcPr>
          <w:p w14:paraId="43D80388" w14:textId="5CA8077F" w:rsidR="005A233D" w:rsidRPr="005A233D" w:rsidRDefault="005A233D" w:rsidP="00EC5D63">
            <w:pPr>
              <w:rPr>
                <w:rFonts w:eastAsia="Times New Roman" w:cstheme="minorHAnsi"/>
                <w:b w:val="0"/>
                <w:color w:val="000000"/>
                <w:sz w:val="20"/>
                <w:szCs w:val="20"/>
              </w:rPr>
            </w:pPr>
            <w:r w:rsidRPr="005A233D">
              <w:rPr>
                <w:rFonts w:eastAsia="Times New Roman" w:cstheme="minorHAnsi"/>
                <w:b w:val="0"/>
                <w:color w:val="000000"/>
                <w:sz w:val="20"/>
                <w:szCs w:val="20"/>
              </w:rPr>
              <w:t xml:space="preserve">28302, Muesli and cereal style bars, with fruit and/or nuts </w:t>
            </w:r>
          </w:p>
        </w:tc>
        <w:tc>
          <w:tcPr>
            <w:tcW w:w="1260" w:type="dxa"/>
            <w:noWrap/>
            <w:hideMark/>
          </w:tcPr>
          <w:p w14:paraId="510C41AF" w14:textId="77777777" w:rsidR="005A233D" w:rsidRPr="005A233D" w:rsidRDefault="005A233D" w:rsidP="005A233D">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5A233D">
              <w:rPr>
                <w:rFonts w:eastAsia="Times New Roman" w:cstheme="minorHAnsi"/>
                <w:color w:val="000000"/>
                <w:sz w:val="20"/>
                <w:szCs w:val="20"/>
              </w:rPr>
              <w:t>0.3</w:t>
            </w:r>
          </w:p>
        </w:tc>
      </w:tr>
    </w:tbl>
    <w:p w14:paraId="676B1E47" w14:textId="66BAFDC6" w:rsidR="009C4DAD" w:rsidRPr="00F9777F" w:rsidRDefault="009C4DAD" w:rsidP="009C4DAD">
      <w:pPr>
        <w:autoSpaceDE w:val="0"/>
        <w:autoSpaceDN w:val="0"/>
        <w:adjustRightInd w:val="0"/>
        <w:spacing w:before="120"/>
        <w:rPr>
          <w:i/>
          <w:iCs/>
          <w:sz w:val="22"/>
          <w:szCs w:val="22"/>
        </w:rPr>
      </w:pPr>
      <w:r w:rsidRPr="00F9777F">
        <w:rPr>
          <w:i/>
          <w:iCs/>
          <w:sz w:val="22"/>
          <w:szCs w:val="22"/>
        </w:rPr>
        <w:t>Source: NNPAS 2011</w:t>
      </w:r>
      <w:r w:rsidR="00B4019E">
        <w:rPr>
          <w:i/>
          <w:iCs/>
          <w:sz w:val="22"/>
          <w:szCs w:val="22"/>
        </w:rPr>
        <w:t>–</w:t>
      </w:r>
      <w:r w:rsidRPr="00F9777F">
        <w:rPr>
          <w:i/>
          <w:iCs/>
          <w:sz w:val="22"/>
          <w:szCs w:val="22"/>
        </w:rPr>
        <w:t>12</w:t>
      </w:r>
    </w:p>
    <w:p w14:paraId="0CBAB40A" w14:textId="77777777" w:rsidR="00505B99" w:rsidRDefault="00505B99">
      <w:pPr>
        <w:rPr>
          <w:rFonts w:cstheme="minorBidi"/>
          <w:sz w:val="22"/>
        </w:rPr>
      </w:pPr>
      <w:r>
        <w:rPr>
          <w:rFonts w:cstheme="minorBidi"/>
          <w:sz w:val="22"/>
        </w:rPr>
        <w:br w:type="page"/>
      </w:r>
    </w:p>
    <w:p w14:paraId="2C3300EF" w14:textId="5B9E3FCA" w:rsidR="00CE5EB8" w:rsidRPr="00181F25" w:rsidRDefault="00994436" w:rsidP="00E35936">
      <w:pPr>
        <w:pStyle w:val="Heading2"/>
      </w:pPr>
      <w:bookmarkStart w:id="17" w:name="_Toc109294239"/>
      <w:r w:rsidRPr="00994436">
        <w:rPr>
          <w:sz w:val="24"/>
        </w:rPr>
        <w:lastRenderedPageBreak/>
        <w:t>5</w:t>
      </w:r>
      <w:r w:rsidR="00CE7D03" w:rsidRPr="00994436">
        <w:rPr>
          <w:sz w:val="24"/>
        </w:rPr>
        <w:t xml:space="preserve">.2 </w:t>
      </w:r>
      <w:r w:rsidR="00CE7D03" w:rsidRPr="00994436">
        <w:rPr>
          <w:sz w:val="24"/>
        </w:rPr>
        <w:tab/>
      </w:r>
      <w:r w:rsidR="00383C61" w:rsidRPr="00994436">
        <w:rPr>
          <w:sz w:val="24"/>
        </w:rPr>
        <w:t>Key contributors</w:t>
      </w:r>
      <w:r w:rsidR="00B6749F" w:rsidRPr="00994436">
        <w:rPr>
          <w:sz w:val="24"/>
        </w:rPr>
        <w:t xml:space="preserve"> to added</w:t>
      </w:r>
      <w:r w:rsidR="005C4BB8" w:rsidRPr="00994436">
        <w:rPr>
          <w:sz w:val="24"/>
        </w:rPr>
        <w:t xml:space="preserve"> sugar</w:t>
      </w:r>
      <w:r w:rsidR="004540D2" w:rsidRPr="00994436">
        <w:rPr>
          <w:sz w:val="24"/>
        </w:rPr>
        <w:t xml:space="preserve">, </w:t>
      </w:r>
      <w:r w:rsidR="7F1D8A6F" w:rsidRPr="00994436">
        <w:rPr>
          <w:sz w:val="24"/>
        </w:rPr>
        <w:t>sodium,</w:t>
      </w:r>
      <w:r w:rsidR="004540D2" w:rsidRPr="00994436">
        <w:rPr>
          <w:sz w:val="24"/>
        </w:rPr>
        <w:t xml:space="preserve"> and saturated fat</w:t>
      </w:r>
      <w:r w:rsidR="00383C61" w:rsidRPr="00994436">
        <w:rPr>
          <w:sz w:val="24"/>
        </w:rPr>
        <w:t xml:space="preserve"> intake</w:t>
      </w:r>
      <w:bookmarkEnd w:id="17"/>
      <w:r w:rsidR="005C4BB8" w:rsidRPr="00994436">
        <w:rPr>
          <w:sz w:val="24"/>
        </w:rPr>
        <w:t xml:space="preserve"> </w:t>
      </w:r>
    </w:p>
    <w:p w14:paraId="508DC556" w14:textId="40F20738" w:rsidR="004F5DB5" w:rsidRPr="00B5325D" w:rsidRDefault="55E2BB04" w:rsidP="00795E9E">
      <w:pPr>
        <w:autoSpaceDE w:val="0"/>
        <w:autoSpaceDN w:val="0"/>
        <w:adjustRightInd w:val="0"/>
        <w:spacing w:after="240"/>
        <w:rPr>
          <w:rFonts w:cstheme="minorBidi"/>
          <w:sz w:val="22"/>
          <w:szCs w:val="22"/>
        </w:rPr>
      </w:pPr>
      <w:r w:rsidRPr="3F923778">
        <w:rPr>
          <w:rFonts w:cstheme="minorBidi"/>
          <w:sz w:val="22"/>
          <w:szCs w:val="22"/>
        </w:rPr>
        <w:t>Several</w:t>
      </w:r>
      <w:r w:rsidR="00B6749F" w:rsidRPr="3F923778">
        <w:rPr>
          <w:rFonts w:cstheme="minorBidi"/>
          <w:sz w:val="22"/>
          <w:szCs w:val="22"/>
        </w:rPr>
        <w:t xml:space="preserve"> k</w:t>
      </w:r>
      <w:r w:rsidR="004F5DB5" w:rsidRPr="3F923778">
        <w:rPr>
          <w:rFonts w:cstheme="minorBidi"/>
          <w:sz w:val="22"/>
          <w:szCs w:val="22"/>
        </w:rPr>
        <w:t xml:space="preserve">ey categories were referred to the IBPGWG by the </w:t>
      </w:r>
      <w:r w:rsidR="00800BEF" w:rsidRPr="3F923778">
        <w:rPr>
          <w:rFonts w:cstheme="minorBidi"/>
          <w:sz w:val="22"/>
          <w:szCs w:val="22"/>
        </w:rPr>
        <w:t>Partnership</w:t>
      </w:r>
      <w:r w:rsidR="00F002E9" w:rsidRPr="3F923778">
        <w:rPr>
          <w:rFonts w:cstheme="minorBidi"/>
          <w:sz w:val="22"/>
          <w:szCs w:val="22"/>
        </w:rPr>
        <w:t xml:space="preserve"> Reformulation Working Group</w:t>
      </w:r>
      <w:r w:rsidR="00800BEF" w:rsidRPr="3F923778">
        <w:rPr>
          <w:rFonts w:cstheme="minorBidi"/>
          <w:sz w:val="22"/>
          <w:szCs w:val="22"/>
        </w:rPr>
        <w:t xml:space="preserve"> </w:t>
      </w:r>
      <w:r w:rsidR="00F002E9" w:rsidRPr="3F923778">
        <w:rPr>
          <w:rFonts w:cstheme="minorBidi"/>
          <w:sz w:val="22"/>
          <w:szCs w:val="22"/>
        </w:rPr>
        <w:t>(</w:t>
      </w:r>
      <w:r w:rsidR="004F5DB5" w:rsidRPr="3F923778">
        <w:rPr>
          <w:rFonts w:cstheme="minorBidi"/>
          <w:sz w:val="22"/>
          <w:szCs w:val="22"/>
        </w:rPr>
        <w:t>R</w:t>
      </w:r>
      <w:r w:rsidR="004A5238" w:rsidRPr="3F923778">
        <w:rPr>
          <w:rFonts w:cstheme="minorBidi"/>
          <w:sz w:val="22"/>
          <w:szCs w:val="22"/>
        </w:rPr>
        <w:t>WG</w:t>
      </w:r>
      <w:r w:rsidR="00F002E9" w:rsidRPr="3F923778">
        <w:rPr>
          <w:rFonts w:cstheme="minorBidi"/>
          <w:sz w:val="22"/>
          <w:szCs w:val="22"/>
        </w:rPr>
        <w:t>)</w:t>
      </w:r>
      <w:r w:rsidRPr="3F923778">
        <w:rPr>
          <w:rFonts w:cstheme="minorBidi"/>
          <w:sz w:val="22"/>
          <w:szCs w:val="22"/>
        </w:rPr>
        <w:t xml:space="preserve"> after they were determined unsuitable for reformulation</w:t>
      </w:r>
      <w:r w:rsidR="004F5DB5" w:rsidRPr="3F923778">
        <w:rPr>
          <w:rFonts w:cstheme="minorBidi"/>
          <w:sz w:val="22"/>
          <w:szCs w:val="22"/>
        </w:rPr>
        <w:t xml:space="preserve"> due to technical and/or practical reasons (</w:t>
      </w:r>
      <w:r w:rsidR="003F2B7E">
        <w:rPr>
          <w:rFonts w:cstheme="minorBidi"/>
          <w:sz w:val="22"/>
          <w:szCs w:val="22"/>
        </w:rPr>
        <w:t>for example,</w:t>
      </w:r>
      <w:r w:rsidR="004F5DB5" w:rsidRPr="3F923778">
        <w:rPr>
          <w:rFonts w:cstheme="minorBidi"/>
          <w:sz w:val="22"/>
          <w:szCs w:val="22"/>
        </w:rPr>
        <w:t xml:space="preserve"> the sugar is intrinsic to the </w:t>
      </w:r>
      <w:r w:rsidR="1A903F34" w:rsidRPr="3F923778">
        <w:rPr>
          <w:rFonts w:cstheme="minorBidi"/>
          <w:sz w:val="22"/>
          <w:szCs w:val="22"/>
        </w:rPr>
        <w:t>product,</w:t>
      </w:r>
      <w:r w:rsidR="004F5DB5" w:rsidRPr="3F923778">
        <w:rPr>
          <w:rFonts w:cstheme="minorBidi"/>
          <w:sz w:val="22"/>
          <w:szCs w:val="22"/>
        </w:rPr>
        <w:t xml:space="preserve"> or </w:t>
      </w:r>
      <w:r w:rsidR="004540D2" w:rsidRPr="3F923778">
        <w:rPr>
          <w:rFonts w:cstheme="minorBidi"/>
          <w:sz w:val="22"/>
          <w:szCs w:val="22"/>
        </w:rPr>
        <w:t xml:space="preserve">the saturated fat is </w:t>
      </w:r>
      <w:r w:rsidR="004F5DB5" w:rsidRPr="3F923778">
        <w:rPr>
          <w:rFonts w:cstheme="minorBidi"/>
          <w:sz w:val="22"/>
          <w:szCs w:val="22"/>
        </w:rPr>
        <w:t xml:space="preserve">required for </w:t>
      </w:r>
      <w:r w:rsidR="009549C2" w:rsidRPr="3F923778">
        <w:rPr>
          <w:rFonts w:cstheme="minorBidi"/>
          <w:sz w:val="22"/>
          <w:szCs w:val="22"/>
        </w:rPr>
        <w:t xml:space="preserve">product </w:t>
      </w:r>
      <w:r w:rsidR="004F5DB5" w:rsidRPr="3F923778">
        <w:rPr>
          <w:rFonts w:cstheme="minorBidi"/>
          <w:sz w:val="22"/>
          <w:szCs w:val="22"/>
        </w:rPr>
        <w:t>structural reasons)</w:t>
      </w:r>
      <w:r w:rsidR="00BE7B72" w:rsidRPr="3F923778">
        <w:rPr>
          <w:rFonts w:cstheme="minorBidi"/>
          <w:sz w:val="22"/>
          <w:szCs w:val="22"/>
        </w:rPr>
        <w:t>.</w:t>
      </w:r>
      <w:r w:rsidRPr="3F923778">
        <w:rPr>
          <w:rFonts w:cstheme="minorBidi"/>
          <w:sz w:val="22"/>
          <w:szCs w:val="22"/>
        </w:rPr>
        <w:t xml:space="preserve"> Many of these categories are </w:t>
      </w:r>
      <w:r w:rsidR="001531CE" w:rsidRPr="3F923778">
        <w:rPr>
          <w:rFonts w:cstheme="minorBidi"/>
          <w:sz w:val="22"/>
          <w:szCs w:val="22"/>
        </w:rPr>
        <w:t xml:space="preserve">discretionary foods and </w:t>
      </w:r>
      <w:r w:rsidR="00E25B50" w:rsidRPr="3F923778">
        <w:rPr>
          <w:rFonts w:cstheme="minorBidi"/>
          <w:sz w:val="22"/>
          <w:szCs w:val="22"/>
        </w:rPr>
        <w:t xml:space="preserve">key contributors </w:t>
      </w:r>
      <w:r w:rsidRPr="3F923778">
        <w:rPr>
          <w:rFonts w:cstheme="minorBidi"/>
          <w:sz w:val="22"/>
          <w:szCs w:val="22"/>
        </w:rPr>
        <w:t>across</w:t>
      </w:r>
      <w:r w:rsidR="00E25B50" w:rsidRPr="3F923778">
        <w:rPr>
          <w:rFonts w:cstheme="minorBidi"/>
          <w:sz w:val="22"/>
          <w:szCs w:val="22"/>
        </w:rPr>
        <w:t xml:space="preserve"> </w:t>
      </w:r>
      <w:r w:rsidR="001531CE" w:rsidRPr="3F923778">
        <w:rPr>
          <w:rFonts w:cstheme="minorBidi"/>
          <w:sz w:val="22"/>
          <w:szCs w:val="22"/>
        </w:rPr>
        <w:t>multiple</w:t>
      </w:r>
      <w:r w:rsidR="00E25B50" w:rsidRPr="3F923778">
        <w:rPr>
          <w:rFonts w:cstheme="minorBidi"/>
          <w:sz w:val="22"/>
          <w:szCs w:val="22"/>
        </w:rPr>
        <w:t xml:space="preserve"> risk-associated nutrients.</w:t>
      </w:r>
    </w:p>
    <w:p w14:paraId="67DF3B89" w14:textId="056D07F0" w:rsidR="004540D2" w:rsidRPr="00994436" w:rsidRDefault="004540D2" w:rsidP="00795E9E">
      <w:pPr>
        <w:pStyle w:val="Heading4"/>
        <w:spacing w:before="0" w:after="120"/>
        <w:rPr>
          <w:sz w:val="24"/>
          <w:szCs w:val="24"/>
        </w:rPr>
      </w:pPr>
      <w:r w:rsidRPr="00994436">
        <w:rPr>
          <w:sz w:val="24"/>
          <w:szCs w:val="24"/>
        </w:rPr>
        <w:t>Added sugars</w:t>
      </w:r>
      <w:r w:rsidR="5A4F7427" w:rsidRPr="00994436">
        <w:rPr>
          <w:sz w:val="24"/>
          <w:szCs w:val="24"/>
        </w:rPr>
        <w:t>/free sugars</w:t>
      </w:r>
    </w:p>
    <w:p w14:paraId="5E7C9DD2" w14:textId="2DF067CB" w:rsidR="00950932" w:rsidRPr="00B5325D" w:rsidRDefault="2105A452" w:rsidP="00795E9E">
      <w:pPr>
        <w:autoSpaceDE w:val="0"/>
        <w:autoSpaceDN w:val="0"/>
        <w:adjustRightInd w:val="0"/>
        <w:spacing w:after="240"/>
        <w:rPr>
          <w:rFonts w:ascii="Arial" w:eastAsia="Arial" w:hAnsi="Arial" w:cs="Arial"/>
          <w:color w:val="333333"/>
        </w:rPr>
      </w:pPr>
      <w:r w:rsidRPr="6099F934">
        <w:rPr>
          <w:rFonts w:cstheme="minorBidi"/>
          <w:sz w:val="22"/>
          <w:szCs w:val="22"/>
        </w:rPr>
        <w:t>T</w:t>
      </w:r>
      <w:r w:rsidR="53C75B03" w:rsidRPr="6099F934">
        <w:rPr>
          <w:sz w:val="22"/>
          <w:szCs w:val="22"/>
        </w:rPr>
        <w:t xml:space="preserve">he ADG recommend limiting consumption of foods </w:t>
      </w:r>
      <w:r w:rsidR="6925A456" w:rsidRPr="6099F934">
        <w:rPr>
          <w:sz w:val="22"/>
          <w:szCs w:val="22"/>
        </w:rPr>
        <w:t xml:space="preserve">and beverages </w:t>
      </w:r>
      <w:r w:rsidR="53C75B03" w:rsidRPr="6099F934">
        <w:rPr>
          <w:sz w:val="22"/>
          <w:szCs w:val="22"/>
        </w:rPr>
        <w:t>containing ‘added sugars’</w:t>
      </w:r>
      <w:r w:rsidR="432A775C" w:rsidRPr="6099F934">
        <w:rPr>
          <w:sz w:val="22"/>
          <w:szCs w:val="22"/>
        </w:rPr>
        <w:t xml:space="preserve"> (Guideline 3)</w:t>
      </w:r>
      <w:r w:rsidR="00E35936">
        <w:rPr>
          <w:sz w:val="22"/>
          <w:szCs w:val="22"/>
        </w:rPr>
        <w:t xml:space="preserve"> (16)</w:t>
      </w:r>
      <w:r w:rsidR="53C75B03" w:rsidRPr="6099F934">
        <w:rPr>
          <w:sz w:val="22"/>
          <w:szCs w:val="22"/>
        </w:rPr>
        <w:t xml:space="preserve">. </w:t>
      </w:r>
      <w:r w:rsidR="4047BAC1" w:rsidRPr="6099F934">
        <w:rPr>
          <w:sz w:val="22"/>
          <w:szCs w:val="22"/>
        </w:rPr>
        <w:t xml:space="preserve">Added sugars are defined as </w:t>
      </w:r>
      <w:r w:rsidR="7ACC7F3F" w:rsidRPr="6099F934">
        <w:rPr>
          <w:sz w:val="22"/>
          <w:szCs w:val="22"/>
        </w:rPr>
        <w:t>monosaccharides and disaccharides added to foods and beverages by the manufacturer, cook or consumer</w:t>
      </w:r>
      <w:r w:rsidR="000B7572" w:rsidRPr="6099F934">
        <w:rPr>
          <w:sz w:val="22"/>
          <w:szCs w:val="22"/>
        </w:rPr>
        <w:t xml:space="preserve"> (1</w:t>
      </w:r>
      <w:r w:rsidR="00A6006D">
        <w:rPr>
          <w:sz w:val="22"/>
          <w:szCs w:val="22"/>
        </w:rPr>
        <w:t>8</w:t>
      </w:r>
      <w:r w:rsidR="001C05F6" w:rsidRPr="6099F934">
        <w:rPr>
          <w:sz w:val="22"/>
          <w:szCs w:val="22"/>
        </w:rPr>
        <w:t>)</w:t>
      </w:r>
      <w:r w:rsidR="006A3D58">
        <w:t>.</w:t>
      </w:r>
      <w:r w:rsidR="006A3D58" w:rsidRPr="6099F934">
        <w:rPr>
          <w:sz w:val="22"/>
          <w:szCs w:val="22"/>
        </w:rPr>
        <w:t xml:space="preserve"> </w:t>
      </w:r>
      <w:r w:rsidR="33D4EBF6" w:rsidRPr="6099F934">
        <w:rPr>
          <w:sz w:val="22"/>
          <w:szCs w:val="22"/>
        </w:rPr>
        <w:t xml:space="preserve">The </w:t>
      </w:r>
      <w:r w:rsidR="1C73D367" w:rsidRPr="6099F934">
        <w:rPr>
          <w:sz w:val="22"/>
          <w:szCs w:val="22"/>
        </w:rPr>
        <w:t xml:space="preserve">use of the </w:t>
      </w:r>
      <w:r w:rsidR="33D4EBF6" w:rsidRPr="6099F934">
        <w:rPr>
          <w:sz w:val="22"/>
          <w:szCs w:val="22"/>
        </w:rPr>
        <w:t xml:space="preserve">term </w:t>
      </w:r>
      <w:r w:rsidR="2D9DFE69" w:rsidRPr="6099F934">
        <w:rPr>
          <w:sz w:val="22"/>
          <w:szCs w:val="22"/>
        </w:rPr>
        <w:t>’</w:t>
      </w:r>
      <w:r w:rsidR="33D4EBF6" w:rsidRPr="6099F934">
        <w:rPr>
          <w:sz w:val="22"/>
          <w:szCs w:val="22"/>
        </w:rPr>
        <w:t>free sugars</w:t>
      </w:r>
      <w:r w:rsidR="004C3B0A" w:rsidRPr="6099F934">
        <w:rPr>
          <w:sz w:val="22"/>
          <w:szCs w:val="22"/>
        </w:rPr>
        <w:t xml:space="preserve">’ </w:t>
      </w:r>
      <w:r w:rsidR="33D4EBF6" w:rsidRPr="6099F934">
        <w:rPr>
          <w:sz w:val="22"/>
          <w:szCs w:val="22"/>
        </w:rPr>
        <w:t xml:space="preserve">is </w:t>
      </w:r>
      <w:r w:rsidR="4DB037BF" w:rsidRPr="6099F934">
        <w:rPr>
          <w:sz w:val="22"/>
          <w:szCs w:val="22"/>
        </w:rPr>
        <w:t>also</w:t>
      </w:r>
      <w:r w:rsidR="33D4EBF6" w:rsidRPr="6099F934">
        <w:rPr>
          <w:sz w:val="22"/>
          <w:szCs w:val="22"/>
        </w:rPr>
        <w:t xml:space="preserve"> </w:t>
      </w:r>
      <w:r w:rsidR="004C3B0A" w:rsidRPr="6099F934">
        <w:rPr>
          <w:sz w:val="22"/>
          <w:szCs w:val="22"/>
        </w:rPr>
        <w:t>common and</w:t>
      </w:r>
      <w:r w:rsidR="33D4EBF6" w:rsidRPr="6099F934">
        <w:rPr>
          <w:sz w:val="22"/>
          <w:szCs w:val="22"/>
        </w:rPr>
        <w:t xml:space="preserve"> extends th</w:t>
      </w:r>
      <w:r w:rsidR="3B01DC53" w:rsidRPr="6099F934">
        <w:rPr>
          <w:sz w:val="22"/>
          <w:szCs w:val="22"/>
        </w:rPr>
        <w:t>e</w:t>
      </w:r>
      <w:r w:rsidR="33D4EBF6" w:rsidRPr="6099F934">
        <w:rPr>
          <w:sz w:val="22"/>
          <w:szCs w:val="22"/>
        </w:rPr>
        <w:t xml:space="preserve"> definition </w:t>
      </w:r>
      <w:r w:rsidR="7EB74CF1" w:rsidRPr="6099F934">
        <w:rPr>
          <w:sz w:val="22"/>
          <w:szCs w:val="22"/>
        </w:rPr>
        <w:t xml:space="preserve">of ’added sugars’ </w:t>
      </w:r>
      <w:r w:rsidR="33D4EBF6" w:rsidRPr="6099F934">
        <w:rPr>
          <w:sz w:val="22"/>
          <w:szCs w:val="22"/>
        </w:rPr>
        <w:t>by additionally including sugars naturally present in honey, syrups, fruit juices and fruit juice concentrates</w:t>
      </w:r>
      <w:r w:rsidR="000B7572" w:rsidRPr="6099F934">
        <w:rPr>
          <w:sz w:val="22"/>
          <w:szCs w:val="22"/>
        </w:rPr>
        <w:t xml:space="preserve"> (1</w:t>
      </w:r>
      <w:r w:rsidR="00A6006D">
        <w:rPr>
          <w:sz w:val="22"/>
          <w:szCs w:val="22"/>
        </w:rPr>
        <w:t>8</w:t>
      </w:r>
      <w:r w:rsidR="001C6D11" w:rsidRPr="6099F934">
        <w:rPr>
          <w:sz w:val="22"/>
          <w:szCs w:val="22"/>
        </w:rPr>
        <w:t>)</w:t>
      </w:r>
      <w:r w:rsidR="33D4EBF6" w:rsidRPr="6099F934">
        <w:rPr>
          <w:sz w:val="22"/>
          <w:szCs w:val="22"/>
        </w:rPr>
        <w:t xml:space="preserve">. </w:t>
      </w:r>
      <w:r w:rsidR="53C75B03" w:rsidRPr="6099F934">
        <w:rPr>
          <w:sz w:val="22"/>
          <w:szCs w:val="22"/>
        </w:rPr>
        <w:t xml:space="preserve">The </w:t>
      </w:r>
      <w:r w:rsidR="314096CA" w:rsidRPr="6099F934">
        <w:rPr>
          <w:sz w:val="22"/>
          <w:szCs w:val="22"/>
        </w:rPr>
        <w:t xml:space="preserve">World Health </w:t>
      </w:r>
      <w:r w:rsidR="00B131A0" w:rsidRPr="6099F934">
        <w:rPr>
          <w:sz w:val="22"/>
          <w:szCs w:val="22"/>
        </w:rPr>
        <w:t>Organization (</w:t>
      </w:r>
      <w:r w:rsidR="53C75B03" w:rsidRPr="001B25AE">
        <w:rPr>
          <w:sz w:val="22"/>
          <w:szCs w:val="22"/>
        </w:rPr>
        <w:t>WHO</w:t>
      </w:r>
      <w:r w:rsidR="54481792" w:rsidRPr="6099F934">
        <w:rPr>
          <w:sz w:val="22"/>
          <w:szCs w:val="22"/>
        </w:rPr>
        <w:t>)</w:t>
      </w:r>
      <w:r w:rsidR="53C75B03" w:rsidRPr="6099F934">
        <w:rPr>
          <w:sz w:val="22"/>
          <w:szCs w:val="22"/>
        </w:rPr>
        <w:t xml:space="preserve"> recommends a reduced intake of free sugars throughout the life course and more specifically that children and adults limit their intake to less than 10</w:t>
      </w:r>
      <w:r w:rsidR="75153C21" w:rsidRPr="6099F934">
        <w:rPr>
          <w:sz w:val="22"/>
          <w:szCs w:val="22"/>
        </w:rPr>
        <w:t>%</w:t>
      </w:r>
      <w:r w:rsidR="1C13C86D" w:rsidRPr="6099F934">
        <w:rPr>
          <w:sz w:val="22"/>
          <w:szCs w:val="22"/>
        </w:rPr>
        <w:t xml:space="preserve"> </w:t>
      </w:r>
      <w:r w:rsidR="53C75B03" w:rsidRPr="6099F934">
        <w:rPr>
          <w:sz w:val="22"/>
          <w:szCs w:val="22"/>
        </w:rPr>
        <w:t>of total energy intake</w:t>
      </w:r>
      <w:r w:rsidR="2537F2D4" w:rsidRPr="6099F934">
        <w:rPr>
          <w:sz w:val="22"/>
          <w:szCs w:val="22"/>
        </w:rPr>
        <w:t xml:space="preserve"> (based on moderate quality of evidence </w:t>
      </w:r>
      <w:r w:rsidR="432F4A9E" w:rsidRPr="6099F934">
        <w:rPr>
          <w:sz w:val="22"/>
          <w:szCs w:val="22"/>
        </w:rPr>
        <w:t xml:space="preserve">from observational studies </w:t>
      </w:r>
      <w:r w:rsidR="2537F2D4" w:rsidRPr="6099F934">
        <w:rPr>
          <w:sz w:val="22"/>
          <w:szCs w:val="22"/>
        </w:rPr>
        <w:t>of dental caries)</w:t>
      </w:r>
      <w:r w:rsidR="53C75B03" w:rsidRPr="6099F934">
        <w:rPr>
          <w:sz w:val="22"/>
          <w:szCs w:val="22"/>
        </w:rPr>
        <w:t>, or</w:t>
      </w:r>
      <w:r w:rsidR="3C4F751D" w:rsidRPr="6099F934">
        <w:rPr>
          <w:sz w:val="22"/>
          <w:szCs w:val="22"/>
        </w:rPr>
        <w:t xml:space="preserve"> </w:t>
      </w:r>
      <w:r w:rsidR="432A775C" w:rsidRPr="6099F934">
        <w:rPr>
          <w:sz w:val="22"/>
          <w:szCs w:val="22"/>
        </w:rPr>
        <w:t>to less than 5%</w:t>
      </w:r>
      <w:r w:rsidR="6786086E" w:rsidRPr="6099F934">
        <w:rPr>
          <w:sz w:val="22"/>
          <w:szCs w:val="22"/>
        </w:rPr>
        <w:t xml:space="preserve"> (based on very low quality of evidence of </w:t>
      </w:r>
      <w:r w:rsidR="359F645C" w:rsidRPr="6099F934">
        <w:rPr>
          <w:sz w:val="22"/>
          <w:szCs w:val="22"/>
        </w:rPr>
        <w:t xml:space="preserve">ecological studies of </w:t>
      </w:r>
      <w:r w:rsidR="6786086E" w:rsidRPr="6099F934">
        <w:rPr>
          <w:sz w:val="22"/>
          <w:szCs w:val="22"/>
        </w:rPr>
        <w:t>dental caries)</w:t>
      </w:r>
      <w:r w:rsidR="000B7572" w:rsidRPr="6099F934">
        <w:rPr>
          <w:sz w:val="22"/>
          <w:szCs w:val="22"/>
        </w:rPr>
        <w:t xml:space="preserve"> (1</w:t>
      </w:r>
      <w:r w:rsidR="00984985">
        <w:rPr>
          <w:sz w:val="22"/>
          <w:szCs w:val="22"/>
        </w:rPr>
        <w:t>9</w:t>
      </w:r>
      <w:r w:rsidR="006A3D58" w:rsidRPr="6099F934">
        <w:rPr>
          <w:sz w:val="22"/>
          <w:szCs w:val="22"/>
        </w:rPr>
        <w:t xml:space="preserve">). </w:t>
      </w:r>
    </w:p>
    <w:p w14:paraId="76F0952B" w14:textId="48D0A17C" w:rsidR="00950932" w:rsidRPr="00082C52" w:rsidRDefault="2D9AE65E" w:rsidP="00795E9E">
      <w:pPr>
        <w:spacing w:after="240"/>
        <w:rPr>
          <w:sz w:val="22"/>
          <w:szCs w:val="22"/>
        </w:rPr>
      </w:pPr>
      <w:r w:rsidRPr="6099F934">
        <w:rPr>
          <w:sz w:val="22"/>
          <w:szCs w:val="22"/>
        </w:rPr>
        <w:t>In 2011</w:t>
      </w:r>
      <w:r w:rsidR="00B4019E">
        <w:rPr>
          <w:sz w:val="22"/>
          <w:szCs w:val="22"/>
        </w:rPr>
        <w:t>–</w:t>
      </w:r>
      <w:r w:rsidRPr="6099F934">
        <w:rPr>
          <w:sz w:val="22"/>
          <w:szCs w:val="22"/>
        </w:rPr>
        <w:t>12, Australians consumed an average of 60 grams of free sugars per day</w:t>
      </w:r>
      <w:r w:rsidR="000B7572" w:rsidRPr="6099F934">
        <w:rPr>
          <w:sz w:val="22"/>
          <w:szCs w:val="22"/>
        </w:rPr>
        <w:t xml:space="preserve"> (</w:t>
      </w:r>
      <w:r w:rsidR="00984985">
        <w:rPr>
          <w:sz w:val="22"/>
          <w:szCs w:val="22"/>
        </w:rPr>
        <w:t>20</w:t>
      </w:r>
      <w:r w:rsidR="00E637D1" w:rsidRPr="6099F934">
        <w:rPr>
          <w:sz w:val="22"/>
          <w:szCs w:val="22"/>
        </w:rPr>
        <w:t>)</w:t>
      </w:r>
      <w:r w:rsidR="1BE2BBD0" w:rsidRPr="6099F934">
        <w:rPr>
          <w:sz w:val="22"/>
          <w:szCs w:val="22"/>
        </w:rPr>
        <w:t xml:space="preserve">. </w:t>
      </w:r>
      <w:r w:rsidR="63BAD265" w:rsidRPr="6099F934">
        <w:rPr>
          <w:sz w:val="22"/>
          <w:szCs w:val="22"/>
        </w:rPr>
        <w:t>Just over half of all Australians aged 2 years and over exceeded the WHO recommendation to limit energy from free sugars to less than 10% of dietary energy. Children and teenagers were most likely to exceed the r</w:t>
      </w:r>
      <w:r w:rsidR="00800BEF" w:rsidRPr="6099F934">
        <w:rPr>
          <w:sz w:val="22"/>
          <w:szCs w:val="22"/>
        </w:rPr>
        <w:t xml:space="preserve">ecommendation with almost three </w:t>
      </w:r>
      <w:r w:rsidR="63BAD265" w:rsidRPr="6099F934">
        <w:rPr>
          <w:sz w:val="22"/>
          <w:szCs w:val="22"/>
        </w:rPr>
        <w:t xml:space="preserve">quarters of </w:t>
      </w:r>
      <w:r w:rsidR="001B25AE" w:rsidRPr="6099F934">
        <w:rPr>
          <w:sz w:val="22"/>
          <w:szCs w:val="22"/>
        </w:rPr>
        <w:t>9</w:t>
      </w:r>
      <w:r w:rsidR="00B4019E">
        <w:rPr>
          <w:sz w:val="22"/>
          <w:szCs w:val="22"/>
        </w:rPr>
        <w:t>–</w:t>
      </w:r>
      <w:r w:rsidR="001B25AE" w:rsidRPr="6099F934">
        <w:rPr>
          <w:sz w:val="22"/>
          <w:szCs w:val="22"/>
        </w:rPr>
        <w:t>13- and 14–18-year-olds</w:t>
      </w:r>
      <w:r w:rsidR="63BAD265" w:rsidRPr="6099F934">
        <w:rPr>
          <w:sz w:val="22"/>
          <w:szCs w:val="22"/>
        </w:rPr>
        <w:t xml:space="preserve"> usually consuming 10% or more of their dietary energy from free sugars. The highest 10% of </w:t>
      </w:r>
      <w:r w:rsidR="001B25AE" w:rsidRPr="6099F934">
        <w:rPr>
          <w:sz w:val="22"/>
          <w:szCs w:val="22"/>
        </w:rPr>
        <w:t>14–18-year-olds</w:t>
      </w:r>
      <w:r w:rsidR="63BAD265" w:rsidRPr="6099F934">
        <w:rPr>
          <w:sz w:val="22"/>
          <w:szCs w:val="22"/>
        </w:rPr>
        <w:t xml:space="preserve"> were deriving at least 23% of their energy from free sugars. Adults aged 51</w:t>
      </w:r>
      <w:r w:rsidR="00B4019E">
        <w:rPr>
          <w:sz w:val="22"/>
          <w:szCs w:val="22"/>
        </w:rPr>
        <w:t>–</w:t>
      </w:r>
      <w:r w:rsidR="63BAD265" w:rsidRPr="6099F934">
        <w:rPr>
          <w:sz w:val="22"/>
          <w:szCs w:val="22"/>
        </w:rPr>
        <w:t>70 years were least likely to exceed the recommendation (38% of males and 35% of females).</w:t>
      </w:r>
    </w:p>
    <w:p w14:paraId="47B723F0" w14:textId="6F62EE9C" w:rsidR="004540D2" w:rsidRPr="00B5325D" w:rsidRDefault="004540D2" w:rsidP="00795E9E">
      <w:pPr>
        <w:autoSpaceDE w:val="0"/>
        <w:autoSpaceDN w:val="0"/>
        <w:adjustRightInd w:val="0"/>
        <w:spacing w:after="240"/>
        <w:rPr>
          <w:rFonts w:cstheme="minorBidi"/>
          <w:sz w:val="22"/>
          <w:szCs w:val="22"/>
        </w:rPr>
      </w:pPr>
      <w:r w:rsidRPr="62766362">
        <w:rPr>
          <w:sz w:val="22"/>
          <w:szCs w:val="22"/>
          <w:shd w:val="clear" w:color="auto" w:fill="FFFFFF"/>
        </w:rPr>
        <w:t xml:space="preserve">Based on the above evidence, the RWG </w:t>
      </w:r>
      <w:r w:rsidR="00FF0CF5" w:rsidRPr="62766362">
        <w:rPr>
          <w:sz w:val="22"/>
          <w:szCs w:val="22"/>
          <w:shd w:val="clear" w:color="auto" w:fill="FFFFFF"/>
        </w:rPr>
        <w:t>assessed</w:t>
      </w:r>
      <w:r w:rsidRPr="62766362">
        <w:rPr>
          <w:sz w:val="22"/>
          <w:szCs w:val="22"/>
          <w:shd w:val="clear" w:color="auto" w:fill="FFFFFF"/>
        </w:rPr>
        <w:t xml:space="preserve"> the consumption data for </w:t>
      </w:r>
      <w:r w:rsidR="001531CE" w:rsidRPr="62766362">
        <w:rPr>
          <w:sz w:val="22"/>
          <w:szCs w:val="22"/>
          <w:shd w:val="clear" w:color="auto" w:fill="FFFFFF"/>
        </w:rPr>
        <w:t>free</w:t>
      </w:r>
      <w:r w:rsidRPr="62766362">
        <w:rPr>
          <w:sz w:val="22"/>
          <w:szCs w:val="22"/>
          <w:shd w:val="clear" w:color="auto" w:fill="FFFFFF"/>
        </w:rPr>
        <w:t xml:space="preserve"> sugar from the 2011</w:t>
      </w:r>
      <w:r w:rsidR="00B4019E">
        <w:rPr>
          <w:sz w:val="22"/>
          <w:szCs w:val="22"/>
          <w:shd w:val="clear" w:color="auto" w:fill="FFFFFF"/>
        </w:rPr>
        <w:t>–</w:t>
      </w:r>
      <w:r w:rsidRPr="62766362">
        <w:rPr>
          <w:sz w:val="22"/>
          <w:szCs w:val="22"/>
          <w:shd w:val="clear" w:color="auto" w:fill="FFFFFF"/>
        </w:rPr>
        <w:t>12 NNPAS</w:t>
      </w:r>
      <w:r w:rsidR="00E25B50" w:rsidRPr="62766362">
        <w:rPr>
          <w:sz w:val="22"/>
          <w:szCs w:val="22"/>
          <w:shd w:val="clear" w:color="auto" w:fill="FFFFFF"/>
        </w:rPr>
        <w:t xml:space="preserve"> and the </w:t>
      </w:r>
      <w:r w:rsidR="00E25B50" w:rsidRPr="62766362">
        <w:rPr>
          <w:sz w:val="22"/>
          <w:szCs w:val="22"/>
        </w:rPr>
        <w:t>foods contributing ≥0.8</w:t>
      </w:r>
      <w:r w:rsidR="004C3B0A">
        <w:rPr>
          <w:sz w:val="22"/>
          <w:szCs w:val="22"/>
        </w:rPr>
        <w:t>%</w:t>
      </w:r>
      <w:r w:rsidR="00E25B50" w:rsidRPr="62766362">
        <w:rPr>
          <w:sz w:val="22"/>
          <w:szCs w:val="22"/>
        </w:rPr>
        <w:t xml:space="preserve"> intake of free sugars for the total population (Table 3). For some of these categories, reformulation targets were set where feasible, while other categories were referred to the </w:t>
      </w:r>
      <w:r w:rsidR="006273C7" w:rsidRPr="62766362">
        <w:rPr>
          <w:sz w:val="22"/>
          <w:szCs w:val="22"/>
        </w:rPr>
        <w:t>IBP</w:t>
      </w:r>
      <w:r w:rsidR="004A2E4D" w:rsidRPr="62766362">
        <w:rPr>
          <w:sz w:val="22"/>
          <w:szCs w:val="22"/>
        </w:rPr>
        <w:t>G</w:t>
      </w:r>
      <w:r w:rsidR="77595BB6" w:rsidRPr="62766362">
        <w:rPr>
          <w:sz w:val="22"/>
          <w:szCs w:val="22"/>
        </w:rPr>
        <w:t>W</w:t>
      </w:r>
      <w:r w:rsidR="00E25B50" w:rsidRPr="62766362">
        <w:rPr>
          <w:sz w:val="22"/>
          <w:szCs w:val="22"/>
        </w:rPr>
        <w:t xml:space="preserve">G for </w:t>
      </w:r>
      <w:r w:rsidR="00E54D20" w:rsidRPr="62766362">
        <w:rPr>
          <w:sz w:val="22"/>
          <w:szCs w:val="22"/>
        </w:rPr>
        <w:t>consideration</w:t>
      </w:r>
      <w:r w:rsidR="00E25B50" w:rsidRPr="62766362">
        <w:rPr>
          <w:sz w:val="22"/>
          <w:szCs w:val="22"/>
        </w:rPr>
        <w:t xml:space="preserve">. </w:t>
      </w:r>
    </w:p>
    <w:p w14:paraId="636ECEF9" w14:textId="77777777" w:rsidR="00AE496B" w:rsidRDefault="00AE496B" w:rsidP="00795E9E">
      <w:pPr>
        <w:spacing w:after="240"/>
        <w:rPr>
          <w:b/>
          <w:bCs/>
        </w:rPr>
      </w:pPr>
      <w:r>
        <w:rPr>
          <w:b/>
          <w:bCs/>
        </w:rPr>
        <w:br w:type="page"/>
      </w:r>
    </w:p>
    <w:p w14:paraId="0E68F509" w14:textId="76028D2E" w:rsidR="004F5DB5" w:rsidRPr="001E3BE4" w:rsidRDefault="00B13BE8" w:rsidP="6099F934">
      <w:pPr>
        <w:keepNext/>
        <w:autoSpaceDE w:val="0"/>
        <w:autoSpaceDN w:val="0"/>
        <w:adjustRightInd w:val="0"/>
        <w:spacing w:before="120"/>
        <w:rPr>
          <w:b/>
          <w:bCs/>
        </w:rPr>
      </w:pPr>
      <w:r w:rsidRPr="6099F934">
        <w:rPr>
          <w:b/>
          <w:bCs/>
        </w:rPr>
        <w:lastRenderedPageBreak/>
        <w:t>Table 3</w:t>
      </w:r>
      <w:r w:rsidR="004F5DB5" w:rsidRPr="6099F934">
        <w:rPr>
          <w:b/>
          <w:bCs/>
        </w:rPr>
        <w:t>: Food contributing ≥0.8</w:t>
      </w:r>
      <w:r w:rsidR="004C3B0A" w:rsidRPr="6099F934">
        <w:rPr>
          <w:b/>
          <w:bCs/>
        </w:rPr>
        <w:t>%</w:t>
      </w:r>
      <w:r w:rsidR="004F5DB5" w:rsidRPr="6099F934">
        <w:rPr>
          <w:b/>
          <w:bCs/>
        </w:rPr>
        <w:t xml:space="preserve"> intake of free sugars for the total population (2+ years)</w:t>
      </w:r>
      <w:r w:rsidR="0038660C" w:rsidRPr="6099F934">
        <w:rPr>
          <w:b/>
          <w:bCs/>
        </w:rPr>
        <w:t xml:space="preserve"> (</w:t>
      </w:r>
      <w:r w:rsidR="00984985">
        <w:rPr>
          <w:b/>
          <w:bCs/>
        </w:rPr>
        <w:t>20</w:t>
      </w:r>
      <w:r w:rsidR="00E637D1" w:rsidRPr="6099F934">
        <w:rPr>
          <w:b/>
          <w:bCs/>
        </w:rPr>
        <w:t>)</w:t>
      </w:r>
      <w:r w:rsidR="00BA4232" w:rsidRPr="6099F934">
        <w:rPr>
          <w:rStyle w:val="FootnoteReference"/>
        </w:rPr>
        <w:t xml:space="preserve"> </w:t>
      </w:r>
    </w:p>
    <w:tbl>
      <w:tblPr>
        <w:tblStyle w:val="GridTable4-Accent52"/>
        <w:tblW w:w="9607" w:type="dxa"/>
        <w:tblInd w:w="108" w:type="dxa"/>
        <w:tblLook w:val="04A0" w:firstRow="1" w:lastRow="0" w:firstColumn="1" w:lastColumn="0" w:noHBand="0" w:noVBand="1"/>
        <w:tblCaption w:val="Table 5: Food contributing ≥0.8 per cent intake of free sugars for the total population (2+ years), ABS 2016b"/>
      </w:tblPr>
      <w:tblGrid>
        <w:gridCol w:w="7087"/>
        <w:gridCol w:w="900"/>
        <w:gridCol w:w="1620"/>
      </w:tblGrid>
      <w:tr w:rsidR="00E54D20" w:rsidRPr="00445CA0" w14:paraId="772D29FD" w14:textId="7B226DBB" w:rsidTr="05260A5A">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7087" w:type="dxa"/>
            <w:tcBorders>
              <w:top w:val="single" w:sz="4" w:space="0" w:color="auto"/>
              <w:left w:val="single" w:sz="4" w:space="0" w:color="auto"/>
            </w:tcBorders>
          </w:tcPr>
          <w:p w14:paraId="6B8D061A" w14:textId="77777777" w:rsidR="00E54D20" w:rsidRPr="00445CA0" w:rsidRDefault="00E54D20" w:rsidP="00D3783A">
            <w:pPr>
              <w:spacing w:before="120"/>
              <w:contextualSpacing/>
              <w:rPr>
                <w:sz w:val="22"/>
                <w:szCs w:val="22"/>
              </w:rPr>
            </w:pPr>
            <w:r w:rsidRPr="00445CA0">
              <w:rPr>
                <w:sz w:val="22"/>
                <w:szCs w:val="22"/>
              </w:rPr>
              <w:t>Food Category (NNPAS 3-digit food category)</w:t>
            </w:r>
          </w:p>
        </w:tc>
        <w:tc>
          <w:tcPr>
            <w:tcW w:w="900" w:type="dxa"/>
            <w:tcBorders>
              <w:top w:val="single" w:sz="4" w:space="0" w:color="auto"/>
              <w:right w:val="single" w:sz="4" w:space="0" w:color="auto"/>
            </w:tcBorders>
            <w:noWrap/>
          </w:tcPr>
          <w:p w14:paraId="1C2FF741" w14:textId="77777777" w:rsidR="00E54D20" w:rsidRPr="00445CA0" w:rsidRDefault="00E54D20" w:rsidP="00D3783A">
            <w:pPr>
              <w:spacing w:before="120"/>
              <w:contextualSpacing/>
              <w:jc w:val="right"/>
              <w:cnfStyle w:val="100000000000" w:firstRow="1" w:lastRow="0" w:firstColumn="0" w:lastColumn="0" w:oddVBand="0" w:evenVBand="0" w:oddHBand="0" w:evenHBand="0" w:firstRowFirstColumn="0" w:firstRowLastColumn="0" w:lastRowFirstColumn="0" w:lastRowLastColumn="0"/>
              <w:rPr>
                <w:sz w:val="22"/>
                <w:szCs w:val="22"/>
              </w:rPr>
            </w:pPr>
            <w:r w:rsidRPr="00445CA0">
              <w:rPr>
                <w:sz w:val="22"/>
                <w:szCs w:val="22"/>
              </w:rPr>
              <w:t>%</w:t>
            </w:r>
          </w:p>
        </w:tc>
        <w:tc>
          <w:tcPr>
            <w:tcW w:w="1620" w:type="dxa"/>
            <w:tcBorders>
              <w:top w:val="single" w:sz="4" w:space="0" w:color="auto"/>
              <w:right w:val="single" w:sz="4" w:space="0" w:color="auto"/>
            </w:tcBorders>
          </w:tcPr>
          <w:p w14:paraId="72D8911F" w14:textId="6D26DAF2" w:rsidR="00E54D20" w:rsidRPr="00445CA0" w:rsidRDefault="00E54D20" w:rsidP="00E54D20">
            <w:pPr>
              <w:spacing w:before="120"/>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Reformulation target set</w:t>
            </w:r>
          </w:p>
        </w:tc>
      </w:tr>
      <w:tr w:rsidR="00E54D20" w:rsidRPr="00445CA0" w14:paraId="03230A1E" w14:textId="79444B91" w:rsidTr="05260A5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tcPr>
          <w:p w14:paraId="1AB0C3A7" w14:textId="77777777" w:rsidR="00E54D20" w:rsidRPr="00B5325D" w:rsidRDefault="00E54D20" w:rsidP="00D3783A">
            <w:pPr>
              <w:spacing w:before="120"/>
              <w:contextualSpacing/>
              <w:rPr>
                <w:color w:val="000000"/>
                <w:sz w:val="20"/>
                <w:szCs w:val="20"/>
              </w:rPr>
            </w:pPr>
            <w:r w:rsidRPr="00B5325D">
              <w:rPr>
                <w:b w:val="0"/>
                <w:color w:val="000000"/>
                <w:sz w:val="20"/>
                <w:szCs w:val="20"/>
              </w:rPr>
              <w:t xml:space="preserve">Soft drinks, and flavoured mineral waters </w:t>
            </w:r>
          </w:p>
        </w:tc>
        <w:tc>
          <w:tcPr>
            <w:tcW w:w="900" w:type="dxa"/>
            <w:tcBorders>
              <w:right w:val="single" w:sz="4" w:space="0" w:color="auto"/>
            </w:tcBorders>
            <w:noWrap/>
          </w:tcPr>
          <w:p w14:paraId="0A4E9126"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17.0</w:t>
            </w:r>
          </w:p>
        </w:tc>
        <w:tc>
          <w:tcPr>
            <w:tcW w:w="1620" w:type="dxa"/>
            <w:tcBorders>
              <w:right w:val="single" w:sz="4" w:space="0" w:color="auto"/>
            </w:tcBorders>
          </w:tcPr>
          <w:p w14:paraId="4C13FCE0" w14:textId="3D130EE2"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r w:rsidR="00E522DE" w:rsidRPr="00E522DE">
              <w:rPr>
                <w:rFonts w:eastAsia="Wingdings" w:cstheme="minorHAnsi"/>
                <w:color w:val="000000"/>
                <w:sz w:val="18"/>
                <w:szCs w:val="22"/>
              </w:rPr>
              <w:t>Also targeted by the IBPGWG</w:t>
            </w:r>
          </w:p>
        </w:tc>
      </w:tr>
      <w:tr w:rsidR="00E54D20" w:rsidRPr="00445CA0" w14:paraId="55FEC7FB" w14:textId="35D8F950" w:rsidTr="05260A5A">
        <w:trPr>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7247D3EC" w14:textId="77777777" w:rsidR="00E54D20" w:rsidRPr="00B5325D" w:rsidRDefault="00E54D20" w:rsidP="00D3783A">
            <w:pPr>
              <w:spacing w:before="120"/>
              <w:contextualSpacing/>
              <w:rPr>
                <w:color w:val="000000"/>
                <w:sz w:val="20"/>
                <w:szCs w:val="20"/>
              </w:rPr>
            </w:pPr>
            <w:r w:rsidRPr="00B5325D">
              <w:rPr>
                <w:b w:val="0"/>
                <w:color w:val="000000"/>
                <w:sz w:val="20"/>
                <w:szCs w:val="20"/>
              </w:rPr>
              <w:t>Fruit and vegetable juices, and drinks</w:t>
            </w:r>
          </w:p>
        </w:tc>
        <w:tc>
          <w:tcPr>
            <w:tcW w:w="900" w:type="dxa"/>
            <w:tcBorders>
              <w:right w:val="single" w:sz="4" w:space="0" w:color="auto"/>
            </w:tcBorders>
            <w:noWrap/>
            <w:hideMark/>
          </w:tcPr>
          <w:p w14:paraId="4899F953"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13.0</w:t>
            </w:r>
          </w:p>
        </w:tc>
        <w:tc>
          <w:tcPr>
            <w:tcW w:w="1620" w:type="dxa"/>
            <w:tcBorders>
              <w:right w:val="single" w:sz="4" w:space="0" w:color="auto"/>
            </w:tcBorders>
          </w:tcPr>
          <w:p w14:paraId="5FE14708" w14:textId="235C62ED"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687CFEE4" w14:textId="606ED6FF" w:rsidTr="05260A5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2A4AD86E" w14:textId="64208767" w:rsidR="00E54D20" w:rsidRPr="00B5325D" w:rsidRDefault="00E54D20" w:rsidP="00D3783A">
            <w:pPr>
              <w:spacing w:before="120"/>
              <w:contextualSpacing/>
              <w:rPr>
                <w:color w:val="000000"/>
                <w:sz w:val="20"/>
                <w:szCs w:val="20"/>
              </w:rPr>
            </w:pPr>
            <w:r w:rsidRPr="3BD28443">
              <w:rPr>
                <w:b w:val="0"/>
                <w:bCs w:val="0"/>
                <w:color w:val="000000" w:themeColor="text1"/>
                <w:sz w:val="20"/>
                <w:szCs w:val="20"/>
              </w:rPr>
              <w:t xml:space="preserve">Sugar, </w:t>
            </w:r>
            <w:r w:rsidR="548CE304" w:rsidRPr="3BD28443">
              <w:rPr>
                <w:b w:val="0"/>
                <w:bCs w:val="0"/>
                <w:color w:val="000000" w:themeColor="text1"/>
                <w:sz w:val="20"/>
                <w:szCs w:val="20"/>
              </w:rPr>
              <w:t>honey,</w:t>
            </w:r>
            <w:r w:rsidRPr="3BD28443">
              <w:rPr>
                <w:b w:val="0"/>
                <w:bCs w:val="0"/>
                <w:color w:val="000000" w:themeColor="text1"/>
                <w:sz w:val="20"/>
                <w:szCs w:val="20"/>
              </w:rPr>
              <w:t xml:space="preserve"> and syrups</w:t>
            </w:r>
          </w:p>
        </w:tc>
        <w:tc>
          <w:tcPr>
            <w:tcW w:w="900" w:type="dxa"/>
            <w:tcBorders>
              <w:right w:val="single" w:sz="4" w:space="0" w:color="auto"/>
            </w:tcBorders>
            <w:noWrap/>
            <w:hideMark/>
          </w:tcPr>
          <w:p w14:paraId="145DAB30"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11.5</w:t>
            </w:r>
          </w:p>
        </w:tc>
        <w:tc>
          <w:tcPr>
            <w:tcW w:w="1620" w:type="dxa"/>
            <w:tcBorders>
              <w:right w:val="single" w:sz="4" w:space="0" w:color="auto"/>
            </w:tcBorders>
          </w:tcPr>
          <w:p w14:paraId="173ACD5B" w14:textId="77777777"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60922195" w14:textId="45E4D1EF" w:rsidTr="05260A5A">
        <w:trPr>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1E4B6259" w14:textId="77777777" w:rsidR="00E54D20" w:rsidRPr="00B5325D" w:rsidRDefault="00E54D20" w:rsidP="00D3783A">
            <w:pPr>
              <w:spacing w:before="120"/>
              <w:contextualSpacing/>
              <w:rPr>
                <w:color w:val="000000"/>
                <w:sz w:val="20"/>
                <w:szCs w:val="20"/>
                <w:lang w:val="fr-FR"/>
              </w:rPr>
            </w:pPr>
            <w:r w:rsidRPr="00B5325D">
              <w:rPr>
                <w:b w:val="0"/>
                <w:color w:val="000000"/>
                <w:sz w:val="20"/>
                <w:szCs w:val="20"/>
                <w:lang w:val="fr-FR"/>
              </w:rPr>
              <w:t>Cakes, muffins, scones, cake-type desserts</w:t>
            </w:r>
          </w:p>
        </w:tc>
        <w:tc>
          <w:tcPr>
            <w:tcW w:w="900" w:type="dxa"/>
            <w:tcBorders>
              <w:right w:val="single" w:sz="4" w:space="0" w:color="auto"/>
            </w:tcBorders>
            <w:noWrap/>
            <w:hideMark/>
          </w:tcPr>
          <w:p w14:paraId="4D08AAED"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8.7</w:t>
            </w:r>
          </w:p>
        </w:tc>
        <w:tc>
          <w:tcPr>
            <w:tcW w:w="1620" w:type="dxa"/>
            <w:tcBorders>
              <w:right w:val="single" w:sz="4" w:space="0" w:color="auto"/>
            </w:tcBorders>
          </w:tcPr>
          <w:p w14:paraId="7656884D" w14:textId="084B2AEE" w:rsidR="00E54D20" w:rsidRPr="00445CA0" w:rsidRDefault="00E92B38"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62766362">
              <w:rPr>
                <w:color w:val="000000" w:themeColor="text1"/>
                <w:sz w:val="16"/>
                <w:szCs w:val="16"/>
              </w:rPr>
              <w:t xml:space="preserve">Referred to </w:t>
            </w:r>
            <w:r w:rsidR="0F6B2166" w:rsidRPr="62766362">
              <w:rPr>
                <w:color w:val="000000" w:themeColor="text1"/>
                <w:sz w:val="16"/>
                <w:szCs w:val="16"/>
              </w:rPr>
              <w:t>IBPG</w:t>
            </w:r>
            <w:r w:rsidRPr="62766362">
              <w:rPr>
                <w:color w:val="000000" w:themeColor="text1"/>
                <w:sz w:val="16"/>
                <w:szCs w:val="16"/>
              </w:rPr>
              <w:t>WG</w:t>
            </w:r>
          </w:p>
        </w:tc>
      </w:tr>
      <w:tr w:rsidR="00E54D20" w:rsidRPr="00445CA0" w14:paraId="3D5A3FC0" w14:textId="70B7E0F0" w:rsidTr="05260A5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611F4903" w14:textId="77777777" w:rsidR="00E54D20" w:rsidRPr="00B5325D" w:rsidRDefault="00E54D20" w:rsidP="00D3783A">
            <w:pPr>
              <w:spacing w:before="120"/>
              <w:contextualSpacing/>
              <w:rPr>
                <w:color w:val="000000"/>
                <w:sz w:val="20"/>
                <w:szCs w:val="20"/>
              </w:rPr>
            </w:pPr>
            <w:r w:rsidRPr="00B5325D">
              <w:rPr>
                <w:b w:val="0"/>
                <w:color w:val="000000"/>
                <w:sz w:val="20"/>
                <w:szCs w:val="20"/>
              </w:rPr>
              <w:t>Chocolate and chocolate-based confectionery</w:t>
            </w:r>
          </w:p>
        </w:tc>
        <w:tc>
          <w:tcPr>
            <w:tcW w:w="900" w:type="dxa"/>
            <w:tcBorders>
              <w:right w:val="single" w:sz="4" w:space="0" w:color="auto"/>
            </w:tcBorders>
            <w:noWrap/>
            <w:hideMark/>
          </w:tcPr>
          <w:p w14:paraId="0840E9E9"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5.0</w:t>
            </w:r>
          </w:p>
        </w:tc>
        <w:tc>
          <w:tcPr>
            <w:tcW w:w="1620" w:type="dxa"/>
            <w:tcBorders>
              <w:right w:val="single" w:sz="4" w:space="0" w:color="auto"/>
            </w:tcBorders>
          </w:tcPr>
          <w:p w14:paraId="593D57D7" w14:textId="7DFB5C7A" w:rsidR="00E54D20" w:rsidRPr="00445CA0" w:rsidRDefault="00E92B38" w:rsidP="62766362">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7C8E2EBF">
              <w:rPr>
                <w:color w:val="000000" w:themeColor="text1"/>
                <w:sz w:val="16"/>
                <w:szCs w:val="16"/>
              </w:rPr>
              <w:t xml:space="preserve">Referred to </w:t>
            </w:r>
            <w:r w:rsidR="040A6CD0" w:rsidRPr="7C8E2EBF">
              <w:rPr>
                <w:color w:val="000000" w:themeColor="text1"/>
                <w:sz w:val="16"/>
                <w:szCs w:val="16"/>
              </w:rPr>
              <w:t>IBPGWG</w:t>
            </w:r>
          </w:p>
        </w:tc>
      </w:tr>
      <w:tr w:rsidR="00E54D20" w:rsidRPr="00445CA0" w14:paraId="3F83AA15" w14:textId="215FA84D" w:rsidTr="05260A5A">
        <w:trPr>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4A4C73C1" w14:textId="77777777" w:rsidR="00E54D20" w:rsidRPr="00B5325D" w:rsidRDefault="00E54D20" w:rsidP="00D3783A">
            <w:pPr>
              <w:spacing w:before="120"/>
              <w:contextualSpacing/>
              <w:rPr>
                <w:color w:val="000000"/>
                <w:sz w:val="20"/>
                <w:szCs w:val="20"/>
              </w:rPr>
            </w:pPr>
            <w:r w:rsidRPr="00B5325D">
              <w:rPr>
                <w:b w:val="0"/>
                <w:color w:val="000000"/>
                <w:sz w:val="20"/>
                <w:szCs w:val="20"/>
              </w:rPr>
              <w:t>Cordials</w:t>
            </w:r>
          </w:p>
        </w:tc>
        <w:tc>
          <w:tcPr>
            <w:tcW w:w="900" w:type="dxa"/>
            <w:tcBorders>
              <w:right w:val="single" w:sz="4" w:space="0" w:color="auto"/>
            </w:tcBorders>
            <w:noWrap/>
            <w:hideMark/>
          </w:tcPr>
          <w:p w14:paraId="72018622"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4.9</w:t>
            </w:r>
          </w:p>
        </w:tc>
        <w:tc>
          <w:tcPr>
            <w:tcW w:w="1620" w:type="dxa"/>
            <w:tcBorders>
              <w:right w:val="single" w:sz="4" w:space="0" w:color="auto"/>
            </w:tcBorders>
          </w:tcPr>
          <w:p w14:paraId="6DC8599A" w14:textId="77777777"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5EE86936" w14:textId="3A225BA9" w:rsidTr="05260A5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3920B87A" w14:textId="77777777" w:rsidR="00E54D20" w:rsidRPr="00B5325D" w:rsidRDefault="00E54D20" w:rsidP="00D3783A">
            <w:pPr>
              <w:spacing w:before="120"/>
              <w:contextualSpacing/>
              <w:rPr>
                <w:color w:val="000000"/>
                <w:sz w:val="20"/>
                <w:szCs w:val="20"/>
              </w:rPr>
            </w:pPr>
            <w:r w:rsidRPr="00B5325D">
              <w:rPr>
                <w:b w:val="0"/>
                <w:color w:val="000000"/>
                <w:sz w:val="20"/>
                <w:szCs w:val="20"/>
              </w:rPr>
              <w:t>Sweet biscuits</w:t>
            </w:r>
          </w:p>
        </w:tc>
        <w:tc>
          <w:tcPr>
            <w:tcW w:w="900" w:type="dxa"/>
            <w:tcBorders>
              <w:right w:val="single" w:sz="4" w:space="0" w:color="auto"/>
            </w:tcBorders>
            <w:noWrap/>
            <w:hideMark/>
          </w:tcPr>
          <w:p w14:paraId="3751F9C9"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4.0</w:t>
            </w:r>
          </w:p>
        </w:tc>
        <w:tc>
          <w:tcPr>
            <w:tcW w:w="1620" w:type="dxa"/>
            <w:tcBorders>
              <w:right w:val="single" w:sz="4" w:space="0" w:color="auto"/>
            </w:tcBorders>
          </w:tcPr>
          <w:p w14:paraId="53233FD4" w14:textId="1DD55CD5" w:rsidR="00E54D20" w:rsidRPr="00445CA0" w:rsidRDefault="00E92B38" w:rsidP="62766362">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7C8E2EBF">
              <w:rPr>
                <w:color w:val="000000" w:themeColor="text1"/>
                <w:sz w:val="16"/>
                <w:szCs w:val="16"/>
              </w:rPr>
              <w:t xml:space="preserve">Referred to </w:t>
            </w:r>
            <w:r w:rsidR="6E4DCFA5" w:rsidRPr="7C8E2EBF">
              <w:rPr>
                <w:color w:val="000000" w:themeColor="text1"/>
                <w:sz w:val="16"/>
                <w:szCs w:val="16"/>
              </w:rPr>
              <w:t>IBPGWG</w:t>
            </w:r>
          </w:p>
        </w:tc>
      </w:tr>
      <w:tr w:rsidR="00E54D20" w:rsidRPr="00445CA0" w14:paraId="5663D453" w14:textId="0A549544" w:rsidTr="05260A5A">
        <w:trPr>
          <w:trHeight w:val="27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15192A9D" w14:textId="77777777" w:rsidR="00E54D20" w:rsidRPr="00B5325D" w:rsidRDefault="00E54D20" w:rsidP="00D3783A">
            <w:pPr>
              <w:spacing w:before="120"/>
              <w:contextualSpacing/>
              <w:rPr>
                <w:color w:val="000000"/>
                <w:sz w:val="20"/>
                <w:szCs w:val="20"/>
              </w:rPr>
            </w:pPr>
            <w:r w:rsidRPr="00B5325D">
              <w:rPr>
                <w:b w:val="0"/>
                <w:color w:val="000000"/>
                <w:sz w:val="20"/>
                <w:szCs w:val="20"/>
              </w:rPr>
              <w:t>Frozen milk products</w:t>
            </w:r>
          </w:p>
        </w:tc>
        <w:tc>
          <w:tcPr>
            <w:tcW w:w="900" w:type="dxa"/>
            <w:tcBorders>
              <w:right w:val="single" w:sz="4" w:space="0" w:color="auto"/>
            </w:tcBorders>
            <w:noWrap/>
            <w:hideMark/>
          </w:tcPr>
          <w:p w14:paraId="01849564"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4.0</w:t>
            </w:r>
          </w:p>
        </w:tc>
        <w:tc>
          <w:tcPr>
            <w:tcW w:w="1620" w:type="dxa"/>
            <w:tcBorders>
              <w:right w:val="single" w:sz="4" w:space="0" w:color="auto"/>
            </w:tcBorders>
          </w:tcPr>
          <w:p w14:paraId="69EEFEBC" w14:textId="5DEC418E" w:rsidR="00E54D20" w:rsidRPr="00445CA0" w:rsidRDefault="00E92B38" w:rsidP="62766362">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7C8E2EBF">
              <w:rPr>
                <w:color w:val="000000" w:themeColor="text1"/>
                <w:sz w:val="16"/>
                <w:szCs w:val="16"/>
              </w:rPr>
              <w:t xml:space="preserve">Referred to </w:t>
            </w:r>
            <w:r w:rsidR="19A8D48F" w:rsidRPr="7C8E2EBF">
              <w:rPr>
                <w:color w:val="000000" w:themeColor="text1"/>
                <w:sz w:val="16"/>
                <w:szCs w:val="16"/>
              </w:rPr>
              <w:t>IBPGWG</w:t>
            </w:r>
          </w:p>
        </w:tc>
      </w:tr>
      <w:tr w:rsidR="00E54D20" w:rsidRPr="00445CA0" w14:paraId="5FC5C55D" w14:textId="10AF5282" w:rsidTr="05260A5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4ED55A6E"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Breakfast cereals, ready to eat</w:t>
            </w:r>
          </w:p>
        </w:tc>
        <w:tc>
          <w:tcPr>
            <w:tcW w:w="900" w:type="dxa"/>
            <w:tcBorders>
              <w:right w:val="single" w:sz="4" w:space="0" w:color="auto"/>
            </w:tcBorders>
            <w:noWrap/>
            <w:hideMark/>
          </w:tcPr>
          <w:p w14:paraId="69FB10F0"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2.9</w:t>
            </w:r>
          </w:p>
        </w:tc>
        <w:tc>
          <w:tcPr>
            <w:tcW w:w="1620" w:type="dxa"/>
            <w:tcBorders>
              <w:right w:val="single" w:sz="4" w:space="0" w:color="auto"/>
            </w:tcBorders>
          </w:tcPr>
          <w:p w14:paraId="30FD0165" w14:textId="503FAD2B"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672FCB14" w14:textId="752B540F" w:rsidTr="05260A5A">
        <w:trPr>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41317C7E"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Other confectionery</w:t>
            </w:r>
          </w:p>
        </w:tc>
        <w:tc>
          <w:tcPr>
            <w:tcW w:w="900" w:type="dxa"/>
            <w:tcBorders>
              <w:right w:val="single" w:sz="4" w:space="0" w:color="auto"/>
            </w:tcBorders>
            <w:noWrap/>
            <w:hideMark/>
          </w:tcPr>
          <w:p w14:paraId="2281C358"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2.7</w:t>
            </w:r>
          </w:p>
        </w:tc>
        <w:tc>
          <w:tcPr>
            <w:tcW w:w="1620" w:type="dxa"/>
            <w:tcBorders>
              <w:right w:val="single" w:sz="4" w:space="0" w:color="auto"/>
            </w:tcBorders>
          </w:tcPr>
          <w:p w14:paraId="1A44B186" w14:textId="77777777"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03E87CD8" w14:textId="585B0EB6" w:rsidTr="05260A5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2F8E9C60" w14:textId="4542B343" w:rsidR="00E54D20" w:rsidRPr="00B5325D" w:rsidRDefault="00154FC5" w:rsidP="00D3783A">
            <w:pPr>
              <w:spacing w:before="120"/>
              <w:contextualSpacing/>
              <w:rPr>
                <w:b w:val="0"/>
                <w:color w:val="000000"/>
                <w:sz w:val="20"/>
                <w:szCs w:val="20"/>
              </w:rPr>
            </w:pPr>
            <w:r w:rsidRPr="00B5325D">
              <w:rPr>
                <w:b w:val="0"/>
                <w:color w:val="000000"/>
                <w:sz w:val="20"/>
                <w:szCs w:val="20"/>
              </w:rPr>
              <w:t xml:space="preserve">Flavoured milks </w:t>
            </w:r>
            <w:r w:rsidR="00E54D20" w:rsidRPr="00B5325D">
              <w:rPr>
                <w:b w:val="0"/>
                <w:color w:val="000000"/>
                <w:sz w:val="20"/>
                <w:szCs w:val="20"/>
              </w:rPr>
              <w:t>and milkshakes</w:t>
            </w:r>
          </w:p>
        </w:tc>
        <w:tc>
          <w:tcPr>
            <w:tcW w:w="900" w:type="dxa"/>
            <w:tcBorders>
              <w:right w:val="single" w:sz="4" w:space="0" w:color="auto"/>
            </w:tcBorders>
            <w:noWrap/>
            <w:hideMark/>
          </w:tcPr>
          <w:p w14:paraId="0D11EE1D"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2.3</w:t>
            </w:r>
          </w:p>
        </w:tc>
        <w:tc>
          <w:tcPr>
            <w:tcW w:w="1620" w:type="dxa"/>
            <w:tcBorders>
              <w:right w:val="single" w:sz="4" w:space="0" w:color="auto"/>
            </w:tcBorders>
          </w:tcPr>
          <w:p w14:paraId="38503C53" w14:textId="13B3485C"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78317FAA" w14:textId="79271EAE" w:rsidTr="05260A5A">
        <w:trPr>
          <w:trHeight w:val="27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090A27B0"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 xml:space="preserve">Jam and lemon spreads, chocolate spreads, sauces </w:t>
            </w:r>
          </w:p>
        </w:tc>
        <w:tc>
          <w:tcPr>
            <w:tcW w:w="900" w:type="dxa"/>
            <w:tcBorders>
              <w:right w:val="single" w:sz="4" w:space="0" w:color="auto"/>
            </w:tcBorders>
            <w:noWrap/>
            <w:hideMark/>
          </w:tcPr>
          <w:p w14:paraId="65A14DC6"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2.1</w:t>
            </w:r>
          </w:p>
        </w:tc>
        <w:tc>
          <w:tcPr>
            <w:tcW w:w="1620" w:type="dxa"/>
            <w:tcBorders>
              <w:right w:val="single" w:sz="4" w:space="0" w:color="auto"/>
            </w:tcBorders>
          </w:tcPr>
          <w:p w14:paraId="6CD0F3F1" w14:textId="77777777"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3A271F9F" w14:textId="272B52C6" w:rsidTr="05260A5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1DFB9BB0" w14:textId="178178DC" w:rsidR="00E54D20" w:rsidRPr="00B5325D" w:rsidRDefault="00E54D20" w:rsidP="00D3783A">
            <w:pPr>
              <w:spacing w:before="120"/>
              <w:contextualSpacing/>
              <w:rPr>
                <w:b w:val="0"/>
                <w:bCs w:val="0"/>
                <w:color w:val="000000"/>
                <w:sz w:val="20"/>
                <w:szCs w:val="20"/>
              </w:rPr>
            </w:pPr>
            <w:r w:rsidRPr="3BD28443">
              <w:rPr>
                <w:b w:val="0"/>
                <w:bCs w:val="0"/>
                <w:color w:val="000000" w:themeColor="text1"/>
                <w:sz w:val="20"/>
                <w:szCs w:val="20"/>
              </w:rPr>
              <w:t xml:space="preserve">Electrolyte, </w:t>
            </w:r>
            <w:r w:rsidR="586646BC" w:rsidRPr="3BD28443">
              <w:rPr>
                <w:b w:val="0"/>
                <w:bCs w:val="0"/>
                <w:color w:val="000000" w:themeColor="text1"/>
                <w:sz w:val="20"/>
                <w:szCs w:val="20"/>
              </w:rPr>
              <w:t>energy,</w:t>
            </w:r>
            <w:r w:rsidRPr="3BD28443">
              <w:rPr>
                <w:b w:val="0"/>
                <w:bCs w:val="0"/>
                <w:color w:val="000000" w:themeColor="text1"/>
                <w:sz w:val="20"/>
                <w:szCs w:val="20"/>
              </w:rPr>
              <w:t xml:space="preserve"> and fortified drinks</w:t>
            </w:r>
          </w:p>
        </w:tc>
        <w:tc>
          <w:tcPr>
            <w:tcW w:w="900" w:type="dxa"/>
            <w:tcBorders>
              <w:right w:val="single" w:sz="4" w:space="0" w:color="auto"/>
            </w:tcBorders>
            <w:noWrap/>
            <w:hideMark/>
          </w:tcPr>
          <w:p w14:paraId="58907D63"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2.0</w:t>
            </w:r>
          </w:p>
        </w:tc>
        <w:tc>
          <w:tcPr>
            <w:tcW w:w="1620" w:type="dxa"/>
            <w:tcBorders>
              <w:right w:val="single" w:sz="4" w:space="0" w:color="auto"/>
            </w:tcBorders>
          </w:tcPr>
          <w:p w14:paraId="441330E6" w14:textId="43B17D3D"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4A3C2A13" w14:textId="2F47BF86" w:rsidTr="05260A5A">
        <w:trPr>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09F4FCBE"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Yoghurt</w:t>
            </w:r>
          </w:p>
        </w:tc>
        <w:tc>
          <w:tcPr>
            <w:tcW w:w="900" w:type="dxa"/>
            <w:tcBorders>
              <w:right w:val="single" w:sz="4" w:space="0" w:color="auto"/>
            </w:tcBorders>
            <w:noWrap/>
            <w:hideMark/>
          </w:tcPr>
          <w:p w14:paraId="1690C0AB"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1.8</w:t>
            </w:r>
          </w:p>
        </w:tc>
        <w:tc>
          <w:tcPr>
            <w:tcW w:w="1620" w:type="dxa"/>
            <w:tcBorders>
              <w:right w:val="single" w:sz="4" w:space="0" w:color="auto"/>
            </w:tcBorders>
          </w:tcPr>
          <w:p w14:paraId="6E8B3498" w14:textId="217A2E44"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6932226B" w14:textId="6D6D9EE8" w:rsidTr="05260A5A">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0126FF76"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Gravies and savoury sauces</w:t>
            </w:r>
          </w:p>
        </w:tc>
        <w:tc>
          <w:tcPr>
            <w:tcW w:w="900" w:type="dxa"/>
            <w:tcBorders>
              <w:right w:val="single" w:sz="4" w:space="0" w:color="auto"/>
            </w:tcBorders>
            <w:noWrap/>
            <w:hideMark/>
          </w:tcPr>
          <w:p w14:paraId="5022FC33"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1.8</w:t>
            </w:r>
          </w:p>
        </w:tc>
        <w:tc>
          <w:tcPr>
            <w:tcW w:w="1620" w:type="dxa"/>
            <w:tcBorders>
              <w:right w:val="single" w:sz="4" w:space="0" w:color="auto"/>
            </w:tcBorders>
          </w:tcPr>
          <w:p w14:paraId="21761581" w14:textId="77777777"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7A80B9CB" w14:textId="4A23CD01" w:rsidTr="05260A5A">
        <w:trPr>
          <w:trHeight w:val="7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435F4BC5"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 xml:space="preserve">Mixed dishes where cereal is the major ingredient </w:t>
            </w:r>
          </w:p>
        </w:tc>
        <w:tc>
          <w:tcPr>
            <w:tcW w:w="900" w:type="dxa"/>
            <w:tcBorders>
              <w:right w:val="single" w:sz="4" w:space="0" w:color="auto"/>
            </w:tcBorders>
            <w:noWrap/>
            <w:hideMark/>
          </w:tcPr>
          <w:p w14:paraId="39EAA9CC"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1.5</w:t>
            </w:r>
          </w:p>
        </w:tc>
        <w:tc>
          <w:tcPr>
            <w:tcW w:w="1620" w:type="dxa"/>
            <w:tcBorders>
              <w:right w:val="single" w:sz="4" w:space="0" w:color="auto"/>
            </w:tcBorders>
          </w:tcPr>
          <w:p w14:paraId="5A7C82B8" w14:textId="01BDB815" w:rsidR="00E54D20" w:rsidRPr="00445CA0" w:rsidRDefault="00E54D20" w:rsidP="00E92B38">
            <w:pPr>
              <w:spacing w:before="120"/>
              <w:contextualSpacing/>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7F1E398F" w14:textId="75AFA123" w:rsidTr="05260A5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376493E9"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Dishes and products other than confectionery where sugar is the major component</w:t>
            </w:r>
          </w:p>
        </w:tc>
        <w:tc>
          <w:tcPr>
            <w:tcW w:w="900" w:type="dxa"/>
            <w:tcBorders>
              <w:right w:val="single" w:sz="4" w:space="0" w:color="auto"/>
            </w:tcBorders>
            <w:noWrap/>
            <w:hideMark/>
          </w:tcPr>
          <w:p w14:paraId="288B3287"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1.4</w:t>
            </w:r>
          </w:p>
        </w:tc>
        <w:tc>
          <w:tcPr>
            <w:tcW w:w="1620" w:type="dxa"/>
            <w:tcBorders>
              <w:right w:val="single" w:sz="4" w:space="0" w:color="auto"/>
            </w:tcBorders>
          </w:tcPr>
          <w:p w14:paraId="6DC5A2D0" w14:textId="77777777"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7503A77C" w14:textId="5204035E" w:rsidTr="05260A5A">
        <w:trPr>
          <w:trHeight w:val="7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45931EF5"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 xml:space="preserve">Other beverage flavourings and prepared beverages </w:t>
            </w:r>
          </w:p>
        </w:tc>
        <w:tc>
          <w:tcPr>
            <w:tcW w:w="900" w:type="dxa"/>
            <w:tcBorders>
              <w:right w:val="single" w:sz="4" w:space="0" w:color="auto"/>
            </w:tcBorders>
            <w:noWrap/>
            <w:hideMark/>
          </w:tcPr>
          <w:p w14:paraId="38176828"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1.3</w:t>
            </w:r>
          </w:p>
        </w:tc>
        <w:tc>
          <w:tcPr>
            <w:tcW w:w="1620" w:type="dxa"/>
            <w:tcBorders>
              <w:right w:val="single" w:sz="4" w:space="0" w:color="auto"/>
            </w:tcBorders>
          </w:tcPr>
          <w:p w14:paraId="7F020616" w14:textId="77777777"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502B3897" w14:textId="0BB06B23" w:rsidTr="05260A5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hideMark/>
          </w:tcPr>
          <w:p w14:paraId="283D41E6"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Pastries</w:t>
            </w:r>
          </w:p>
        </w:tc>
        <w:tc>
          <w:tcPr>
            <w:tcW w:w="900" w:type="dxa"/>
            <w:tcBorders>
              <w:right w:val="single" w:sz="4" w:space="0" w:color="auto"/>
            </w:tcBorders>
            <w:noWrap/>
            <w:hideMark/>
          </w:tcPr>
          <w:p w14:paraId="5115E627"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1.1</w:t>
            </w:r>
          </w:p>
        </w:tc>
        <w:tc>
          <w:tcPr>
            <w:tcW w:w="1620" w:type="dxa"/>
            <w:tcBorders>
              <w:right w:val="single" w:sz="4" w:space="0" w:color="auto"/>
            </w:tcBorders>
          </w:tcPr>
          <w:p w14:paraId="0A0ADBFC" w14:textId="77777777"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442A0791" w14:textId="5DA603D9" w:rsidTr="05260A5A">
        <w:trPr>
          <w:trHeight w:val="7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bottom w:val="single" w:sz="4" w:space="0" w:color="92CDDC" w:themeColor="accent5" w:themeTint="99"/>
            </w:tcBorders>
            <w:hideMark/>
          </w:tcPr>
          <w:p w14:paraId="2526CB34" w14:textId="77777777" w:rsidR="00E54D20" w:rsidRPr="00B5325D" w:rsidRDefault="00E54D20" w:rsidP="00D3783A">
            <w:pPr>
              <w:spacing w:before="120"/>
              <w:contextualSpacing/>
              <w:rPr>
                <w:b w:val="0"/>
                <w:bCs w:val="0"/>
                <w:color w:val="000000"/>
                <w:sz w:val="20"/>
                <w:szCs w:val="20"/>
              </w:rPr>
            </w:pPr>
            <w:r w:rsidRPr="05260A5A">
              <w:rPr>
                <w:b w:val="0"/>
                <w:bCs w:val="0"/>
                <w:color w:val="000000" w:themeColor="text1"/>
                <w:sz w:val="20"/>
                <w:szCs w:val="20"/>
              </w:rPr>
              <w:t>Other dishes where milk or a milk product is the major component</w:t>
            </w:r>
          </w:p>
        </w:tc>
        <w:tc>
          <w:tcPr>
            <w:tcW w:w="900" w:type="dxa"/>
            <w:tcBorders>
              <w:bottom w:val="single" w:sz="4" w:space="0" w:color="92CDDC" w:themeColor="accent5" w:themeTint="99"/>
              <w:right w:val="single" w:sz="4" w:space="0" w:color="auto"/>
            </w:tcBorders>
            <w:noWrap/>
            <w:hideMark/>
          </w:tcPr>
          <w:p w14:paraId="5C4E5544" w14:textId="77777777" w:rsidR="00E54D20" w:rsidRPr="00B5325D" w:rsidRDefault="00E54D20" w:rsidP="00D3783A">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0.8</w:t>
            </w:r>
          </w:p>
        </w:tc>
        <w:tc>
          <w:tcPr>
            <w:tcW w:w="1620" w:type="dxa"/>
            <w:tcBorders>
              <w:bottom w:val="single" w:sz="4" w:space="0" w:color="92CDDC" w:themeColor="accent5" w:themeTint="99"/>
              <w:right w:val="single" w:sz="4" w:space="0" w:color="auto"/>
            </w:tcBorders>
          </w:tcPr>
          <w:p w14:paraId="44EE899A" w14:textId="77777777"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64119926" w14:textId="0E21B6C2" w:rsidTr="001B25AE">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tcBorders>
            <w:hideMark/>
          </w:tcPr>
          <w:p w14:paraId="1B7114CD" w14:textId="77777777" w:rsidR="00E54D20" w:rsidRPr="00B5325D" w:rsidRDefault="00E54D20" w:rsidP="00D3783A">
            <w:pPr>
              <w:spacing w:before="120"/>
              <w:contextualSpacing/>
              <w:rPr>
                <w:b w:val="0"/>
                <w:color w:val="000000"/>
                <w:sz w:val="20"/>
                <w:szCs w:val="20"/>
              </w:rPr>
            </w:pPr>
            <w:r w:rsidRPr="00B5325D">
              <w:rPr>
                <w:b w:val="0"/>
                <w:color w:val="000000"/>
                <w:sz w:val="20"/>
                <w:szCs w:val="20"/>
              </w:rPr>
              <w:t>Muesli or cereal style bars</w:t>
            </w:r>
          </w:p>
        </w:tc>
        <w:tc>
          <w:tcPr>
            <w:tcW w:w="0" w:type="dxa"/>
            <w:tcBorders>
              <w:right w:val="single" w:sz="4" w:space="0" w:color="auto"/>
            </w:tcBorders>
            <w:noWrap/>
            <w:hideMark/>
          </w:tcPr>
          <w:p w14:paraId="5C37CF1E" w14:textId="77777777" w:rsidR="00E54D20" w:rsidRPr="00B5325D" w:rsidRDefault="00E54D20" w:rsidP="00D3783A">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0.8</w:t>
            </w:r>
          </w:p>
        </w:tc>
        <w:tc>
          <w:tcPr>
            <w:tcW w:w="0" w:type="dxa"/>
            <w:tcBorders>
              <w:right w:val="single" w:sz="4" w:space="0" w:color="auto"/>
            </w:tcBorders>
          </w:tcPr>
          <w:p w14:paraId="3E6CF3D6" w14:textId="33BF9F93"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bl>
    <w:p w14:paraId="05883F65" w14:textId="6EE57716" w:rsidR="009C4DAD" w:rsidRPr="00F9777F" w:rsidRDefault="009C4DAD" w:rsidP="009C4DAD">
      <w:pPr>
        <w:autoSpaceDE w:val="0"/>
        <w:autoSpaceDN w:val="0"/>
        <w:adjustRightInd w:val="0"/>
        <w:spacing w:before="120"/>
        <w:rPr>
          <w:i/>
          <w:iCs/>
          <w:sz w:val="22"/>
          <w:szCs w:val="22"/>
        </w:rPr>
      </w:pPr>
      <w:bookmarkStart w:id="18" w:name="_Toc518298478"/>
      <w:r w:rsidRPr="00F9777F">
        <w:rPr>
          <w:i/>
          <w:iCs/>
          <w:sz w:val="22"/>
          <w:szCs w:val="22"/>
        </w:rPr>
        <w:t>Source: NNPAS 2011</w:t>
      </w:r>
      <w:r w:rsidR="00B4019E">
        <w:rPr>
          <w:i/>
          <w:iCs/>
          <w:sz w:val="22"/>
          <w:szCs w:val="22"/>
        </w:rPr>
        <w:t>–</w:t>
      </w:r>
      <w:r w:rsidRPr="00F9777F">
        <w:rPr>
          <w:i/>
          <w:iCs/>
          <w:sz w:val="22"/>
          <w:szCs w:val="22"/>
        </w:rPr>
        <w:t>12</w:t>
      </w:r>
    </w:p>
    <w:p w14:paraId="2A80B347" w14:textId="77777777" w:rsidR="00505B99" w:rsidRDefault="00505B99">
      <w:pPr>
        <w:rPr>
          <w:b/>
          <w:bCs/>
          <w:sz w:val="28"/>
          <w:szCs w:val="28"/>
        </w:rPr>
      </w:pPr>
      <w:r>
        <w:br w:type="page"/>
      </w:r>
    </w:p>
    <w:p w14:paraId="5B3B89A8" w14:textId="71998B44" w:rsidR="000C3C1C" w:rsidRPr="00994436" w:rsidRDefault="00E25B50" w:rsidP="00795E9E">
      <w:pPr>
        <w:pStyle w:val="Heading4"/>
        <w:spacing w:before="0" w:after="120"/>
        <w:rPr>
          <w:sz w:val="24"/>
          <w:szCs w:val="24"/>
        </w:rPr>
      </w:pPr>
      <w:r w:rsidRPr="00994436">
        <w:rPr>
          <w:sz w:val="24"/>
          <w:szCs w:val="24"/>
        </w:rPr>
        <w:lastRenderedPageBreak/>
        <w:t>S</w:t>
      </w:r>
      <w:r w:rsidR="000C3C1C" w:rsidRPr="00994436">
        <w:rPr>
          <w:sz w:val="24"/>
          <w:szCs w:val="24"/>
        </w:rPr>
        <w:t>odium</w:t>
      </w:r>
      <w:bookmarkEnd w:id="18"/>
    </w:p>
    <w:p w14:paraId="67A324AE" w14:textId="1430F27E" w:rsidR="00273A43" w:rsidRPr="00B5325D" w:rsidRDefault="00273A43" w:rsidP="00795E9E">
      <w:pPr>
        <w:spacing w:after="240"/>
        <w:rPr>
          <w:sz w:val="22"/>
          <w:szCs w:val="22"/>
          <w:shd w:val="clear" w:color="auto" w:fill="FFFFFF"/>
          <w:vertAlign w:val="superscript"/>
        </w:rPr>
      </w:pPr>
      <w:r w:rsidRPr="3BD28443">
        <w:rPr>
          <w:sz w:val="22"/>
          <w:szCs w:val="22"/>
          <w:shd w:val="clear" w:color="auto" w:fill="FFFFFF"/>
        </w:rPr>
        <w:t xml:space="preserve">The ADG recommend that Australians limit intake of foods and </w:t>
      </w:r>
      <w:r w:rsidR="6DA4D2C3" w:rsidRPr="3BD28443">
        <w:rPr>
          <w:sz w:val="22"/>
          <w:szCs w:val="22"/>
          <w:shd w:val="clear" w:color="auto" w:fill="FFFFFF"/>
        </w:rPr>
        <w:t>beverages</w:t>
      </w:r>
      <w:r w:rsidRPr="3BD28443">
        <w:rPr>
          <w:sz w:val="22"/>
          <w:szCs w:val="22"/>
          <w:shd w:val="clear" w:color="auto" w:fill="FFFFFF"/>
        </w:rPr>
        <w:t xml:space="preserve"> containing salt</w:t>
      </w:r>
      <w:r w:rsidR="23D78389" w:rsidRPr="3BD28443">
        <w:rPr>
          <w:sz w:val="22"/>
          <w:szCs w:val="22"/>
          <w:shd w:val="clear" w:color="auto" w:fill="FFFFFF"/>
        </w:rPr>
        <w:t xml:space="preserve"> (Guideline 3)</w:t>
      </w:r>
      <w:r w:rsidR="00EF5AED">
        <w:rPr>
          <w:sz w:val="22"/>
          <w:szCs w:val="22"/>
          <w:shd w:val="clear" w:color="auto" w:fill="FFFFFF"/>
        </w:rPr>
        <w:t xml:space="preserve"> (16)</w:t>
      </w:r>
      <w:r w:rsidRPr="3BD28443">
        <w:rPr>
          <w:sz w:val="22"/>
          <w:szCs w:val="22"/>
          <w:shd w:val="clear" w:color="auto" w:fill="FFFFFF"/>
        </w:rPr>
        <w:t>. Salt is a key source of sodium in the diet</w:t>
      </w:r>
      <w:r w:rsidR="7EA5713C" w:rsidRPr="3BD28443">
        <w:rPr>
          <w:sz w:val="22"/>
          <w:szCs w:val="22"/>
          <w:shd w:val="clear" w:color="auto" w:fill="FFFFFF"/>
        </w:rPr>
        <w:t xml:space="preserve">. </w:t>
      </w:r>
      <w:r w:rsidRPr="3BD28443">
        <w:rPr>
          <w:sz w:val="22"/>
          <w:szCs w:val="22"/>
          <w:shd w:val="clear" w:color="auto" w:fill="FFFFFF"/>
        </w:rPr>
        <w:t>A high intake of sodium increases blood pressure which can increase the risk of developing cardiovascular and renal diseases, including stroke, coronary heart disease, hea</w:t>
      </w:r>
      <w:r w:rsidR="00033E42" w:rsidRPr="3BD28443">
        <w:rPr>
          <w:sz w:val="22"/>
          <w:szCs w:val="22"/>
          <w:shd w:val="clear" w:color="auto" w:fill="FFFFFF"/>
        </w:rPr>
        <w:t>rt failure, and kidney failure</w:t>
      </w:r>
      <w:r w:rsidR="00B40608">
        <w:rPr>
          <w:sz w:val="22"/>
          <w:szCs w:val="22"/>
          <w:shd w:val="clear" w:color="auto" w:fill="FFFFFF"/>
        </w:rPr>
        <w:t xml:space="preserve"> (2</w:t>
      </w:r>
      <w:r w:rsidR="00984985">
        <w:rPr>
          <w:sz w:val="22"/>
          <w:szCs w:val="22"/>
          <w:shd w:val="clear" w:color="auto" w:fill="FFFFFF"/>
        </w:rPr>
        <w:t>1</w:t>
      </w:r>
      <w:r w:rsidR="006A3D58">
        <w:rPr>
          <w:sz w:val="22"/>
          <w:szCs w:val="22"/>
          <w:shd w:val="clear" w:color="auto" w:fill="FFFFFF"/>
        </w:rPr>
        <w:t>).</w:t>
      </w:r>
      <w:r w:rsidRPr="3BD28443">
        <w:rPr>
          <w:sz w:val="22"/>
          <w:szCs w:val="22"/>
          <w:shd w:val="clear" w:color="auto" w:fill="FFFFFF"/>
          <w:vertAlign w:val="superscript"/>
        </w:rPr>
        <w:t xml:space="preserve"> </w:t>
      </w:r>
    </w:p>
    <w:p w14:paraId="06941DC1" w14:textId="1DAC8DBE" w:rsidR="00E25B50" w:rsidRPr="00B5325D" w:rsidRDefault="00E25B50" w:rsidP="00795E9E">
      <w:pPr>
        <w:autoSpaceDE w:val="0"/>
        <w:autoSpaceDN w:val="0"/>
        <w:adjustRightInd w:val="0"/>
        <w:spacing w:after="240"/>
        <w:rPr>
          <w:rFonts w:cstheme="minorBidi"/>
          <w:sz w:val="22"/>
          <w:szCs w:val="22"/>
        </w:rPr>
      </w:pPr>
      <w:r w:rsidRPr="6099F934">
        <w:rPr>
          <w:sz w:val="22"/>
          <w:szCs w:val="22"/>
          <w:shd w:val="clear" w:color="auto" w:fill="FFFFFF"/>
        </w:rPr>
        <w:t xml:space="preserve">The RWG </w:t>
      </w:r>
      <w:r w:rsidR="00FF0CF5" w:rsidRPr="6099F934">
        <w:rPr>
          <w:sz w:val="22"/>
          <w:szCs w:val="22"/>
          <w:shd w:val="clear" w:color="auto" w:fill="FFFFFF"/>
        </w:rPr>
        <w:t>examined</w:t>
      </w:r>
      <w:r w:rsidRPr="6099F934">
        <w:rPr>
          <w:sz w:val="22"/>
          <w:szCs w:val="22"/>
          <w:shd w:val="clear" w:color="auto" w:fill="FFFFFF"/>
        </w:rPr>
        <w:t xml:space="preserve"> the consumption data for sodium from the 2011</w:t>
      </w:r>
      <w:r w:rsidR="00B4019E">
        <w:rPr>
          <w:sz w:val="22"/>
          <w:szCs w:val="22"/>
          <w:shd w:val="clear" w:color="auto" w:fill="FFFFFF"/>
        </w:rPr>
        <w:t>–</w:t>
      </w:r>
      <w:r w:rsidRPr="6099F934">
        <w:rPr>
          <w:sz w:val="22"/>
          <w:szCs w:val="22"/>
          <w:shd w:val="clear" w:color="auto" w:fill="FFFFFF"/>
        </w:rPr>
        <w:t xml:space="preserve">12 NNPAS and the </w:t>
      </w:r>
      <w:r w:rsidRPr="6099F934">
        <w:rPr>
          <w:sz w:val="22"/>
          <w:szCs w:val="22"/>
        </w:rPr>
        <w:t>foods contributing &gt;1</w:t>
      </w:r>
      <w:r w:rsidR="00800BEF" w:rsidRPr="6099F934">
        <w:rPr>
          <w:sz w:val="22"/>
          <w:szCs w:val="22"/>
        </w:rPr>
        <w:t>%</w:t>
      </w:r>
      <w:r w:rsidR="001531CE" w:rsidRPr="6099F934">
        <w:rPr>
          <w:sz w:val="22"/>
          <w:szCs w:val="22"/>
        </w:rPr>
        <w:t xml:space="preserve"> intake of sodium</w:t>
      </w:r>
      <w:r w:rsidRPr="6099F934">
        <w:rPr>
          <w:sz w:val="22"/>
          <w:szCs w:val="22"/>
        </w:rPr>
        <w:t xml:space="preserve"> for the total population</w:t>
      </w:r>
      <w:r w:rsidR="00B914B2" w:rsidRPr="6099F934">
        <w:rPr>
          <w:sz w:val="22"/>
          <w:szCs w:val="22"/>
        </w:rPr>
        <w:t xml:space="preserve"> (Table 4). </w:t>
      </w:r>
      <w:r w:rsidRPr="6099F934">
        <w:rPr>
          <w:sz w:val="22"/>
          <w:szCs w:val="22"/>
        </w:rPr>
        <w:t>For some of these categories, reformulation targets were set where feasible, while other ca</w:t>
      </w:r>
      <w:r w:rsidR="00154FC5" w:rsidRPr="6099F934">
        <w:rPr>
          <w:sz w:val="22"/>
          <w:szCs w:val="22"/>
        </w:rPr>
        <w:t xml:space="preserve">tegories were referred to the </w:t>
      </w:r>
      <w:r w:rsidR="00FF0CF5" w:rsidRPr="6099F934">
        <w:rPr>
          <w:sz w:val="22"/>
          <w:szCs w:val="22"/>
        </w:rPr>
        <w:t>IBP</w:t>
      </w:r>
      <w:r w:rsidR="004A2E4D" w:rsidRPr="6099F934">
        <w:rPr>
          <w:sz w:val="22"/>
          <w:szCs w:val="22"/>
        </w:rPr>
        <w:t>G</w:t>
      </w:r>
      <w:r w:rsidR="00154FC5" w:rsidRPr="6099F934">
        <w:rPr>
          <w:sz w:val="22"/>
          <w:szCs w:val="22"/>
        </w:rPr>
        <w:t>W</w:t>
      </w:r>
      <w:r w:rsidRPr="6099F934">
        <w:rPr>
          <w:sz w:val="22"/>
          <w:szCs w:val="22"/>
        </w:rPr>
        <w:t xml:space="preserve">G for </w:t>
      </w:r>
      <w:r w:rsidR="00DE60FB" w:rsidRPr="6099F934">
        <w:rPr>
          <w:sz w:val="22"/>
          <w:szCs w:val="22"/>
        </w:rPr>
        <w:t>consideration</w:t>
      </w:r>
      <w:r w:rsidRPr="6099F934">
        <w:rPr>
          <w:sz w:val="22"/>
          <w:szCs w:val="22"/>
        </w:rPr>
        <w:t xml:space="preserve">. </w:t>
      </w:r>
    </w:p>
    <w:p w14:paraId="64C6CA06" w14:textId="402E0459" w:rsidR="000C3C1C" w:rsidRDefault="00B13BE8" w:rsidP="00795E9E">
      <w:pPr>
        <w:keepNext/>
        <w:keepLines/>
        <w:autoSpaceDE w:val="0"/>
        <w:autoSpaceDN w:val="0"/>
        <w:adjustRightInd w:val="0"/>
        <w:spacing w:after="120"/>
        <w:rPr>
          <w:b/>
          <w:bCs/>
        </w:rPr>
      </w:pPr>
      <w:r w:rsidRPr="6099F934">
        <w:rPr>
          <w:b/>
          <w:bCs/>
        </w:rPr>
        <w:t>Table 4: Food contributing &gt;</w:t>
      </w:r>
      <w:r w:rsidR="000C3C1C" w:rsidRPr="6099F934">
        <w:rPr>
          <w:b/>
          <w:bCs/>
        </w:rPr>
        <w:t>1</w:t>
      </w:r>
      <w:r w:rsidR="004C3B0A" w:rsidRPr="6099F934">
        <w:rPr>
          <w:b/>
          <w:bCs/>
        </w:rPr>
        <w:t>%</w:t>
      </w:r>
      <w:r w:rsidR="000C3C1C" w:rsidRPr="6099F934">
        <w:rPr>
          <w:b/>
          <w:bCs/>
        </w:rPr>
        <w:t xml:space="preserve"> sodium intake for the Australian population (2+ years)</w:t>
      </w:r>
      <w:r w:rsidR="00B40608" w:rsidRPr="6099F934">
        <w:rPr>
          <w:b/>
          <w:bCs/>
        </w:rPr>
        <w:t xml:space="preserve"> (2</w:t>
      </w:r>
      <w:r w:rsidR="00345EB5">
        <w:rPr>
          <w:b/>
          <w:bCs/>
        </w:rPr>
        <w:t>2</w:t>
      </w:r>
      <w:r w:rsidR="004F36B4" w:rsidRPr="6099F934">
        <w:rPr>
          <w:b/>
          <w:bCs/>
        </w:rPr>
        <w:t>)</w:t>
      </w:r>
      <w:r w:rsidR="002A1BFB" w:rsidRPr="6099F934">
        <w:rPr>
          <w:sz w:val="22"/>
          <w:szCs w:val="22"/>
        </w:rPr>
        <w:t xml:space="preserve"> </w:t>
      </w:r>
    </w:p>
    <w:tbl>
      <w:tblPr>
        <w:tblStyle w:val="GridTable4-Accent52"/>
        <w:tblW w:w="9607" w:type="dxa"/>
        <w:tblInd w:w="108" w:type="dxa"/>
        <w:tblLook w:val="04A0" w:firstRow="1" w:lastRow="0" w:firstColumn="1" w:lastColumn="0" w:noHBand="0" w:noVBand="1"/>
        <w:tblCaption w:val="Table 4: Food contributing ≥1 per cent sodium intake for the Australian population (2+ years), ABS 2014"/>
      </w:tblPr>
      <w:tblGrid>
        <w:gridCol w:w="7087"/>
        <w:gridCol w:w="900"/>
        <w:gridCol w:w="1620"/>
      </w:tblGrid>
      <w:tr w:rsidR="00E54D20" w:rsidRPr="00445CA0" w14:paraId="4EEB26FD" w14:textId="43173B20" w:rsidTr="3BD2844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087" w:type="dxa"/>
            <w:tcBorders>
              <w:top w:val="single" w:sz="4" w:space="0" w:color="auto"/>
              <w:left w:val="single" w:sz="4" w:space="0" w:color="auto"/>
            </w:tcBorders>
            <w:noWrap/>
          </w:tcPr>
          <w:p w14:paraId="39412551" w14:textId="77777777" w:rsidR="00E54D20" w:rsidRPr="00445CA0" w:rsidRDefault="00E54D20" w:rsidP="007A047D">
            <w:pPr>
              <w:spacing w:before="120"/>
              <w:contextualSpacing/>
              <w:rPr>
                <w:sz w:val="22"/>
                <w:szCs w:val="22"/>
              </w:rPr>
            </w:pPr>
            <w:r w:rsidRPr="00445CA0">
              <w:rPr>
                <w:sz w:val="22"/>
                <w:szCs w:val="22"/>
              </w:rPr>
              <w:t>Food Category (NNPAS 3-digit food category)</w:t>
            </w:r>
          </w:p>
        </w:tc>
        <w:tc>
          <w:tcPr>
            <w:tcW w:w="900" w:type="dxa"/>
            <w:tcBorders>
              <w:top w:val="single" w:sz="4" w:space="0" w:color="auto"/>
              <w:right w:val="single" w:sz="4" w:space="0" w:color="auto"/>
            </w:tcBorders>
            <w:noWrap/>
          </w:tcPr>
          <w:p w14:paraId="134165CD" w14:textId="77777777" w:rsidR="00E54D20" w:rsidRPr="00445CA0" w:rsidRDefault="00E54D20" w:rsidP="007A047D">
            <w:pPr>
              <w:spacing w:before="120"/>
              <w:contextualSpacing/>
              <w:jc w:val="right"/>
              <w:cnfStyle w:val="100000000000" w:firstRow="1" w:lastRow="0" w:firstColumn="0" w:lastColumn="0" w:oddVBand="0" w:evenVBand="0" w:oddHBand="0" w:evenHBand="0" w:firstRowFirstColumn="0" w:firstRowLastColumn="0" w:lastRowFirstColumn="0" w:lastRowLastColumn="0"/>
              <w:rPr>
                <w:sz w:val="22"/>
                <w:szCs w:val="22"/>
              </w:rPr>
            </w:pPr>
            <w:r w:rsidRPr="00445CA0">
              <w:rPr>
                <w:sz w:val="22"/>
                <w:szCs w:val="22"/>
              </w:rPr>
              <w:t>%</w:t>
            </w:r>
          </w:p>
        </w:tc>
        <w:tc>
          <w:tcPr>
            <w:tcW w:w="1620" w:type="dxa"/>
            <w:tcBorders>
              <w:top w:val="single" w:sz="4" w:space="0" w:color="auto"/>
              <w:right w:val="single" w:sz="4" w:space="0" w:color="auto"/>
            </w:tcBorders>
          </w:tcPr>
          <w:p w14:paraId="6D441E81" w14:textId="1032370D" w:rsidR="00E54D20" w:rsidRPr="00445CA0" w:rsidRDefault="00E54D20" w:rsidP="00E54D20">
            <w:pPr>
              <w:spacing w:before="120"/>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Reformulation target set</w:t>
            </w:r>
          </w:p>
        </w:tc>
      </w:tr>
      <w:tr w:rsidR="00E54D20" w:rsidRPr="00445CA0" w14:paraId="099D9F85" w14:textId="69531992" w:rsidTr="3BD2844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2E43969F" w14:textId="017A1D40" w:rsidR="00E54D20" w:rsidRPr="00B5325D" w:rsidRDefault="00E54D20" w:rsidP="007A047D">
            <w:pPr>
              <w:spacing w:before="120"/>
              <w:contextualSpacing/>
              <w:rPr>
                <w:b w:val="0"/>
                <w:color w:val="000000"/>
                <w:sz w:val="20"/>
                <w:szCs w:val="20"/>
              </w:rPr>
            </w:pPr>
            <w:r w:rsidRPr="00B5325D">
              <w:rPr>
                <w:b w:val="0"/>
                <w:color w:val="000000"/>
                <w:sz w:val="20"/>
                <w:szCs w:val="20"/>
              </w:rPr>
              <w:t>Mixed dishes where cereal is the major ingredient</w:t>
            </w:r>
            <w:r w:rsidR="00E92B38" w:rsidRPr="00B5325D">
              <w:rPr>
                <w:b w:val="0"/>
                <w:color w:val="000000"/>
                <w:sz w:val="20"/>
                <w:szCs w:val="20"/>
              </w:rPr>
              <w:t xml:space="preserve"> (Major contributor: Pizza)</w:t>
            </w:r>
          </w:p>
        </w:tc>
        <w:tc>
          <w:tcPr>
            <w:tcW w:w="900" w:type="dxa"/>
            <w:tcBorders>
              <w:right w:val="single" w:sz="4" w:space="0" w:color="auto"/>
            </w:tcBorders>
            <w:noWrap/>
            <w:hideMark/>
          </w:tcPr>
          <w:p w14:paraId="71F61C03"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14.6</w:t>
            </w:r>
          </w:p>
        </w:tc>
        <w:tc>
          <w:tcPr>
            <w:tcW w:w="1620" w:type="dxa"/>
            <w:tcBorders>
              <w:right w:val="single" w:sz="4" w:space="0" w:color="auto"/>
            </w:tcBorders>
          </w:tcPr>
          <w:p w14:paraId="3408E6A8" w14:textId="37039A75" w:rsidR="00E54D20" w:rsidRPr="00445CA0" w:rsidRDefault="00E92B38"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7C8E2EBF">
              <w:rPr>
                <w:rFonts w:ascii="Wingdings" w:eastAsia="Wingdings" w:hAnsi="Wingdings" w:cs="Wingdings"/>
                <w:color w:val="000000" w:themeColor="text1"/>
                <w:sz w:val="22"/>
                <w:szCs w:val="22"/>
              </w:rPr>
              <w:t></w:t>
            </w:r>
            <w:r w:rsidR="00E522DE" w:rsidRPr="00E522DE">
              <w:rPr>
                <w:rFonts w:eastAsia="Wingdings" w:cstheme="minorHAnsi"/>
                <w:color w:val="000000"/>
                <w:sz w:val="18"/>
                <w:szCs w:val="22"/>
              </w:rPr>
              <w:t>Also targeted by the IBPGWG</w:t>
            </w:r>
          </w:p>
        </w:tc>
      </w:tr>
      <w:tr w:rsidR="00E54D20" w:rsidRPr="00445CA0" w14:paraId="5FF6B49A" w14:textId="54859518"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7EFD71AD"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Regular breads, and bread rolls (plain/unfilled/</w:t>
            </w:r>
            <w:proofErr w:type="spellStart"/>
            <w:r w:rsidRPr="00B5325D">
              <w:rPr>
                <w:b w:val="0"/>
                <w:color w:val="000000"/>
                <w:sz w:val="20"/>
                <w:szCs w:val="20"/>
              </w:rPr>
              <w:t>untopped</w:t>
            </w:r>
            <w:proofErr w:type="spellEnd"/>
            <w:r w:rsidRPr="00B5325D">
              <w:rPr>
                <w:b w:val="0"/>
                <w:color w:val="000000"/>
                <w:sz w:val="20"/>
                <w:szCs w:val="20"/>
              </w:rPr>
              <w:t xml:space="preserve"> varieties)</w:t>
            </w:r>
          </w:p>
        </w:tc>
        <w:tc>
          <w:tcPr>
            <w:tcW w:w="900" w:type="dxa"/>
            <w:tcBorders>
              <w:right w:val="single" w:sz="4" w:space="0" w:color="auto"/>
            </w:tcBorders>
            <w:noWrap/>
            <w:hideMark/>
          </w:tcPr>
          <w:p w14:paraId="5BFEFB2C"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12.7</w:t>
            </w:r>
          </w:p>
        </w:tc>
        <w:tc>
          <w:tcPr>
            <w:tcW w:w="1620" w:type="dxa"/>
            <w:tcBorders>
              <w:right w:val="single" w:sz="4" w:space="0" w:color="auto"/>
            </w:tcBorders>
          </w:tcPr>
          <w:p w14:paraId="23B5A04C" w14:textId="15159EE3"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3C3EED41" w14:textId="09D350A4" w:rsidTr="3BD284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167B6E2F"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Processed meat</w:t>
            </w:r>
          </w:p>
        </w:tc>
        <w:tc>
          <w:tcPr>
            <w:tcW w:w="900" w:type="dxa"/>
            <w:tcBorders>
              <w:right w:val="single" w:sz="4" w:space="0" w:color="auto"/>
            </w:tcBorders>
            <w:noWrap/>
            <w:hideMark/>
          </w:tcPr>
          <w:p w14:paraId="183ECCAE"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6.0</w:t>
            </w:r>
          </w:p>
        </w:tc>
        <w:tc>
          <w:tcPr>
            <w:tcW w:w="1620" w:type="dxa"/>
            <w:tcBorders>
              <w:right w:val="single" w:sz="4" w:space="0" w:color="auto"/>
            </w:tcBorders>
          </w:tcPr>
          <w:p w14:paraId="0AC94C91" w14:textId="5352299B"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0C9955A2" w14:textId="678B17DC"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55209960"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Gravies and savoury sauces</w:t>
            </w:r>
          </w:p>
        </w:tc>
        <w:tc>
          <w:tcPr>
            <w:tcW w:w="900" w:type="dxa"/>
            <w:tcBorders>
              <w:right w:val="single" w:sz="4" w:space="0" w:color="auto"/>
            </w:tcBorders>
            <w:noWrap/>
            <w:hideMark/>
          </w:tcPr>
          <w:p w14:paraId="5EA8CBA5"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4.4</w:t>
            </w:r>
          </w:p>
        </w:tc>
        <w:tc>
          <w:tcPr>
            <w:tcW w:w="1620" w:type="dxa"/>
            <w:tcBorders>
              <w:right w:val="single" w:sz="4" w:space="0" w:color="auto"/>
            </w:tcBorders>
          </w:tcPr>
          <w:p w14:paraId="5E1F542C" w14:textId="183D8F98"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76040149" w14:textId="72ED027C"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7176CF69"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Pastries</w:t>
            </w:r>
          </w:p>
        </w:tc>
        <w:tc>
          <w:tcPr>
            <w:tcW w:w="900" w:type="dxa"/>
            <w:tcBorders>
              <w:right w:val="single" w:sz="4" w:space="0" w:color="auto"/>
            </w:tcBorders>
            <w:noWrap/>
            <w:hideMark/>
          </w:tcPr>
          <w:p w14:paraId="75FFEBBF"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4.0</w:t>
            </w:r>
          </w:p>
        </w:tc>
        <w:tc>
          <w:tcPr>
            <w:tcW w:w="1620" w:type="dxa"/>
            <w:tcBorders>
              <w:right w:val="single" w:sz="4" w:space="0" w:color="auto"/>
            </w:tcBorders>
          </w:tcPr>
          <w:p w14:paraId="09853B79" w14:textId="1F96BFFB"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12A0BD9D" w14:textId="57473E23"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12B233F3"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Cheese</w:t>
            </w:r>
          </w:p>
        </w:tc>
        <w:tc>
          <w:tcPr>
            <w:tcW w:w="900" w:type="dxa"/>
            <w:tcBorders>
              <w:right w:val="single" w:sz="4" w:space="0" w:color="auto"/>
            </w:tcBorders>
            <w:noWrap/>
            <w:hideMark/>
          </w:tcPr>
          <w:p w14:paraId="597FB071"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3.9</w:t>
            </w:r>
          </w:p>
        </w:tc>
        <w:tc>
          <w:tcPr>
            <w:tcW w:w="1620" w:type="dxa"/>
            <w:tcBorders>
              <w:right w:val="single" w:sz="4" w:space="0" w:color="auto"/>
            </w:tcBorders>
          </w:tcPr>
          <w:p w14:paraId="6327B2DC" w14:textId="21483C85"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2776B4D4" w14:textId="05057C37"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3B96EC5A" w14:textId="136A977E" w:rsidR="00E54D20" w:rsidRPr="00B5325D" w:rsidRDefault="00E54D20" w:rsidP="00E92B38">
            <w:pPr>
              <w:spacing w:before="120"/>
              <w:contextualSpacing/>
              <w:rPr>
                <w:b w:val="0"/>
                <w:color w:val="000000"/>
                <w:sz w:val="20"/>
                <w:szCs w:val="20"/>
              </w:rPr>
            </w:pPr>
            <w:r w:rsidRPr="00B5325D">
              <w:rPr>
                <w:b w:val="0"/>
                <w:color w:val="000000"/>
                <w:sz w:val="20"/>
                <w:szCs w:val="20"/>
              </w:rPr>
              <w:t>Mixed dishes where poultry or feathered game is the major component</w:t>
            </w:r>
            <w:r w:rsidR="00E92B38" w:rsidRPr="00B5325D">
              <w:rPr>
                <w:b w:val="0"/>
                <w:color w:val="000000"/>
                <w:sz w:val="20"/>
                <w:szCs w:val="20"/>
              </w:rPr>
              <w:t xml:space="preserve"> </w:t>
            </w:r>
          </w:p>
        </w:tc>
        <w:tc>
          <w:tcPr>
            <w:tcW w:w="900" w:type="dxa"/>
            <w:tcBorders>
              <w:right w:val="single" w:sz="4" w:space="0" w:color="auto"/>
            </w:tcBorders>
            <w:noWrap/>
            <w:hideMark/>
          </w:tcPr>
          <w:p w14:paraId="27F61B01"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3.7</w:t>
            </w:r>
          </w:p>
        </w:tc>
        <w:tc>
          <w:tcPr>
            <w:tcW w:w="1620" w:type="dxa"/>
            <w:tcBorders>
              <w:right w:val="single" w:sz="4" w:space="0" w:color="auto"/>
            </w:tcBorders>
          </w:tcPr>
          <w:p w14:paraId="3E7AF8BC" w14:textId="7F6A7342" w:rsidR="00E54D20" w:rsidRPr="00445CA0" w:rsidRDefault="00E522DE"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r w:rsidRPr="00E522DE">
              <w:rPr>
                <w:rFonts w:eastAsia="Wingdings" w:cstheme="minorHAnsi"/>
                <w:color w:val="000000"/>
                <w:sz w:val="18"/>
                <w:szCs w:val="22"/>
              </w:rPr>
              <w:t>Also targeted by the IBPGWG</w:t>
            </w:r>
          </w:p>
        </w:tc>
      </w:tr>
      <w:tr w:rsidR="00E54D20" w:rsidRPr="00445CA0" w14:paraId="1C4DA03F" w14:textId="0EA52B54"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1003FD17"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 xml:space="preserve">Sausages, </w:t>
            </w:r>
            <w:proofErr w:type="spellStart"/>
            <w:r w:rsidRPr="00B5325D">
              <w:rPr>
                <w:b w:val="0"/>
                <w:color w:val="000000"/>
                <w:sz w:val="20"/>
                <w:szCs w:val="20"/>
              </w:rPr>
              <w:t>frankfurts</w:t>
            </w:r>
            <w:proofErr w:type="spellEnd"/>
            <w:r w:rsidRPr="00B5325D">
              <w:rPr>
                <w:b w:val="0"/>
                <w:color w:val="000000"/>
                <w:sz w:val="20"/>
                <w:szCs w:val="20"/>
              </w:rPr>
              <w:t xml:space="preserve"> and saveloys</w:t>
            </w:r>
          </w:p>
        </w:tc>
        <w:tc>
          <w:tcPr>
            <w:tcW w:w="900" w:type="dxa"/>
            <w:tcBorders>
              <w:right w:val="single" w:sz="4" w:space="0" w:color="auto"/>
            </w:tcBorders>
            <w:noWrap/>
            <w:hideMark/>
          </w:tcPr>
          <w:p w14:paraId="04110731"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3.3</w:t>
            </w:r>
          </w:p>
        </w:tc>
        <w:tc>
          <w:tcPr>
            <w:tcW w:w="1620" w:type="dxa"/>
            <w:tcBorders>
              <w:right w:val="single" w:sz="4" w:space="0" w:color="auto"/>
            </w:tcBorders>
          </w:tcPr>
          <w:p w14:paraId="717BDF9F" w14:textId="1357A5CA"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68434DF4" w14:textId="383EDA1D"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69094243"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Soup, homemade from basic ingredients</w:t>
            </w:r>
          </w:p>
        </w:tc>
        <w:tc>
          <w:tcPr>
            <w:tcW w:w="900" w:type="dxa"/>
            <w:tcBorders>
              <w:right w:val="single" w:sz="4" w:space="0" w:color="auto"/>
            </w:tcBorders>
            <w:noWrap/>
            <w:hideMark/>
          </w:tcPr>
          <w:p w14:paraId="233FF915"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3.0</w:t>
            </w:r>
          </w:p>
        </w:tc>
        <w:tc>
          <w:tcPr>
            <w:tcW w:w="1620" w:type="dxa"/>
            <w:tcBorders>
              <w:right w:val="single" w:sz="4" w:space="0" w:color="auto"/>
            </w:tcBorders>
          </w:tcPr>
          <w:p w14:paraId="5E424E0B" w14:textId="65CCFE69"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122B39CD" w14:textId="30B8EF16"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791273BC" w14:textId="1AE5D9C6" w:rsidR="00E54D20" w:rsidRPr="00B5325D" w:rsidRDefault="00E54D20" w:rsidP="007A047D">
            <w:pPr>
              <w:spacing w:before="120"/>
              <w:contextualSpacing/>
              <w:rPr>
                <w:b w:val="0"/>
                <w:color w:val="000000"/>
                <w:sz w:val="20"/>
                <w:szCs w:val="20"/>
                <w:lang w:val="fr-FR"/>
              </w:rPr>
            </w:pPr>
            <w:r w:rsidRPr="00B5325D">
              <w:rPr>
                <w:b w:val="0"/>
                <w:color w:val="000000"/>
                <w:sz w:val="20"/>
                <w:szCs w:val="20"/>
                <w:lang w:val="fr-FR"/>
              </w:rPr>
              <w:t>Cakes, muffins, scones, cake-type desserts</w:t>
            </w:r>
          </w:p>
        </w:tc>
        <w:tc>
          <w:tcPr>
            <w:tcW w:w="900" w:type="dxa"/>
            <w:tcBorders>
              <w:right w:val="single" w:sz="4" w:space="0" w:color="auto"/>
            </w:tcBorders>
            <w:noWrap/>
            <w:hideMark/>
          </w:tcPr>
          <w:p w14:paraId="53EEFB4A"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2.8</w:t>
            </w:r>
          </w:p>
        </w:tc>
        <w:tc>
          <w:tcPr>
            <w:tcW w:w="1620" w:type="dxa"/>
            <w:tcBorders>
              <w:right w:val="single" w:sz="4" w:space="0" w:color="auto"/>
            </w:tcBorders>
          </w:tcPr>
          <w:p w14:paraId="41B8F8D5" w14:textId="6798A5C8"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r w:rsidR="00E522DE" w:rsidRPr="00E522DE">
              <w:rPr>
                <w:rFonts w:eastAsia="Wingdings" w:cstheme="minorHAnsi"/>
                <w:color w:val="000000"/>
                <w:sz w:val="18"/>
                <w:szCs w:val="22"/>
              </w:rPr>
              <w:t>Also targeted by the IBPGWG</w:t>
            </w:r>
          </w:p>
        </w:tc>
      </w:tr>
      <w:tr w:rsidR="00E54D20" w:rsidRPr="00445CA0" w14:paraId="2F0568C7" w14:textId="702ED50C"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1F5520E0" w14:textId="3273DA89" w:rsidR="00E54D20" w:rsidRPr="00B5325D" w:rsidRDefault="00E54D20" w:rsidP="007A047D">
            <w:pPr>
              <w:spacing w:before="120"/>
              <w:contextualSpacing/>
              <w:rPr>
                <w:b w:val="0"/>
                <w:bCs w:val="0"/>
                <w:color w:val="000000"/>
                <w:sz w:val="20"/>
                <w:szCs w:val="20"/>
              </w:rPr>
            </w:pPr>
            <w:r w:rsidRPr="3BD28443">
              <w:rPr>
                <w:b w:val="0"/>
                <w:bCs w:val="0"/>
                <w:color w:val="000000" w:themeColor="text1"/>
                <w:sz w:val="20"/>
                <w:szCs w:val="20"/>
              </w:rPr>
              <w:t xml:space="preserve">Mixed dishes where beef, sheep, </w:t>
            </w:r>
            <w:r w:rsidR="23878ACE" w:rsidRPr="3BD28443">
              <w:rPr>
                <w:b w:val="0"/>
                <w:bCs w:val="0"/>
                <w:color w:val="000000" w:themeColor="text1"/>
                <w:sz w:val="20"/>
                <w:szCs w:val="20"/>
              </w:rPr>
              <w:t>pork,</w:t>
            </w:r>
            <w:r w:rsidRPr="3BD28443">
              <w:rPr>
                <w:b w:val="0"/>
                <w:bCs w:val="0"/>
                <w:color w:val="000000" w:themeColor="text1"/>
                <w:sz w:val="20"/>
                <w:szCs w:val="20"/>
              </w:rPr>
              <w:t xml:space="preserve"> or mammalian game is the major component</w:t>
            </w:r>
          </w:p>
        </w:tc>
        <w:tc>
          <w:tcPr>
            <w:tcW w:w="900" w:type="dxa"/>
            <w:tcBorders>
              <w:right w:val="single" w:sz="4" w:space="0" w:color="auto"/>
            </w:tcBorders>
            <w:noWrap/>
            <w:hideMark/>
          </w:tcPr>
          <w:p w14:paraId="1FDAFC15"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2.6</w:t>
            </w:r>
          </w:p>
        </w:tc>
        <w:tc>
          <w:tcPr>
            <w:tcW w:w="1620" w:type="dxa"/>
            <w:tcBorders>
              <w:right w:val="single" w:sz="4" w:space="0" w:color="auto"/>
            </w:tcBorders>
          </w:tcPr>
          <w:p w14:paraId="4FB02D1D" w14:textId="66AE2B62" w:rsidR="00E54D20" w:rsidRPr="00445CA0" w:rsidRDefault="00E522DE"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r w:rsidRPr="00E522DE">
              <w:rPr>
                <w:rFonts w:eastAsia="Wingdings" w:cstheme="minorHAnsi"/>
                <w:color w:val="000000"/>
                <w:sz w:val="18"/>
                <w:szCs w:val="22"/>
              </w:rPr>
              <w:t>Also targeted by the IBPGWG</w:t>
            </w:r>
          </w:p>
        </w:tc>
      </w:tr>
      <w:tr w:rsidR="00E54D20" w:rsidRPr="00445CA0" w14:paraId="3321A737" w14:textId="34BF7FD6"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7D916824" w14:textId="28612BC3" w:rsidR="00E54D20" w:rsidRPr="00B5325D" w:rsidRDefault="00E54D20" w:rsidP="007A047D">
            <w:pPr>
              <w:spacing w:before="120"/>
              <w:contextualSpacing/>
              <w:rPr>
                <w:b w:val="0"/>
                <w:bCs w:val="0"/>
                <w:color w:val="000000"/>
                <w:sz w:val="20"/>
                <w:szCs w:val="20"/>
              </w:rPr>
            </w:pPr>
            <w:r w:rsidRPr="3BD28443">
              <w:rPr>
                <w:b w:val="0"/>
                <w:bCs w:val="0"/>
                <w:color w:val="000000" w:themeColor="text1"/>
                <w:sz w:val="20"/>
                <w:szCs w:val="20"/>
              </w:rPr>
              <w:t xml:space="preserve">Dairy milk (cow, </w:t>
            </w:r>
            <w:r w:rsidR="4D5AAEB7" w:rsidRPr="3BD28443">
              <w:rPr>
                <w:b w:val="0"/>
                <w:bCs w:val="0"/>
                <w:color w:val="000000" w:themeColor="text1"/>
                <w:sz w:val="20"/>
                <w:szCs w:val="20"/>
              </w:rPr>
              <w:t>sheep,</w:t>
            </w:r>
            <w:r w:rsidRPr="3BD28443">
              <w:rPr>
                <w:b w:val="0"/>
                <w:bCs w:val="0"/>
                <w:color w:val="000000" w:themeColor="text1"/>
                <w:sz w:val="20"/>
                <w:szCs w:val="20"/>
              </w:rPr>
              <w:t xml:space="preserve"> and goat)</w:t>
            </w:r>
          </w:p>
        </w:tc>
        <w:tc>
          <w:tcPr>
            <w:tcW w:w="900" w:type="dxa"/>
            <w:tcBorders>
              <w:right w:val="single" w:sz="4" w:space="0" w:color="auto"/>
            </w:tcBorders>
            <w:noWrap/>
            <w:hideMark/>
          </w:tcPr>
          <w:p w14:paraId="4E5522B7"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2.4</w:t>
            </w:r>
          </w:p>
        </w:tc>
        <w:tc>
          <w:tcPr>
            <w:tcW w:w="1620" w:type="dxa"/>
            <w:tcBorders>
              <w:right w:val="single" w:sz="4" w:space="0" w:color="auto"/>
            </w:tcBorders>
          </w:tcPr>
          <w:p w14:paraId="31980777" w14:textId="77777777"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46183FDB" w14:textId="30632817"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2D18AF90"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English-style muffins, flat breads, and savoury and sweet breads</w:t>
            </w:r>
          </w:p>
        </w:tc>
        <w:tc>
          <w:tcPr>
            <w:tcW w:w="900" w:type="dxa"/>
            <w:tcBorders>
              <w:right w:val="single" w:sz="4" w:space="0" w:color="auto"/>
            </w:tcBorders>
            <w:noWrap/>
            <w:hideMark/>
          </w:tcPr>
          <w:p w14:paraId="27140533"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2.1</w:t>
            </w:r>
          </w:p>
        </w:tc>
        <w:tc>
          <w:tcPr>
            <w:tcW w:w="1620" w:type="dxa"/>
            <w:tcBorders>
              <w:right w:val="single" w:sz="4" w:space="0" w:color="auto"/>
            </w:tcBorders>
          </w:tcPr>
          <w:p w14:paraId="6705B53F" w14:textId="5C8516AD"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5A6D5E76" w14:textId="6107293F"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2B569598"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Breakfast cereals, ready to eat</w:t>
            </w:r>
          </w:p>
        </w:tc>
        <w:tc>
          <w:tcPr>
            <w:tcW w:w="900" w:type="dxa"/>
            <w:tcBorders>
              <w:right w:val="single" w:sz="4" w:space="0" w:color="auto"/>
            </w:tcBorders>
            <w:noWrap/>
            <w:hideMark/>
          </w:tcPr>
          <w:p w14:paraId="33B5A450"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2.1</w:t>
            </w:r>
          </w:p>
        </w:tc>
        <w:tc>
          <w:tcPr>
            <w:tcW w:w="1620" w:type="dxa"/>
            <w:tcBorders>
              <w:right w:val="single" w:sz="4" w:space="0" w:color="auto"/>
            </w:tcBorders>
          </w:tcPr>
          <w:p w14:paraId="6AC63D49" w14:textId="5093321E"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62BDC873" w14:textId="522A0CD5"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30CDC70F" w14:textId="67409AF2" w:rsidR="00E54D20" w:rsidRPr="00B5325D" w:rsidRDefault="00E54D20" w:rsidP="007A047D">
            <w:pPr>
              <w:spacing w:before="120"/>
              <w:contextualSpacing/>
              <w:rPr>
                <w:b w:val="0"/>
                <w:color w:val="000000"/>
                <w:sz w:val="20"/>
                <w:szCs w:val="20"/>
              </w:rPr>
            </w:pPr>
            <w:r w:rsidRPr="00B5325D">
              <w:rPr>
                <w:b w:val="0"/>
                <w:color w:val="000000"/>
                <w:sz w:val="20"/>
                <w:szCs w:val="20"/>
              </w:rPr>
              <w:t>Dishes where vegetable is the major component</w:t>
            </w:r>
          </w:p>
        </w:tc>
        <w:tc>
          <w:tcPr>
            <w:tcW w:w="900" w:type="dxa"/>
            <w:tcBorders>
              <w:right w:val="single" w:sz="4" w:space="0" w:color="auto"/>
            </w:tcBorders>
            <w:noWrap/>
            <w:hideMark/>
          </w:tcPr>
          <w:p w14:paraId="615A5D65"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2.1</w:t>
            </w:r>
          </w:p>
        </w:tc>
        <w:tc>
          <w:tcPr>
            <w:tcW w:w="1620" w:type="dxa"/>
            <w:tcBorders>
              <w:right w:val="single" w:sz="4" w:space="0" w:color="auto"/>
            </w:tcBorders>
          </w:tcPr>
          <w:p w14:paraId="323B3633" w14:textId="77777777"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35EC8F2A" w14:textId="249B0ECE"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25BFDF09" w14:textId="28551119" w:rsidR="00E54D20" w:rsidRPr="00B5325D" w:rsidRDefault="00E54D20" w:rsidP="007A047D">
            <w:pPr>
              <w:spacing w:before="120"/>
              <w:contextualSpacing/>
              <w:rPr>
                <w:b w:val="0"/>
                <w:color w:val="000000"/>
                <w:sz w:val="20"/>
                <w:szCs w:val="20"/>
              </w:rPr>
            </w:pPr>
            <w:r w:rsidRPr="00B5325D">
              <w:rPr>
                <w:b w:val="0"/>
                <w:color w:val="000000"/>
                <w:sz w:val="20"/>
                <w:szCs w:val="20"/>
              </w:rPr>
              <w:t>Poultry and feathered game</w:t>
            </w:r>
          </w:p>
        </w:tc>
        <w:tc>
          <w:tcPr>
            <w:tcW w:w="900" w:type="dxa"/>
            <w:tcBorders>
              <w:right w:val="single" w:sz="4" w:space="0" w:color="auto"/>
            </w:tcBorders>
            <w:noWrap/>
            <w:hideMark/>
          </w:tcPr>
          <w:p w14:paraId="4CDC2E64"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1.9</w:t>
            </w:r>
          </w:p>
        </w:tc>
        <w:tc>
          <w:tcPr>
            <w:tcW w:w="1620" w:type="dxa"/>
            <w:tcBorders>
              <w:right w:val="single" w:sz="4" w:space="0" w:color="auto"/>
            </w:tcBorders>
          </w:tcPr>
          <w:p w14:paraId="6B93CB3A" w14:textId="77282B71"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40AB188D" w14:textId="1FE85A79"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4F3D1A1F"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Potato, extruded/reformed and corn snacks</w:t>
            </w:r>
          </w:p>
        </w:tc>
        <w:tc>
          <w:tcPr>
            <w:tcW w:w="900" w:type="dxa"/>
            <w:tcBorders>
              <w:right w:val="single" w:sz="4" w:space="0" w:color="auto"/>
            </w:tcBorders>
            <w:noWrap/>
            <w:hideMark/>
          </w:tcPr>
          <w:p w14:paraId="761FE542"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1.7</w:t>
            </w:r>
          </w:p>
        </w:tc>
        <w:tc>
          <w:tcPr>
            <w:tcW w:w="1620" w:type="dxa"/>
            <w:tcBorders>
              <w:right w:val="single" w:sz="4" w:space="0" w:color="auto"/>
            </w:tcBorders>
          </w:tcPr>
          <w:p w14:paraId="2FE384BD" w14:textId="5E5E8902"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7364AEC5" w14:textId="466803A7"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7ED9B18F"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Savoury biscuits</w:t>
            </w:r>
          </w:p>
        </w:tc>
        <w:tc>
          <w:tcPr>
            <w:tcW w:w="900" w:type="dxa"/>
            <w:tcBorders>
              <w:right w:val="single" w:sz="4" w:space="0" w:color="auto"/>
            </w:tcBorders>
            <w:noWrap/>
            <w:hideMark/>
          </w:tcPr>
          <w:p w14:paraId="007DC113"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1.6</w:t>
            </w:r>
          </w:p>
        </w:tc>
        <w:tc>
          <w:tcPr>
            <w:tcW w:w="1620" w:type="dxa"/>
            <w:tcBorders>
              <w:right w:val="single" w:sz="4" w:space="0" w:color="auto"/>
            </w:tcBorders>
          </w:tcPr>
          <w:p w14:paraId="1F60F1F7" w14:textId="77777777"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519C8D40" w14:textId="652F5177"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7891B699"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Potatoes</w:t>
            </w:r>
          </w:p>
        </w:tc>
        <w:tc>
          <w:tcPr>
            <w:tcW w:w="900" w:type="dxa"/>
            <w:tcBorders>
              <w:right w:val="single" w:sz="4" w:space="0" w:color="auto"/>
            </w:tcBorders>
            <w:noWrap/>
            <w:hideMark/>
          </w:tcPr>
          <w:p w14:paraId="0916FAB4"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1.4</w:t>
            </w:r>
          </w:p>
        </w:tc>
        <w:tc>
          <w:tcPr>
            <w:tcW w:w="1620" w:type="dxa"/>
            <w:tcBorders>
              <w:right w:val="single" w:sz="4" w:space="0" w:color="auto"/>
            </w:tcBorders>
          </w:tcPr>
          <w:p w14:paraId="63554009" w14:textId="40E6446E" w:rsidR="00E54D20" w:rsidRPr="00445CA0" w:rsidRDefault="1B360ADB"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7C8E2EBF">
              <w:rPr>
                <w:color w:val="000000" w:themeColor="text1"/>
                <w:sz w:val="16"/>
                <w:szCs w:val="16"/>
              </w:rPr>
              <w:t>Referred to IBPWG</w:t>
            </w:r>
          </w:p>
        </w:tc>
      </w:tr>
      <w:tr w:rsidR="00E54D20" w:rsidRPr="00445CA0" w14:paraId="238F4CF2" w14:textId="58867222"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7DE3C37C"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Waters, municipal and bottled, unflavoured</w:t>
            </w:r>
          </w:p>
        </w:tc>
        <w:tc>
          <w:tcPr>
            <w:tcW w:w="900" w:type="dxa"/>
            <w:tcBorders>
              <w:right w:val="single" w:sz="4" w:space="0" w:color="auto"/>
            </w:tcBorders>
            <w:noWrap/>
            <w:hideMark/>
          </w:tcPr>
          <w:p w14:paraId="25CF7A30"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1.2</w:t>
            </w:r>
          </w:p>
        </w:tc>
        <w:tc>
          <w:tcPr>
            <w:tcW w:w="1620" w:type="dxa"/>
            <w:tcBorders>
              <w:right w:val="single" w:sz="4" w:space="0" w:color="auto"/>
            </w:tcBorders>
          </w:tcPr>
          <w:p w14:paraId="38D56C87" w14:textId="77777777"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6F6239C8" w14:textId="6EB13947"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tcPr>
          <w:p w14:paraId="4B879AA8"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Soups – prepared from dry and commercially sterile</w:t>
            </w:r>
          </w:p>
        </w:tc>
        <w:tc>
          <w:tcPr>
            <w:tcW w:w="900" w:type="dxa"/>
            <w:tcBorders>
              <w:right w:val="single" w:sz="4" w:space="0" w:color="auto"/>
            </w:tcBorders>
            <w:noWrap/>
          </w:tcPr>
          <w:p w14:paraId="2C450875"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1.2</w:t>
            </w:r>
          </w:p>
        </w:tc>
        <w:tc>
          <w:tcPr>
            <w:tcW w:w="1620" w:type="dxa"/>
            <w:tcBorders>
              <w:right w:val="single" w:sz="4" w:space="0" w:color="auto"/>
            </w:tcBorders>
          </w:tcPr>
          <w:p w14:paraId="1FEF4883" w14:textId="77777777"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5AD71260" w14:textId="39BD9CD6"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tcBorders>
            <w:noWrap/>
            <w:hideMark/>
          </w:tcPr>
          <w:p w14:paraId="264FA039"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Sweet biscuits</w:t>
            </w:r>
          </w:p>
        </w:tc>
        <w:tc>
          <w:tcPr>
            <w:tcW w:w="900" w:type="dxa"/>
            <w:tcBorders>
              <w:right w:val="single" w:sz="4" w:space="0" w:color="auto"/>
            </w:tcBorders>
            <w:noWrap/>
            <w:hideMark/>
          </w:tcPr>
          <w:p w14:paraId="57C27A34"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1.1</w:t>
            </w:r>
          </w:p>
        </w:tc>
        <w:tc>
          <w:tcPr>
            <w:tcW w:w="1620" w:type="dxa"/>
            <w:tcBorders>
              <w:right w:val="single" w:sz="4" w:space="0" w:color="auto"/>
            </w:tcBorders>
          </w:tcPr>
          <w:p w14:paraId="3A369004" w14:textId="6E13D52D" w:rsidR="00E54D20" w:rsidRPr="00445CA0" w:rsidRDefault="00E92B38"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E92B38">
              <w:rPr>
                <w:color w:val="000000"/>
                <w:sz w:val="16"/>
                <w:szCs w:val="22"/>
              </w:rPr>
              <w:t xml:space="preserve">Referred to </w:t>
            </w:r>
            <w:r w:rsidR="00FF0CF5">
              <w:rPr>
                <w:color w:val="000000"/>
                <w:sz w:val="16"/>
                <w:szCs w:val="22"/>
              </w:rPr>
              <w:t>IBP</w:t>
            </w:r>
            <w:r w:rsidRPr="00E92B38">
              <w:rPr>
                <w:color w:val="000000"/>
                <w:sz w:val="16"/>
                <w:szCs w:val="22"/>
              </w:rPr>
              <w:t>WG</w:t>
            </w:r>
          </w:p>
        </w:tc>
      </w:tr>
      <w:tr w:rsidR="00E54D20" w:rsidRPr="00445CA0" w14:paraId="6E42C012" w14:textId="5A3FADDD" w:rsidTr="3BD2844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bottom w:val="single" w:sz="4" w:space="0" w:color="92CDDC" w:themeColor="accent5" w:themeTint="99"/>
            </w:tcBorders>
            <w:noWrap/>
            <w:hideMark/>
          </w:tcPr>
          <w:p w14:paraId="07E8E5E3" w14:textId="77777777" w:rsidR="00E54D20" w:rsidRPr="00B5325D" w:rsidRDefault="00E54D20" w:rsidP="007A047D">
            <w:pPr>
              <w:spacing w:before="120"/>
              <w:contextualSpacing/>
              <w:rPr>
                <w:b w:val="0"/>
                <w:color w:val="000000"/>
                <w:sz w:val="20"/>
                <w:szCs w:val="20"/>
              </w:rPr>
            </w:pPr>
            <w:r w:rsidRPr="00B5325D">
              <w:rPr>
                <w:b w:val="0"/>
                <w:color w:val="000000"/>
                <w:sz w:val="20"/>
                <w:szCs w:val="20"/>
              </w:rPr>
              <w:t>Fish and seafood products (homemade and takeaway)</w:t>
            </w:r>
          </w:p>
        </w:tc>
        <w:tc>
          <w:tcPr>
            <w:tcW w:w="900" w:type="dxa"/>
            <w:tcBorders>
              <w:bottom w:val="single" w:sz="4" w:space="0" w:color="92CDDC" w:themeColor="accent5" w:themeTint="99"/>
              <w:right w:val="single" w:sz="4" w:space="0" w:color="auto"/>
            </w:tcBorders>
            <w:noWrap/>
            <w:hideMark/>
          </w:tcPr>
          <w:p w14:paraId="0CC7F65B" w14:textId="77777777" w:rsidR="00E54D20" w:rsidRPr="00B5325D" w:rsidRDefault="00E54D20" w:rsidP="007A047D">
            <w:pPr>
              <w:spacing w:before="120"/>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B5325D">
              <w:rPr>
                <w:color w:val="000000"/>
                <w:sz w:val="20"/>
                <w:szCs w:val="20"/>
              </w:rPr>
              <w:t>1.1</w:t>
            </w:r>
          </w:p>
        </w:tc>
        <w:tc>
          <w:tcPr>
            <w:tcW w:w="1620" w:type="dxa"/>
            <w:tcBorders>
              <w:bottom w:val="single" w:sz="4" w:space="0" w:color="92CDDC" w:themeColor="accent5" w:themeTint="99"/>
              <w:right w:val="single" w:sz="4" w:space="0" w:color="auto"/>
            </w:tcBorders>
          </w:tcPr>
          <w:p w14:paraId="57FDCAE7" w14:textId="7A8B73CB" w:rsidR="00E54D20" w:rsidRPr="00445CA0" w:rsidRDefault="00E54D20" w:rsidP="00E54D20">
            <w:pPr>
              <w:spacing w:before="120"/>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4F590980" w14:textId="3E5DF508" w:rsidTr="3BD28443">
        <w:trPr>
          <w:trHeight w:val="225"/>
        </w:trPr>
        <w:tc>
          <w:tcPr>
            <w:cnfStyle w:val="001000000000" w:firstRow="0" w:lastRow="0" w:firstColumn="1" w:lastColumn="0" w:oddVBand="0" w:evenVBand="0" w:oddHBand="0" w:evenHBand="0" w:firstRowFirstColumn="0" w:firstRowLastColumn="0" w:lastRowFirstColumn="0" w:lastRowLastColumn="0"/>
            <w:tcW w:w="7087" w:type="dxa"/>
            <w:tcBorders>
              <w:left w:val="single" w:sz="4" w:space="0" w:color="auto"/>
              <w:bottom w:val="single" w:sz="4" w:space="0" w:color="auto"/>
            </w:tcBorders>
            <w:noWrap/>
            <w:hideMark/>
          </w:tcPr>
          <w:p w14:paraId="11CF6987" w14:textId="1A6EF1F7" w:rsidR="00E54D20" w:rsidRPr="00B5325D" w:rsidRDefault="00E54D20" w:rsidP="007A047D">
            <w:pPr>
              <w:spacing w:before="120"/>
              <w:contextualSpacing/>
              <w:rPr>
                <w:b w:val="0"/>
                <w:bCs w:val="0"/>
                <w:color w:val="000000"/>
                <w:sz w:val="20"/>
                <w:szCs w:val="20"/>
              </w:rPr>
            </w:pPr>
            <w:r w:rsidRPr="3BD28443">
              <w:rPr>
                <w:b w:val="0"/>
                <w:bCs w:val="0"/>
                <w:color w:val="000000" w:themeColor="text1"/>
                <w:sz w:val="20"/>
                <w:szCs w:val="20"/>
              </w:rPr>
              <w:t xml:space="preserve">Yeast, and yeast, </w:t>
            </w:r>
            <w:r w:rsidR="17820DD1" w:rsidRPr="3BD28443">
              <w:rPr>
                <w:b w:val="0"/>
                <w:bCs w:val="0"/>
                <w:color w:val="000000" w:themeColor="text1"/>
                <w:sz w:val="20"/>
                <w:szCs w:val="20"/>
              </w:rPr>
              <w:t>vegetable,</w:t>
            </w:r>
            <w:r w:rsidRPr="3BD28443">
              <w:rPr>
                <w:b w:val="0"/>
                <w:bCs w:val="0"/>
                <w:color w:val="000000" w:themeColor="text1"/>
                <w:sz w:val="20"/>
                <w:szCs w:val="20"/>
              </w:rPr>
              <w:t xml:space="preserve"> or meat extracts</w:t>
            </w:r>
          </w:p>
        </w:tc>
        <w:tc>
          <w:tcPr>
            <w:tcW w:w="900" w:type="dxa"/>
            <w:tcBorders>
              <w:bottom w:val="single" w:sz="4" w:space="0" w:color="auto"/>
              <w:right w:val="single" w:sz="4" w:space="0" w:color="auto"/>
            </w:tcBorders>
            <w:noWrap/>
            <w:hideMark/>
          </w:tcPr>
          <w:p w14:paraId="5D10249A" w14:textId="77777777" w:rsidR="00E54D20" w:rsidRPr="00B5325D" w:rsidRDefault="00E54D20" w:rsidP="007A047D">
            <w:pPr>
              <w:spacing w:before="120"/>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B5325D">
              <w:rPr>
                <w:color w:val="000000"/>
                <w:sz w:val="20"/>
                <w:szCs w:val="20"/>
              </w:rPr>
              <w:t>1.1</w:t>
            </w:r>
          </w:p>
        </w:tc>
        <w:tc>
          <w:tcPr>
            <w:tcW w:w="1620" w:type="dxa"/>
            <w:tcBorders>
              <w:bottom w:val="single" w:sz="4" w:space="0" w:color="auto"/>
              <w:right w:val="single" w:sz="4" w:space="0" w:color="auto"/>
            </w:tcBorders>
          </w:tcPr>
          <w:p w14:paraId="358E0A13" w14:textId="77777777" w:rsidR="00E54D20" w:rsidRPr="00445CA0" w:rsidRDefault="00E54D20" w:rsidP="00E54D20">
            <w:pPr>
              <w:spacing w:before="120"/>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bl>
    <w:p w14:paraId="5E495CEC" w14:textId="78C935D3" w:rsidR="00606D2F" w:rsidRPr="00F9777F" w:rsidRDefault="00606D2F" w:rsidP="00606D2F">
      <w:pPr>
        <w:autoSpaceDE w:val="0"/>
        <w:autoSpaceDN w:val="0"/>
        <w:adjustRightInd w:val="0"/>
        <w:spacing w:before="120"/>
        <w:rPr>
          <w:i/>
          <w:iCs/>
          <w:sz w:val="22"/>
          <w:szCs w:val="22"/>
        </w:rPr>
      </w:pPr>
      <w:r w:rsidRPr="00F9777F">
        <w:rPr>
          <w:i/>
          <w:iCs/>
          <w:sz w:val="22"/>
          <w:szCs w:val="22"/>
        </w:rPr>
        <w:t>Source: NNPAS 2011</w:t>
      </w:r>
      <w:r w:rsidR="00B4019E">
        <w:rPr>
          <w:i/>
          <w:iCs/>
          <w:sz w:val="22"/>
          <w:szCs w:val="22"/>
        </w:rPr>
        <w:t>–</w:t>
      </w:r>
      <w:r w:rsidRPr="00F9777F">
        <w:rPr>
          <w:i/>
          <w:iCs/>
          <w:sz w:val="22"/>
          <w:szCs w:val="22"/>
        </w:rPr>
        <w:t>12</w:t>
      </w:r>
    </w:p>
    <w:p w14:paraId="24C00442" w14:textId="77777777" w:rsidR="00505B99" w:rsidRDefault="00505B99">
      <w:pPr>
        <w:rPr>
          <w:b/>
          <w:bCs/>
          <w:sz w:val="28"/>
          <w:szCs w:val="28"/>
        </w:rPr>
      </w:pPr>
      <w:r>
        <w:br w:type="page"/>
      </w:r>
    </w:p>
    <w:p w14:paraId="33817C3E" w14:textId="5F358F1C" w:rsidR="00446CD2" w:rsidRPr="00994436" w:rsidRDefault="00E25B50" w:rsidP="00795E9E">
      <w:pPr>
        <w:pStyle w:val="Heading4"/>
        <w:spacing w:before="0" w:after="120"/>
        <w:rPr>
          <w:sz w:val="24"/>
          <w:szCs w:val="24"/>
        </w:rPr>
      </w:pPr>
      <w:r w:rsidRPr="00994436">
        <w:rPr>
          <w:sz w:val="24"/>
          <w:szCs w:val="24"/>
        </w:rPr>
        <w:lastRenderedPageBreak/>
        <w:t>S</w:t>
      </w:r>
      <w:r w:rsidR="00446CD2" w:rsidRPr="00994436">
        <w:rPr>
          <w:sz w:val="24"/>
          <w:szCs w:val="24"/>
        </w:rPr>
        <w:t xml:space="preserve">aturated fat </w:t>
      </w:r>
    </w:p>
    <w:p w14:paraId="74C0EE14" w14:textId="287BFA6C" w:rsidR="00E25B50" w:rsidRPr="00B5325D" w:rsidRDefault="00273A43" w:rsidP="00795E9E">
      <w:pPr>
        <w:spacing w:after="240"/>
        <w:rPr>
          <w:sz w:val="22"/>
          <w:szCs w:val="22"/>
        </w:rPr>
      </w:pPr>
      <w:r w:rsidRPr="03C20349">
        <w:rPr>
          <w:sz w:val="22"/>
          <w:szCs w:val="22"/>
        </w:rPr>
        <w:t>The ADG recommend limiting intake of foods containing saturated fat (Guideline 3)</w:t>
      </w:r>
      <w:r w:rsidR="00EF5AED">
        <w:rPr>
          <w:sz w:val="22"/>
          <w:szCs w:val="22"/>
        </w:rPr>
        <w:t xml:space="preserve"> (16)</w:t>
      </w:r>
      <w:r w:rsidRPr="03C20349">
        <w:rPr>
          <w:sz w:val="22"/>
          <w:szCs w:val="22"/>
        </w:rPr>
        <w:t xml:space="preserve"> and replacing foods high in saturated fat, such as culinary and cooking fats and oils, with foods which contain predominantly polyunsaturated fats and monounsaturated fats</w:t>
      </w:r>
      <w:r w:rsidR="00E25B50" w:rsidRPr="03C20349">
        <w:rPr>
          <w:sz w:val="22"/>
          <w:szCs w:val="22"/>
        </w:rPr>
        <w:t>.</w:t>
      </w:r>
    </w:p>
    <w:p w14:paraId="12507CBA" w14:textId="0623AF9F" w:rsidR="00AE496B" w:rsidRDefault="00E25B50" w:rsidP="00795E9E">
      <w:pPr>
        <w:autoSpaceDE w:val="0"/>
        <w:autoSpaceDN w:val="0"/>
        <w:adjustRightInd w:val="0"/>
        <w:spacing w:after="240"/>
        <w:rPr>
          <w:b/>
          <w:bCs/>
        </w:rPr>
      </w:pPr>
      <w:r w:rsidRPr="6099F934">
        <w:rPr>
          <w:sz w:val="22"/>
          <w:szCs w:val="22"/>
          <w:shd w:val="clear" w:color="auto" w:fill="FFFFFF"/>
        </w:rPr>
        <w:t xml:space="preserve">The RWG </w:t>
      </w:r>
      <w:r w:rsidR="00FF0CF5" w:rsidRPr="6099F934">
        <w:rPr>
          <w:sz w:val="22"/>
          <w:szCs w:val="22"/>
          <w:shd w:val="clear" w:color="auto" w:fill="FFFFFF"/>
        </w:rPr>
        <w:t>examined</w:t>
      </w:r>
      <w:r w:rsidRPr="6099F934">
        <w:rPr>
          <w:sz w:val="22"/>
          <w:szCs w:val="22"/>
          <w:shd w:val="clear" w:color="auto" w:fill="FFFFFF"/>
        </w:rPr>
        <w:t xml:space="preserve"> the consumption data for </w:t>
      </w:r>
      <w:r w:rsidR="001531CE" w:rsidRPr="6099F934">
        <w:rPr>
          <w:sz w:val="22"/>
          <w:szCs w:val="22"/>
          <w:shd w:val="clear" w:color="auto" w:fill="FFFFFF"/>
        </w:rPr>
        <w:t xml:space="preserve">saturated fat </w:t>
      </w:r>
      <w:r w:rsidRPr="6099F934">
        <w:rPr>
          <w:sz w:val="22"/>
          <w:szCs w:val="22"/>
          <w:shd w:val="clear" w:color="auto" w:fill="FFFFFF"/>
        </w:rPr>
        <w:t>from the 2011</w:t>
      </w:r>
      <w:r w:rsidR="00B4019E">
        <w:rPr>
          <w:sz w:val="22"/>
          <w:szCs w:val="22"/>
          <w:shd w:val="clear" w:color="auto" w:fill="FFFFFF"/>
        </w:rPr>
        <w:t>–</w:t>
      </w:r>
      <w:r w:rsidRPr="6099F934">
        <w:rPr>
          <w:sz w:val="22"/>
          <w:szCs w:val="22"/>
          <w:shd w:val="clear" w:color="auto" w:fill="FFFFFF"/>
        </w:rPr>
        <w:t xml:space="preserve">12 NNPAS and the </w:t>
      </w:r>
      <w:r w:rsidRPr="6099F934">
        <w:rPr>
          <w:sz w:val="22"/>
          <w:szCs w:val="22"/>
        </w:rPr>
        <w:t>foods contributing &gt;1</w:t>
      </w:r>
      <w:r w:rsidR="004C3B0A" w:rsidRPr="6099F934">
        <w:rPr>
          <w:sz w:val="22"/>
          <w:szCs w:val="22"/>
        </w:rPr>
        <w:t>%</w:t>
      </w:r>
      <w:r w:rsidRPr="6099F934">
        <w:rPr>
          <w:sz w:val="22"/>
          <w:szCs w:val="22"/>
        </w:rPr>
        <w:t xml:space="preserve"> intake of </w:t>
      </w:r>
      <w:r w:rsidR="001531CE" w:rsidRPr="6099F934">
        <w:rPr>
          <w:sz w:val="22"/>
          <w:szCs w:val="22"/>
        </w:rPr>
        <w:t>saturated fat</w:t>
      </w:r>
      <w:r w:rsidRPr="6099F934">
        <w:rPr>
          <w:sz w:val="22"/>
          <w:szCs w:val="22"/>
        </w:rPr>
        <w:t xml:space="preserve"> for the total population (Table </w:t>
      </w:r>
      <w:r w:rsidR="001531CE" w:rsidRPr="6099F934">
        <w:rPr>
          <w:sz w:val="22"/>
          <w:szCs w:val="22"/>
        </w:rPr>
        <w:t>5</w:t>
      </w:r>
      <w:r w:rsidRPr="6099F934">
        <w:rPr>
          <w:sz w:val="22"/>
          <w:szCs w:val="22"/>
        </w:rPr>
        <w:t>)</w:t>
      </w:r>
      <w:r w:rsidR="00B914B2" w:rsidRPr="6099F934">
        <w:rPr>
          <w:sz w:val="22"/>
          <w:szCs w:val="22"/>
        </w:rPr>
        <w:t>.</w:t>
      </w:r>
      <w:r w:rsidRPr="6099F934">
        <w:rPr>
          <w:sz w:val="22"/>
          <w:szCs w:val="22"/>
        </w:rPr>
        <w:t xml:space="preserve"> For some of these categories, reformulation targets were set where feasible, while other categ</w:t>
      </w:r>
      <w:r w:rsidR="00154FC5" w:rsidRPr="6099F934">
        <w:rPr>
          <w:sz w:val="22"/>
          <w:szCs w:val="22"/>
        </w:rPr>
        <w:t xml:space="preserve">ories were referred to the </w:t>
      </w:r>
      <w:r w:rsidR="00FF0CF5" w:rsidRPr="6099F934">
        <w:rPr>
          <w:sz w:val="22"/>
          <w:szCs w:val="22"/>
        </w:rPr>
        <w:t>IB</w:t>
      </w:r>
      <w:r w:rsidR="004A2E4D" w:rsidRPr="6099F934">
        <w:rPr>
          <w:sz w:val="22"/>
          <w:szCs w:val="22"/>
        </w:rPr>
        <w:t>PG</w:t>
      </w:r>
      <w:r w:rsidR="00154FC5" w:rsidRPr="6099F934">
        <w:rPr>
          <w:sz w:val="22"/>
          <w:szCs w:val="22"/>
        </w:rPr>
        <w:t xml:space="preserve">WG </w:t>
      </w:r>
      <w:r w:rsidRPr="6099F934">
        <w:rPr>
          <w:sz w:val="22"/>
          <w:szCs w:val="22"/>
        </w:rPr>
        <w:t xml:space="preserve">for </w:t>
      </w:r>
      <w:r w:rsidR="00DE60FB" w:rsidRPr="6099F934">
        <w:rPr>
          <w:sz w:val="22"/>
          <w:szCs w:val="22"/>
        </w:rPr>
        <w:t>consideration</w:t>
      </w:r>
      <w:r w:rsidRPr="6099F934">
        <w:rPr>
          <w:sz w:val="22"/>
          <w:szCs w:val="22"/>
        </w:rPr>
        <w:t xml:space="preserve">. </w:t>
      </w:r>
    </w:p>
    <w:p w14:paraId="5DEA03E6" w14:textId="2FE01CC1" w:rsidR="00446CD2" w:rsidRDefault="00B13BE8" w:rsidP="00795E9E">
      <w:pPr>
        <w:autoSpaceDE w:val="0"/>
        <w:autoSpaceDN w:val="0"/>
        <w:adjustRightInd w:val="0"/>
        <w:spacing w:after="120"/>
        <w:rPr>
          <w:b/>
          <w:bCs/>
        </w:rPr>
      </w:pPr>
      <w:r w:rsidRPr="6099F934">
        <w:rPr>
          <w:b/>
          <w:bCs/>
        </w:rPr>
        <w:t>Table 5: Food contributing &gt;</w:t>
      </w:r>
      <w:r w:rsidR="00446CD2" w:rsidRPr="6099F934">
        <w:rPr>
          <w:b/>
          <w:bCs/>
        </w:rPr>
        <w:t>1</w:t>
      </w:r>
      <w:r w:rsidR="004C3B0A" w:rsidRPr="6099F934">
        <w:rPr>
          <w:b/>
          <w:bCs/>
        </w:rPr>
        <w:t>%</w:t>
      </w:r>
      <w:r w:rsidR="00446CD2" w:rsidRPr="6099F934">
        <w:rPr>
          <w:b/>
          <w:bCs/>
        </w:rPr>
        <w:t xml:space="preserve"> saturated fats intake for the Australian population (2+ years)</w:t>
      </w:r>
      <w:r w:rsidR="00B40608" w:rsidRPr="6099F934">
        <w:rPr>
          <w:b/>
          <w:bCs/>
        </w:rPr>
        <w:t xml:space="preserve"> (2</w:t>
      </w:r>
      <w:r w:rsidR="00345EB5">
        <w:rPr>
          <w:b/>
          <w:bCs/>
        </w:rPr>
        <w:t>2</w:t>
      </w:r>
      <w:r w:rsidR="004F36B4" w:rsidRPr="6099F934">
        <w:rPr>
          <w:b/>
          <w:bCs/>
        </w:rPr>
        <w:t>)</w:t>
      </w:r>
      <w:r w:rsidR="007D2668" w:rsidRPr="6099F934">
        <w:rPr>
          <w:rFonts w:cstheme="minorBidi"/>
          <w:color w:val="FF0000"/>
          <w:sz w:val="22"/>
          <w:szCs w:val="22"/>
          <w:vertAlign w:val="superscript"/>
        </w:rPr>
        <w:t xml:space="preserve"> </w:t>
      </w:r>
    </w:p>
    <w:tbl>
      <w:tblPr>
        <w:tblStyle w:val="GridTable4-Accent52"/>
        <w:tblW w:w="9607" w:type="dxa"/>
        <w:tblInd w:w="108" w:type="dxa"/>
        <w:tblLook w:val="04A0" w:firstRow="1" w:lastRow="0" w:firstColumn="1" w:lastColumn="0" w:noHBand="0" w:noVBand="1"/>
        <w:tblCaption w:val="Table 6: Food contributing ≥1 per cent saturated fats intake for the Australian population (2+ years), ABS 2014"/>
      </w:tblPr>
      <w:tblGrid>
        <w:gridCol w:w="7087"/>
        <w:gridCol w:w="900"/>
        <w:gridCol w:w="1620"/>
      </w:tblGrid>
      <w:tr w:rsidR="00E54D20" w:rsidRPr="00445CA0" w14:paraId="55807936" w14:textId="39BB7891" w:rsidTr="3BD2844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087" w:type="dxa"/>
            <w:noWrap/>
          </w:tcPr>
          <w:p w14:paraId="75A47355" w14:textId="77777777" w:rsidR="00E54D20" w:rsidRPr="00445CA0" w:rsidRDefault="00E54D20" w:rsidP="00D3783A">
            <w:pPr>
              <w:contextualSpacing/>
              <w:rPr>
                <w:sz w:val="22"/>
                <w:szCs w:val="22"/>
              </w:rPr>
            </w:pPr>
            <w:r w:rsidRPr="00445CA0">
              <w:rPr>
                <w:sz w:val="22"/>
                <w:szCs w:val="22"/>
              </w:rPr>
              <w:t>Food Category (NNPAS 3-digit food category)</w:t>
            </w:r>
          </w:p>
        </w:tc>
        <w:tc>
          <w:tcPr>
            <w:tcW w:w="900" w:type="dxa"/>
            <w:noWrap/>
          </w:tcPr>
          <w:p w14:paraId="40E9697B" w14:textId="77777777" w:rsidR="00E54D20" w:rsidRPr="00445CA0" w:rsidRDefault="00E54D20" w:rsidP="00D3783A">
            <w:pPr>
              <w:contextualSpacing/>
              <w:jc w:val="right"/>
              <w:cnfStyle w:val="100000000000" w:firstRow="1" w:lastRow="0" w:firstColumn="0" w:lastColumn="0" w:oddVBand="0" w:evenVBand="0" w:oddHBand="0" w:evenHBand="0" w:firstRowFirstColumn="0" w:firstRowLastColumn="0" w:lastRowFirstColumn="0" w:lastRowLastColumn="0"/>
              <w:rPr>
                <w:sz w:val="22"/>
                <w:szCs w:val="22"/>
              </w:rPr>
            </w:pPr>
            <w:r w:rsidRPr="00445CA0">
              <w:rPr>
                <w:sz w:val="22"/>
                <w:szCs w:val="22"/>
              </w:rPr>
              <w:t>%</w:t>
            </w:r>
          </w:p>
        </w:tc>
        <w:tc>
          <w:tcPr>
            <w:tcW w:w="1620" w:type="dxa"/>
          </w:tcPr>
          <w:p w14:paraId="680D320F" w14:textId="7E058C34" w:rsidR="00E54D20" w:rsidRPr="00445CA0" w:rsidRDefault="00E54D20" w:rsidP="00E54D20">
            <w:pPr>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Reformulation target set</w:t>
            </w:r>
          </w:p>
        </w:tc>
      </w:tr>
      <w:tr w:rsidR="00E54D20" w:rsidRPr="00445CA0" w14:paraId="6732EED9" w14:textId="5D464C0E" w:rsidTr="3BD284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87" w:type="dxa"/>
            <w:noWrap/>
          </w:tcPr>
          <w:p w14:paraId="3CB6EB2D" w14:textId="1E9F7BC0" w:rsidR="00E54D20" w:rsidRPr="00B5325D" w:rsidRDefault="00E54D20" w:rsidP="00EC5D63">
            <w:pPr>
              <w:contextualSpacing/>
              <w:rPr>
                <w:b w:val="0"/>
                <w:color w:val="000000"/>
                <w:sz w:val="20"/>
                <w:szCs w:val="22"/>
              </w:rPr>
            </w:pPr>
            <w:r w:rsidRPr="00B5325D">
              <w:rPr>
                <w:b w:val="0"/>
                <w:color w:val="000000"/>
                <w:sz w:val="20"/>
                <w:szCs w:val="22"/>
              </w:rPr>
              <w:t>Mixed dishes where cereal is the major ingredient</w:t>
            </w:r>
            <w:r w:rsidR="00E92B38" w:rsidRPr="00B5325D">
              <w:rPr>
                <w:b w:val="0"/>
                <w:color w:val="000000"/>
                <w:sz w:val="20"/>
                <w:szCs w:val="22"/>
              </w:rPr>
              <w:t xml:space="preserve"> (Major contributor: Pizza)</w:t>
            </w:r>
            <w:r w:rsidR="009442DD" w:rsidRPr="00B5325D">
              <w:rPr>
                <w:sz w:val="20"/>
              </w:rPr>
              <w:t xml:space="preserve"> </w:t>
            </w:r>
          </w:p>
        </w:tc>
        <w:tc>
          <w:tcPr>
            <w:tcW w:w="900" w:type="dxa"/>
            <w:noWrap/>
          </w:tcPr>
          <w:p w14:paraId="50690007"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9.9</w:t>
            </w:r>
          </w:p>
        </w:tc>
        <w:tc>
          <w:tcPr>
            <w:tcW w:w="1620" w:type="dxa"/>
          </w:tcPr>
          <w:p w14:paraId="6CE0906C" w14:textId="40F87D0C" w:rsidR="00E54D20" w:rsidRPr="00445CA0" w:rsidRDefault="00E92B38"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r w:rsidR="00E522DE" w:rsidRPr="00E522DE">
              <w:rPr>
                <w:rFonts w:eastAsia="Wingdings" w:cstheme="minorHAnsi"/>
                <w:color w:val="000000"/>
                <w:sz w:val="18"/>
                <w:szCs w:val="22"/>
              </w:rPr>
              <w:t>Also targeted by the IBPGWG</w:t>
            </w:r>
          </w:p>
        </w:tc>
      </w:tr>
      <w:tr w:rsidR="00E54D20" w:rsidRPr="00445CA0" w14:paraId="0D9DB26E" w14:textId="7E11692E"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2801E0A9" w14:textId="2552B198" w:rsidR="00E54D20" w:rsidRPr="00B5325D" w:rsidRDefault="00E54D20" w:rsidP="00D3783A">
            <w:pPr>
              <w:contextualSpacing/>
              <w:rPr>
                <w:b w:val="0"/>
                <w:bCs w:val="0"/>
                <w:sz w:val="20"/>
                <w:szCs w:val="20"/>
              </w:rPr>
            </w:pPr>
            <w:r w:rsidRPr="3BD28443">
              <w:rPr>
                <w:b w:val="0"/>
                <w:bCs w:val="0"/>
                <w:sz w:val="20"/>
                <w:szCs w:val="20"/>
              </w:rPr>
              <w:t xml:space="preserve">Dairy milk (cow, </w:t>
            </w:r>
            <w:r w:rsidR="5930C637" w:rsidRPr="3BD28443">
              <w:rPr>
                <w:b w:val="0"/>
                <w:bCs w:val="0"/>
                <w:sz w:val="20"/>
                <w:szCs w:val="20"/>
              </w:rPr>
              <w:t>sheep,</w:t>
            </w:r>
            <w:r w:rsidRPr="3BD28443">
              <w:rPr>
                <w:b w:val="0"/>
                <w:bCs w:val="0"/>
                <w:sz w:val="20"/>
                <w:szCs w:val="20"/>
              </w:rPr>
              <w:t xml:space="preserve"> and goat)</w:t>
            </w:r>
          </w:p>
        </w:tc>
        <w:tc>
          <w:tcPr>
            <w:tcW w:w="900" w:type="dxa"/>
            <w:noWrap/>
            <w:hideMark/>
          </w:tcPr>
          <w:p w14:paraId="6B148776"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sz w:val="20"/>
                <w:szCs w:val="22"/>
              </w:rPr>
            </w:pPr>
            <w:r w:rsidRPr="00B5325D">
              <w:rPr>
                <w:sz w:val="20"/>
                <w:szCs w:val="22"/>
              </w:rPr>
              <w:t>8.4</w:t>
            </w:r>
          </w:p>
        </w:tc>
        <w:tc>
          <w:tcPr>
            <w:tcW w:w="1620" w:type="dxa"/>
          </w:tcPr>
          <w:p w14:paraId="7CFD03EA" w14:textId="77777777" w:rsidR="00E54D20" w:rsidRPr="00445CA0" w:rsidRDefault="00E54D20" w:rsidP="00E54D20">
            <w:pPr>
              <w:contextualSpacing/>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E54D20" w:rsidRPr="00445CA0" w14:paraId="26546329" w14:textId="118C321B" w:rsidTr="3BD2844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75D2E379" w14:textId="77777777" w:rsidR="00E54D20" w:rsidRPr="00B5325D" w:rsidRDefault="00E54D20" w:rsidP="00D3783A">
            <w:pPr>
              <w:contextualSpacing/>
              <w:rPr>
                <w:b w:val="0"/>
                <w:sz w:val="20"/>
                <w:szCs w:val="22"/>
              </w:rPr>
            </w:pPr>
            <w:r w:rsidRPr="00B5325D">
              <w:rPr>
                <w:b w:val="0"/>
                <w:sz w:val="20"/>
                <w:szCs w:val="22"/>
              </w:rPr>
              <w:t>Cheese</w:t>
            </w:r>
          </w:p>
        </w:tc>
        <w:tc>
          <w:tcPr>
            <w:tcW w:w="900" w:type="dxa"/>
            <w:noWrap/>
            <w:hideMark/>
          </w:tcPr>
          <w:p w14:paraId="366D9E08"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sz w:val="20"/>
                <w:szCs w:val="22"/>
              </w:rPr>
            </w:pPr>
            <w:r w:rsidRPr="00B5325D">
              <w:rPr>
                <w:sz w:val="20"/>
                <w:szCs w:val="22"/>
              </w:rPr>
              <w:t>7.2</w:t>
            </w:r>
          </w:p>
        </w:tc>
        <w:tc>
          <w:tcPr>
            <w:tcW w:w="1620" w:type="dxa"/>
          </w:tcPr>
          <w:p w14:paraId="4A6AE04B" w14:textId="05EED768" w:rsidR="00E54D20" w:rsidRPr="00445CA0" w:rsidRDefault="00E54D20" w:rsidP="00E54D20">
            <w:pPr>
              <w:contextualSpacing/>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54D20" w:rsidRPr="00445CA0" w14:paraId="68E48727" w14:textId="012B76B7" w:rsidTr="3BD28443">
        <w:trPr>
          <w:trHeight w:val="7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0E6CF5F6" w14:textId="77777777" w:rsidR="00E54D20" w:rsidRPr="00B5325D" w:rsidRDefault="00E54D20" w:rsidP="00D3783A">
            <w:pPr>
              <w:contextualSpacing/>
              <w:rPr>
                <w:b w:val="0"/>
                <w:color w:val="000000"/>
                <w:sz w:val="20"/>
                <w:szCs w:val="22"/>
                <w:lang w:val="fr-FR"/>
              </w:rPr>
            </w:pPr>
            <w:r w:rsidRPr="00B5325D">
              <w:rPr>
                <w:b w:val="0"/>
                <w:color w:val="000000"/>
                <w:sz w:val="20"/>
                <w:szCs w:val="22"/>
                <w:lang w:val="fr-FR"/>
              </w:rPr>
              <w:t>Cakes, muffins, scones, cake-type desserts</w:t>
            </w:r>
          </w:p>
        </w:tc>
        <w:tc>
          <w:tcPr>
            <w:tcW w:w="900" w:type="dxa"/>
            <w:noWrap/>
            <w:hideMark/>
          </w:tcPr>
          <w:p w14:paraId="05249E96"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4.9</w:t>
            </w:r>
          </w:p>
        </w:tc>
        <w:tc>
          <w:tcPr>
            <w:tcW w:w="1620" w:type="dxa"/>
          </w:tcPr>
          <w:p w14:paraId="7B75F94F" w14:textId="7127D4E3" w:rsidR="00E54D20" w:rsidRPr="00445CA0" w:rsidRDefault="00E92B38" w:rsidP="7C8E2EBF">
            <w:pPr>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7C8E2EBF">
              <w:rPr>
                <w:color w:val="000000" w:themeColor="text1"/>
                <w:sz w:val="16"/>
                <w:szCs w:val="16"/>
              </w:rPr>
              <w:t xml:space="preserve">Referred to </w:t>
            </w:r>
            <w:r w:rsidR="6CE65539" w:rsidRPr="7C8E2EBF">
              <w:rPr>
                <w:color w:val="000000" w:themeColor="text1"/>
                <w:sz w:val="16"/>
                <w:szCs w:val="16"/>
              </w:rPr>
              <w:t>IBPGWG</w:t>
            </w:r>
          </w:p>
        </w:tc>
      </w:tr>
      <w:tr w:rsidR="00E54D20" w:rsidRPr="00445CA0" w14:paraId="57AC4CC5" w14:textId="77EA39B1"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2221D8E2" w14:textId="04A63370" w:rsidR="00E54D20" w:rsidRPr="00B5325D" w:rsidRDefault="00E54D20" w:rsidP="00D3783A">
            <w:pPr>
              <w:contextualSpacing/>
              <w:rPr>
                <w:b w:val="0"/>
                <w:bCs w:val="0"/>
                <w:color w:val="000000"/>
                <w:sz w:val="20"/>
                <w:szCs w:val="20"/>
              </w:rPr>
            </w:pPr>
            <w:r w:rsidRPr="3BD28443">
              <w:rPr>
                <w:b w:val="0"/>
                <w:bCs w:val="0"/>
                <w:color w:val="000000" w:themeColor="text1"/>
                <w:sz w:val="20"/>
                <w:szCs w:val="20"/>
              </w:rPr>
              <w:t xml:space="preserve">Beef, </w:t>
            </w:r>
            <w:r w:rsidR="58CF11B2" w:rsidRPr="3BD28443">
              <w:rPr>
                <w:b w:val="0"/>
                <w:bCs w:val="0"/>
                <w:color w:val="000000" w:themeColor="text1"/>
                <w:sz w:val="20"/>
                <w:szCs w:val="20"/>
              </w:rPr>
              <w:t>sheep,</w:t>
            </w:r>
            <w:r w:rsidRPr="3BD28443">
              <w:rPr>
                <w:b w:val="0"/>
                <w:bCs w:val="0"/>
                <w:color w:val="000000" w:themeColor="text1"/>
                <w:sz w:val="20"/>
                <w:szCs w:val="20"/>
              </w:rPr>
              <w:t xml:space="preserve"> and pork, unprocessed</w:t>
            </w:r>
          </w:p>
        </w:tc>
        <w:tc>
          <w:tcPr>
            <w:tcW w:w="900" w:type="dxa"/>
            <w:noWrap/>
            <w:hideMark/>
          </w:tcPr>
          <w:p w14:paraId="078A174B"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4.8</w:t>
            </w:r>
          </w:p>
        </w:tc>
        <w:tc>
          <w:tcPr>
            <w:tcW w:w="1620" w:type="dxa"/>
          </w:tcPr>
          <w:p w14:paraId="6FB4398D" w14:textId="77777777" w:rsidR="00E54D20" w:rsidRPr="00445CA0" w:rsidRDefault="00E54D20"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6B5AA10D" w14:textId="7010D8F8"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080A0812" w14:textId="77777777" w:rsidR="00E54D20" w:rsidRPr="00B5325D" w:rsidRDefault="00E54D20" w:rsidP="00D3783A">
            <w:pPr>
              <w:contextualSpacing/>
              <w:rPr>
                <w:b w:val="0"/>
                <w:color w:val="000000"/>
                <w:sz w:val="20"/>
                <w:szCs w:val="22"/>
              </w:rPr>
            </w:pPr>
            <w:r w:rsidRPr="00B5325D">
              <w:rPr>
                <w:b w:val="0"/>
                <w:color w:val="000000"/>
                <w:sz w:val="20"/>
                <w:szCs w:val="22"/>
              </w:rPr>
              <w:t>Pastries</w:t>
            </w:r>
          </w:p>
        </w:tc>
        <w:tc>
          <w:tcPr>
            <w:tcW w:w="900" w:type="dxa"/>
            <w:noWrap/>
            <w:hideMark/>
          </w:tcPr>
          <w:p w14:paraId="03E4609A"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4.6</w:t>
            </w:r>
          </w:p>
        </w:tc>
        <w:tc>
          <w:tcPr>
            <w:tcW w:w="1620" w:type="dxa"/>
          </w:tcPr>
          <w:p w14:paraId="5160A0F2" w14:textId="3ED6CDB6" w:rsidR="00E54D20" w:rsidRPr="00445CA0" w:rsidRDefault="00E54D20" w:rsidP="00E54D2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376F1F59" w14:textId="030B51B0"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0EE156E7" w14:textId="77777777" w:rsidR="00E54D20" w:rsidRPr="00B5325D" w:rsidRDefault="00E54D20" w:rsidP="00D3783A">
            <w:pPr>
              <w:contextualSpacing/>
              <w:rPr>
                <w:b w:val="0"/>
                <w:color w:val="000000"/>
                <w:sz w:val="20"/>
                <w:szCs w:val="22"/>
              </w:rPr>
            </w:pPr>
            <w:r w:rsidRPr="00B5325D">
              <w:rPr>
                <w:b w:val="0"/>
                <w:color w:val="000000"/>
                <w:sz w:val="20"/>
                <w:szCs w:val="22"/>
              </w:rPr>
              <w:t>Frozen milk products</w:t>
            </w:r>
          </w:p>
        </w:tc>
        <w:tc>
          <w:tcPr>
            <w:tcW w:w="900" w:type="dxa"/>
            <w:noWrap/>
            <w:hideMark/>
          </w:tcPr>
          <w:p w14:paraId="75CF9409"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4.0</w:t>
            </w:r>
          </w:p>
        </w:tc>
        <w:tc>
          <w:tcPr>
            <w:tcW w:w="1620" w:type="dxa"/>
          </w:tcPr>
          <w:p w14:paraId="64498462" w14:textId="2577C75B" w:rsidR="00E54D20" w:rsidRPr="00445CA0" w:rsidRDefault="00E92B38" w:rsidP="7C8E2EBF">
            <w:pPr>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7C8E2EBF">
              <w:rPr>
                <w:color w:val="000000" w:themeColor="text1"/>
                <w:sz w:val="16"/>
                <w:szCs w:val="16"/>
              </w:rPr>
              <w:t xml:space="preserve">Referred to </w:t>
            </w:r>
            <w:r w:rsidR="4FAB51A4" w:rsidRPr="7C8E2EBF">
              <w:rPr>
                <w:color w:val="000000" w:themeColor="text1"/>
                <w:sz w:val="16"/>
                <w:szCs w:val="16"/>
              </w:rPr>
              <w:t>IBPGWG</w:t>
            </w:r>
          </w:p>
        </w:tc>
      </w:tr>
      <w:tr w:rsidR="00E54D20" w:rsidRPr="00445CA0" w14:paraId="038E2C09" w14:textId="73688D53"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3D125965" w14:textId="77777777" w:rsidR="00E54D20" w:rsidRPr="00B5325D" w:rsidRDefault="00E54D20" w:rsidP="00D3783A">
            <w:pPr>
              <w:contextualSpacing/>
              <w:rPr>
                <w:b w:val="0"/>
                <w:color w:val="000000"/>
                <w:sz w:val="20"/>
                <w:szCs w:val="22"/>
              </w:rPr>
            </w:pPr>
            <w:r w:rsidRPr="00B5325D">
              <w:rPr>
                <w:b w:val="0"/>
                <w:color w:val="000000"/>
                <w:sz w:val="20"/>
                <w:szCs w:val="22"/>
              </w:rPr>
              <w:t>Chocolate and chocolate-based confectionery</w:t>
            </w:r>
          </w:p>
        </w:tc>
        <w:tc>
          <w:tcPr>
            <w:tcW w:w="900" w:type="dxa"/>
            <w:noWrap/>
            <w:hideMark/>
          </w:tcPr>
          <w:p w14:paraId="03FC5D26"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4.0</w:t>
            </w:r>
          </w:p>
        </w:tc>
        <w:tc>
          <w:tcPr>
            <w:tcW w:w="1620" w:type="dxa"/>
          </w:tcPr>
          <w:p w14:paraId="0D02A550" w14:textId="7BF552AB" w:rsidR="00E54D20" w:rsidRPr="00445CA0" w:rsidRDefault="00E92B38" w:rsidP="7C8E2EBF">
            <w:pPr>
              <w:contextualSpacing/>
              <w:jc w:val="center"/>
              <w:cnfStyle w:val="000000000000" w:firstRow="0" w:lastRow="0" w:firstColumn="0" w:lastColumn="0" w:oddVBand="0" w:evenVBand="0" w:oddHBand="0" w:evenHBand="0" w:firstRowFirstColumn="0" w:firstRowLastColumn="0" w:lastRowFirstColumn="0" w:lastRowLastColumn="0"/>
              <w:rPr>
                <w:color w:val="000000"/>
              </w:rPr>
            </w:pPr>
            <w:r w:rsidRPr="7C8E2EBF">
              <w:rPr>
                <w:color w:val="000000" w:themeColor="text1"/>
                <w:sz w:val="16"/>
                <w:szCs w:val="16"/>
              </w:rPr>
              <w:t xml:space="preserve">Referred to </w:t>
            </w:r>
            <w:r w:rsidR="69A30CE8" w:rsidRPr="7C8E2EBF">
              <w:rPr>
                <w:color w:val="000000" w:themeColor="text1"/>
                <w:sz w:val="16"/>
                <w:szCs w:val="16"/>
              </w:rPr>
              <w:t>IBPGWG</w:t>
            </w:r>
          </w:p>
        </w:tc>
      </w:tr>
      <w:tr w:rsidR="00E54D20" w:rsidRPr="00445CA0" w14:paraId="1E82FCED" w14:textId="398CA0CA"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003C15B6" w14:textId="77777777" w:rsidR="00E54D20" w:rsidRPr="00B5325D" w:rsidRDefault="00E54D20" w:rsidP="00D3783A">
            <w:pPr>
              <w:contextualSpacing/>
              <w:rPr>
                <w:b w:val="0"/>
                <w:color w:val="000000"/>
                <w:sz w:val="20"/>
                <w:szCs w:val="22"/>
              </w:rPr>
            </w:pPr>
            <w:r w:rsidRPr="00B5325D">
              <w:rPr>
                <w:b w:val="0"/>
                <w:color w:val="000000"/>
                <w:sz w:val="20"/>
                <w:szCs w:val="22"/>
              </w:rPr>
              <w:t>Sweet biscuits</w:t>
            </w:r>
          </w:p>
        </w:tc>
        <w:tc>
          <w:tcPr>
            <w:tcW w:w="900" w:type="dxa"/>
            <w:noWrap/>
            <w:hideMark/>
          </w:tcPr>
          <w:p w14:paraId="1C19A2B0"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3.4</w:t>
            </w:r>
          </w:p>
        </w:tc>
        <w:tc>
          <w:tcPr>
            <w:tcW w:w="1620" w:type="dxa"/>
          </w:tcPr>
          <w:p w14:paraId="63013E19" w14:textId="173D5ABB" w:rsidR="00E54D20" w:rsidRPr="00445CA0" w:rsidRDefault="00E92B38" w:rsidP="7C8E2EBF">
            <w:pPr>
              <w:contextualSpacing/>
              <w:jc w:val="center"/>
              <w:cnfStyle w:val="000000100000" w:firstRow="0" w:lastRow="0" w:firstColumn="0" w:lastColumn="0" w:oddVBand="0" w:evenVBand="0" w:oddHBand="1" w:evenHBand="0" w:firstRowFirstColumn="0" w:firstRowLastColumn="0" w:lastRowFirstColumn="0" w:lastRowLastColumn="0"/>
              <w:rPr>
                <w:color w:val="000000"/>
              </w:rPr>
            </w:pPr>
            <w:r w:rsidRPr="7C8E2EBF">
              <w:rPr>
                <w:color w:val="000000" w:themeColor="text1"/>
                <w:sz w:val="16"/>
                <w:szCs w:val="16"/>
              </w:rPr>
              <w:t xml:space="preserve">Referred to </w:t>
            </w:r>
            <w:r w:rsidR="1479BFAA" w:rsidRPr="7C8E2EBF">
              <w:rPr>
                <w:color w:val="000000" w:themeColor="text1"/>
                <w:sz w:val="16"/>
                <w:szCs w:val="16"/>
              </w:rPr>
              <w:t>IBPGWG</w:t>
            </w:r>
          </w:p>
        </w:tc>
      </w:tr>
      <w:tr w:rsidR="00E54D20" w:rsidRPr="00445CA0" w14:paraId="3E18F3A7" w14:textId="41B82152"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222DE0CC" w14:textId="77777777" w:rsidR="00E54D20" w:rsidRPr="00B5325D" w:rsidRDefault="00E54D20" w:rsidP="00D3783A">
            <w:pPr>
              <w:contextualSpacing/>
              <w:rPr>
                <w:b w:val="0"/>
                <w:color w:val="000000"/>
                <w:sz w:val="20"/>
                <w:szCs w:val="22"/>
              </w:rPr>
            </w:pPr>
            <w:r w:rsidRPr="00B5325D">
              <w:rPr>
                <w:b w:val="0"/>
                <w:color w:val="000000"/>
                <w:sz w:val="20"/>
                <w:szCs w:val="22"/>
              </w:rPr>
              <w:t>Butters</w:t>
            </w:r>
          </w:p>
        </w:tc>
        <w:tc>
          <w:tcPr>
            <w:tcW w:w="900" w:type="dxa"/>
            <w:noWrap/>
            <w:hideMark/>
          </w:tcPr>
          <w:p w14:paraId="5515BDA3"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3.3</w:t>
            </w:r>
          </w:p>
        </w:tc>
        <w:tc>
          <w:tcPr>
            <w:tcW w:w="1620" w:type="dxa"/>
          </w:tcPr>
          <w:p w14:paraId="4FE31144" w14:textId="77777777" w:rsidR="00E54D20" w:rsidRPr="00445CA0" w:rsidRDefault="00E54D20" w:rsidP="00E54D2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2A0DE59C" w14:textId="551A4CAC"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5E48148C" w14:textId="77777777" w:rsidR="00E54D20" w:rsidRPr="00B5325D" w:rsidRDefault="00E54D20" w:rsidP="00D3783A">
            <w:pPr>
              <w:contextualSpacing/>
              <w:rPr>
                <w:b w:val="0"/>
                <w:color w:val="000000"/>
                <w:sz w:val="20"/>
                <w:szCs w:val="22"/>
              </w:rPr>
            </w:pPr>
            <w:r w:rsidRPr="00B5325D">
              <w:rPr>
                <w:b w:val="0"/>
                <w:color w:val="000000"/>
                <w:sz w:val="20"/>
                <w:szCs w:val="22"/>
              </w:rPr>
              <w:t>Mixed dishes where poultry or feathered game is the major component</w:t>
            </w:r>
          </w:p>
        </w:tc>
        <w:tc>
          <w:tcPr>
            <w:tcW w:w="900" w:type="dxa"/>
            <w:noWrap/>
            <w:hideMark/>
          </w:tcPr>
          <w:p w14:paraId="0E49389F"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3.3</w:t>
            </w:r>
          </w:p>
        </w:tc>
        <w:tc>
          <w:tcPr>
            <w:tcW w:w="1620" w:type="dxa"/>
          </w:tcPr>
          <w:p w14:paraId="6CFC3CB2" w14:textId="085E6876" w:rsidR="00E54D20" w:rsidRPr="00445CA0" w:rsidRDefault="00E522DE"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r w:rsidRPr="00E522DE">
              <w:rPr>
                <w:rFonts w:eastAsia="Wingdings" w:cstheme="minorHAnsi"/>
                <w:color w:val="000000"/>
                <w:sz w:val="18"/>
                <w:szCs w:val="22"/>
              </w:rPr>
              <w:t>Also targeted by the IBPGWG</w:t>
            </w:r>
          </w:p>
        </w:tc>
      </w:tr>
      <w:tr w:rsidR="00E54D20" w:rsidRPr="00445CA0" w14:paraId="7277E12C" w14:textId="23B16D2E"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722E4DD6" w14:textId="77777777" w:rsidR="00E54D20" w:rsidRPr="00B5325D" w:rsidRDefault="00E54D20" w:rsidP="00D3783A">
            <w:pPr>
              <w:contextualSpacing/>
              <w:rPr>
                <w:b w:val="0"/>
                <w:color w:val="000000"/>
                <w:sz w:val="20"/>
                <w:szCs w:val="22"/>
              </w:rPr>
            </w:pPr>
            <w:r w:rsidRPr="00B5325D">
              <w:rPr>
                <w:b w:val="0"/>
                <w:color w:val="000000"/>
                <w:sz w:val="20"/>
                <w:szCs w:val="22"/>
              </w:rPr>
              <w:t xml:space="preserve">Sausages, </w:t>
            </w:r>
            <w:proofErr w:type="spellStart"/>
            <w:r w:rsidRPr="00B5325D">
              <w:rPr>
                <w:b w:val="0"/>
                <w:color w:val="000000"/>
                <w:sz w:val="20"/>
                <w:szCs w:val="22"/>
              </w:rPr>
              <w:t>frankfurts</w:t>
            </w:r>
            <w:proofErr w:type="spellEnd"/>
            <w:r w:rsidRPr="00B5325D">
              <w:rPr>
                <w:b w:val="0"/>
                <w:color w:val="000000"/>
                <w:sz w:val="20"/>
                <w:szCs w:val="22"/>
              </w:rPr>
              <w:t xml:space="preserve"> and saveloys</w:t>
            </w:r>
          </w:p>
        </w:tc>
        <w:tc>
          <w:tcPr>
            <w:tcW w:w="900" w:type="dxa"/>
            <w:noWrap/>
            <w:hideMark/>
          </w:tcPr>
          <w:p w14:paraId="756D0579"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3.2</w:t>
            </w:r>
          </w:p>
        </w:tc>
        <w:tc>
          <w:tcPr>
            <w:tcW w:w="1620" w:type="dxa"/>
          </w:tcPr>
          <w:p w14:paraId="68B64291" w14:textId="50E54627" w:rsidR="00E54D20" w:rsidRPr="00445CA0" w:rsidRDefault="00E54D20" w:rsidP="00E54D2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p>
        </w:tc>
      </w:tr>
      <w:tr w:rsidR="00E54D20" w:rsidRPr="00445CA0" w14:paraId="76061C92" w14:textId="3324B21B"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7C065CAD" w14:textId="77777777" w:rsidR="00E54D20" w:rsidRPr="00B5325D" w:rsidRDefault="00E54D20" w:rsidP="00D3783A">
            <w:pPr>
              <w:contextualSpacing/>
              <w:rPr>
                <w:b w:val="0"/>
                <w:color w:val="000000"/>
                <w:sz w:val="20"/>
                <w:szCs w:val="22"/>
              </w:rPr>
            </w:pPr>
            <w:r w:rsidRPr="00B5325D">
              <w:rPr>
                <w:b w:val="0"/>
                <w:color w:val="000000"/>
                <w:sz w:val="20"/>
                <w:szCs w:val="22"/>
              </w:rPr>
              <w:t>Potatoes</w:t>
            </w:r>
          </w:p>
        </w:tc>
        <w:tc>
          <w:tcPr>
            <w:tcW w:w="900" w:type="dxa"/>
            <w:noWrap/>
            <w:hideMark/>
          </w:tcPr>
          <w:p w14:paraId="1B1E5741"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2.6</w:t>
            </w:r>
          </w:p>
        </w:tc>
        <w:tc>
          <w:tcPr>
            <w:tcW w:w="1620" w:type="dxa"/>
          </w:tcPr>
          <w:p w14:paraId="21D19233" w14:textId="2F58FC81" w:rsidR="00E54D20" w:rsidRPr="00445CA0" w:rsidRDefault="00E522DE"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sidRPr="00E522DE">
              <w:rPr>
                <w:color w:val="000000"/>
                <w:sz w:val="18"/>
                <w:szCs w:val="22"/>
              </w:rPr>
              <w:t>Targeted by the IBPGWG</w:t>
            </w:r>
          </w:p>
        </w:tc>
      </w:tr>
      <w:tr w:rsidR="00E54D20" w:rsidRPr="00445CA0" w14:paraId="3E4D1C66" w14:textId="7FE26093"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63830393" w14:textId="6EC97466" w:rsidR="00E54D20" w:rsidRPr="00B5325D" w:rsidRDefault="00E54D20" w:rsidP="00D3783A">
            <w:pPr>
              <w:contextualSpacing/>
              <w:rPr>
                <w:b w:val="0"/>
                <w:bCs w:val="0"/>
                <w:color w:val="000000"/>
                <w:sz w:val="20"/>
                <w:szCs w:val="20"/>
              </w:rPr>
            </w:pPr>
            <w:r w:rsidRPr="3BD28443">
              <w:rPr>
                <w:b w:val="0"/>
                <w:bCs w:val="0"/>
                <w:color w:val="000000" w:themeColor="text1"/>
                <w:sz w:val="20"/>
                <w:szCs w:val="20"/>
              </w:rPr>
              <w:t xml:space="preserve">Mixed dishes where beef, sheep, </w:t>
            </w:r>
            <w:r w:rsidR="4CA85AD2" w:rsidRPr="3BD28443">
              <w:rPr>
                <w:b w:val="0"/>
                <w:bCs w:val="0"/>
                <w:color w:val="000000" w:themeColor="text1"/>
                <w:sz w:val="20"/>
                <w:szCs w:val="20"/>
              </w:rPr>
              <w:t>pork,</w:t>
            </w:r>
            <w:r w:rsidRPr="3BD28443">
              <w:rPr>
                <w:b w:val="0"/>
                <w:bCs w:val="0"/>
                <w:color w:val="000000" w:themeColor="text1"/>
                <w:sz w:val="20"/>
                <w:szCs w:val="20"/>
              </w:rPr>
              <w:t xml:space="preserve"> or mammalian game is the major component</w:t>
            </w:r>
          </w:p>
        </w:tc>
        <w:tc>
          <w:tcPr>
            <w:tcW w:w="900" w:type="dxa"/>
            <w:noWrap/>
            <w:hideMark/>
          </w:tcPr>
          <w:p w14:paraId="342D0607"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2.5</w:t>
            </w:r>
          </w:p>
        </w:tc>
        <w:tc>
          <w:tcPr>
            <w:tcW w:w="1620" w:type="dxa"/>
          </w:tcPr>
          <w:p w14:paraId="2A9FF47E" w14:textId="2141CA7B" w:rsidR="00E54D20" w:rsidRPr="00445CA0" w:rsidRDefault="00E522DE" w:rsidP="00E54D2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Wingdings" w:eastAsia="Wingdings" w:hAnsi="Wingdings" w:cs="Wingdings"/>
                <w:color w:val="000000"/>
                <w:sz w:val="22"/>
                <w:szCs w:val="22"/>
              </w:rPr>
              <w:t></w:t>
            </w:r>
            <w:r w:rsidRPr="00E522DE">
              <w:rPr>
                <w:rFonts w:eastAsia="Wingdings" w:cstheme="minorHAnsi"/>
                <w:color w:val="000000"/>
                <w:sz w:val="18"/>
                <w:szCs w:val="22"/>
              </w:rPr>
              <w:t>Also targeted by the IBPGWG</w:t>
            </w:r>
          </w:p>
        </w:tc>
      </w:tr>
      <w:tr w:rsidR="00E54D20" w:rsidRPr="00445CA0" w14:paraId="0B46B737" w14:textId="557360CF"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2F475770" w14:textId="77777777" w:rsidR="00E54D20" w:rsidRPr="00B5325D" w:rsidRDefault="00E54D20" w:rsidP="00D3783A">
            <w:pPr>
              <w:contextualSpacing/>
              <w:rPr>
                <w:b w:val="0"/>
                <w:color w:val="000000"/>
                <w:sz w:val="20"/>
                <w:szCs w:val="22"/>
              </w:rPr>
            </w:pPr>
            <w:r w:rsidRPr="00B5325D">
              <w:rPr>
                <w:b w:val="0"/>
                <w:color w:val="000000"/>
                <w:sz w:val="20"/>
                <w:szCs w:val="22"/>
              </w:rPr>
              <w:t>Poultry and feathered game</w:t>
            </w:r>
          </w:p>
        </w:tc>
        <w:tc>
          <w:tcPr>
            <w:tcW w:w="900" w:type="dxa"/>
            <w:noWrap/>
            <w:hideMark/>
          </w:tcPr>
          <w:p w14:paraId="5EF22A1E"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2.3</w:t>
            </w:r>
          </w:p>
        </w:tc>
        <w:tc>
          <w:tcPr>
            <w:tcW w:w="1620" w:type="dxa"/>
          </w:tcPr>
          <w:p w14:paraId="4655D9A3" w14:textId="77777777" w:rsidR="00E54D20" w:rsidRPr="00445CA0" w:rsidRDefault="00E54D20"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027FF659" w14:textId="668B2664"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32EF6530" w14:textId="77777777" w:rsidR="00E54D20" w:rsidRPr="00B5325D" w:rsidRDefault="00E54D20" w:rsidP="00D3783A">
            <w:pPr>
              <w:contextualSpacing/>
              <w:rPr>
                <w:b w:val="0"/>
                <w:color w:val="000000"/>
                <w:sz w:val="20"/>
                <w:szCs w:val="22"/>
              </w:rPr>
            </w:pPr>
            <w:r w:rsidRPr="00B5325D">
              <w:rPr>
                <w:b w:val="0"/>
                <w:color w:val="000000"/>
                <w:sz w:val="20"/>
                <w:szCs w:val="22"/>
              </w:rPr>
              <w:t>Coffee and coffee substitutes</w:t>
            </w:r>
          </w:p>
        </w:tc>
        <w:tc>
          <w:tcPr>
            <w:tcW w:w="900" w:type="dxa"/>
            <w:noWrap/>
            <w:hideMark/>
          </w:tcPr>
          <w:p w14:paraId="2509C2B9"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2.0</w:t>
            </w:r>
          </w:p>
        </w:tc>
        <w:tc>
          <w:tcPr>
            <w:tcW w:w="1620" w:type="dxa"/>
          </w:tcPr>
          <w:p w14:paraId="034CC4EA" w14:textId="77777777" w:rsidR="00E54D20" w:rsidRPr="00445CA0" w:rsidRDefault="00E54D20" w:rsidP="00E54D2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56700665" w14:textId="332AFEC7"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021A5E39" w14:textId="77777777" w:rsidR="00E54D20" w:rsidRPr="00B5325D" w:rsidRDefault="00E54D20" w:rsidP="00D3783A">
            <w:pPr>
              <w:contextualSpacing/>
              <w:rPr>
                <w:b w:val="0"/>
                <w:color w:val="000000"/>
                <w:sz w:val="20"/>
                <w:szCs w:val="22"/>
              </w:rPr>
            </w:pPr>
            <w:r w:rsidRPr="00B5325D">
              <w:rPr>
                <w:b w:val="0"/>
                <w:color w:val="000000"/>
                <w:sz w:val="20"/>
                <w:szCs w:val="22"/>
              </w:rPr>
              <w:t>Processed meat</w:t>
            </w:r>
          </w:p>
        </w:tc>
        <w:tc>
          <w:tcPr>
            <w:tcW w:w="900" w:type="dxa"/>
            <w:noWrap/>
            <w:hideMark/>
          </w:tcPr>
          <w:p w14:paraId="489D526D"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1.8</w:t>
            </w:r>
          </w:p>
        </w:tc>
        <w:tc>
          <w:tcPr>
            <w:tcW w:w="1620" w:type="dxa"/>
          </w:tcPr>
          <w:p w14:paraId="137CF3DC" w14:textId="1A6BD2B2" w:rsidR="00E54D20" w:rsidRPr="00445CA0" w:rsidRDefault="00E54D20"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163CD500" w14:textId="3BA4080D"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22B22AFB" w14:textId="77777777" w:rsidR="00E54D20" w:rsidRPr="00B5325D" w:rsidRDefault="00E54D20" w:rsidP="00D3783A">
            <w:pPr>
              <w:contextualSpacing/>
              <w:rPr>
                <w:b w:val="0"/>
                <w:color w:val="000000"/>
                <w:sz w:val="20"/>
                <w:szCs w:val="22"/>
              </w:rPr>
            </w:pPr>
            <w:r w:rsidRPr="00B5325D">
              <w:rPr>
                <w:b w:val="0"/>
                <w:color w:val="000000"/>
                <w:sz w:val="20"/>
                <w:szCs w:val="22"/>
              </w:rPr>
              <w:t>Dishes where vegetable is the major component</w:t>
            </w:r>
          </w:p>
        </w:tc>
        <w:tc>
          <w:tcPr>
            <w:tcW w:w="900" w:type="dxa"/>
            <w:noWrap/>
            <w:hideMark/>
          </w:tcPr>
          <w:p w14:paraId="2827B44E"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1.8</w:t>
            </w:r>
          </w:p>
        </w:tc>
        <w:tc>
          <w:tcPr>
            <w:tcW w:w="1620" w:type="dxa"/>
          </w:tcPr>
          <w:p w14:paraId="1ED5BF5B" w14:textId="77777777" w:rsidR="00E54D20" w:rsidRPr="00445CA0" w:rsidRDefault="00E54D20" w:rsidP="00E54D2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765EC659" w14:textId="091AB75D"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36C43179" w14:textId="77777777" w:rsidR="00E54D20" w:rsidRPr="00B5325D" w:rsidRDefault="00E54D20" w:rsidP="00D3783A">
            <w:pPr>
              <w:contextualSpacing/>
              <w:rPr>
                <w:b w:val="0"/>
                <w:color w:val="000000"/>
                <w:sz w:val="20"/>
                <w:szCs w:val="22"/>
              </w:rPr>
            </w:pPr>
            <w:r w:rsidRPr="00B5325D">
              <w:rPr>
                <w:b w:val="0"/>
                <w:color w:val="000000"/>
                <w:sz w:val="20"/>
                <w:szCs w:val="22"/>
              </w:rPr>
              <w:t>Flavoured milks and milkshakes</w:t>
            </w:r>
          </w:p>
        </w:tc>
        <w:tc>
          <w:tcPr>
            <w:tcW w:w="900" w:type="dxa"/>
            <w:noWrap/>
            <w:hideMark/>
          </w:tcPr>
          <w:p w14:paraId="1FAACBF2"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1.7</w:t>
            </w:r>
          </w:p>
        </w:tc>
        <w:tc>
          <w:tcPr>
            <w:tcW w:w="1620" w:type="dxa"/>
          </w:tcPr>
          <w:p w14:paraId="60F93231" w14:textId="77777777" w:rsidR="00E54D20" w:rsidRPr="00445CA0" w:rsidRDefault="00E54D20"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6772869C" w14:textId="53075F9C"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2CEC3074" w14:textId="77777777" w:rsidR="00E54D20" w:rsidRPr="00B5325D" w:rsidRDefault="00E54D20" w:rsidP="00D3783A">
            <w:pPr>
              <w:contextualSpacing/>
              <w:rPr>
                <w:b w:val="0"/>
                <w:color w:val="000000"/>
                <w:sz w:val="20"/>
                <w:szCs w:val="22"/>
              </w:rPr>
            </w:pPr>
            <w:r w:rsidRPr="00B5325D">
              <w:rPr>
                <w:b w:val="0"/>
                <w:color w:val="000000"/>
                <w:sz w:val="20"/>
                <w:szCs w:val="22"/>
              </w:rPr>
              <w:t>Margarine and table spreads</w:t>
            </w:r>
          </w:p>
        </w:tc>
        <w:tc>
          <w:tcPr>
            <w:tcW w:w="900" w:type="dxa"/>
            <w:noWrap/>
            <w:hideMark/>
          </w:tcPr>
          <w:p w14:paraId="7C0BB02C"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1.4</w:t>
            </w:r>
          </w:p>
        </w:tc>
        <w:tc>
          <w:tcPr>
            <w:tcW w:w="1620" w:type="dxa"/>
          </w:tcPr>
          <w:p w14:paraId="5CEBCD65" w14:textId="77777777" w:rsidR="00E54D20" w:rsidRPr="00445CA0" w:rsidRDefault="00E54D20" w:rsidP="00E54D2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6CA9A40F" w14:textId="5D3380D8"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2FA30DFA" w14:textId="77777777" w:rsidR="00E54D20" w:rsidRPr="00B5325D" w:rsidRDefault="00E54D20" w:rsidP="00D3783A">
            <w:pPr>
              <w:contextualSpacing/>
              <w:rPr>
                <w:b w:val="0"/>
                <w:color w:val="000000"/>
                <w:sz w:val="20"/>
                <w:szCs w:val="22"/>
              </w:rPr>
            </w:pPr>
            <w:r w:rsidRPr="00B5325D">
              <w:rPr>
                <w:b w:val="0"/>
                <w:color w:val="000000"/>
                <w:sz w:val="20"/>
                <w:szCs w:val="22"/>
              </w:rPr>
              <w:t>Yoghurt</w:t>
            </w:r>
          </w:p>
        </w:tc>
        <w:tc>
          <w:tcPr>
            <w:tcW w:w="900" w:type="dxa"/>
            <w:noWrap/>
            <w:hideMark/>
          </w:tcPr>
          <w:p w14:paraId="1D5BFA9A"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1.4</w:t>
            </w:r>
          </w:p>
        </w:tc>
        <w:tc>
          <w:tcPr>
            <w:tcW w:w="1620" w:type="dxa"/>
          </w:tcPr>
          <w:p w14:paraId="1BE2C08D" w14:textId="77777777" w:rsidR="00E54D20" w:rsidRPr="00445CA0" w:rsidRDefault="00E54D20"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4DB21780" w14:textId="6501B225"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4307C38B" w14:textId="77777777" w:rsidR="00E54D20" w:rsidRPr="00B5325D" w:rsidRDefault="00E54D20" w:rsidP="00D3783A">
            <w:pPr>
              <w:contextualSpacing/>
              <w:rPr>
                <w:b w:val="0"/>
                <w:color w:val="000000"/>
                <w:sz w:val="20"/>
                <w:szCs w:val="22"/>
              </w:rPr>
            </w:pPr>
            <w:r w:rsidRPr="00B5325D">
              <w:rPr>
                <w:b w:val="0"/>
                <w:color w:val="000000"/>
                <w:sz w:val="20"/>
                <w:szCs w:val="22"/>
              </w:rPr>
              <w:t>Nuts and nut products</w:t>
            </w:r>
          </w:p>
        </w:tc>
        <w:tc>
          <w:tcPr>
            <w:tcW w:w="900" w:type="dxa"/>
            <w:noWrap/>
            <w:hideMark/>
          </w:tcPr>
          <w:p w14:paraId="1BE57B26"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1.4</w:t>
            </w:r>
          </w:p>
        </w:tc>
        <w:tc>
          <w:tcPr>
            <w:tcW w:w="1620" w:type="dxa"/>
          </w:tcPr>
          <w:p w14:paraId="0D1C15E1" w14:textId="77777777" w:rsidR="00E54D20" w:rsidRPr="00445CA0" w:rsidRDefault="00E54D20" w:rsidP="00E54D2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1FA959BA" w14:textId="09800373"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443C7A44" w14:textId="77777777" w:rsidR="00E54D20" w:rsidRPr="00B5325D" w:rsidRDefault="00E54D20" w:rsidP="00D3783A">
            <w:pPr>
              <w:contextualSpacing/>
              <w:rPr>
                <w:b w:val="0"/>
                <w:color w:val="000000"/>
                <w:sz w:val="20"/>
                <w:szCs w:val="22"/>
              </w:rPr>
            </w:pPr>
            <w:r w:rsidRPr="00B5325D">
              <w:rPr>
                <w:b w:val="0"/>
                <w:color w:val="000000"/>
                <w:sz w:val="20"/>
                <w:szCs w:val="22"/>
              </w:rPr>
              <w:t>Savoury biscuits</w:t>
            </w:r>
          </w:p>
        </w:tc>
        <w:tc>
          <w:tcPr>
            <w:tcW w:w="900" w:type="dxa"/>
            <w:noWrap/>
            <w:hideMark/>
          </w:tcPr>
          <w:p w14:paraId="5F2B6AB4"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1.2</w:t>
            </w:r>
          </w:p>
        </w:tc>
        <w:tc>
          <w:tcPr>
            <w:tcW w:w="1620" w:type="dxa"/>
          </w:tcPr>
          <w:p w14:paraId="0F111AC9" w14:textId="77777777" w:rsidR="00E54D20" w:rsidRPr="00445CA0" w:rsidRDefault="00E54D20"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r w:rsidR="00E54D20" w:rsidRPr="00445CA0" w14:paraId="0895C9EC" w14:textId="1E3D59DA" w:rsidTr="3BD28443">
        <w:trPr>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3EE40259" w14:textId="77777777" w:rsidR="00E54D20" w:rsidRPr="00B5325D" w:rsidRDefault="00E54D20" w:rsidP="00D3783A">
            <w:pPr>
              <w:contextualSpacing/>
              <w:rPr>
                <w:b w:val="0"/>
                <w:color w:val="000000"/>
                <w:sz w:val="20"/>
                <w:szCs w:val="22"/>
              </w:rPr>
            </w:pPr>
            <w:r w:rsidRPr="00B5325D">
              <w:rPr>
                <w:b w:val="0"/>
                <w:color w:val="000000"/>
                <w:sz w:val="20"/>
                <w:szCs w:val="22"/>
              </w:rPr>
              <w:t>Cream</w:t>
            </w:r>
          </w:p>
        </w:tc>
        <w:tc>
          <w:tcPr>
            <w:tcW w:w="900" w:type="dxa"/>
            <w:noWrap/>
            <w:hideMark/>
          </w:tcPr>
          <w:p w14:paraId="4C3AD8A3" w14:textId="77777777" w:rsidR="00E54D20" w:rsidRPr="00B5325D" w:rsidRDefault="00E54D20" w:rsidP="00D3783A">
            <w:pPr>
              <w:contextualSpacing/>
              <w:jc w:val="right"/>
              <w:cnfStyle w:val="000000000000" w:firstRow="0" w:lastRow="0" w:firstColumn="0" w:lastColumn="0" w:oddVBand="0" w:evenVBand="0" w:oddHBand="0" w:evenHBand="0" w:firstRowFirstColumn="0" w:firstRowLastColumn="0" w:lastRowFirstColumn="0" w:lastRowLastColumn="0"/>
              <w:rPr>
                <w:color w:val="000000"/>
                <w:sz w:val="20"/>
                <w:szCs w:val="22"/>
              </w:rPr>
            </w:pPr>
            <w:r w:rsidRPr="00B5325D">
              <w:rPr>
                <w:color w:val="000000"/>
                <w:sz w:val="20"/>
                <w:szCs w:val="22"/>
              </w:rPr>
              <w:t>1.2</w:t>
            </w:r>
          </w:p>
        </w:tc>
        <w:tc>
          <w:tcPr>
            <w:tcW w:w="1620" w:type="dxa"/>
          </w:tcPr>
          <w:p w14:paraId="32ACC8F4" w14:textId="77777777" w:rsidR="00E54D20" w:rsidRPr="00445CA0" w:rsidRDefault="00E54D20" w:rsidP="00E54D20">
            <w:pPr>
              <w:contextualSpacing/>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r>
      <w:tr w:rsidR="00E54D20" w:rsidRPr="00445CA0" w14:paraId="7D20546C" w14:textId="29A5FA6E" w:rsidTr="3BD284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7" w:type="dxa"/>
            <w:noWrap/>
            <w:hideMark/>
          </w:tcPr>
          <w:p w14:paraId="75701B01" w14:textId="77777777" w:rsidR="00E54D20" w:rsidRPr="00B5325D" w:rsidRDefault="00E54D20" w:rsidP="00D3783A">
            <w:pPr>
              <w:contextualSpacing/>
              <w:rPr>
                <w:b w:val="0"/>
                <w:color w:val="000000"/>
                <w:sz w:val="20"/>
                <w:szCs w:val="22"/>
              </w:rPr>
            </w:pPr>
            <w:r w:rsidRPr="00B5325D">
              <w:rPr>
                <w:b w:val="0"/>
                <w:color w:val="000000"/>
                <w:sz w:val="20"/>
                <w:szCs w:val="22"/>
              </w:rPr>
              <w:t>Regular breads, and bread rolls (plain/unfilled/</w:t>
            </w:r>
            <w:proofErr w:type="spellStart"/>
            <w:r w:rsidRPr="00B5325D">
              <w:rPr>
                <w:b w:val="0"/>
                <w:color w:val="000000"/>
                <w:sz w:val="20"/>
                <w:szCs w:val="22"/>
              </w:rPr>
              <w:t>untopped</w:t>
            </w:r>
            <w:proofErr w:type="spellEnd"/>
            <w:r w:rsidRPr="00B5325D">
              <w:rPr>
                <w:b w:val="0"/>
                <w:color w:val="000000"/>
                <w:sz w:val="20"/>
                <w:szCs w:val="22"/>
              </w:rPr>
              <w:t xml:space="preserve"> varieties)</w:t>
            </w:r>
          </w:p>
        </w:tc>
        <w:tc>
          <w:tcPr>
            <w:tcW w:w="900" w:type="dxa"/>
            <w:noWrap/>
            <w:hideMark/>
          </w:tcPr>
          <w:p w14:paraId="68C8DF03" w14:textId="77777777" w:rsidR="00E54D20" w:rsidRPr="00B5325D" w:rsidRDefault="00E54D20" w:rsidP="00D3783A">
            <w:pPr>
              <w:contextualSpacing/>
              <w:jc w:val="right"/>
              <w:cnfStyle w:val="000000100000" w:firstRow="0" w:lastRow="0" w:firstColumn="0" w:lastColumn="0" w:oddVBand="0" w:evenVBand="0" w:oddHBand="1" w:evenHBand="0" w:firstRowFirstColumn="0" w:firstRowLastColumn="0" w:lastRowFirstColumn="0" w:lastRowLastColumn="0"/>
              <w:rPr>
                <w:color w:val="000000"/>
                <w:sz w:val="20"/>
                <w:szCs w:val="22"/>
              </w:rPr>
            </w:pPr>
            <w:r w:rsidRPr="00B5325D">
              <w:rPr>
                <w:color w:val="000000"/>
                <w:sz w:val="20"/>
                <w:szCs w:val="22"/>
              </w:rPr>
              <w:t>1.1</w:t>
            </w:r>
          </w:p>
        </w:tc>
        <w:tc>
          <w:tcPr>
            <w:tcW w:w="1620" w:type="dxa"/>
          </w:tcPr>
          <w:p w14:paraId="5F8513DE" w14:textId="77777777" w:rsidR="00E54D20" w:rsidRPr="00445CA0" w:rsidRDefault="00E54D20" w:rsidP="00E54D20">
            <w:pPr>
              <w:contextualSpacing/>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1F06E973" w14:textId="1E0F8E2C" w:rsidR="00AE496B" w:rsidRPr="00505B99" w:rsidRDefault="00606C7D" w:rsidP="00505B99">
      <w:pPr>
        <w:autoSpaceDE w:val="0"/>
        <w:autoSpaceDN w:val="0"/>
        <w:adjustRightInd w:val="0"/>
        <w:spacing w:before="120"/>
        <w:rPr>
          <w:i/>
          <w:iCs/>
          <w:sz w:val="22"/>
          <w:szCs w:val="22"/>
        </w:rPr>
      </w:pPr>
      <w:r w:rsidRPr="00F9777F">
        <w:rPr>
          <w:i/>
          <w:iCs/>
          <w:sz w:val="22"/>
          <w:szCs w:val="22"/>
        </w:rPr>
        <w:t>Source: NNPAS 2011</w:t>
      </w:r>
      <w:r w:rsidR="00B4019E">
        <w:rPr>
          <w:i/>
          <w:iCs/>
          <w:sz w:val="22"/>
          <w:szCs w:val="22"/>
        </w:rPr>
        <w:t>–</w:t>
      </w:r>
      <w:r w:rsidRPr="00F9777F">
        <w:rPr>
          <w:i/>
          <w:iCs/>
          <w:sz w:val="22"/>
          <w:szCs w:val="22"/>
        </w:rPr>
        <w:t>12</w:t>
      </w:r>
    </w:p>
    <w:p w14:paraId="36AE1315" w14:textId="77777777" w:rsidR="00AE496B" w:rsidRDefault="00AE496B">
      <w:pPr>
        <w:rPr>
          <w:rFonts w:asciiTheme="majorHAnsi" w:eastAsiaTheme="majorEastAsia" w:hAnsiTheme="majorHAnsi" w:cs="Arial"/>
          <w:b/>
          <w:bCs/>
          <w:kern w:val="32"/>
          <w:sz w:val="32"/>
          <w:szCs w:val="32"/>
        </w:rPr>
      </w:pPr>
      <w:r>
        <w:br w:type="page"/>
      </w:r>
    </w:p>
    <w:p w14:paraId="0AA68819" w14:textId="1E743998" w:rsidR="00674D0A" w:rsidRDefault="00994436" w:rsidP="00795E9E">
      <w:pPr>
        <w:pStyle w:val="Heading1"/>
        <w:spacing w:before="0"/>
      </w:pPr>
      <w:bookmarkStart w:id="19" w:name="_Toc109294240"/>
      <w:r>
        <w:lastRenderedPageBreak/>
        <w:t>6</w:t>
      </w:r>
      <w:r w:rsidR="00674D0A">
        <w:t>. Determi</w:t>
      </w:r>
      <w:r w:rsidR="00F002E9">
        <w:t>ning serving size r</w:t>
      </w:r>
      <w:r w:rsidR="00674D0A">
        <w:t>ecommendations</w:t>
      </w:r>
      <w:bookmarkEnd w:id="19"/>
    </w:p>
    <w:p w14:paraId="608D8EEA" w14:textId="7B5C9BBC" w:rsidR="000364DC" w:rsidRPr="00994436" w:rsidRDefault="00994436" w:rsidP="00674D0A">
      <w:pPr>
        <w:pStyle w:val="Heading2"/>
        <w:rPr>
          <w:sz w:val="24"/>
        </w:rPr>
      </w:pPr>
      <w:bookmarkStart w:id="20" w:name="_Toc109294241"/>
      <w:r w:rsidRPr="00994436">
        <w:rPr>
          <w:sz w:val="24"/>
        </w:rPr>
        <w:t>6</w:t>
      </w:r>
      <w:r w:rsidR="00674D0A" w:rsidRPr="00994436">
        <w:rPr>
          <w:sz w:val="24"/>
        </w:rPr>
        <w:t xml:space="preserve">.1 </w:t>
      </w:r>
      <w:r w:rsidR="002E0B70" w:rsidRPr="00994436">
        <w:rPr>
          <w:sz w:val="24"/>
        </w:rPr>
        <w:t>Overall principles</w:t>
      </w:r>
      <w:bookmarkEnd w:id="20"/>
    </w:p>
    <w:p w14:paraId="60603004" w14:textId="359924A1" w:rsidR="004F5DB5" w:rsidRPr="00B5325D" w:rsidRDefault="002E0B70" w:rsidP="00FD91A8">
      <w:pPr>
        <w:autoSpaceDE w:val="0"/>
        <w:autoSpaceDN w:val="0"/>
        <w:adjustRightInd w:val="0"/>
        <w:spacing w:after="240"/>
        <w:rPr>
          <w:rFonts w:cstheme="minorBidi"/>
          <w:sz w:val="22"/>
          <w:szCs w:val="22"/>
        </w:rPr>
      </w:pPr>
      <w:r w:rsidRPr="05260A5A">
        <w:rPr>
          <w:rFonts w:cstheme="minorBidi"/>
          <w:sz w:val="22"/>
          <w:szCs w:val="22"/>
        </w:rPr>
        <w:t xml:space="preserve">The </w:t>
      </w:r>
      <w:r w:rsidRPr="001E089F">
        <w:rPr>
          <w:rFonts w:cstheme="minorBidi"/>
          <w:bCs/>
          <w:sz w:val="22"/>
          <w:szCs w:val="22"/>
        </w:rPr>
        <w:t>IBPGWG</w:t>
      </w:r>
      <w:r w:rsidRPr="05260A5A">
        <w:rPr>
          <w:rFonts w:cstheme="minorBidi"/>
          <w:sz w:val="22"/>
          <w:szCs w:val="22"/>
        </w:rPr>
        <w:t xml:space="preserve"> </w:t>
      </w:r>
      <w:r w:rsidR="3009277E" w:rsidRPr="05260A5A">
        <w:rPr>
          <w:rFonts w:cstheme="minorBidi"/>
          <w:sz w:val="22"/>
          <w:szCs w:val="22"/>
        </w:rPr>
        <w:t>considered</w:t>
      </w:r>
      <w:r w:rsidRPr="05260A5A">
        <w:rPr>
          <w:rFonts w:cstheme="minorBidi"/>
          <w:sz w:val="22"/>
          <w:szCs w:val="22"/>
        </w:rPr>
        <w:t xml:space="preserve"> the following principles when determining the serving size recommendations</w:t>
      </w:r>
      <w:r w:rsidR="00FF0CF5" w:rsidRPr="05260A5A">
        <w:rPr>
          <w:rFonts w:cstheme="minorBidi"/>
          <w:sz w:val="22"/>
          <w:szCs w:val="22"/>
        </w:rPr>
        <w:t>:</w:t>
      </w:r>
    </w:p>
    <w:p w14:paraId="6F07EEA3" w14:textId="1BC90841" w:rsidR="004F5DB5" w:rsidRPr="009539A6" w:rsidRDefault="004F5DB5" w:rsidP="4F4A73DF">
      <w:pPr>
        <w:pStyle w:val="ListParagraph"/>
        <w:numPr>
          <w:ilvl w:val="0"/>
          <w:numId w:val="35"/>
        </w:numPr>
        <w:spacing w:after="200" w:line="276" w:lineRule="auto"/>
        <w:rPr>
          <w:rFonts w:cstheme="minorBidi"/>
          <w:b/>
          <w:bCs/>
          <w:sz w:val="22"/>
          <w:szCs w:val="22"/>
        </w:rPr>
      </w:pPr>
      <w:r w:rsidRPr="4F4A73DF">
        <w:rPr>
          <w:rFonts w:cstheme="minorBidi"/>
          <w:b/>
          <w:bCs/>
          <w:sz w:val="22"/>
          <w:szCs w:val="22"/>
        </w:rPr>
        <w:t>Align with the 2013 Australian Dietary Guidelines (ADG)</w:t>
      </w:r>
      <w:r w:rsidR="008D65D9" w:rsidRPr="00AE7AFD">
        <w:rPr>
          <w:rStyle w:val="FootnoteReference"/>
          <w:rFonts w:cstheme="minorBidi"/>
          <w:b/>
          <w:bCs/>
          <w:sz w:val="22"/>
          <w:szCs w:val="22"/>
        </w:rPr>
        <w:footnoteReference w:id="4"/>
      </w:r>
      <w:r w:rsidRPr="4F4A73DF">
        <w:rPr>
          <w:rFonts w:cstheme="minorBidi"/>
          <w:b/>
          <w:bCs/>
          <w:sz w:val="22"/>
          <w:szCs w:val="22"/>
        </w:rPr>
        <w:t xml:space="preserve">, </w:t>
      </w:r>
      <w:r w:rsidRPr="4F4A73DF">
        <w:rPr>
          <w:rFonts w:cstheme="minorBidi"/>
          <w:sz w:val="22"/>
          <w:szCs w:val="22"/>
        </w:rPr>
        <w:t xml:space="preserve">including concepts of </w:t>
      </w:r>
      <w:r w:rsidR="00C57E80" w:rsidRPr="4F4A73DF">
        <w:rPr>
          <w:rFonts w:cstheme="minorBidi"/>
          <w:sz w:val="22"/>
          <w:szCs w:val="22"/>
        </w:rPr>
        <w:t>FF</w:t>
      </w:r>
      <w:r w:rsidR="001E089F" w:rsidRPr="4F4A73DF">
        <w:rPr>
          <w:rFonts w:cstheme="minorBidi"/>
          <w:sz w:val="22"/>
          <w:szCs w:val="22"/>
        </w:rPr>
        <w:t>G</w:t>
      </w:r>
      <w:r w:rsidR="00C57E80" w:rsidRPr="4F4A73DF">
        <w:rPr>
          <w:rFonts w:cstheme="minorBidi"/>
          <w:sz w:val="22"/>
          <w:szCs w:val="22"/>
        </w:rPr>
        <w:t xml:space="preserve"> </w:t>
      </w:r>
      <w:r w:rsidRPr="4F4A73DF">
        <w:rPr>
          <w:rFonts w:cstheme="minorBidi"/>
          <w:sz w:val="22"/>
          <w:szCs w:val="22"/>
        </w:rPr>
        <w:t>/discretionary</w:t>
      </w:r>
      <w:r w:rsidR="00FF0CF5" w:rsidRPr="4F4A73DF">
        <w:rPr>
          <w:rFonts w:cstheme="minorBidi"/>
          <w:sz w:val="22"/>
          <w:szCs w:val="22"/>
        </w:rPr>
        <w:t xml:space="preserve"> </w:t>
      </w:r>
      <w:r w:rsidR="00C57E80" w:rsidRPr="4F4A73DF">
        <w:rPr>
          <w:rFonts w:cstheme="minorBidi"/>
          <w:sz w:val="22"/>
          <w:szCs w:val="22"/>
        </w:rPr>
        <w:t>foods</w:t>
      </w:r>
      <w:r w:rsidRPr="4F4A73DF">
        <w:rPr>
          <w:rFonts w:cstheme="minorBidi"/>
          <w:sz w:val="22"/>
          <w:szCs w:val="22"/>
        </w:rPr>
        <w:t xml:space="preserve">, </w:t>
      </w:r>
      <w:r w:rsidRPr="003F2B7E">
        <w:rPr>
          <w:rFonts w:cstheme="minorBidi"/>
          <w:sz w:val="22"/>
          <w:szCs w:val="22"/>
        </w:rPr>
        <w:t xml:space="preserve">and </w:t>
      </w:r>
      <w:r w:rsidR="00FF0CF5" w:rsidRPr="003F2B7E">
        <w:rPr>
          <w:rFonts w:cstheme="minorBidi"/>
          <w:sz w:val="22"/>
          <w:szCs w:val="22"/>
        </w:rPr>
        <w:t xml:space="preserve">representation of </w:t>
      </w:r>
      <w:r w:rsidR="00BC58E6" w:rsidRPr="003F2B7E">
        <w:rPr>
          <w:rFonts w:cstheme="minorBidi"/>
          <w:sz w:val="22"/>
          <w:szCs w:val="22"/>
        </w:rPr>
        <w:t>a discretionary</w:t>
      </w:r>
      <w:r w:rsidRPr="003F2B7E">
        <w:rPr>
          <w:rFonts w:cstheme="minorBidi"/>
          <w:sz w:val="22"/>
          <w:szCs w:val="22"/>
        </w:rPr>
        <w:t xml:space="preserve"> serve (600kJ)</w:t>
      </w:r>
      <w:r w:rsidR="003F2B7E" w:rsidRPr="003F2B7E">
        <w:rPr>
          <w:rFonts w:cstheme="minorBidi"/>
          <w:sz w:val="22"/>
          <w:szCs w:val="22"/>
        </w:rPr>
        <w:t xml:space="preserve"> (</w:t>
      </w:r>
      <w:r w:rsidR="003F2B7E">
        <w:rPr>
          <w:rFonts w:cstheme="minorBidi"/>
          <w:sz w:val="22"/>
          <w:szCs w:val="22"/>
        </w:rPr>
        <w:t xml:space="preserve">as outlined in the </w:t>
      </w:r>
      <w:r w:rsidR="003F2B7E" w:rsidRPr="00F826E2">
        <w:rPr>
          <w:rFonts w:cstheme="minorBidi"/>
          <w:i/>
          <w:iCs/>
          <w:sz w:val="22"/>
          <w:szCs w:val="22"/>
        </w:rPr>
        <w:t>Eat for Health Educator Guide</w:t>
      </w:r>
      <w:r w:rsidR="003F2B7E">
        <w:rPr>
          <w:rFonts w:cstheme="minorBidi"/>
          <w:sz w:val="22"/>
          <w:szCs w:val="22"/>
        </w:rPr>
        <w:t>)</w:t>
      </w:r>
    </w:p>
    <w:p w14:paraId="1E5AD615" w14:textId="70AC423C" w:rsidR="004F5DB5" w:rsidRPr="00B5325D" w:rsidRDefault="004F5DB5" w:rsidP="0078360F">
      <w:pPr>
        <w:pStyle w:val="ListParagraph"/>
        <w:numPr>
          <w:ilvl w:val="0"/>
          <w:numId w:val="35"/>
        </w:numPr>
        <w:spacing w:after="200" w:line="276" w:lineRule="auto"/>
        <w:rPr>
          <w:rFonts w:cstheme="minorHAnsi"/>
          <w:b/>
          <w:bCs/>
          <w:sz w:val="22"/>
          <w:szCs w:val="22"/>
        </w:rPr>
      </w:pPr>
      <w:r w:rsidRPr="00B5325D">
        <w:rPr>
          <w:rFonts w:cstheme="minorHAnsi"/>
          <w:b/>
          <w:bCs/>
          <w:sz w:val="22"/>
          <w:szCs w:val="22"/>
        </w:rPr>
        <w:t xml:space="preserve">Support the overall objective of the Healthy Food Partnership </w:t>
      </w:r>
      <w:r w:rsidRPr="00B5325D">
        <w:rPr>
          <w:rFonts w:cstheme="minorHAnsi"/>
          <w:bCs/>
          <w:sz w:val="22"/>
          <w:szCs w:val="22"/>
        </w:rPr>
        <w:t>to improve the dietary habits of Australians by making healthier food choices easier and more accessible, and by raising awareness of better food choices and portion sizes</w:t>
      </w:r>
    </w:p>
    <w:p w14:paraId="1DD3A8A4" w14:textId="57C20CDB" w:rsidR="004F5DB5" w:rsidRPr="00B5325D" w:rsidRDefault="004F5DB5" w:rsidP="27851470">
      <w:pPr>
        <w:pStyle w:val="ListParagraph"/>
        <w:numPr>
          <w:ilvl w:val="0"/>
          <w:numId w:val="35"/>
        </w:numPr>
        <w:spacing w:after="200" w:line="276" w:lineRule="auto"/>
        <w:rPr>
          <w:rFonts w:cstheme="minorBidi"/>
          <w:b/>
          <w:bCs/>
          <w:sz w:val="22"/>
          <w:szCs w:val="22"/>
        </w:rPr>
      </w:pPr>
      <w:r w:rsidRPr="27851470">
        <w:rPr>
          <w:rFonts w:cstheme="minorBidi"/>
          <w:b/>
          <w:bCs/>
          <w:sz w:val="22"/>
          <w:szCs w:val="22"/>
        </w:rPr>
        <w:t xml:space="preserve">Support delivery of the National </w:t>
      </w:r>
      <w:r w:rsidR="006325E8" w:rsidRPr="27851470">
        <w:rPr>
          <w:rFonts w:cstheme="minorBidi"/>
          <w:b/>
          <w:bCs/>
          <w:sz w:val="22"/>
          <w:szCs w:val="22"/>
        </w:rPr>
        <w:t>Preventive Health</w:t>
      </w:r>
      <w:r w:rsidRPr="27851470">
        <w:rPr>
          <w:rFonts w:cstheme="minorBidi"/>
          <w:b/>
          <w:bCs/>
          <w:sz w:val="22"/>
          <w:szCs w:val="22"/>
        </w:rPr>
        <w:t xml:space="preserve"> Strategy</w:t>
      </w:r>
      <w:r w:rsidR="00B43D5E">
        <w:rPr>
          <w:rFonts w:cstheme="minorBidi"/>
          <w:b/>
          <w:bCs/>
          <w:sz w:val="22"/>
          <w:szCs w:val="22"/>
        </w:rPr>
        <w:t xml:space="preserve"> 2021</w:t>
      </w:r>
      <w:r w:rsidR="00B4019E">
        <w:rPr>
          <w:rFonts w:cstheme="minorBidi"/>
          <w:b/>
          <w:bCs/>
          <w:sz w:val="22"/>
          <w:szCs w:val="22"/>
        </w:rPr>
        <w:t>–</w:t>
      </w:r>
      <w:r w:rsidR="00B43D5E">
        <w:rPr>
          <w:rFonts w:cstheme="minorBidi"/>
          <w:b/>
          <w:bCs/>
          <w:sz w:val="22"/>
          <w:szCs w:val="22"/>
        </w:rPr>
        <w:t>2030</w:t>
      </w:r>
      <w:r w:rsidR="00B43D5E">
        <w:rPr>
          <w:rStyle w:val="FootnoteReference"/>
          <w:rFonts w:cstheme="minorBidi"/>
          <w:b/>
          <w:bCs/>
          <w:sz w:val="22"/>
          <w:szCs w:val="22"/>
        </w:rPr>
        <w:footnoteReference w:id="5"/>
      </w:r>
      <w:r w:rsidR="009979F3" w:rsidRPr="27851470">
        <w:rPr>
          <w:rFonts w:cstheme="minorBidi"/>
          <w:b/>
          <w:bCs/>
          <w:sz w:val="22"/>
          <w:szCs w:val="22"/>
        </w:rPr>
        <w:t xml:space="preserve"> </w:t>
      </w:r>
      <w:r w:rsidR="009979F3" w:rsidRPr="00B5325D">
        <w:rPr>
          <w:rFonts w:cstheme="minorHAnsi"/>
          <w:bCs/>
          <w:sz w:val="22"/>
          <w:szCs w:val="22"/>
        </w:rPr>
        <w:t>to help Australians improve their health at all stages of life, and targeting dietary risk factors</w:t>
      </w:r>
      <w:r w:rsidR="00916328">
        <w:rPr>
          <w:rFonts w:cstheme="minorHAnsi"/>
          <w:bCs/>
          <w:sz w:val="22"/>
          <w:szCs w:val="22"/>
        </w:rPr>
        <w:t xml:space="preserve"> </w:t>
      </w:r>
      <w:r w:rsidR="00916328" w:rsidRPr="00B5325D">
        <w:rPr>
          <w:rFonts w:cstheme="minorHAnsi"/>
          <w:bCs/>
          <w:sz w:val="22"/>
          <w:szCs w:val="22"/>
        </w:rPr>
        <w:t>through better information</w:t>
      </w:r>
    </w:p>
    <w:p w14:paraId="5BF95A38" w14:textId="604D392A" w:rsidR="004F5DB5" w:rsidRPr="00B5325D" w:rsidRDefault="004F5DB5" w:rsidP="0078360F">
      <w:pPr>
        <w:pStyle w:val="ListParagraph"/>
        <w:numPr>
          <w:ilvl w:val="0"/>
          <w:numId w:val="35"/>
        </w:numPr>
        <w:spacing w:after="200" w:line="276" w:lineRule="auto"/>
        <w:rPr>
          <w:rFonts w:cstheme="minorHAnsi"/>
          <w:b/>
          <w:bCs/>
          <w:sz w:val="22"/>
          <w:szCs w:val="22"/>
        </w:rPr>
      </w:pPr>
      <w:r w:rsidRPr="00B5325D">
        <w:rPr>
          <w:rFonts w:cstheme="minorHAnsi"/>
          <w:b/>
          <w:bCs/>
          <w:sz w:val="22"/>
          <w:szCs w:val="22"/>
        </w:rPr>
        <w:t>Consider the latest/current evidence, including the 2011</w:t>
      </w:r>
      <w:r w:rsidR="00EB2E43">
        <w:rPr>
          <w:rFonts w:cstheme="minorHAnsi"/>
          <w:b/>
          <w:bCs/>
          <w:sz w:val="22"/>
          <w:szCs w:val="22"/>
        </w:rPr>
        <w:t>–</w:t>
      </w:r>
      <w:r w:rsidRPr="00B5325D">
        <w:rPr>
          <w:rFonts w:cstheme="minorHAnsi"/>
          <w:b/>
          <w:bCs/>
          <w:sz w:val="22"/>
          <w:szCs w:val="22"/>
        </w:rPr>
        <w:t xml:space="preserve">12 Australian Health Survey </w:t>
      </w:r>
      <w:r w:rsidRPr="00B5325D">
        <w:rPr>
          <w:rFonts w:cstheme="minorHAnsi"/>
          <w:bCs/>
          <w:sz w:val="22"/>
          <w:szCs w:val="22"/>
        </w:rPr>
        <w:t>when determining the priority food categories</w:t>
      </w:r>
      <w:r w:rsidR="00916328">
        <w:rPr>
          <w:rFonts w:cstheme="minorHAnsi"/>
          <w:bCs/>
          <w:sz w:val="22"/>
          <w:szCs w:val="22"/>
        </w:rPr>
        <w:t xml:space="preserve"> and determining current portion sizes</w:t>
      </w:r>
    </w:p>
    <w:p w14:paraId="1C1103EB" w14:textId="6B4F4C3E" w:rsidR="004F5DB5" w:rsidRPr="00B5325D" w:rsidRDefault="004F5DB5" w:rsidP="0078360F">
      <w:pPr>
        <w:pStyle w:val="ListParagraph"/>
        <w:numPr>
          <w:ilvl w:val="0"/>
          <w:numId w:val="35"/>
        </w:numPr>
        <w:spacing w:after="200" w:line="276" w:lineRule="auto"/>
        <w:rPr>
          <w:rFonts w:cstheme="minorBidi"/>
          <w:sz w:val="22"/>
          <w:szCs w:val="22"/>
        </w:rPr>
      </w:pPr>
      <w:r w:rsidRPr="3BD28443">
        <w:rPr>
          <w:rFonts w:cstheme="minorBidi"/>
          <w:b/>
          <w:bCs/>
          <w:sz w:val="22"/>
          <w:szCs w:val="22"/>
        </w:rPr>
        <w:t>Acknowledge health equity,</w:t>
      </w:r>
      <w:r w:rsidRPr="3BD28443">
        <w:rPr>
          <w:rFonts w:cstheme="minorBidi"/>
          <w:sz w:val="22"/>
          <w:szCs w:val="22"/>
        </w:rPr>
        <w:t xml:space="preserve"> the social, </w:t>
      </w:r>
      <w:r w:rsidR="7CD2CC5B" w:rsidRPr="3BD28443">
        <w:rPr>
          <w:rFonts w:cstheme="minorBidi"/>
          <w:sz w:val="22"/>
          <w:szCs w:val="22"/>
        </w:rPr>
        <w:t>cultural,</w:t>
      </w:r>
      <w:r w:rsidRPr="3BD28443">
        <w:rPr>
          <w:rFonts w:cstheme="minorBidi"/>
          <w:sz w:val="22"/>
          <w:szCs w:val="22"/>
        </w:rPr>
        <w:t xml:space="preserve"> and economic </w:t>
      </w:r>
      <w:r w:rsidR="3577457B" w:rsidRPr="3BD28443">
        <w:rPr>
          <w:rFonts w:cstheme="minorBidi"/>
          <w:sz w:val="22"/>
          <w:szCs w:val="22"/>
        </w:rPr>
        <w:t>barriers,</w:t>
      </w:r>
      <w:r w:rsidRPr="3BD28443">
        <w:rPr>
          <w:rFonts w:cstheme="minorBidi"/>
          <w:sz w:val="22"/>
          <w:szCs w:val="22"/>
        </w:rPr>
        <w:t xml:space="preserve"> and enablers to healthy food choices</w:t>
      </w:r>
    </w:p>
    <w:p w14:paraId="72617FC5" w14:textId="77777777" w:rsidR="004F5DB5" w:rsidRPr="00B5325D" w:rsidRDefault="004F5DB5" w:rsidP="0078360F">
      <w:pPr>
        <w:pStyle w:val="ListParagraph"/>
        <w:numPr>
          <w:ilvl w:val="0"/>
          <w:numId w:val="35"/>
        </w:numPr>
        <w:spacing w:after="200" w:line="276" w:lineRule="auto"/>
        <w:rPr>
          <w:rFonts w:cstheme="minorHAnsi"/>
          <w:b/>
          <w:bCs/>
          <w:sz w:val="22"/>
          <w:szCs w:val="22"/>
        </w:rPr>
      </w:pPr>
      <w:r w:rsidRPr="00B5325D">
        <w:rPr>
          <w:rFonts w:cstheme="minorHAnsi"/>
          <w:b/>
          <w:bCs/>
          <w:sz w:val="22"/>
          <w:szCs w:val="22"/>
        </w:rPr>
        <w:t>Align to settings-based approach</w:t>
      </w:r>
    </w:p>
    <w:p w14:paraId="216FA985" w14:textId="77777777" w:rsidR="004F5DB5" w:rsidRPr="00B5325D" w:rsidRDefault="004F5DB5" w:rsidP="0078360F">
      <w:pPr>
        <w:pStyle w:val="ListParagraph"/>
        <w:numPr>
          <w:ilvl w:val="0"/>
          <w:numId w:val="35"/>
        </w:numPr>
        <w:spacing w:after="200" w:line="276" w:lineRule="auto"/>
        <w:rPr>
          <w:rFonts w:cstheme="minorHAnsi"/>
          <w:b/>
          <w:bCs/>
          <w:sz w:val="22"/>
          <w:szCs w:val="22"/>
        </w:rPr>
      </w:pPr>
      <w:r w:rsidRPr="00B5325D">
        <w:rPr>
          <w:rFonts w:cstheme="minorHAnsi"/>
          <w:b/>
          <w:bCs/>
          <w:sz w:val="22"/>
          <w:szCs w:val="22"/>
        </w:rPr>
        <w:t>Support cross-jurisdictional alignment, where possible</w:t>
      </w:r>
    </w:p>
    <w:p w14:paraId="53C71E05" w14:textId="43B18EC5" w:rsidR="004F5DB5" w:rsidRDefault="6A533C75" w:rsidP="00FD91A8">
      <w:pPr>
        <w:pStyle w:val="ListParagraph"/>
        <w:numPr>
          <w:ilvl w:val="0"/>
          <w:numId w:val="35"/>
        </w:numPr>
        <w:spacing w:after="200" w:line="276" w:lineRule="auto"/>
        <w:rPr>
          <w:rFonts w:cstheme="minorBidi"/>
          <w:b/>
          <w:bCs/>
          <w:sz w:val="22"/>
          <w:szCs w:val="22"/>
        </w:rPr>
      </w:pPr>
      <w:r w:rsidRPr="05260A5A">
        <w:rPr>
          <w:rFonts w:cstheme="minorBidi"/>
          <w:b/>
          <w:bCs/>
          <w:sz w:val="22"/>
          <w:szCs w:val="22"/>
        </w:rPr>
        <w:t>Adopt a p</w:t>
      </w:r>
      <w:r w:rsidR="004F5DB5" w:rsidRPr="05260A5A">
        <w:rPr>
          <w:rFonts w:cstheme="minorBidi"/>
          <w:b/>
          <w:bCs/>
          <w:sz w:val="22"/>
          <w:szCs w:val="22"/>
        </w:rPr>
        <w:t>ragmatic approach/Individualised approach for each food category</w:t>
      </w:r>
    </w:p>
    <w:p w14:paraId="0D404BFA" w14:textId="4D0C63AF" w:rsidR="004A2E4D" w:rsidRPr="004A2E4D" w:rsidRDefault="004A2E4D" w:rsidP="0078360F">
      <w:pPr>
        <w:pStyle w:val="ListParagraph"/>
        <w:numPr>
          <w:ilvl w:val="0"/>
          <w:numId w:val="35"/>
        </w:numPr>
        <w:spacing w:after="200" w:line="276" w:lineRule="auto"/>
        <w:rPr>
          <w:rFonts w:cstheme="minorHAnsi"/>
          <w:b/>
          <w:bCs/>
          <w:sz w:val="22"/>
          <w:szCs w:val="22"/>
        </w:rPr>
      </w:pPr>
      <w:r w:rsidRPr="00B5325D">
        <w:rPr>
          <w:rFonts w:cstheme="minorHAnsi"/>
          <w:b/>
          <w:bCs/>
          <w:sz w:val="22"/>
          <w:szCs w:val="22"/>
        </w:rPr>
        <w:t>Undertake stakeholder consultation</w:t>
      </w:r>
    </w:p>
    <w:p w14:paraId="33A7F420" w14:textId="77777777" w:rsidR="00505B99" w:rsidRDefault="00505B99">
      <w:pPr>
        <w:rPr>
          <w:rFonts w:asciiTheme="majorHAnsi" w:eastAsiaTheme="majorEastAsia" w:hAnsiTheme="majorHAnsi" w:cs="Arial"/>
          <w:b/>
          <w:bCs/>
          <w:i/>
          <w:iCs/>
          <w:sz w:val="28"/>
          <w:szCs w:val="28"/>
        </w:rPr>
      </w:pPr>
      <w:r>
        <w:br w:type="page"/>
      </w:r>
    </w:p>
    <w:p w14:paraId="44694278" w14:textId="6793C6EB" w:rsidR="002E0B70" w:rsidRPr="00994436" w:rsidRDefault="00994436" w:rsidP="002E0B70">
      <w:pPr>
        <w:pStyle w:val="Heading2"/>
        <w:rPr>
          <w:sz w:val="24"/>
        </w:rPr>
      </w:pPr>
      <w:bookmarkStart w:id="21" w:name="_Toc109294242"/>
      <w:r>
        <w:rPr>
          <w:sz w:val="24"/>
        </w:rPr>
        <w:lastRenderedPageBreak/>
        <w:t>6</w:t>
      </w:r>
      <w:r w:rsidR="00A02CDA" w:rsidRPr="00994436">
        <w:rPr>
          <w:sz w:val="24"/>
        </w:rPr>
        <w:t>.2</w:t>
      </w:r>
      <w:r w:rsidR="002E0B70" w:rsidRPr="00994436">
        <w:rPr>
          <w:sz w:val="24"/>
        </w:rPr>
        <w:t xml:space="preserve"> Methodology</w:t>
      </w:r>
      <w:bookmarkEnd w:id="21"/>
      <w:r w:rsidR="002E0B70" w:rsidRPr="00994436">
        <w:rPr>
          <w:sz w:val="24"/>
        </w:rPr>
        <w:t xml:space="preserve"> </w:t>
      </w:r>
    </w:p>
    <w:p w14:paraId="221E1ACE" w14:textId="22DBE41C" w:rsidR="00556556" w:rsidRPr="00B5325D" w:rsidRDefault="00557AA2" w:rsidP="00556556">
      <w:pPr>
        <w:rPr>
          <w:sz w:val="22"/>
          <w:szCs w:val="22"/>
        </w:rPr>
      </w:pPr>
      <w:r w:rsidRPr="05260A5A">
        <w:rPr>
          <w:color w:val="000000" w:themeColor="text1"/>
          <w:sz w:val="22"/>
          <w:szCs w:val="22"/>
        </w:rPr>
        <w:t xml:space="preserve">The </w:t>
      </w:r>
      <w:r w:rsidR="00614613" w:rsidRPr="05260A5A">
        <w:rPr>
          <w:color w:val="000000" w:themeColor="text1"/>
          <w:sz w:val="22"/>
          <w:szCs w:val="22"/>
        </w:rPr>
        <w:t>below</w:t>
      </w:r>
      <w:r w:rsidR="00F002E9">
        <w:rPr>
          <w:color w:val="000000" w:themeColor="text1"/>
          <w:sz w:val="22"/>
          <w:szCs w:val="22"/>
        </w:rPr>
        <w:t xml:space="preserve"> framework</w:t>
      </w:r>
      <w:r w:rsidR="00800BEF" w:rsidRPr="05260A5A">
        <w:rPr>
          <w:color w:val="000000" w:themeColor="text1"/>
          <w:sz w:val="22"/>
          <w:szCs w:val="22"/>
        </w:rPr>
        <w:t xml:space="preserve"> (Figure 1)</w:t>
      </w:r>
      <w:r w:rsidRPr="05260A5A">
        <w:rPr>
          <w:color w:val="000000" w:themeColor="text1"/>
          <w:sz w:val="22"/>
          <w:szCs w:val="22"/>
        </w:rPr>
        <w:t xml:space="preserve"> illustrates the </w:t>
      </w:r>
      <w:r w:rsidR="00383C61" w:rsidRPr="05260A5A">
        <w:rPr>
          <w:color w:val="000000" w:themeColor="text1"/>
          <w:sz w:val="22"/>
          <w:szCs w:val="22"/>
        </w:rPr>
        <w:t xml:space="preserve">general </w:t>
      </w:r>
      <w:r w:rsidRPr="05260A5A">
        <w:rPr>
          <w:color w:val="000000" w:themeColor="text1"/>
          <w:sz w:val="22"/>
          <w:szCs w:val="22"/>
        </w:rPr>
        <w:t xml:space="preserve">process and considerations used </w:t>
      </w:r>
      <w:r w:rsidR="004F5DB5" w:rsidRPr="05260A5A">
        <w:rPr>
          <w:color w:val="000000" w:themeColor="text1"/>
          <w:sz w:val="22"/>
          <w:szCs w:val="22"/>
        </w:rPr>
        <w:t>by the IBPG</w:t>
      </w:r>
      <w:r w:rsidR="0095409D" w:rsidRPr="05260A5A">
        <w:rPr>
          <w:color w:val="000000" w:themeColor="text1"/>
          <w:sz w:val="22"/>
          <w:szCs w:val="22"/>
        </w:rPr>
        <w:t>W</w:t>
      </w:r>
      <w:r w:rsidRPr="05260A5A">
        <w:rPr>
          <w:color w:val="000000" w:themeColor="text1"/>
          <w:sz w:val="22"/>
          <w:szCs w:val="22"/>
        </w:rPr>
        <w:t xml:space="preserve">G to determine </w:t>
      </w:r>
      <w:r w:rsidR="004F5DB5" w:rsidRPr="05260A5A">
        <w:rPr>
          <w:color w:val="000000" w:themeColor="text1"/>
          <w:sz w:val="22"/>
          <w:szCs w:val="22"/>
        </w:rPr>
        <w:t>the serving size recommendations</w:t>
      </w:r>
      <w:r w:rsidRPr="05260A5A">
        <w:rPr>
          <w:color w:val="000000" w:themeColor="text1"/>
          <w:sz w:val="22"/>
          <w:szCs w:val="22"/>
        </w:rPr>
        <w:t>.</w:t>
      </w:r>
      <w:r w:rsidR="00F10395" w:rsidRPr="05260A5A">
        <w:rPr>
          <w:color w:val="000000" w:themeColor="text1"/>
          <w:sz w:val="22"/>
          <w:szCs w:val="22"/>
        </w:rPr>
        <w:t xml:space="preserve"> </w:t>
      </w:r>
      <w:r w:rsidR="00556556" w:rsidRPr="05260A5A">
        <w:rPr>
          <w:color w:val="000000" w:themeColor="text1"/>
          <w:sz w:val="22"/>
          <w:szCs w:val="22"/>
        </w:rPr>
        <w:t xml:space="preserve">In practice, an individualised approach was taken for each category, while </w:t>
      </w:r>
      <w:r w:rsidR="73E900D5" w:rsidRPr="05260A5A">
        <w:rPr>
          <w:color w:val="000000" w:themeColor="text1"/>
          <w:sz w:val="22"/>
          <w:szCs w:val="22"/>
        </w:rPr>
        <w:t>considering the</w:t>
      </w:r>
      <w:r w:rsidR="00556556" w:rsidRPr="05260A5A">
        <w:rPr>
          <w:color w:val="000000" w:themeColor="text1"/>
          <w:sz w:val="22"/>
          <w:szCs w:val="22"/>
        </w:rPr>
        <w:t xml:space="preserve"> overall principles</w:t>
      </w:r>
      <w:r w:rsidR="00916328" w:rsidRPr="05260A5A">
        <w:rPr>
          <w:color w:val="000000" w:themeColor="text1"/>
          <w:sz w:val="22"/>
          <w:szCs w:val="22"/>
        </w:rPr>
        <w:t xml:space="preserve"> outlined above</w:t>
      </w:r>
      <w:r w:rsidR="00556556" w:rsidRPr="05260A5A">
        <w:rPr>
          <w:color w:val="000000" w:themeColor="text1"/>
          <w:sz w:val="22"/>
          <w:szCs w:val="22"/>
        </w:rPr>
        <w:t>. Furth</w:t>
      </w:r>
      <w:r w:rsidR="0078360F" w:rsidRPr="05260A5A">
        <w:rPr>
          <w:color w:val="000000" w:themeColor="text1"/>
          <w:sz w:val="22"/>
          <w:szCs w:val="22"/>
        </w:rPr>
        <w:t xml:space="preserve">er detail on the rationale </w:t>
      </w:r>
      <w:r w:rsidR="00556556" w:rsidRPr="05260A5A">
        <w:rPr>
          <w:color w:val="000000" w:themeColor="text1"/>
          <w:sz w:val="22"/>
          <w:szCs w:val="22"/>
        </w:rPr>
        <w:t xml:space="preserve">for individual categories can be found at </w:t>
      </w:r>
      <w:hyperlink w:anchor="_Appendix_A_–">
        <w:r w:rsidR="00556556" w:rsidRPr="00994436">
          <w:rPr>
            <w:rStyle w:val="Hyperlink"/>
            <w:sz w:val="22"/>
            <w:szCs w:val="22"/>
          </w:rPr>
          <w:t>Attachment A</w:t>
        </w:r>
      </w:hyperlink>
      <w:r w:rsidR="00556556" w:rsidRPr="05260A5A">
        <w:rPr>
          <w:color w:val="000000" w:themeColor="text1"/>
          <w:sz w:val="22"/>
          <w:szCs w:val="22"/>
        </w:rPr>
        <w:t>.</w:t>
      </w:r>
    </w:p>
    <w:p w14:paraId="5D7336C7" w14:textId="77777777" w:rsidR="007B5F94" w:rsidRDefault="007B5F94" w:rsidP="003552DA"/>
    <w:p w14:paraId="4FD56A4A" w14:textId="7FBF6DBA" w:rsidR="004F5DB5" w:rsidRDefault="00800BEF" w:rsidP="003552DA">
      <w:r w:rsidRPr="00CB3F7D">
        <w:rPr>
          <w:b/>
          <w:bCs/>
          <w:sz w:val="22"/>
          <w:szCs w:val="22"/>
        </w:rPr>
        <w:t>Figure 1. Methodological framework for determining serving size recommendations</w:t>
      </w:r>
      <w:r w:rsidR="004F5DB5" w:rsidRPr="00366063">
        <w:rPr>
          <w:noProof/>
        </w:rPr>
        <mc:AlternateContent>
          <mc:Choice Requires="wpc">
            <w:drawing>
              <wp:inline distT="0" distB="0" distL="0" distR="0" wp14:anchorId="019A865C" wp14:editId="033D1188">
                <wp:extent cx="5139690" cy="4726940"/>
                <wp:effectExtent l="0" t="0" r="3810" b="0"/>
                <wp:docPr id="19" name="Canvas 19" descr="This image shows the methodological frame work used to determine the serving size recommendations."/>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Straight Arrow Connector 30"/>
                        <wps:cNvCnPr/>
                        <wps:spPr>
                          <a:xfrm>
                            <a:off x="1482460" y="532162"/>
                            <a:ext cx="0" cy="21741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31" name="Straight Arrow Connector 31"/>
                        <wps:cNvCnPr/>
                        <wps:spPr>
                          <a:xfrm>
                            <a:off x="1486519" y="1831499"/>
                            <a:ext cx="0" cy="228441"/>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32" name="Straight Arrow Connector 32"/>
                        <wps:cNvCnPr/>
                        <wps:spPr>
                          <a:xfrm>
                            <a:off x="1486421" y="2631451"/>
                            <a:ext cx="19" cy="228589"/>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37" name="Straight Arrow Connector 37"/>
                        <wps:cNvCnPr/>
                        <wps:spPr>
                          <a:xfrm>
                            <a:off x="1484499" y="3698240"/>
                            <a:ext cx="1941" cy="22511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8" name="Straight Arrow Connector 18"/>
                        <wps:cNvCnPr/>
                        <wps:spPr>
                          <a:xfrm flipH="1">
                            <a:off x="2890346" y="2631440"/>
                            <a:ext cx="424989" cy="228002"/>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20" name="Text Box 18"/>
                        <wps:cNvSpPr txBox="1"/>
                        <wps:spPr>
                          <a:xfrm>
                            <a:off x="35993" y="749578"/>
                            <a:ext cx="2936441" cy="1082102"/>
                          </a:xfrm>
                          <a:prstGeom prst="rect">
                            <a:avLst/>
                          </a:prstGeom>
                          <a:solidFill>
                            <a:schemeClr val="lt1"/>
                          </a:solidFill>
                          <a:ln w="6350">
                            <a:solidFill>
                              <a:prstClr val="black"/>
                            </a:solidFill>
                          </a:ln>
                        </wps:spPr>
                        <wps:txbx>
                          <w:txbxContent>
                            <w:p w14:paraId="7CB2A0B8" w14:textId="14CCF1DB" w:rsidR="00B32AC9" w:rsidRPr="00B5325D" w:rsidRDefault="00B32AC9" w:rsidP="009979F3">
                              <w:pPr>
                                <w:rPr>
                                  <w:rFonts w:cstheme="minorHAnsi"/>
                                  <w:sz w:val="22"/>
                                </w:rPr>
                              </w:pPr>
                              <w:r>
                                <w:rPr>
                                  <w:rFonts w:cstheme="minorHAnsi"/>
                                  <w:sz w:val="22"/>
                                </w:rPr>
                                <w:t xml:space="preserve">2. </w:t>
                              </w:r>
                              <w:r w:rsidRPr="00B5325D">
                                <w:rPr>
                                  <w:rFonts w:cstheme="minorHAnsi"/>
                                  <w:sz w:val="22"/>
                                </w:rPr>
                                <w:t xml:space="preserve">Considered the following: </w:t>
                              </w:r>
                            </w:p>
                            <w:p w14:paraId="710B1BCD" w14:textId="07F47FE3" w:rsidR="00B32AC9" w:rsidRPr="00B5325D" w:rsidRDefault="00B32AC9" w:rsidP="0078360F">
                              <w:pPr>
                                <w:pStyle w:val="ListParagraph"/>
                                <w:numPr>
                                  <w:ilvl w:val="0"/>
                                  <w:numId w:val="37"/>
                                </w:numPr>
                                <w:rPr>
                                  <w:rFonts w:cstheme="minorHAnsi"/>
                                  <w:sz w:val="22"/>
                                </w:rPr>
                              </w:pPr>
                              <w:r w:rsidRPr="00B5325D">
                                <w:rPr>
                                  <w:rFonts w:cstheme="minorHAnsi"/>
                                  <w:sz w:val="22"/>
                                </w:rPr>
                                <w:t>what a 600</w:t>
                              </w:r>
                              <w:r>
                                <w:rPr>
                                  <w:rFonts w:cstheme="minorHAnsi"/>
                                  <w:sz w:val="22"/>
                                </w:rPr>
                                <w:t xml:space="preserve"> </w:t>
                              </w:r>
                              <w:r w:rsidRPr="00B5325D">
                                <w:rPr>
                                  <w:rFonts w:cstheme="minorHAnsi"/>
                                  <w:sz w:val="22"/>
                                </w:rPr>
                                <w:t>kJ serving represents</w:t>
                              </w:r>
                            </w:p>
                            <w:p w14:paraId="024D58D9" w14:textId="3E6241FC" w:rsidR="00B32AC9" w:rsidRPr="00B5325D" w:rsidRDefault="00B32AC9" w:rsidP="0078360F">
                              <w:pPr>
                                <w:pStyle w:val="ListParagraph"/>
                                <w:numPr>
                                  <w:ilvl w:val="0"/>
                                  <w:numId w:val="37"/>
                                </w:numPr>
                                <w:rPr>
                                  <w:rFonts w:cstheme="minorHAnsi"/>
                                  <w:sz w:val="22"/>
                                </w:rPr>
                              </w:pPr>
                              <w:r w:rsidRPr="00B5325D">
                                <w:rPr>
                                  <w:rFonts w:cstheme="minorHAnsi"/>
                                  <w:sz w:val="22"/>
                                </w:rPr>
                                <w:t>typical portion sizes consumed</w:t>
                              </w:r>
                            </w:p>
                            <w:p w14:paraId="4A7249B2" w14:textId="21367CBF" w:rsidR="00B32AC9" w:rsidRPr="00B5325D" w:rsidRDefault="00B32AC9" w:rsidP="0078360F">
                              <w:pPr>
                                <w:pStyle w:val="ListParagraph"/>
                                <w:numPr>
                                  <w:ilvl w:val="0"/>
                                  <w:numId w:val="37"/>
                                </w:numPr>
                                <w:rPr>
                                  <w:rFonts w:cstheme="minorHAnsi"/>
                                  <w:sz w:val="22"/>
                                </w:rPr>
                              </w:pPr>
                              <w:r w:rsidRPr="00B5325D">
                                <w:rPr>
                                  <w:rFonts w:cstheme="minorHAnsi"/>
                                  <w:sz w:val="22"/>
                                </w:rPr>
                                <w:t>sales and product data</w:t>
                              </w:r>
                              <w:r>
                                <w:rPr>
                                  <w:rFonts w:cstheme="minorHAnsi"/>
                                  <w:sz w:val="22"/>
                                </w:rPr>
                                <w:t xml:space="preserve"> (66</w:t>
                              </w:r>
                              <w:r w:rsidRPr="008B3E3D">
                                <w:rPr>
                                  <w:rFonts w:cstheme="minorHAnsi"/>
                                  <w:sz w:val="22"/>
                                  <w:vertAlign w:val="superscript"/>
                                </w:rPr>
                                <w:t>th</w:t>
                              </w:r>
                              <w:r>
                                <w:rPr>
                                  <w:rFonts w:cstheme="minorHAnsi"/>
                                  <w:sz w:val="22"/>
                                </w:rPr>
                                <w:t xml:space="preserve"> percentile)</w:t>
                              </w:r>
                            </w:p>
                            <w:p w14:paraId="16E93510" w14:textId="699BF9C7" w:rsidR="00B32AC9" w:rsidRPr="00B5325D" w:rsidRDefault="00B32AC9" w:rsidP="0078360F">
                              <w:pPr>
                                <w:pStyle w:val="ListParagraph"/>
                                <w:numPr>
                                  <w:ilvl w:val="0"/>
                                  <w:numId w:val="37"/>
                                </w:numPr>
                                <w:rPr>
                                  <w:rFonts w:cstheme="minorHAnsi"/>
                                  <w:sz w:val="22"/>
                                </w:rPr>
                              </w:pPr>
                              <w:r>
                                <w:rPr>
                                  <w:rFonts w:cstheme="minorHAnsi"/>
                                  <w:sz w:val="22"/>
                                </w:rPr>
                                <w:t>original r</w:t>
                              </w:r>
                              <w:r w:rsidRPr="00B5325D">
                                <w:rPr>
                                  <w:rFonts w:cstheme="minorHAnsi"/>
                                  <w:sz w:val="22"/>
                                </w:rPr>
                                <w:t xml:space="preserve">esearch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5843" y="2059962"/>
                            <a:ext cx="2861036" cy="574675"/>
                          </a:xfrm>
                          <a:prstGeom prst="rect">
                            <a:avLst/>
                          </a:prstGeom>
                          <a:solidFill>
                            <a:schemeClr val="lt1"/>
                          </a:solidFill>
                          <a:ln w="6350">
                            <a:solidFill>
                              <a:prstClr val="black"/>
                            </a:solidFill>
                          </a:ln>
                        </wps:spPr>
                        <wps:txbx>
                          <w:txbxContent>
                            <w:p w14:paraId="42D5895F" w14:textId="39D6F987" w:rsidR="00B32AC9" w:rsidRPr="00B5325D" w:rsidRDefault="00B32AC9" w:rsidP="004F5DB5">
                              <w:pPr>
                                <w:jc w:val="center"/>
                                <w:rPr>
                                  <w:rFonts w:cstheme="minorHAnsi"/>
                                  <w:sz w:val="22"/>
                                </w:rPr>
                              </w:pPr>
                              <w:r>
                                <w:rPr>
                                  <w:rFonts w:cstheme="minorHAnsi"/>
                                  <w:sz w:val="22"/>
                                </w:rPr>
                                <w:t xml:space="preserve">3. </w:t>
                              </w:r>
                              <w:r w:rsidRPr="00B5325D">
                                <w:rPr>
                                  <w:rFonts w:cstheme="minorHAnsi"/>
                                  <w:sz w:val="22"/>
                                </w:rPr>
                                <w:t>Does this serving size align with relevant jurisdictional</w:t>
                              </w:r>
                              <w:r>
                                <w:rPr>
                                  <w:rFonts w:cstheme="minorHAnsi"/>
                                  <w:sz w:val="22"/>
                                </w:rPr>
                                <w:t xml:space="preserve">/industry </w:t>
                              </w:r>
                              <w:r w:rsidRPr="00B5325D">
                                <w:rPr>
                                  <w:rFonts w:cstheme="minorHAnsi"/>
                                  <w:sz w:val="22"/>
                                </w:rPr>
                                <w:t>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3194027" y="2051098"/>
                            <a:ext cx="1938381" cy="583550"/>
                          </a:xfrm>
                          <a:prstGeom prst="rect">
                            <a:avLst/>
                          </a:prstGeom>
                          <a:solidFill>
                            <a:schemeClr val="lt1"/>
                          </a:solidFill>
                          <a:ln w="6350">
                            <a:solidFill>
                              <a:prstClr val="black"/>
                            </a:solidFill>
                          </a:ln>
                        </wps:spPr>
                        <wps:txbx>
                          <w:txbxContent>
                            <w:p w14:paraId="50C094D5" w14:textId="5D98FB93" w:rsidR="00B32AC9" w:rsidRPr="00B5325D" w:rsidRDefault="00B32AC9" w:rsidP="004F5DB5">
                              <w:pPr>
                                <w:jc w:val="center"/>
                                <w:rPr>
                                  <w:rFonts w:cstheme="minorHAnsi"/>
                                  <w:sz w:val="22"/>
                                </w:rPr>
                              </w:pPr>
                              <w:r w:rsidRPr="00B5325D">
                                <w:rPr>
                                  <w:rFonts w:cstheme="minorHAnsi"/>
                                  <w:sz w:val="22"/>
                                </w:rPr>
                                <w:t>If not aligned, provide justification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68382" y="2860062"/>
                            <a:ext cx="2820212" cy="838178"/>
                          </a:xfrm>
                          <a:prstGeom prst="rect">
                            <a:avLst/>
                          </a:prstGeom>
                          <a:solidFill>
                            <a:schemeClr val="lt1"/>
                          </a:solidFill>
                          <a:ln w="6350">
                            <a:solidFill>
                              <a:prstClr val="black"/>
                            </a:solidFill>
                          </a:ln>
                        </wps:spPr>
                        <wps:txbx>
                          <w:txbxContent>
                            <w:p w14:paraId="1F7981BE" w14:textId="30074300" w:rsidR="00B32AC9" w:rsidRDefault="00B32AC9" w:rsidP="009E4815">
                              <w:pPr>
                                <w:rPr>
                                  <w:rFonts w:cstheme="minorHAnsi"/>
                                  <w:sz w:val="22"/>
                                </w:rPr>
                              </w:pPr>
                              <w:r>
                                <w:rPr>
                                  <w:rFonts w:cstheme="minorHAnsi"/>
                                  <w:sz w:val="22"/>
                                </w:rPr>
                                <w:t xml:space="preserve">4. </w:t>
                              </w:r>
                              <w:r w:rsidRPr="00B5325D">
                                <w:rPr>
                                  <w:rFonts w:cstheme="minorHAnsi"/>
                                  <w:sz w:val="22"/>
                                </w:rPr>
                                <w:t>Is the serving size feasible, considering existing serving si</w:t>
                              </w:r>
                              <w:r>
                                <w:rPr>
                                  <w:rFonts w:cstheme="minorHAnsi"/>
                                  <w:sz w:val="22"/>
                                </w:rPr>
                                <w:t>zes</w:t>
                              </w:r>
                              <w:r w:rsidRPr="00B5325D">
                                <w:rPr>
                                  <w:rFonts w:cstheme="minorHAnsi"/>
                                  <w:sz w:val="22"/>
                                </w:rPr>
                                <w:t>?</w:t>
                              </w:r>
                              <w:r>
                                <w:rPr>
                                  <w:rFonts w:cstheme="minorHAnsi"/>
                                  <w:sz w:val="22"/>
                                </w:rPr>
                                <w:t xml:space="preserve"> Considered:</w:t>
                              </w:r>
                            </w:p>
                            <w:p w14:paraId="31E1346D" w14:textId="77777777" w:rsidR="00B32AC9" w:rsidRPr="00B5325D" w:rsidRDefault="00B32AC9" w:rsidP="0078360F">
                              <w:pPr>
                                <w:pStyle w:val="ListParagraph"/>
                                <w:numPr>
                                  <w:ilvl w:val="0"/>
                                  <w:numId w:val="37"/>
                                </w:numPr>
                                <w:rPr>
                                  <w:rFonts w:cstheme="minorHAnsi"/>
                                  <w:sz w:val="22"/>
                                </w:rPr>
                              </w:pPr>
                              <w:r w:rsidRPr="00B5325D">
                                <w:rPr>
                                  <w:rFonts w:cstheme="minorHAnsi"/>
                                  <w:sz w:val="22"/>
                                </w:rPr>
                                <w:t>sales and product data</w:t>
                              </w:r>
                            </w:p>
                            <w:p w14:paraId="27A4FE4F" w14:textId="77777777" w:rsidR="00B32AC9" w:rsidRPr="00B5325D" w:rsidRDefault="00B32AC9" w:rsidP="0078360F">
                              <w:pPr>
                                <w:pStyle w:val="ListParagraph"/>
                                <w:numPr>
                                  <w:ilvl w:val="0"/>
                                  <w:numId w:val="37"/>
                                </w:numPr>
                                <w:rPr>
                                  <w:rFonts w:cstheme="minorHAnsi"/>
                                  <w:sz w:val="22"/>
                                </w:rPr>
                              </w:pPr>
                              <w:r>
                                <w:rPr>
                                  <w:rFonts w:cstheme="minorHAnsi"/>
                                  <w:sz w:val="22"/>
                                </w:rPr>
                                <w:t>original r</w:t>
                              </w:r>
                              <w:r w:rsidRPr="00B5325D">
                                <w:rPr>
                                  <w:rFonts w:cstheme="minorHAnsi"/>
                                  <w:sz w:val="22"/>
                                </w:rPr>
                                <w:t xml:space="preserve">esearch </w:t>
                              </w:r>
                            </w:p>
                            <w:p w14:paraId="0243286A" w14:textId="77777777" w:rsidR="00B32AC9" w:rsidRPr="00B5325D" w:rsidRDefault="00B32AC9" w:rsidP="004F5DB5">
                              <w:pPr>
                                <w:jc w:val="center"/>
                                <w:rPr>
                                  <w:rFonts w:cstheme="minorHAns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4879" y="3926840"/>
                            <a:ext cx="2890090" cy="478185"/>
                          </a:xfrm>
                          <a:prstGeom prst="rect">
                            <a:avLst/>
                          </a:prstGeom>
                          <a:solidFill>
                            <a:schemeClr val="lt1"/>
                          </a:solidFill>
                          <a:ln w="6350">
                            <a:solidFill>
                              <a:prstClr val="black"/>
                            </a:solidFill>
                          </a:ln>
                        </wps:spPr>
                        <wps:txbx>
                          <w:txbxContent>
                            <w:p w14:paraId="428D5F26" w14:textId="342B8D13" w:rsidR="00B32AC9" w:rsidRPr="00B5325D" w:rsidRDefault="00B32AC9" w:rsidP="004F5DB5">
                              <w:pPr>
                                <w:jc w:val="center"/>
                                <w:rPr>
                                  <w:rFonts w:cstheme="minorHAnsi"/>
                                  <w:sz w:val="22"/>
                                </w:rPr>
                              </w:pPr>
                              <w:r>
                                <w:rPr>
                                  <w:sz w:val="22"/>
                                </w:rPr>
                                <w:t xml:space="preserve">5. </w:t>
                              </w:r>
                              <w:r w:rsidRPr="00B5325D">
                                <w:rPr>
                                  <w:sz w:val="22"/>
                                </w:rPr>
                                <w:t>Will the</w:t>
                              </w:r>
                              <w:r>
                                <w:rPr>
                                  <w:sz w:val="22"/>
                                </w:rPr>
                                <w:t xml:space="preserve"> recommendation be accepted by industry and the c</w:t>
                              </w:r>
                              <w:r w:rsidRPr="00B5325D">
                                <w:rPr>
                                  <w:sz w:val="22"/>
                                </w:rPr>
                                <w:t>onsumer</w:t>
                              </w:r>
                              <w:r>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3200692" y="2859740"/>
                            <a:ext cx="1931101" cy="686099"/>
                          </a:xfrm>
                          <a:prstGeom prst="rect">
                            <a:avLst/>
                          </a:prstGeom>
                          <a:solidFill>
                            <a:schemeClr val="lt1"/>
                          </a:solidFill>
                          <a:ln w="6350">
                            <a:solidFill>
                              <a:prstClr val="black"/>
                            </a:solidFill>
                          </a:ln>
                        </wps:spPr>
                        <wps:txbx>
                          <w:txbxContent>
                            <w:p w14:paraId="34FC86B7" w14:textId="5821F8CA" w:rsidR="00B32AC9" w:rsidRPr="00B5325D" w:rsidRDefault="00B32AC9" w:rsidP="004F5DB5">
                              <w:pPr>
                                <w:jc w:val="center"/>
                                <w:rPr>
                                  <w:rFonts w:cstheme="minorHAnsi"/>
                                  <w:sz w:val="22"/>
                                </w:rPr>
                              </w:pPr>
                              <w:r w:rsidRPr="00B5325D">
                                <w:rPr>
                                  <w:rFonts w:cstheme="minorHAnsi"/>
                                  <w:sz w:val="22"/>
                                </w:rPr>
                                <w:t>Increase until feasible serving size is reached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18"/>
                        <wps:cNvSpPr txBox="1"/>
                        <wps:spPr>
                          <a:xfrm>
                            <a:off x="6522" y="23657"/>
                            <a:ext cx="2920357" cy="508505"/>
                          </a:xfrm>
                          <a:prstGeom prst="rect">
                            <a:avLst/>
                          </a:prstGeom>
                          <a:solidFill>
                            <a:schemeClr val="lt1"/>
                          </a:solidFill>
                          <a:ln w="6350">
                            <a:solidFill>
                              <a:prstClr val="black"/>
                            </a:solidFill>
                          </a:ln>
                        </wps:spPr>
                        <wps:txbx>
                          <w:txbxContent>
                            <w:p w14:paraId="744696FF" w14:textId="13BFAFA8" w:rsidR="00B32AC9" w:rsidRPr="002B3E9F" w:rsidRDefault="00B32AC9" w:rsidP="0078360F">
                              <w:pPr>
                                <w:pStyle w:val="ListParagraph"/>
                                <w:numPr>
                                  <w:ilvl w:val="0"/>
                                  <w:numId w:val="38"/>
                                </w:numPr>
                                <w:jc w:val="center"/>
                                <w:rPr>
                                  <w:rFonts w:cstheme="minorHAnsi"/>
                                  <w:sz w:val="22"/>
                                </w:rPr>
                              </w:pPr>
                              <w:r w:rsidRPr="002B3E9F">
                                <w:rPr>
                                  <w:rFonts w:cstheme="minorHAnsi"/>
                                  <w:sz w:val="22"/>
                                </w:rPr>
                                <w:t>Deter</w:t>
                              </w:r>
                              <w:r>
                                <w:rPr>
                                  <w:rFonts w:cstheme="minorHAnsi"/>
                                  <w:sz w:val="22"/>
                                </w:rPr>
                                <w:t xml:space="preserve">mine the setting: retail or out of </w:t>
                              </w:r>
                              <w:r w:rsidRPr="002B3E9F">
                                <w:rPr>
                                  <w:rFonts w:cstheme="minorHAnsi"/>
                                  <w:sz w:val="22"/>
                                </w:rPr>
                                <w:t>home and context: meal or snack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2888748" y="3203297"/>
                            <a:ext cx="311915" cy="0"/>
                          </a:xfrm>
                          <a:prstGeom prst="straightConnector1">
                            <a:avLst/>
                          </a:prstGeom>
                          <a:ln>
                            <a:solidFill>
                              <a:srgbClr val="FF0000"/>
                            </a:solidFill>
                            <a:tailEnd type="triangle"/>
                          </a:ln>
                        </wps:spPr>
                        <wps:style>
                          <a:lnRef idx="3">
                            <a:schemeClr val="accent6"/>
                          </a:lnRef>
                          <a:fillRef idx="0">
                            <a:schemeClr val="accent6"/>
                          </a:fillRef>
                          <a:effectRef idx="2">
                            <a:schemeClr val="accent6"/>
                          </a:effectRef>
                          <a:fontRef idx="minor">
                            <a:schemeClr val="tx1"/>
                          </a:fontRef>
                        </wps:style>
                        <wps:bodyPr/>
                      </wps:wsp>
                      <wps:wsp>
                        <wps:cNvPr id="36" name="Straight Arrow Connector 36"/>
                        <wps:cNvCnPr/>
                        <wps:spPr>
                          <a:xfrm flipV="1">
                            <a:off x="2926724" y="2402840"/>
                            <a:ext cx="267133" cy="9"/>
                          </a:xfrm>
                          <a:prstGeom prst="straightConnector1">
                            <a:avLst/>
                          </a:prstGeom>
                          <a:ln>
                            <a:solidFill>
                              <a:srgbClr val="FF0000"/>
                            </a:solidFill>
                            <a:tailEnd type="triangle"/>
                          </a:ln>
                        </wps:spPr>
                        <wps:style>
                          <a:lnRef idx="3">
                            <a:schemeClr val="accent6"/>
                          </a:lnRef>
                          <a:fillRef idx="0">
                            <a:schemeClr val="accent6"/>
                          </a:fillRef>
                          <a:effectRef idx="2">
                            <a:schemeClr val="accent6"/>
                          </a:effectRef>
                          <a:fontRef idx="minor">
                            <a:schemeClr val="tx1"/>
                          </a:fontRef>
                        </wps:style>
                        <wps:bodyPr/>
                      </wps:wsp>
                      <wps:wsp>
                        <wps:cNvPr id="39" name="Straight Connector 39"/>
                        <wps:cNvCnPr/>
                        <wps:spPr>
                          <a:xfrm>
                            <a:off x="3779474" y="3549301"/>
                            <a:ext cx="1" cy="453355"/>
                          </a:xfrm>
                          <a:prstGeom prst="line">
                            <a:avLst/>
                          </a:prstGeom>
                        </wps:spPr>
                        <wps:style>
                          <a:lnRef idx="3">
                            <a:schemeClr val="accent6"/>
                          </a:lnRef>
                          <a:fillRef idx="0">
                            <a:schemeClr val="accent6"/>
                          </a:fillRef>
                          <a:effectRef idx="2">
                            <a:schemeClr val="accent6"/>
                          </a:effectRef>
                          <a:fontRef idx="minor">
                            <a:schemeClr val="tx1"/>
                          </a:fontRef>
                        </wps:style>
                        <wps:bodyPr/>
                      </wps:wsp>
                      <wps:wsp>
                        <wps:cNvPr id="40" name="Straight Arrow Connector 40"/>
                        <wps:cNvCnPr/>
                        <wps:spPr>
                          <a:xfrm flipH="1">
                            <a:off x="2926722" y="4003074"/>
                            <a:ext cx="852953"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c:wpc>
                  </a:graphicData>
                </a:graphic>
              </wp:inline>
            </w:drawing>
          </mc:Choice>
          <mc:Fallback>
            <w:pict>
              <v:group w14:anchorId="019A865C" id="Canvas 19" o:spid="_x0000_s1026" editas="canvas" alt="This image shows the methodological frame work used to determine the serving size recommendations." style="width:404.7pt;height:372.2pt;mso-position-horizontal-relative:char;mso-position-vertical-relative:line" coordsize="51396,4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mage shows the methodological frame work used to determine the serving size recommendations." style="position:absolute;width:51396;height:47269;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30" o:spid="_x0000_s1028" type="#_x0000_t32" style="position:absolute;left:14824;top:5321;width:0;height:2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" strokecolor="#f79646 [3209]" strokeweight="3pt">
                  <v:stroke endarrow="block"/>
                  <v:shadow on="t" color="black" opacity="22937f" origin=",.5" offset="0,.63889mm"/>
                </v:shape>
                <v:shape id="Straight Arrow Connector 31" o:spid="_x0000_s1029" type="#_x0000_t32" style="position:absolute;left:14865;top:18314;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" strokecolor="#f79646 [3209]" strokeweight="3pt">
                  <v:stroke endarrow="block"/>
                  <v:shadow on="t" color="black" opacity="22937f" origin=",.5" offset="0,.63889mm"/>
                </v:shape>
                <v:shape id="Straight Arrow Connector 32" o:spid="_x0000_s1030" type="#_x0000_t32" style="position:absolute;left:14864;top:2631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" strokecolor="#f79646 [3209]" strokeweight="3pt">
                  <v:stroke endarrow="block"/>
                  <v:shadow on="t" color="black" opacity="22937f" origin=",.5" offset="0,.63889mm"/>
                </v:shape>
                <v:shape id="Straight Arrow Connector 37" o:spid="_x0000_s1031" type="#_x0000_t32" style="position:absolute;left:14844;top:36982;width:20;height:2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" strokecolor="#f79646 [3209]" strokeweight="3pt">
                  <v:stroke endarrow="block"/>
                  <v:shadow on="t" color="black" opacity="22937f" origin=",.5" offset="0,.63889mm"/>
                </v:shape>
                <v:shape id="Straight Arrow Connector 18" o:spid="_x0000_s1032" type="#_x0000_t32" style="position:absolute;left:28903;top:26314;width:4250;height:22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" strokecolor="#f79646 [3209]" strokeweight="3pt">
                  <v:stroke endarrow="block"/>
                  <v:shadow on="t" color="black" opacity="22937f" origin=",.5" offset="0,.63889mm"/>
                </v:shape>
                <v:shapetype id="_x0000_t202" coordsize="21600,21600" o:spt="202" path="m,l,21600r21600,l21600,xe">
                  <v:stroke joinstyle="miter"/>
                  <v:path gradientshapeok="t" o:connecttype="rect"/>
                </v:shapetype>
                <v:shape id="Text Box 18" o:spid="_x0000_s1033" type="#_x0000_t202" style="position:absolute;left:359;top:7495;width:29365;height:10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14:paraId="7CB2A0B8" w14:textId="14CCF1DB" w:rsidR="00B32AC9" w:rsidRPr="00B5325D" w:rsidRDefault="00B32AC9" w:rsidP="009979F3">
                        <w:pPr>
                          <w:rPr>
                            <w:rFonts w:cstheme="minorHAnsi"/>
                            <w:sz w:val="22"/>
                          </w:rPr>
                        </w:pPr>
                        <w:r>
                          <w:rPr>
                            <w:rFonts w:cstheme="minorHAnsi"/>
                            <w:sz w:val="22"/>
                          </w:rPr>
                          <w:t xml:space="preserve">2. </w:t>
                        </w:r>
                        <w:r w:rsidRPr="00B5325D">
                          <w:rPr>
                            <w:rFonts w:cstheme="minorHAnsi"/>
                            <w:sz w:val="22"/>
                          </w:rPr>
                          <w:t xml:space="preserve">Considered the following: </w:t>
                        </w:r>
                      </w:p>
                      <w:p w14:paraId="710B1BCD" w14:textId="07F47FE3" w:rsidR="00B32AC9" w:rsidRPr="00B5325D" w:rsidRDefault="00B32AC9" w:rsidP="0078360F">
                        <w:pPr>
                          <w:pStyle w:val="ListParagraph"/>
                          <w:numPr>
                            <w:ilvl w:val="0"/>
                            <w:numId w:val="37"/>
                          </w:numPr>
                          <w:rPr>
                            <w:rFonts w:cstheme="minorHAnsi"/>
                            <w:sz w:val="22"/>
                          </w:rPr>
                        </w:pPr>
                        <w:r w:rsidRPr="00B5325D">
                          <w:rPr>
                            <w:rFonts w:cstheme="minorHAnsi"/>
                            <w:sz w:val="22"/>
                          </w:rPr>
                          <w:t>what a 600</w:t>
                        </w:r>
                        <w:r>
                          <w:rPr>
                            <w:rFonts w:cstheme="minorHAnsi"/>
                            <w:sz w:val="22"/>
                          </w:rPr>
                          <w:t xml:space="preserve"> </w:t>
                        </w:r>
                        <w:r w:rsidRPr="00B5325D">
                          <w:rPr>
                            <w:rFonts w:cstheme="minorHAnsi"/>
                            <w:sz w:val="22"/>
                          </w:rPr>
                          <w:t>kJ serving represents</w:t>
                        </w:r>
                      </w:p>
                      <w:p w14:paraId="024D58D9" w14:textId="3E6241FC" w:rsidR="00B32AC9" w:rsidRPr="00B5325D" w:rsidRDefault="00B32AC9" w:rsidP="0078360F">
                        <w:pPr>
                          <w:pStyle w:val="ListParagraph"/>
                          <w:numPr>
                            <w:ilvl w:val="0"/>
                            <w:numId w:val="37"/>
                          </w:numPr>
                          <w:rPr>
                            <w:rFonts w:cstheme="minorHAnsi"/>
                            <w:sz w:val="22"/>
                          </w:rPr>
                        </w:pPr>
                        <w:r w:rsidRPr="00B5325D">
                          <w:rPr>
                            <w:rFonts w:cstheme="minorHAnsi"/>
                            <w:sz w:val="22"/>
                          </w:rPr>
                          <w:t>typical portion sizes consumed</w:t>
                        </w:r>
                      </w:p>
                      <w:p w14:paraId="4A7249B2" w14:textId="21367CBF" w:rsidR="00B32AC9" w:rsidRPr="00B5325D" w:rsidRDefault="00B32AC9" w:rsidP="0078360F">
                        <w:pPr>
                          <w:pStyle w:val="ListParagraph"/>
                          <w:numPr>
                            <w:ilvl w:val="0"/>
                            <w:numId w:val="37"/>
                          </w:numPr>
                          <w:rPr>
                            <w:rFonts w:cstheme="minorHAnsi"/>
                            <w:sz w:val="22"/>
                          </w:rPr>
                        </w:pPr>
                        <w:r w:rsidRPr="00B5325D">
                          <w:rPr>
                            <w:rFonts w:cstheme="minorHAnsi"/>
                            <w:sz w:val="22"/>
                          </w:rPr>
                          <w:t>sales and product data</w:t>
                        </w:r>
                        <w:r>
                          <w:rPr>
                            <w:rFonts w:cstheme="minorHAnsi"/>
                            <w:sz w:val="22"/>
                          </w:rPr>
                          <w:t xml:space="preserve"> (66</w:t>
                        </w:r>
                        <w:r w:rsidRPr="008B3E3D">
                          <w:rPr>
                            <w:rFonts w:cstheme="minorHAnsi"/>
                            <w:sz w:val="22"/>
                            <w:vertAlign w:val="superscript"/>
                          </w:rPr>
                          <w:t>th</w:t>
                        </w:r>
                        <w:r>
                          <w:rPr>
                            <w:rFonts w:cstheme="minorHAnsi"/>
                            <w:sz w:val="22"/>
                          </w:rPr>
                          <w:t xml:space="preserve"> percentile)</w:t>
                        </w:r>
                      </w:p>
                      <w:p w14:paraId="16E93510" w14:textId="699BF9C7" w:rsidR="00B32AC9" w:rsidRPr="00B5325D" w:rsidRDefault="00B32AC9" w:rsidP="0078360F">
                        <w:pPr>
                          <w:pStyle w:val="ListParagraph"/>
                          <w:numPr>
                            <w:ilvl w:val="0"/>
                            <w:numId w:val="37"/>
                          </w:numPr>
                          <w:rPr>
                            <w:rFonts w:cstheme="minorHAnsi"/>
                            <w:sz w:val="22"/>
                          </w:rPr>
                        </w:pPr>
                        <w:r>
                          <w:rPr>
                            <w:rFonts w:cstheme="minorHAnsi"/>
                            <w:sz w:val="22"/>
                          </w:rPr>
                          <w:t>original r</w:t>
                        </w:r>
                        <w:r w:rsidRPr="00B5325D">
                          <w:rPr>
                            <w:rFonts w:cstheme="minorHAnsi"/>
                            <w:sz w:val="22"/>
                          </w:rPr>
                          <w:t xml:space="preserve">esearch </w:t>
                        </w:r>
                      </w:p>
                    </w:txbxContent>
                  </v:textbox>
                </v:shape>
                <v:shape id="Text Box 21" o:spid="_x0000_s1034" type="#_x0000_t202" style="position:absolute;left:658;top:20599;width:28610;height:5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Q0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SQ6/X9IPkIsfAAAA//8DAFBLAQItABQABgAIAAAAIQDb4fbL7gAAAIUBAAATAAAAAAAAAAAA&#10;AAAAAAAAAABbQ29udGVudF9UeXBlc10ueG1sUEsBAi0AFAAGAAgAAAAhAFr0LFu/AAAAFQEAAAsA&#10;AAAAAAAAAAAAAAAAHwEAAF9yZWxzLy5yZWxzUEsBAi0AFAAGAAgAAAAhAKwcJDTEAAAA2wAAAA8A&#10;AAAAAAAAAAAAAAAABwIAAGRycy9kb3ducmV2LnhtbFBLBQYAAAAAAwADALcAAAD4AgAAAAA=&#10;" fillcolor="white [3201]" strokeweight=".5pt">
                  <v:textbox>
                    <w:txbxContent>
                      <w:p w14:paraId="42D5895F" w14:textId="39D6F987" w:rsidR="00B32AC9" w:rsidRPr="00B5325D" w:rsidRDefault="00B32AC9" w:rsidP="004F5DB5">
                        <w:pPr>
                          <w:jc w:val="center"/>
                          <w:rPr>
                            <w:rFonts w:cstheme="minorHAnsi"/>
                            <w:sz w:val="22"/>
                          </w:rPr>
                        </w:pPr>
                        <w:r>
                          <w:rPr>
                            <w:rFonts w:cstheme="minorHAnsi"/>
                            <w:sz w:val="22"/>
                          </w:rPr>
                          <w:t xml:space="preserve">3. </w:t>
                        </w:r>
                        <w:r w:rsidRPr="00B5325D">
                          <w:rPr>
                            <w:rFonts w:cstheme="minorHAnsi"/>
                            <w:sz w:val="22"/>
                          </w:rPr>
                          <w:t>Does this serving size align with relevant jurisdictional</w:t>
                        </w:r>
                        <w:r>
                          <w:rPr>
                            <w:rFonts w:cstheme="minorHAnsi"/>
                            <w:sz w:val="22"/>
                          </w:rPr>
                          <w:t xml:space="preserve">/industry </w:t>
                        </w:r>
                        <w:r w:rsidRPr="00B5325D">
                          <w:rPr>
                            <w:rFonts w:cstheme="minorHAnsi"/>
                            <w:sz w:val="22"/>
                          </w:rPr>
                          <w:t>guidance?</w:t>
                        </w:r>
                      </w:p>
                    </w:txbxContent>
                  </v:textbox>
                </v:shape>
                <v:shape id="Text Box 22" o:spid="_x0000_s1035" type="#_x0000_t202" style="position:absolute;left:31940;top:20510;width:19384;height: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" fillcolor="white [3201]" strokeweight=".5pt">
                  <v:textbox>
                    <w:txbxContent>
                      <w:p w14:paraId="50C094D5" w14:textId="5D98FB93" w:rsidR="00B32AC9" w:rsidRPr="00B5325D" w:rsidRDefault="00B32AC9" w:rsidP="004F5DB5">
                        <w:pPr>
                          <w:jc w:val="center"/>
                          <w:rPr>
                            <w:rFonts w:cstheme="minorHAnsi"/>
                            <w:sz w:val="22"/>
                          </w:rPr>
                        </w:pPr>
                        <w:r w:rsidRPr="00B5325D">
                          <w:rPr>
                            <w:rFonts w:cstheme="minorHAnsi"/>
                            <w:sz w:val="22"/>
                          </w:rPr>
                          <w:t>If not aligned, provide justification</w:t>
                        </w:r>
                      </w:p>
                    </w:txbxContent>
                  </v:textbox>
                </v:shape>
                <v:shape id="Text Box 23" o:spid="_x0000_s1036" type="#_x0000_t202" style="position:absolute;left:683;top:28600;width:28202;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" fillcolor="white [3201]" strokeweight=".5pt">
                  <v:textbox>
                    <w:txbxContent>
                      <w:p w14:paraId="1F7981BE" w14:textId="30074300" w:rsidR="00B32AC9" w:rsidRDefault="00B32AC9" w:rsidP="009E4815">
                        <w:pPr>
                          <w:rPr>
                            <w:rFonts w:cstheme="minorHAnsi"/>
                            <w:sz w:val="22"/>
                          </w:rPr>
                        </w:pPr>
                        <w:r>
                          <w:rPr>
                            <w:rFonts w:cstheme="minorHAnsi"/>
                            <w:sz w:val="22"/>
                          </w:rPr>
                          <w:t xml:space="preserve">4. </w:t>
                        </w:r>
                        <w:r w:rsidRPr="00B5325D">
                          <w:rPr>
                            <w:rFonts w:cstheme="minorHAnsi"/>
                            <w:sz w:val="22"/>
                          </w:rPr>
                          <w:t>Is the serving size feasible, considering existing serving si</w:t>
                        </w:r>
                        <w:r>
                          <w:rPr>
                            <w:rFonts w:cstheme="minorHAnsi"/>
                            <w:sz w:val="22"/>
                          </w:rPr>
                          <w:t>zes</w:t>
                        </w:r>
                        <w:r w:rsidRPr="00B5325D">
                          <w:rPr>
                            <w:rFonts w:cstheme="minorHAnsi"/>
                            <w:sz w:val="22"/>
                          </w:rPr>
                          <w:t>?</w:t>
                        </w:r>
                        <w:r>
                          <w:rPr>
                            <w:rFonts w:cstheme="minorHAnsi"/>
                            <w:sz w:val="22"/>
                          </w:rPr>
                          <w:t xml:space="preserve"> Considered:</w:t>
                        </w:r>
                      </w:p>
                      <w:p w14:paraId="31E1346D" w14:textId="77777777" w:rsidR="00B32AC9" w:rsidRPr="00B5325D" w:rsidRDefault="00B32AC9" w:rsidP="0078360F">
                        <w:pPr>
                          <w:pStyle w:val="ListParagraph"/>
                          <w:numPr>
                            <w:ilvl w:val="0"/>
                            <w:numId w:val="37"/>
                          </w:numPr>
                          <w:rPr>
                            <w:rFonts w:cstheme="minorHAnsi"/>
                            <w:sz w:val="22"/>
                          </w:rPr>
                        </w:pPr>
                        <w:r w:rsidRPr="00B5325D">
                          <w:rPr>
                            <w:rFonts w:cstheme="minorHAnsi"/>
                            <w:sz w:val="22"/>
                          </w:rPr>
                          <w:t>sales and product data</w:t>
                        </w:r>
                      </w:p>
                      <w:p w14:paraId="27A4FE4F" w14:textId="77777777" w:rsidR="00B32AC9" w:rsidRPr="00B5325D" w:rsidRDefault="00B32AC9" w:rsidP="0078360F">
                        <w:pPr>
                          <w:pStyle w:val="ListParagraph"/>
                          <w:numPr>
                            <w:ilvl w:val="0"/>
                            <w:numId w:val="37"/>
                          </w:numPr>
                          <w:rPr>
                            <w:rFonts w:cstheme="minorHAnsi"/>
                            <w:sz w:val="22"/>
                          </w:rPr>
                        </w:pPr>
                        <w:r>
                          <w:rPr>
                            <w:rFonts w:cstheme="minorHAnsi"/>
                            <w:sz w:val="22"/>
                          </w:rPr>
                          <w:t>original r</w:t>
                        </w:r>
                        <w:r w:rsidRPr="00B5325D">
                          <w:rPr>
                            <w:rFonts w:cstheme="minorHAnsi"/>
                            <w:sz w:val="22"/>
                          </w:rPr>
                          <w:t xml:space="preserve">esearch </w:t>
                        </w:r>
                      </w:p>
                      <w:p w14:paraId="0243286A" w14:textId="77777777" w:rsidR="00B32AC9" w:rsidRPr="00B5325D" w:rsidRDefault="00B32AC9" w:rsidP="004F5DB5">
                        <w:pPr>
                          <w:jc w:val="center"/>
                          <w:rPr>
                            <w:rFonts w:cstheme="minorHAnsi"/>
                            <w:sz w:val="22"/>
                          </w:rPr>
                        </w:pPr>
                      </w:p>
                    </w:txbxContent>
                  </v:textbox>
                </v:shape>
                <v:shape id="Text Box 24" o:spid="_x0000_s1037" type="#_x0000_t202" style="position:absolute;left:48;top:39268;width:28901;height:4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14:paraId="428D5F26" w14:textId="342B8D13" w:rsidR="00B32AC9" w:rsidRPr="00B5325D" w:rsidRDefault="00B32AC9" w:rsidP="004F5DB5">
                        <w:pPr>
                          <w:jc w:val="center"/>
                          <w:rPr>
                            <w:rFonts w:cstheme="minorHAnsi"/>
                            <w:sz w:val="22"/>
                          </w:rPr>
                        </w:pPr>
                        <w:r>
                          <w:rPr>
                            <w:sz w:val="22"/>
                          </w:rPr>
                          <w:t xml:space="preserve">5. </w:t>
                        </w:r>
                        <w:r w:rsidRPr="00B5325D">
                          <w:rPr>
                            <w:sz w:val="22"/>
                          </w:rPr>
                          <w:t>Will the</w:t>
                        </w:r>
                        <w:r>
                          <w:rPr>
                            <w:sz w:val="22"/>
                          </w:rPr>
                          <w:t xml:space="preserve"> recommendation be accepted by industry and the c</w:t>
                        </w:r>
                        <w:r w:rsidRPr="00B5325D">
                          <w:rPr>
                            <w:sz w:val="22"/>
                          </w:rPr>
                          <w:t>onsumer</w:t>
                        </w:r>
                        <w:r>
                          <w:rPr>
                            <w:sz w:val="22"/>
                          </w:rPr>
                          <w:t>?</w:t>
                        </w:r>
                      </w:p>
                    </w:txbxContent>
                  </v:textbox>
                </v:shape>
                <v:shape id="Text Box 26" o:spid="_x0000_s1038" type="#_x0000_t202" style="position:absolute;left:32006;top:28597;width:19311;height:6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14:paraId="34FC86B7" w14:textId="5821F8CA" w:rsidR="00B32AC9" w:rsidRPr="00B5325D" w:rsidRDefault="00B32AC9" w:rsidP="004F5DB5">
                        <w:pPr>
                          <w:jc w:val="center"/>
                          <w:rPr>
                            <w:rFonts w:cstheme="minorHAnsi"/>
                            <w:sz w:val="22"/>
                          </w:rPr>
                        </w:pPr>
                        <w:r w:rsidRPr="00B5325D">
                          <w:rPr>
                            <w:rFonts w:cstheme="minorHAnsi"/>
                            <w:sz w:val="22"/>
                          </w:rPr>
                          <w:t>Increase until feasible serving size is reached</w:t>
                        </w:r>
                      </w:p>
                    </w:txbxContent>
                  </v:textbox>
                </v:shape>
                <v:shape id="Text Box 18" o:spid="_x0000_s1039" type="#_x0000_t202" style="position:absolute;left:65;top:236;width:29203;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14:paraId="744696FF" w14:textId="13BFAFA8" w:rsidR="00B32AC9" w:rsidRPr="002B3E9F" w:rsidRDefault="00B32AC9" w:rsidP="0078360F">
                        <w:pPr>
                          <w:pStyle w:val="ListParagraph"/>
                          <w:numPr>
                            <w:ilvl w:val="0"/>
                            <w:numId w:val="38"/>
                          </w:numPr>
                          <w:jc w:val="center"/>
                          <w:rPr>
                            <w:rFonts w:cstheme="minorHAnsi"/>
                            <w:sz w:val="22"/>
                          </w:rPr>
                        </w:pPr>
                        <w:r w:rsidRPr="002B3E9F">
                          <w:rPr>
                            <w:rFonts w:cstheme="minorHAnsi"/>
                            <w:sz w:val="22"/>
                          </w:rPr>
                          <w:t>Deter</w:t>
                        </w:r>
                        <w:r>
                          <w:rPr>
                            <w:rFonts w:cstheme="minorHAnsi"/>
                            <w:sz w:val="22"/>
                          </w:rPr>
                          <w:t xml:space="preserve">mine the setting: retail or out of </w:t>
                        </w:r>
                        <w:r w:rsidRPr="002B3E9F">
                          <w:rPr>
                            <w:rFonts w:cstheme="minorHAnsi"/>
                            <w:sz w:val="22"/>
                          </w:rPr>
                          <w:t>home and context: meal or snack</w:t>
                        </w:r>
                      </w:p>
                    </w:txbxContent>
                  </v:textbox>
                </v:shape>
                <v:shape id="Straight Arrow Connector 33" o:spid="_x0000_s1040" type="#_x0000_t32" style="position:absolute;left:28887;top:32032;width:31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" strokecolor="red" strokeweight="3pt">
                  <v:stroke endarrow="block"/>
                  <v:shadow on="t" color="black" opacity="22937f" origin=",.5" offset="0,.63889mm"/>
                </v:shape>
                <v:shape id="Straight Arrow Connector 36" o:spid="_x0000_s1041" type="#_x0000_t32" style="position:absolute;left:29267;top:24028;width:267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" strokecolor="red" strokeweight="3pt">
                  <v:stroke endarrow="block"/>
                  <v:shadow on="t" color="black" opacity="22937f" origin=",.5" offset="0,.63889mm"/>
                </v:shape>
                <v:line id="Straight Connector 39" o:spid="_x0000_s1042" style="position:absolute;visibility:visible;mso-wrap-style:square" from="37794,35493" to="37794,4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" strokecolor="#f79646 [3209]" strokeweight="3pt">
                  <v:shadow on="t" color="black" opacity="22937f" origin=",.5" offset="0,.63889mm"/>
                </v:line>
                <v:shape id="Straight Arrow Connector 40" o:spid="_x0000_s1043" type="#_x0000_t32" style="position:absolute;left:29267;top:40030;width:85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" strokecolor="#f79646 [3209]" strokeweight="3pt">
                  <v:stroke endarrow="block"/>
                  <v:shadow on="t" color="black" opacity="22937f" origin=",.5" offset="0,.63889mm"/>
                </v:shape>
                <w10:anchorlock/>
              </v:group>
            </w:pict>
          </mc:Fallback>
        </mc:AlternateContent>
      </w:r>
    </w:p>
    <w:p w14:paraId="2AB3DB7D" w14:textId="77777777" w:rsidR="00795E9E" w:rsidRDefault="00795E9E">
      <w:pPr>
        <w:rPr>
          <w:rFonts w:asciiTheme="majorHAnsi" w:eastAsiaTheme="majorEastAsia" w:hAnsiTheme="majorHAnsi" w:cs="Arial"/>
          <w:b/>
          <w:bCs/>
          <w:sz w:val="26"/>
          <w:szCs w:val="26"/>
        </w:rPr>
      </w:pPr>
      <w:bookmarkStart w:id="22" w:name="_Toc109294243"/>
      <w:r>
        <w:br w:type="page"/>
      </w:r>
    </w:p>
    <w:p w14:paraId="20D1E28C" w14:textId="2305A5BC" w:rsidR="002E0B70" w:rsidRDefault="00994436" w:rsidP="002E0B70">
      <w:pPr>
        <w:pStyle w:val="Heading3"/>
      </w:pPr>
      <w:r>
        <w:lastRenderedPageBreak/>
        <w:t>6</w:t>
      </w:r>
      <w:r w:rsidR="00A02CDA">
        <w:t>.2</w:t>
      </w:r>
      <w:r w:rsidR="002E0B70">
        <w:t xml:space="preserve">.1 </w:t>
      </w:r>
      <w:r w:rsidR="002E0B70">
        <w:tab/>
        <w:t>Limitations</w:t>
      </w:r>
      <w:bookmarkEnd w:id="22"/>
    </w:p>
    <w:p w14:paraId="457EE20B" w14:textId="6D9DEB30" w:rsidR="00BF09D7" w:rsidRPr="00CB13AC" w:rsidRDefault="00BF09D7" w:rsidP="002E0B70">
      <w:pPr>
        <w:spacing w:before="120" w:after="120"/>
        <w:rPr>
          <w:sz w:val="22"/>
          <w:szCs w:val="22"/>
        </w:rPr>
      </w:pPr>
      <w:r w:rsidRPr="00CB13AC">
        <w:rPr>
          <w:sz w:val="22"/>
          <w:szCs w:val="22"/>
        </w:rPr>
        <w:t xml:space="preserve">There were </w:t>
      </w:r>
      <w:proofErr w:type="gramStart"/>
      <w:r w:rsidRPr="00CB13AC">
        <w:rPr>
          <w:sz w:val="22"/>
          <w:szCs w:val="22"/>
        </w:rPr>
        <w:t>a number of</w:t>
      </w:r>
      <w:proofErr w:type="gramEnd"/>
      <w:r w:rsidRPr="00CB13AC">
        <w:rPr>
          <w:sz w:val="22"/>
          <w:szCs w:val="22"/>
        </w:rPr>
        <w:t xml:space="preserve"> limitations encountered by the IBPGWG when det</w:t>
      </w:r>
      <w:r w:rsidR="0053523A" w:rsidRPr="00CB13AC">
        <w:rPr>
          <w:sz w:val="22"/>
          <w:szCs w:val="22"/>
        </w:rPr>
        <w:t>ermining the priority food categories</w:t>
      </w:r>
      <w:r w:rsidRPr="00CB13AC">
        <w:rPr>
          <w:sz w:val="22"/>
          <w:szCs w:val="22"/>
        </w:rPr>
        <w:t xml:space="preserve"> </w:t>
      </w:r>
      <w:r w:rsidR="0053523A" w:rsidRPr="00CB13AC">
        <w:rPr>
          <w:sz w:val="22"/>
          <w:szCs w:val="22"/>
        </w:rPr>
        <w:t>and the serving size recommendations.</w:t>
      </w:r>
    </w:p>
    <w:p w14:paraId="5E5478F6" w14:textId="71D7849E" w:rsidR="0053523A" w:rsidRDefault="0053523A" w:rsidP="00EF5AED">
      <w:pPr>
        <w:pStyle w:val="ListParagraph"/>
        <w:numPr>
          <w:ilvl w:val="0"/>
          <w:numId w:val="39"/>
        </w:numPr>
        <w:spacing w:before="120" w:after="120"/>
        <w:ind w:left="714" w:hanging="357"/>
        <w:contextualSpacing w:val="0"/>
        <w:rPr>
          <w:sz w:val="22"/>
          <w:szCs w:val="22"/>
        </w:rPr>
      </w:pPr>
      <w:r w:rsidRPr="39CAFA46">
        <w:rPr>
          <w:sz w:val="22"/>
          <w:szCs w:val="22"/>
        </w:rPr>
        <w:t>The priority categories were selected based on their contributions to discretionary energy, sodium, saturated fat and added sugar. The consumption data used to calculate these contributions w</w:t>
      </w:r>
      <w:r w:rsidR="60159F10" w:rsidRPr="39CAFA46">
        <w:rPr>
          <w:sz w:val="22"/>
          <w:szCs w:val="22"/>
        </w:rPr>
        <w:t>ere</w:t>
      </w:r>
      <w:r w:rsidRPr="39CAFA46">
        <w:rPr>
          <w:sz w:val="22"/>
          <w:szCs w:val="22"/>
        </w:rPr>
        <w:t xml:space="preserve"> collected as part of the National Nutrition and Physical Activity component of the Australian Health Survey in 2011</w:t>
      </w:r>
      <w:r w:rsidR="00EB2E43">
        <w:rPr>
          <w:sz w:val="22"/>
          <w:szCs w:val="22"/>
        </w:rPr>
        <w:t>–</w:t>
      </w:r>
      <w:r w:rsidRPr="39CAFA46">
        <w:rPr>
          <w:sz w:val="22"/>
          <w:szCs w:val="22"/>
        </w:rPr>
        <w:t xml:space="preserve">13. The </w:t>
      </w:r>
      <w:r w:rsidR="00CB13AC" w:rsidRPr="001E089F">
        <w:rPr>
          <w:bCs/>
          <w:sz w:val="22"/>
          <w:szCs w:val="22"/>
        </w:rPr>
        <w:t>IBPGWG</w:t>
      </w:r>
      <w:r w:rsidR="00CB13AC" w:rsidRPr="39CAFA46">
        <w:rPr>
          <w:sz w:val="22"/>
          <w:szCs w:val="22"/>
        </w:rPr>
        <w:t xml:space="preserve"> </w:t>
      </w:r>
      <w:r w:rsidRPr="39CAFA46">
        <w:rPr>
          <w:sz w:val="22"/>
          <w:szCs w:val="22"/>
        </w:rPr>
        <w:t xml:space="preserve">acknowledges that </w:t>
      </w:r>
      <w:r w:rsidR="000302E6" w:rsidRPr="39CAFA46">
        <w:rPr>
          <w:sz w:val="22"/>
          <w:szCs w:val="22"/>
        </w:rPr>
        <w:t xml:space="preserve">the food supply, </w:t>
      </w:r>
      <w:r w:rsidRPr="39CAFA46">
        <w:rPr>
          <w:sz w:val="22"/>
          <w:szCs w:val="22"/>
        </w:rPr>
        <w:t xml:space="preserve">consumption patterns </w:t>
      </w:r>
      <w:r w:rsidR="00916328" w:rsidRPr="39CAFA46">
        <w:rPr>
          <w:sz w:val="22"/>
          <w:szCs w:val="22"/>
        </w:rPr>
        <w:t xml:space="preserve">and portion sizes </w:t>
      </w:r>
      <w:r w:rsidRPr="39CAFA46">
        <w:rPr>
          <w:sz w:val="22"/>
          <w:szCs w:val="22"/>
        </w:rPr>
        <w:t>may have changed since th</w:t>
      </w:r>
      <w:r w:rsidR="000302E6" w:rsidRPr="39CAFA46">
        <w:rPr>
          <w:sz w:val="22"/>
          <w:szCs w:val="22"/>
        </w:rPr>
        <w:t>ese</w:t>
      </w:r>
      <w:r w:rsidRPr="39CAFA46">
        <w:rPr>
          <w:sz w:val="22"/>
          <w:szCs w:val="22"/>
        </w:rPr>
        <w:t xml:space="preserve"> data w</w:t>
      </w:r>
      <w:r w:rsidR="000302E6" w:rsidRPr="39CAFA46">
        <w:rPr>
          <w:sz w:val="22"/>
          <w:szCs w:val="22"/>
        </w:rPr>
        <w:t>ere</w:t>
      </w:r>
      <w:r w:rsidR="00800BEF">
        <w:rPr>
          <w:sz w:val="22"/>
          <w:szCs w:val="22"/>
        </w:rPr>
        <w:t xml:space="preserve"> collected. H</w:t>
      </w:r>
      <w:r w:rsidRPr="39CAFA46">
        <w:rPr>
          <w:sz w:val="22"/>
          <w:szCs w:val="22"/>
        </w:rPr>
        <w:t>owever</w:t>
      </w:r>
      <w:r w:rsidR="00800BEF">
        <w:rPr>
          <w:sz w:val="22"/>
          <w:szCs w:val="22"/>
        </w:rPr>
        <w:t>, this data</w:t>
      </w:r>
      <w:r w:rsidRPr="39CAFA46">
        <w:rPr>
          <w:sz w:val="22"/>
          <w:szCs w:val="22"/>
        </w:rPr>
        <w:t xml:space="preserve"> remains the most </w:t>
      </w:r>
      <w:r w:rsidR="000302E6" w:rsidRPr="39CAFA46">
        <w:rPr>
          <w:sz w:val="22"/>
          <w:szCs w:val="22"/>
        </w:rPr>
        <w:t xml:space="preserve">current and </w:t>
      </w:r>
      <w:r w:rsidRPr="39CAFA46">
        <w:rPr>
          <w:sz w:val="22"/>
          <w:szCs w:val="22"/>
        </w:rPr>
        <w:t>comprehensive</w:t>
      </w:r>
      <w:r w:rsidR="00CB13AC" w:rsidRPr="39CAFA46">
        <w:rPr>
          <w:sz w:val="22"/>
          <w:szCs w:val="22"/>
        </w:rPr>
        <w:t xml:space="preserve"> dataset on population intakes available.</w:t>
      </w:r>
      <w:r w:rsidRPr="39CAFA46">
        <w:rPr>
          <w:sz w:val="22"/>
          <w:szCs w:val="22"/>
        </w:rPr>
        <w:t xml:space="preserve"> </w:t>
      </w:r>
    </w:p>
    <w:p w14:paraId="027EA31B" w14:textId="4FFE4843" w:rsidR="00CB13AC" w:rsidRPr="00CB13AC" w:rsidRDefault="00CB13AC" w:rsidP="0078360F">
      <w:pPr>
        <w:pStyle w:val="ListParagraph"/>
        <w:numPr>
          <w:ilvl w:val="0"/>
          <w:numId w:val="39"/>
        </w:numPr>
        <w:spacing w:before="120" w:after="120"/>
        <w:rPr>
          <w:sz w:val="22"/>
          <w:szCs w:val="22"/>
        </w:rPr>
      </w:pPr>
      <w:r w:rsidRPr="6099F934">
        <w:rPr>
          <w:sz w:val="22"/>
          <w:szCs w:val="22"/>
        </w:rPr>
        <w:t>Product data for many of the out of home categories was limited. The IBPGWG purchased data from the Interactive Food &amp; Exercise Database (</w:t>
      </w:r>
      <w:proofErr w:type="spellStart"/>
      <w:r w:rsidRPr="6099F934">
        <w:rPr>
          <w:sz w:val="22"/>
          <w:szCs w:val="22"/>
        </w:rPr>
        <w:t>iFed</w:t>
      </w:r>
      <w:proofErr w:type="spellEnd"/>
      <w:r w:rsidRPr="6099F934">
        <w:rPr>
          <w:sz w:val="22"/>
          <w:szCs w:val="22"/>
        </w:rPr>
        <w:t xml:space="preserve">) and from the CSIRO’s </w:t>
      </w:r>
      <w:proofErr w:type="spellStart"/>
      <w:r w:rsidRPr="6099F934">
        <w:rPr>
          <w:sz w:val="22"/>
          <w:szCs w:val="22"/>
        </w:rPr>
        <w:t>FoodTrack</w:t>
      </w:r>
      <w:proofErr w:type="spellEnd"/>
      <w:r w:rsidRPr="6099F934">
        <w:rPr>
          <w:sz w:val="22"/>
          <w:szCs w:val="22"/>
        </w:rPr>
        <w:t xml:space="preserve"> database,</w:t>
      </w:r>
      <w:r w:rsidR="00BC58E6">
        <w:rPr>
          <w:sz w:val="22"/>
          <w:szCs w:val="22"/>
        </w:rPr>
        <w:t xml:space="preserve"> </w:t>
      </w:r>
      <w:r w:rsidRPr="6099F934">
        <w:rPr>
          <w:sz w:val="22"/>
          <w:szCs w:val="22"/>
        </w:rPr>
        <w:t>and supplemented with other sources for example market data, research reports</w:t>
      </w:r>
      <w:r w:rsidR="00916328" w:rsidRPr="6099F934">
        <w:rPr>
          <w:sz w:val="22"/>
          <w:szCs w:val="22"/>
        </w:rPr>
        <w:t>, and own data collection</w:t>
      </w:r>
      <w:r w:rsidR="000302E6" w:rsidRPr="6099F934">
        <w:rPr>
          <w:sz w:val="22"/>
          <w:szCs w:val="22"/>
        </w:rPr>
        <w:t xml:space="preserve">. As a result, </w:t>
      </w:r>
      <w:r w:rsidR="008B3E3D" w:rsidRPr="6099F934">
        <w:rPr>
          <w:sz w:val="22"/>
          <w:szCs w:val="22"/>
        </w:rPr>
        <w:t>while the IBPGWG considered the</w:t>
      </w:r>
      <w:r w:rsidR="000302E6" w:rsidRPr="6099F934">
        <w:rPr>
          <w:sz w:val="22"/>
          <w:szCs w:val="22"/>
        </w:rPr>
        <w:t xml:space="preserve"> 66</w:t>
      </w:r>
      <w:r w:rsidR="00CB18DF" w:rsidRPr="6099F934">
        <w:rPr>
          <w:sz w:val="22"/>
          <w:szCs w:val="22"/>
          <w:vertAlign w:val="superscript"/>
        </w:rPr>
        <w:t>th</w:t>
      </w:r>
      <w:r w:rsidR="000302E6" w:rsidRPr="6099F934">
        <w:rPr>
          <w:sz w:val="22"/>
          <w:szCs w:val="22"/>
        </w:rPr>
        <w:t xml:space="preserve"> percentile data</w:t>
      </w:r>
      <w:r w:rsidR="008B3E3D" w:rsidRPr="6099F934">
        <w:rPr>
          <w:sz w:val="22"/>
          <w:szCs w:val="22"/>
        </w:rPr>
        <w:t xml:space="preserve"> when setting the serving size recommendations, it</w:t>
      </w:r>
      <w:r w:rsidR="000302E6" w:rsidRPr="6099F934">
        <w:rPr>
          <w:sz w:val="22"/>
          <w:szCs w:val="22"/>
        </w:rPr>
        <w:t xml:space="preserve"> cannot be relied on for accuracy.</w:t>
      </w:r>
    </w:p>
    <w:p w14:paraId="144E45A4" w14:textId="77777777" w:rsidR="00795E9E" w:rsidRDefault="00795E9E">
      <w:pPr>
        <w:rPr>
          <w:rFonts w:asciiTheme="majorHAnsi" w:eastAsiaTheme="majorEastAsia" w:hAnsiTheme="majorHAnsi" w:cs="Arial"/>
          <w:kern w:val="32"/>
          <w:sz w:val="32"/>
          <w:szCs w:val="32"/>
        </w:rPr>
      </w:pPr>
      <w:bookmarkStart w:id="23" w:name="_Toc109294244"/>
      <w:r>
        <w:rPr>
          <w:b/>
          <w:bCs/>
        </w:rPr>
        <w:br w:type="page"/>
      </w:r>
    </w:p>
    <w:p w14:paraId="3AC46D46" w14:textId="48C6F914" w:rsidR="00D607B3" w:rsidRPr="001531CE" w:rsidRDefault="00994436" w:rsidP="00795E9E">
      <w:pPr>
        <w:pStyle w:val="Heading1"/>
        <w:spacing w:before="0" w:after="240"/>
        <w:rPr>
          <w:shd w:val="clear" w:color="auto" w:fill="FFFFFF"/>
        </w:rPr>
      </w:pPr>
      <w:r w:rsidRPr="00994436">
        <w:rPr>
          <w:b w:val="0"/>
          <w:bCs w:val="0"/>
        </w:rPr>
        <w:lastRenderedPageBreak/>
        <w:t>7.</w:t>
      </w:r>
      <w:r>
        <w:t xml:space="preserve"> </w:t>
      </w:r>
      <w:r w:rsidR="00A03B49" w:rsidRPr="00994436">
        <w:t>S</w:t>
      </w:r>
      <w:r w:rsidR="0040163C" w:rsidRPr="00994436">
        <w:t>erving size recommendations</w:t>
      </w:r>
      <w:bookmarkEnd w:id="23"/>
    </w:p>
    <w:p w14:paraId="20BAC7C8" w14:textId="1F9D92F1" w:rsidR="003C71FE" w:rsidRPr="000A4148" w:rsidRDefault="003C71FE" w:rsidP="00795E9E">
      <w:pPr>
        <w:spacing w:before="120" w:after="120"/>
        <w:rPr>
          <w:sz w:val="22"/>
          <w:szCs w:val="22"/>
          <w:shd w:val="clear" w:color="auto" w:fill="FFFFFF"/>
        </w:rPr>
      </w:pPr>
      <w:r w:rsidRPr="226751A4">
        <w:rPr>
          <w:sz w:val="22"/>
          <w:szCs w:val="22"/>
          <w:shd w:val="clear" w:color="auto" w:fill="FFFFFF"/>
        </w:rPr>
        <w:t xml:space="preserve">Table 7 provides a list of categories and </w:t>
      </w:r>
      <w:r w:rsidR="004A2E4D">
        <w:rPr>
          <w:sz w:val="22"/>
          <w:szCs w:val="22"/>
          <w:shd w:val="clear" w:color="auto" w:fill="FFFFFF"/>
        </w:rPr>
        <w:t>maximum</w:t>
      </w:r>
      <w:r w:rsidRPr="226751A4">
        <w:rPr>
          <w:sz w:val="22"/>
          <w:szCs w:val="22"/>
          <w:shd w:val="clear" w:color="auto" w:fill="FFFFFF"/>
        </w:rPr>
        <w:t xml:space="preserve"> serving size recommendations. </w:t>
      </w:r>
      <w:r w:rsidR="000302E6">
        <w:rPr>
          <w:sz w:val="22"/>
          <w:szCs w:val="22"/>
          <w:shd w:val="clear" w:color="auto" w:fill="FFFFFF"/>
        </w:rPr>
        <w:t>These serving sizes are recommendations for</w:t>
      </w:r>
      <w:r w:rsidR="000302E6" w:rsidRPr="6099F934">
        <w:rPr>
          <w:b/>
          <w:bCs/>
          <w:sz w:val="22"/>
          <w:szCs w:val="22"/>
          <w:shd w:val="clear" w:color="auto" w:fill="FFFFFF"/>
        </w:rPr>
        <w:t xml:space="preserve"> </w:t>
      </w:r>
      <w:r w:rsidR="000302E6" w:rsidRPr="00AE7AFD">
        <w:rPr>
          <w:sz w:val="22"/>
          <w:szCs w:val="22"/>
          <w:shd w:val="clear" w:color="auto" w:fill="FFFFFF"/>
        </w:rPr>
        <w:t>maximum size</w:t>
      </w:r>
      <w:r w:rsidR="000302E6">
        <w:rPr>
          <w:sz w:val="22"/>
          <w:szCs w:val="22"/>
          <w:shd w:val="clear" w:color="auto" w:fill="FFFFFF"/>
        </w:rPr>
        <w:t xml:space="preserve"> and smaller options are encouraged to meet the needs of various population sub-groups such as young children, </w:t>
      </w:r>
      <w:r w:rsidR="001C211E" w:rsidRPr="6099F934">
        <w:rPr>
          <w:sz w:val="22"/>
          <w:szCs w:val="22"/>
        </w:rPr>
        <w:t>older people</w:t>
      </w:r>
      <w:r w:rsidR="000302E6">
        <w:rPr>
          <w:sz w:val="22"/>
          <w:szCs w:val="22"/>
          <w:shd w:val="clear" w:color="auto" w:fill="FFFFFF"/>
        </w:rPr>
        <w:t xml:space="preserve">, those on weight loss diets, and those with smaller appetites. </w:t>
      </w:r>
      <w:r w:rsidRPr="226751A4">
        <w:rPr>
          <w:sz w:val="22"/>
          <w:szCs w:val="22"/>
          <w:shd w:val="clear" w:color="auto" w:fill="FFFFFF"/>
        </w:rPr>
        <w:t xml:space="preserve">For the detailed definitions for each category, including a list of product inclusions and exclusions, refer to </w:t>
      </w:r>
      <w:hyperlink w:anchor="_Appendix_B_-" w:history="1">
        <w:r w:rsidRPr="00994436">
          <w:rPr>
            <w:rStyle w:val="Hyperlink"/>
            <w:sz w:val="22"/>
            <w:szCs w:val="22"/>
            <w:shd w:val="clear" w:color="auto" w:fill="FFFFFF"/>
          </w:rPr>
          <w:t>Attachment B.</w:t>
        </w:r>
      </w:hyperlink>
    </w:p>
    <w:p w14:paraId="2983F445" w14:textId="26CC25A4" w:rsidR="001E089F" w:rsidRDefault="00A9065B" w:rsidP="00795E9E">
      <w:pPr>
        <w:keepNext/>
        <w:autoSpaceDE w:val="0"/>
        <w:autoSpaceDN w:val="0"/>
        <w:adjustRightInd w:val="0"/>
        <w:spacing w:before="240" w:after="120"/>
        <w:rPr>
          <w:b/>
          <w:bCs/>
        </w:rPr>
      </w:pPr>
      <w:r w:rsidRPr="0C597C9C">
        <w:rPr>
          <w:b/>
          <w:bCs/>
        </w:rPr>
        <w:t xml:space="preserve">Table 7: </w:t>
      </w:r>
      <w:r w:rsidR="0046583F">
        <w:rPr>
          <w:b/>
          <w:bCs/>
        </w:rPr>
        <w:t>Serving Size Recommendations</w:t>
      </w:r>
      <w:r w:rsidR="000A4148" w:rsidRPr="00A05067">
        <w:rPr>
          <w:rStyle w:val="FootnoteReference"/>
          <w:b/>
          <w:bCs/>
        </w:rPr>
        <w:footnoteReference w:id="6"/>
      </w:r>
    </w:p>
    <w:tbl>
      <w:tblPr>
        <w:tblStyle w:val="TableGrid4"/>
        <w:tblW w:w="9075" w:type="dxa"/>
        <w:tblLook w:val="04A0" w:firstRow="1" w:lastRow="0" w:firstColumn="1" w:lastColumn="0" w:noHBand="0" w:noVBand="1"/>
      </w:tblPr>
      <w:tblGrid>
        <w:gridCol w:w="3233"/>
        <w:gridCol w:w="5842"/>
      </w:tblGrid>
      <w:tr w:rsidR="003C71FE" w:rsidRPr="003C71FE" w14:paraId="0AEF2BB6" w14:textId="77777777" w:rsidTr="00257F32">
        <w:trPr>
          <w:trHeight w:val="570"/>
        </w:trPr>
        <w:tc>
          <w:tcPr>
            <w:tcW w:w="3233" w:type="dxa"/>
            <w:hideMark/>
          </w:tcPr>
          <w:p w14:paraId="3095518C" w14:textId="77777777" w:rsidR="003C71FE" w:rsidRPr="003C71FE" w:rsidRDefault="003C71FE" w:rsidP="00505B99">
            <w:pPr>
              <w:spacing w:before="60" w:after="60"/>
              <w:rPr>
                <w:rFonts w:cstheme="minorHAnsi"/>
                <w:b/>
              </w:rPr>
            </w:pPr>
            <w:r w:rsidRPr="003C71FE">
              <w:rPr>
                <w:rFonts w:cstheme="minorHAnsi"/>
                <w:b/>
              </w:rPr>
              <w:t>Partnership Food Category</w:t>
            </w:r>
          </w:p>
          <w:p w14:paraId="5978742B" w14:textId="679A9497" w:rsidR="003C71FE" w:rsidRPr="003C71FE" w:rsidRDefault="003C71FE" w:rsidP="00505B99">
            <w:pPr>
              <w:pStyle w:val="paragraph"/>
              <w:spacing w:before="60" w:beforeAutospacing="0" w:after="60" w:afterAutospacing="0"/>
              <w:textAlignment w:val="baseline"/>
              <w:rPr>
                <w:rFonts w:ascii="Segoe UI" w:hAnsi="Segoe UI" w:cs="Segoe UI"/>
                <w:sz w:val="18"/>
                <w:szCs w:val="18"/>
              </w:rPr>
            </w:pPr>
            <w:r w:rsidRPr="721DF8A1">
              <w:rPr>
                <w:rFonts w:asciiTheme="minorHAnsi" w:hAnsiTheme="minorHAnsi" w:cstheme="minorBidi"/>
                <w:i/>
                <w:iCs/>
                <w:sz w:val="20"/>
                <w:szCs w:val="20"/>
              </w:rPr>
              <w:t>(</w:t>
            </w:r>
            <w:proofErr w:type="gramStart"/>
            <w:r w:rsidRPr="721DF8A1">
              <w:rPr>
                <w:rFonts w:asciiTheme="minorHAnsi" w:hAnsiTheme="minorHAnsi" w:cstheme="minorBidi"/>
                <w:i/>
                <w:iCs/>
                <w:sz w:val="20"/>
                <w:szCs w:val="20"/>
              </w:rPr>
              <w:t>full</w:t>
            </w:r>
            <w:proofErr w:type="gramEnd"/>
            <w:r w:rsidRPr="721DF8A1">
              <w:rPr>
                <w:rFonts w:asciiTheme="minorHAnsi" w:hAnsiTheme="minorHAnsi" w:cstheme="minorBidi"/>
                <w:i/>
                <w:iCs/>
                <w:sz w:val="20"/>
                <w:szCs w:val="20"/>
              </w:rPr>
              <w:t xml:space="preserve"> details in Attachment B)</w:t>
            </w:r>
          </w:p>
        </w:tc>
        <w:tc>
          <w:tcPr>
            <w:tcW w:w="5842" w:type="dxa"/>
            <w:hideMark/>
          </w:tcPr>
          <w:p w14:paraId="7D0D8689" w14:textId="707D5CE0" w:rsidR="003C71FE" w:rsidRPr="003C71FE" w:rsidRDefault="003C71FE" w:rsidP="00505B99">
            <w:pPr>
              <w:spacing w:before="60" w:after="60"/>
              <w:textAlignment w:val="baseline"/>
              <w:rPr>
                <w:rFonts w:ascii="Segoe UI" w:eastAsia="Times New Roman" w:hAnsi="Segoe UI" w:cs="Segoe UI"/>
                <w:sz w:val="18"/>
                <w:szCs w:val="18"/>
              </w:rPr>
            </w:pPr>
            <w:r>
              <w:rPr>
                <w:b/>
              </w:rPr>
              <w:t>Serving size recommendation</w:t>
            </w:r>
            <w:r w:rsidR="001E089F">
              <w:rPr>
                <w:b/>
              </w:rPr>
              <w:t>s</w:t>
            </w:r>
          </w:p>
        </w:tc>
      </w:tr>
      <w:tr w:rsidR="002A4F76" w:rsidRPr="003C71FE" w14:paraId="1CA27B72" w14:textId="77777777" w:rsidTr="00257F32">
        <w:trPr>
          <w:trHeight w:val="405"/>
        </w:trPr>
        <w:tc>
          <w:tcPr>
            <w:tcW w:w="3233" w:type="dxa"/>
            <w:vMerge w:val="restart"/>
          </w:tcPr>
          <w:p w14:paraId="60443E2E" w14:textId="69C5F0C9" w:rsidR="002A4F76" w:rsidRPr="278BF13E" w:rsidRDefault="002A4F76" w:rsidP="00505B99">
            <w:pPr>
              <w:spacing w:before="60" w:after="60"/>
              <w:textAlignment w:val="baseline"/>
              <w:rPr>
                <w:rFonts w:eastAsia="Times New Roman" w:cstheme="minorBidi"/>
                <w:sz w:val="22"/>
                <w:szCs w:val="22"/>
              </w:rPr>
            </w:pPr>
            <w:r>
              <w:rPr>
                <w:rFonts w:eastAsia="Times New Roman" w:cstheme="minorHAnsi"/>
                <w:sz w:val="22"/>
                <w:szCs w:val="22"/>
                <w:lang w:val="fr-FR"/>
              </w:rPr>
              <w:t>Cakes, muffins and slice</w:t>
            </w:r>
            <w:r w:rsidRPr="000A4148">
              <w:rPr>
                <w:rFonts w:eastAsia="Times New Roman" w:cstheme="minorHAnsi"/>
                <w:sz w:val="22"/>
                <w:szCs w:val="22"/>
                <w:lang w:val="fr-FR"/>
              </w:rPr>
              <w:t>s</w:t>
            </w:r>
          </w:p>
        </w:tc>
        <w:tc>
          <w:tcPr>
            <w:tcW w:w="5842" w:type="dxa"/>
          </w:tcPr>
          <w:p w14:paraId="69B33166" w14:textId="77777777" w:rsidR="002A4F76" w:rsidRPr="000A4148" w:rsidRDefault="002A4F76" w:rsidP="00505B99">
            <w:pPr>
              <w:spacing w:before="60" w:after="60"/>
              <w:textAlignment w:val="baseline"/>
              <w:rPr>
                <w:rFonts w:eastAsia="Times New Roman" w:cstheme="minorHAnsi"/>
                <w:b/>
                <w:sz w:val="22"/>
                <w:szCs w:val="22"/>
                <w:lang w:val="en-GB"/>
              </w:rPr>
            </w:pPr>
            <w:r w:rsidRPr="000A4148">
              <w:rPr>
                <w:rFonts w:eastAsia="Times New Roman" w:cstheme="minorHAnsi"/>
                <w:b/>
                <w:sz w:val="22"/>
                <w:szCs w:val="22"/>
                <w:lang w:val="en-GB"/>
              </w:rPr>
              <w:t>Retail</w:t>
            </w:r>
          </w:p>
          <w:p w14:paraId="35125DBA" w14:textId="1A7B02DA" w:rsidR="002A4F76" w:rsidRPr="00E522DE" w:rsidRDefault="002A4F76" w:rsidP="00505B99">
            <w:pPr>
              <w:spacing w:before="60" w:after="60"/>
              <w:textAlignment w:val="baseline"/>
              <w:rPr>
                <w:rFonts w:eastAsia="Times New Roman" w:cstheme="minorHAnsi"/>
                <w:b/>
                <w:sz w:val="22"/>
                <w:szCs w:val="22"/>
              </w:rPr>
            </w:pPr>
            <w:r w:rsidRPr="75D06BE9">
              <w:rPr>
                <w:rFonts w:eastAsia="Times New Roman" w:cstheme="minorBidi"/>
                <w:sz w:val="22"/>
                <w:szCs w:val="22"/>
                <w:lang w:val="en-GB"/>
              </w:rPr>
              <w:t xml:space="preserve">Up to 90 g for cakes and muffins; 45 g for slices </w:t>
            </w:r>
          </w:p>
        </w:tc>
      </w:tr>
      <w:tr w:rsidR="002A4F76" w:rsidRPr="003C71FE" w14:paraId="21B3EAB6" w14:textId="77777777" w:rsidTr="00257F32">
        <w:trPr>
          <w:trHeight w:val="405"/>
        </w:trPr>
        <w:tc>
          <w:tcPr>
            <w:tcW w:w="3233" w:type="dxa"/>
            <w:vMerge/>
          </w:tcPr>
          <w:p w14:paraId="2018BA46" w14:textId="77777777" w:rsidR="002A4F76" w:rsidRPr="278BF13E" w:rsidRDefault="002A4F76" w:rsidP="00505B99">
            <w:pPr>
              <w:spacing w:before="60" w:after="60"/>
              <w:textAlignment w:val="baseline"/>
              <w:rPr>
                <w:rFonts w:eastAsia="Times New Roman" w:cstheme="minorBidi"/>
                <w:sz w:val="22"/>
                <w:szCs w:val="22"/>
              </w:rPr>
            </w:pPr>
          </w:p>
        </w:tc>
        <w:tc>
          <w:tcPr>
            <w:tcW w:w="5842" w:type="dxa"/>
          </w:tcPr>
          <w:p w14:paraId="7C293524" w14:textId="77777777" w:rsidR="002A4F76" w:rsidRPr="00C2216F" w:rsidRDefault="002A4F76" w:rsidP="00505B99">
            <w:pPr>
              <w:spacing w:before="60" w:after="60"/>
              <w:textAlignment w:val="baseline"/>
              <w:rPr>
                <w:rFonts w:eastAsia="Times New Roman" w:cstheme="minorHAnsi"/>
                <w:b/>
                <w:sz w:val="22"/>
                <w:szCs w:val="22"/>
              </w:rPr>
            </w:pPr>
            <w:r w:rsidRPr="000A4148">
              <w:rPr>
                <w:rFonts w:eastAsia="Times New Roman" w:cstheme="minorHAnsi"/>
                <w:b/>
                <w:sz w:val="22"/>
                <w:szCs w:val="22"/>
              </w:rPr>
              <w:t>Out of home  </w:t>
            </w:r>
          </w:p>
          <w:p w14:paraId="6FAED87B" w14:textId="53E89F03" w:rsidR="002A4F76" w:rsidRPr="00E522DE" w:rsidRDefault="002A4F76" w:rsidP="00505B99">
            <w:pPr>
              <w:spacing w:before="60" w:after="60"/>
              <w:textAlignment w:val="baseline"/>
              <w:rPr>
                <w:rFonts w:eastAsia="Times New Roman" w:cstheme="minorHAnsi"/>
                <w:b/>
                <w:sz w:val="22"/>
                <w:szCs w:val="22"/>
              </w:rPr>
            </w:pPr>
            <w:r w:rsidRPr="75D06BE9">
              <w:rPr>
                <w:rFonts w:cstheme="minorBidi"/>
                <w:sz w:val="22"/>
                <w:szCs w:val="22"/>
              </w:rPr>
              <w:t xml:space="preserve">Up to 150 g for heavy weight cakes; </w:t>
            </w:r>
            <w:r w:rsidRPr="75D06BE9">
              <w:rPr>
                <w:rStyle w:val="normaltextrun"/>
                <w:rFonts w:cstheme="minorBidi"/>
                <w:color w:val="000000"/>
                <w:sz w:val="22"/>
                <w:szCs w:val="22"/>
                <w:shd w:val="clear" w:color="auto" w:fill="FFFFFF"/>
              </w:rPr>
              <w:t>125 g f</w:t>
            </w:r>
            <w:r>
              <w:rPr>
                <w:rStyle w:val="normaltextrun"/>
                <w:color w:val="000000"/>
                <w:shd w:val="clear" w:color="auto" w:fill="FFFFFF"/>
              </w:rPr>
              <w:t xml:space="preserve">or </w:t>
            </w:r>
            <w:r w:rsidRPr="75D06BE9">
              <w:rPr>
                <w:rFonts w:cstheme="minorBidi"/>
                <w:sz w:val="22"/>
                <w:szCs w:val="22"/>
              </w:rPr>
              <w:t>light-medium weight cakes</w:t>
            </w:r>
            <w:r>
              <w:rPr>
                <w:rStyle w:val="tabchar"/>
              </w:rPr>
              <w:t xml:space="preserve">; </w:t>
            </w:r>
            <w:r w:rsidRPr="75D06BE9">
              <w:rPr>
                <w:rFonts w:cstheme="minorBidi"/>
                <w:sz w:val="22"/>
                <w:szCs w:val="22"/>
              </w:rPr>
              <w:t>150 g</w:t>
            </w:r>
            <w:r w:rsidRPr="75D06BE9">
              <w:rPr>
                <w:rFonts w:eastAsia="Times New Roman" w:cstheme="minorBidi"/>
                <w:sz w:val="22"/>
                <w:szCs w:val="22"/>
              </w:rPr>
              <w:t xml:space="preserve"> for muffins; </w:t>
            </w:r>
            <w:r w:rsidRPr="00150AC8">
              <w:rPr>
                <w:rFonts w:ascii="Calibri" w:eastAsia="Calibri" w:hAnsi="Calibri" w:cs="Calibri"/>
                <w:sz w:val="22"/>
                <w:szCs w:val="22"/>
              </w:rPr>
              <w:t>90 g</w:t>
            </w:r>
            <w:r>
              <w:rPr>
                <w:rFonts w:ascii="Calibri" w:eastAsia="Calibri" w:hAnsi="Calibri" w:cs="Calibri"/>
                <w:sz w:val="22"/>
                <w:szCs w:val="22"/>
              </w:rPr>
              <w:t xml:space="preserve"> for</w:t>
            </w:r>
            <w:r w:rsidRPr="00150AC8">
              <w:rPr>
                <w:rFonts w:ascii="Calibri" w:eastAsia="Calibri" w:hAnsi="Calibri" w:cs="Calibri"/>
                <w:sz w:val="22"/>
                <w:szCs w:val="22"/>
              </w:rPr>
              <w:t xml:space="preserve"> </w:t>
            </w:r>
            <w:r w:rsidRPr="75D06BE9">
              <w:rPr>
                <w:rFonts w:eastAsia="Times New Roman" w:cstheme="minorBidi"/>
                <w:sz w:val="22"/>
                <w:szCs w:val="22"/>
              </w:rPr>
              <w:t>slices</w:t>
            </w:r>
          </w:p>
        </w:tc>
      </w:tr>
      <w:tr w:rsidR="002A4F76" w:rsidRPr="003C71FE" w14:paraId="57A7B812" w14:textId="77777777" w:rsidTr="00257F32">
        <w:trPr>
          <w:trHeight w:val="809"/>
        </w:trPr>
        <w:tc>
          <w:tcPr>
            <w:tcW w:w="3233" w:type="dxa"/>
          </w:tcPr>
          <w:p w14:paraId="2C4358AD" w14:textId="7AB3262F" w:rsidR="00257F32" w:rsidRPr="00257F32" w:rsidRDefault="002A4F76" w:rsidP="00257F32">
            <w:pPr>
              <w:spacing w:before="60" w:after="60"/>
              <w:textAlignment w:val="baseline"/>
              <w:rPr>
                <w:rFonts w:eastAsia="Times New Roman" w:cstheme="minorBidi"/>
                <w:sz w:val="22"/>
                <w:szCs w:val="22"/>
              </w:rPr>
            </w:pPr>
            <w:r>
              <w:rPr>
                <w:rFonts w:eastAsia="Times New Roman" w:cstheme="minorBidi"/>
                <w:sz w:val="22"/>
                <w:szCs w:val="22"/>
              </w:rPr>
              <w:t>Chilled beverages</w:t>
            </w:r>
          </w:p>
        </w:tc>
        <w:tc>
          <w:tcPr>
            <w:tcW w:w="5842" w:type="dxa"/>
          </w:tcPr>
          <w:p w14:paraId="3DC6A90F" w14:textId="77777777" w:rsidR="002A4F76" w:rsidRPr="000A4148" w:rsidRDefault="002A4F76" w:rsidP="00505B99">
            <w:pPr>
              <w:spacing w:before="60" w:after="60"/>
              <w:textAlignment w:val="baseline"/>
              <w:rPr>
                <w:rFonts w:eastAsia="Times New Roman" w:cstheme="minorHAnsi"/>
                <w:sz w:val="22"/>
                <w:szCs w:val="22"/>
              </w:rPr>
            </w:pPr>
            <w:r w:rsidRPr="000A4148">
              <w:rPr>
                <w:rFonts w:eastAsia="Times New Roman" w:cstheme="minorHAnsi"/>
                <w:b/>
                <w:sz w:val="22"/>
                <w:szCs w:val="22"/>
              </w:rPr>
              <w:t>Out of home</w:t>
            </w:r>
          </w:p>
          <w:p w14:paraId="2EADABE2" w14:textId="38F0918A" w:rsidR="002A4F76" w:rsidRPr="00E522DE" w:rsidRDefault="002A4F76" w:rsidP="00505B99">
            <w:pPr>
              <w:spacing w:before="60" w:after="60"/>
              <w:textAlignment w:val="baseline"/>
              <w:rPr>
                <w:rFonts w:eastAsia="Times New Roman" w:cstheme="minorHAnsi"/>
                <w:b/>
                <w:sz w:val="22"/>
                <w:szCs w:val="22"/>
              </w:rPr>
            </w:pPr>
            <w:r w:rsidRPr="75D06BE9">
              <w:rPr>
                <w:rFonts w:eastAsia="Times New Roman" w:cstheme="minorBidi"/>
                <w:sz w:val="22"/>
                <w:szCs w:val="22"/>
              </w:rPr>
              <w:t>Up to 450 m</w:t>
            </w:r>
            <w:r w:rsidR="00D77072">
              <w:rPr>
                <w:rFonts w:eastAsia="Times New Roman" w:cstheme="minorBidi"/>
                <w:sz w:val="22"/>
                <w:szCs w:val="22"/>
              </w:rPr>
              <w:t>l</w:t>
            </w:r>
          </w:p>
        </w:tc>
      </w:tr>
      <w:tr w:rsidR="00E522DE" w:rsidRPr="003C71FE" w14:paraId="5A7BECD6" w14:textId="77777777" w:rsidTr="00257F32">
        <w:trPr>
          <w:trHeight w:val="809"/>
        </w:trPr>
        <w:tc>
          <w:tcPr>
            <w:tcW w:w="3233" w:type="dxa"/>
            <w:hideMark/>
          </w:tcPr>
          <w:p w14:paraId="249CD71A" w14:textId="684DDB16" w:rsidR="00E522DE" w:rsidRPr="000A4148" w:rsidRDefault="00E522DE" w:rsidP="00505B99">
            <w:pPr>
              <w:spacing w:before="60" w:after="60"/>
              <w:textAlignment w:val="baseline"/>
              <w:rPr>
                <w:rFonts w:eastAsia="Times New Roman" w:cstheme="minorBidi"/>
                <w:sz w:val="22"/>
                <w:szCs w:val="22"/>
              </w:rPr>
            </w:pPr>
            <w:r w:rsidRPr="278BF13E">
              <w:rPr>
                <w:rFonts w:eastAsia="Times New Roman" w:cstheme="minorBidi"/>
                <w:sz w:val="22"/>
                <w:szCs w:val="22"/>
              </w:rPr>
              <w:t>Chocolate and chocolate</w:t>
            </w:r>
            <w:r w:rsidR="00C57E80">
              <w:rPr>
                <w:rFonts w:eastAsia="Times New Roman" w:cstheme="minorBidi"/>
                <w:sz w:val="22"/>
                <w:szCs w:val="22"/>
              </w:rPr>
              <w:t>-alternative</w:t>
            </w:r>
            <w:r w:rsidRPr="278BF13E">
              <w:rPr>
                <w:rFonts w:eastAsia="Times New Roman" w:cstheme="minorBidi"/>
                <w:sz w:val="22"/>
                <w:szCs w:val="22"/>
              </w:rPr>
              <w:t>-based confectionery  </w:t>
            </w:r>
          </w:p>
        </w:tc>
        <w:tc>
          <w:tcPr>
            <w:tcW w:w="5842" w:type="dxa"/>
            <w:hideMark/>
          </w:tcPr>
          <w:p w14:paraId="458F7752" w14:textId="6F580049" w:rsidR="00E522DE" w:rsidRPr="00E522DE" w:rsidRDefault="00E522DE" w:rsidP="00505B99">
            <w:pPr>
              <w:spacing w:before="60" w:after="60"/>
              <w:textAlignment w:val="baseline"/>
              <w:rPr>
                <w:rFonts w:eastAsia="Times New Roman" w:cstheme="minorHAnsi"/>
                <w:b/>
                <w:sz w:val="22"/>
                <w:szCs w:val="22"/>
              </w:rPr>
            </w:pPr>
            <w:r w:rsidRPr="00E522DE">
              <w:rPr>
                <w:rFonts w:eastAsia="Times New Roman" w:cstheme="minorHAnsi"/>
                <w:b/>
                <w:sz w:val="22"/>
                <w:szCs w:val="22"/>
              </w:rPr>
              <w:t>Retail</w:t>
            </w:r>
          </w:p>
          <w:p w14:paraId="2FF4B978" w14:textId="45CCE2A4" w:rsidR="00BB30BC" w:rsidRPr="00D345EE" w:rsidRDefault="4FCFF0E7" w:rsidP="00505B99">
            <w:pPr>
              <w:spacing w:before="60" w:after="60"/>
              <w:textAlignment w:val="baseline"/>
              <w:rPr>
                <w:rFonts w:eastAsia="Times New Roman" w:cstheme="minorBidi"/>
                <w:sz w:val="22"/>
                <w:szCs w:val="22"/>
              </w:rPr>
            </w:pPr>
            <w:r w:rsidRPr="75D06BE9">
              <w:rPr>
                <w:rFonts w:eastAsia="Times New Roman" w:cstheme="minorBidi"/>
                <w:sz w:val="22"/>
                <w:szCs w:val="22"/>
              </w:rPr>
              <w:t xml:space="preserve">Up to </w:t>
            </w:r>
            <w:r w:rsidR="00E522DE" w:rsidRPr="75D06BE9">
              <w:rPr>
                <w:rFonts w:eastAsia="Times New Roman" w:cstheme="minorBidi"/>
                <w:sz w:val="22"/>
                <w:szCs w:val="22"/>
              </w:rPr>
              <w:t>50 g</w:t>
            </w:r>
            <w:r w:rsidR="1A8EF7DA" w:rsidRPr="75D06BE9">
              <w:rPr>
                <w:rFonts w:eastAsia="Times New Roman" w:cstheme="minorBidi"/>
                <w:sz w:val="22"/>
                <w:szCs w:val="22"/>
              </w:rPr>
              <w:t xml:space="preserve"> </w:t>
            </w:r>
            <w:r w:rsidR="00D21995" w:rsidRPr="75D06BE9">
              <w:rPr>
                <w:rFonts w:eastAsia="Times New Roman" w:cstheme="minorBidi"/>
                <w:sz w:val="22"/>
                <w:szCs w:val="22"/>
              </w:rPr>
              <w:t xml:space="preserve">for </w:t>
            </w:r>
            <w:r w:rsidR="001E089F" w:rsidRPr="75D06BE9">
              <w:rPr>
                <w:rFonts w:eastAsia="Times New Roman" w:cstheme="minorBidi"/>
                <w:sz w:val="22"/>
                <w:szCs w:val="22"/>
              </w:rPr>
              <w:t>single consumption bars</w:t>
            </w:r>
            <w:r w:rsidR="00D345EE" w:rsidRPr="75D06BE9">
              <w:rPr>
                <w:rStyle w:val="FootnoteReference"/>
                <w:rFonts w:eastAsia="Times New Roman" w:cstheme="minorBidi"/>
                <w:sz w:val="22"/>
                <w:szCs w:val="22"/>
              </w:rPr>
              <w:footnoteReference w:id="7"/>
            </w:r>
            <w:r w:rsidR="400DDFB6" w:rsidRPr="75D06BE9">
              <w:rPr>
                <w:rFonts w:eastAsia="Times New Roman" w:cstheme="minorBidi"/>
                <w:sz w:val="22"/>
                <w:szCs w:val="22"/>
              </w:rPr>
              <w:t xml:space="preserve">; </w:t>
            </w:r>
            <w:r w:rsidR="400DDFB6" w:rsidRPr="75D06BE9">
              <w:rPr>
                <w:rFonts w:cstheme="minorBidi"/>
                <w:sz w:val="22"/>
                <w:szCs w:val="22"/>
              </w:rPr>
              <w:t xml:space="preserve">25 g +/- 5 g for </w:t>
            </w:r>
            <w:r w:rsidR="001E089F" w:rsidRPr="75D06BE9">
              <w:rPr>
                <w:rFonts w:cstheme="minorBidi"/>
                <w:sz w:val="22"/>
                <w:szCs w:val="22"/>
              </w:rPr>
              <w:t>all other</w:t>
            </w:r>
            <w:r w:rsidR="400DDFB6" w:rsidRPr="75D06BE9">
              <w:rPr>
                <w:rFonts w:cstheme="minorBidi"/>
                <w:sz w:val="22"/>
                <w:szCs w:val="22"/>
              </w:rPr>
              <w:t xml:space="preserve"> products</w:t>
            </w:r>
          </w:p>
        </w:tc>
      </w:tr>
      <w:tr w:rsidR="002A4F76" w:rsidRPr="003C71FE" w14:paraId="61745CEB" w14:textId="77777777" w:rsidTr="00257F32">
        <w:trPr>
          <w:trHeight w:val="705"/>
        </w:trPr>
        <w:tc>
          <w:tcPr>
            <w:tcW w:w="3233" w:type="dxa"/>
          </w:tcPr>
          <w:p w14:paraId="7EE0CB2C" w14:textId="2D0AE7C3" w:rsidR="002A4F76" w:rsidRPr="77ABD743" w:rsidRDefault="002A4F76" w:rsidP="00505B99">
            <w:pPr>
              <w:spacing w:before="60" w:after="60"/>
              <w:textAlignment w:val="baseline"/>
              <w:rPr>
                <w:rFonts w:eastAsia="Times New Roman" w:cstheme="minorBidi"/>
                <w:sz w:val="22"/>
                <w:szCs w:val="22"/>
              </w:rPr>
            </w:pPr>
            <w:r w:rsidRPr="278BF13E">
              <w:rPr>
                <w:rFonts w:eastAsia="Times New Roman" w:cstheme="minorBidi"/>
                <w:sz w:val="22"/>
                <w:szCs w:val="22"/>
              </w:rPr>
              <w:t>Crumbed and battered proteins  </w:t>
            </w:r>
          </w:p>
        </w:tc>
        <w:tc>
          <w:tcPr>
            <w:tcW w:w="5842" w:type="dxa"/>
          </w:tcPr>
          <w:p w14:paraId="1669FE82" w14:textId="77777777" w:rsidR="002A4F76" w:rsidRPr="000A4148" w:rsidRDefault="002A4F76" w:rsidP="00505B99">
            <w:pPr>
              <w:spacing w:before="60" w:after="60"/>
              <w:textAlignment w:val="baseline"/>
              <w:rPr>
                <w:rFonts w:eastAsia="Times New Roman" w:cstheme="minorHAnsi"/>
                <w:sz w:val="22"/>
                <w:szCs w:val="22"/>
              </w:rPr>
            </w:pPr>
            <w:r w:rsidRPr="000A4148">
              <w:rPr>
                <w:rFonts w:eastAsia="Times New Roman" w:cstheme="minorHAnsi"/>
                <w:b/>
                <w:sz w:val="22"/>
                <w:szCs w:val="22"/>
              </w:rPr>
              <w:t>Out of home</w:t>
            </w:r>
          </w:p>
          <w:p w14:paraId="10DF4C07" w14:textId="172EBD4B" w:rsidR="002A4F76" w:rsidRPr="3B6FF43D" w:rsidRDefault="002A4F76" w:rsidP="00505B99">
            <w:pPr>
              <w:spacing w:before="60" w:after="60"/>
              <w:textAlignment w:val="baseline"/>
              <w:rPr>
                <w:rFonts w:eastAsia="Times New Roman" w:cstheme="minorBidi"/>
                <w:b/>
                <w:bCs/>
                <w:sz w:val="22"/>
                <w:szCs w:val="22"/>
              </w:rPr>
            </w:pPr>
            <w:r w:rsidRPr="75D06BE9">
              <w:rPr>
                <w:rFonts w:eastAsia="Times New Roman" w:cstheme="minorBidi"/>
                <w:sz w:val="22"/>
                <w:szCs w:val="22"/>
              </w:rPr>
              <w:t>Up to 150 g</w:t>
            </w:r>
          </w:p>
        </w:tc>
      </w:tr>
      <w:tr w:rsidR="002A4F76" w:rsidRPr="003C71FE" w14:paraId="3123F09E" w14:textId="77777777" w:rsidTr="00257F32">
        <w:trPr>
          <w:trHeight w:val="705"/>
        </w:trPr>
        <w:tc>
          <w:tcPr>
            <w:tcW w:w="3233" w:type="dxa"/>
          </w:tcPr>
          <w:p w14:paraId="2A707737" w14:textId="1E00599D" w:rsidR="002A4F76" w:rsidRPr="77ABD743" w:rsidRDefault="002A4F76" w:rsidP="00505B99">
            <w:pPr>
              <w:spacing w:before="60" w:after="60"/>
              <w:textAlignment w:val="baseline"/>
              <w:rPr>
                <w:rFonts w:eastAsia="Times New Roman" w:cstheme="minorBidi"/>
                <w:sz w:val="22"/>
                <w:szCs w:val="22"/>
              </w:rPr>
            </w:pPr>
            <w:r w:rsidRPr="560075F5">
              <w:rPr>
                <w:rFonts w:eastAsia="Times New Roman" w:cstheme="minorBidi"/>
                <w:sz w:val="22"/>
                <w:szCs w:val="22"/>
              </w:rPr>
              <w:t xml:space="preserve">Hot potato chips, </w:t>
            </w:r>
            <w:proofErr w:type="gramStart"/>
            <w:r w:rsidRPr="560075F5">
              <w:rPr>
                <w:rFonts w:eastAsia="Times New Roman" w:cstheme="minorBidi"/>
                <w:sz w:val="22"/>
                <w:szCs w:val="22"/>
              </w:rPr>
              <w:t>fries</w:t>
            </w:r>
            <w:proofErr w:type="gramEnd"/>
            <w:r w:rsidRPr="560075F5">
              <w:rPr>
                <w:rFonts w:eastAsia="Times New Roman" w:cstheme="minorBidi"/>
                <w:sz w:val="22"/>
                <w:szCs w:val="22"/>
              </w:rPr>
              <w:t xml:space="preserve"> </w:t>
            </w:r>
            <w:r>
              <w:rPr>
                <w:rFonts w:eastAsia="Times New Roman" w:cstheme="minorBidi"/>
                <w:sz w:val="22"/>
                <w:szCs w:val="22"/>
              </w:rPr>
              <w:t>and</w:t>
            </w:r>
            <w:r w:rsidRPr="560075F5">
              <w:rPr>
                <w:rFonts w:eastAsia="Times New Roman" w:cstheme="minorBidi"/>
                <w:sz w:val="22"/>
                <w:szCs w:val="22"/>
              </w:rPr>
              <w:t xml:space="preserve"> wedges </w:t>
            </w:r>
          </w:p>
        </w:tc>
        <w:tc>
          <w:tcPr>
            <w:tcW w:w="5842" w:type="dxa"/>
          </w:tcPr>
          <w:p w14:paraId="0E7AAE62" w14:textId="77777777" w:rsidR="002A4F76" w:rsidRPr="000A4148" w:rsidRDefault="002A4F76" w:rsidP="00505B99">
            <w:pPr>
              <w:spacing w:before="60" w:after="60"/>
              <w:textAlignment w:val="baseline"/>
              <w:rPr>
                <w:rFonts w:eastAsia="Times New Roman" w:cstheme="minorHAnsi"/>
                <w:b/>
                <w:sz w:val="22"/>
                <w:szCs w:val="22"/>
              </w:rPr>
            </w:pPr>
            <w:r w:rsidRPr="000A4148">
              <w:rPr>
                <w:rFonts w:eastAsia="Times New Roman" w:cstheme="minorHAnsi"/>
                <w:b/>
                <w:sz w:val="22"/>
                <w:szCs w:val="22"/>
              </w:rPr>
              <w:t>Out of home  </w:t>
            </w:r>
          </w:p>
          <w:p w14:paraId="379A2FAE" w14:textId="1380B0FC" w:rsidR="002A4F76" w:rsidRPr="3B6FF43D" w:rsidRDefault="002A4F76" w:rsidP="00505B99">
            <w:pPr>
              <w:spacing w:before="60" w:after="60"/>
              <w:textAlignment w:val="baseline"/>
              <w:rPr>
                <w:rFonts w:eastAsia="Times New Roman" w:cstheme="minorBidi"/>
                <w:b/>
                <w:bCs/>
                <w:sz w:val="22"/>
                <w:szCs w:val="22"/>
              </w:rPr>
            </w:pPr>
            <w:r w:rsidRPr="75D06BE9">
              <w:rPr>
                <w:rFonts w:eastAsia="Times New Roman" w:cstheme="minorBidi"/>
                <w:sz w:val="22"/>
                <w:szCs w:val="22"/>
              </w:rPr>
              <w:t>Up to 150 g  </w:t>
            </w:r>
          </w:p>
        </w:tc>
      </w:tr>
      <w:tr w:rsidR="00E522DE" w:rsidRPr="003C71FE" w14:paraId="3AA578E3" w14:textId="77777777" w:rsidTr="00257F32">
        <w:trPr>
          <w:trHeight w:val="705"/>
        </w:trPr>
        <w:tc>
          <w:tcPr>
            <w:tcW w:w="3233" w:type="dxa"/>
            <w:hideMark/>
          </w:tcPr>
          <w:p w14:paraId="4A83E5B9" w14:textId="13FECC80" w:rsidR="00E522DE" w:rsidRPr="000A4148" w:rsidRDefault="2034A760" w:rsidP="00505B99">
            <w:pPr>
              <w:spacing w:before="60" w:after="60"/>
              <w:textAlignment w:val="baseline"/>
              <w:rPr>
                <w:rFonts w:eastAsia="Times New Roman" w:cstheme="minorBidi"/>
                <w:sz w:val="22"/>
                <w:szCs w:val="22"/>
              </w:rPr>
            </w:pPr>
            <w:r w:rsidRPr="77ABD743">
              <w:rPr>
                <w:rFonts w:eastAsia="Times New Roman" w:cstheme="minorBidi"/>
                <w:sz w:val="22"/>
                <w:szCs w:val="22"/>
              </w:rPr>
              <w:t xml:space="preserve">Ice-cream, ice-cream confections and </w:t>
            </w:r>
            <w:r w:rsidR="001E089F" w:rsidRPr="77ABD743">
              <w:rPr>
                <w:rFonts w:eastAsia="Times New Roman" w:cstheme="minorBidi"/>
                <w:sz w:val="22"/>
                <w:szCs w:val="22"/>
              </w:rPr>
              <w:t xml:space="preserve">frozen </w:t>
            </w:r>
            <w:r w:rsidRPr="77ABD743">
              <w:rPr>
                <w:rFonts w:eastAsia="Times New Roman" w:cstheme="minorBidi"/>
                <w:sz w:val="22"/>
                <w:szCs w:val="22"/>
              </w:rPr>
              <w:t>desserts</w:t>
            </w:r>
          </w:p>
        </w:tc>
        <w:tc>
          <w:tcPr>
            <w:tcW w:w="5842" w:type="dxa"/>
            <w:hideMark/>
          </w:tcPr>
          <w:p w14:paraId="62B3441F" w14:textId="77777777" w:rsidR="00E522DE" w:rsidRPr="000A4148" w:rsidRDefault="67AC3056" w:rsidP="00505B99">
            <w:pPr>
              <w:spacing w:before="60" w:after="60"/>
              <w:textAlignment w:val="baseline"/>
              <w:rPr>
                <w:rFonts w:eastAsia="Times New Roman" w:cstheme="minorHAnsi"/>
                <w:b/>
                <w:sz w:val="22"/>
                <w:szCs w:val="22"/>
              </w:rPr>
            </w:pPr>
            <w:r w:rsidRPr="3B6FF43D">
              <w:rPr>
                <w:rFonts w:eastAsia="Times New Roman" w:cstheme="minorBidi"/>
                <w:b/>
                <w:bCs/>
                <w:sz w:val="22"/>
                <w:szCs w:val="22"/>
              </w:rPr>
              <w:t>Retail</w:t>
            </w:r>
          </w:p>
          <w:p w14:paraId="4110C013" w14:textId="601F9A4C" w:rsidR="00E522DE" w:rsidRPr="000A4148" w:rsidRDefault="05F9D20C" w:rsidP="00257F32">
            <w:pPr>
              <w:spacing w:before="60" w:after="60"/>
              <w:rPr>
                <w:rFonts w:eastAsia="Times New Roman" w:cstheme="minorBidi"/>
                <w:sz w:val="22"/>
                <w:szCs w:val="22"/>
              </w:rPr>
            </w:pPr>
            <w:r w:rsidRPr="75D06BE9">
              <w:rPr>
                <w:rFonts w:eastAsia="Times New Roman" w:cstheme="minorBidi"/>
                <w:sz w:val="22"/>
                <w:szCs w:val="22"/>
              </w:rPr>
              <w:t>Up to 75 g for sticks</w:t>
            </w:r>
            <w:r w:rsidR="00D21995" w:rsidRPr="75D06BE9">
              <w:rPr>
                <w:rFonts w:eastAsia="Times New Roman" w:cstheme="minorBidi"/>
                <w:sz w:val="22"/>
                <w:szCs w:val="22"/>
              </w:rPr>
              <w:t>/single servings</w:t>
            </w:r>
            <w:r w:rsidRPr="75D06BE9">
              <w:rPr>
                <w:rFonts w:eastAsia="Times New Roman" w:cstheme="minorBidi"/>
                <w:sz w:val="22"/>
                <w:szCs w:val="22"/>
              </w:rPr>
              <w:t xml:space="preserve">; 50 g </w:t>
            </w:r>
            <w:r w:rsidR="00D21995" w:rsidRPr="75D06BE9">
              <w:rPr>
                <w:rFonts w:eastAsia="Times New Roman" w:cstheme="minorBidi"/>
                <w:sz w:val="22"/>
                <w:szCs w:val="22"/>
              </w:rPr>
              <w:t xml:space="preserve">for </w:t>
            </w:r>
            <w:r w:rsidRPr="75D06BE9">
              <w:rPr>
                <w:rFonts w:eastAsia="Times New Roman" w:cstheme="minorBidi"/>
                <w:sz w:val="22"/>
                <w:szCs w:val="22"/>
              </w:rPr>
              <w:t xml:space="preserve">tubs </w:t>
            </w:r>
          </w:p>
        </w:tc>
      </w:tr>
      <w:tr w:rsidR="002A4F76" w:rsidRPr="003C71FE" w14:paraId="32D9BBAD" w14:textId="77777777" w:rsidTr="00257F32">
        <w:trPr>
          <w:trHeight w:val="480"/>
        </w:trPr>
        <w:tc>
          <w:tcPr>
            <w:tcW w:w="3233" w:type="dxa"/>
          </w:tcPr>
          <w:p w14:paraId="66DBC9AC" w14:textId="1C80B065" w:rsidR="002A4F76" w:rsidRPr="278BF13E" w:rsidRDefault="000A4D62" w:rsidP="00505B99">
            <w:pPr>
              <w:spacing w:before="60" w:after="60"/>
              <w:textAlignment w:val="baseline"/>
              <w:rPr>
                <w:rFonts w:eastAsia="Times New Roman" w:cstheme="minorBidi"/>
                <w:sz w:val="22"/>
                <w:szCs w:val="22"/>
              </w:rPr>
            </w:pPr>
            <w:r>
              <w:rPr>
                <w:rFonts w:eastAsia="Times New Roman" w:cstheme="minorBidi"/>
                <w:sz w:val="22"/>
                <w:szCs w:val="22"/>
              </w:rPr>
              <w:t xml:space="preserve"> </w:t>
            </w:r>
            <w:r w:rsidR="002A4F76" w:rsidRPr="278BF13E">
              <w:rPr>
                <w:rFonts w:eastAsia="Times New Roman" w:cstheme="minorBidi"/>
                <w:sz w:val="22"/>
                <w:szCs w:val="22"/>
              </w:rPr>
              <w:t>Pizza</w:t>
            </w:r>
          </w:p>
        </w:tc>
        <w:tc>
          <w:tcPr>
            <w:tcW w:w="5842" w:type="dxa"/>
          </w:tcPr>
          <w:p w14:paraId="0F307EC1" w14:textId="77777777" w:rsidR="002A4F76" w:rsidRPr="000A4148" w:rsidRDefault="002A4F76" w:rsidP="00505B99">
            <w:pPr>
              <w:spacing w:before="60" w:after="60"/>
              <w:textAlignment w:val="baseline"/>
              <w:rPr>
                <w:rFonts w:eastAsia="Times New Roman" w:cstheme="minorHAnsi"/>
                <w:sz w:val="22"/>
                <w:szCs w:val="22"/>
              </w:rPr>
            </w:pPr>
            <w:r w:rsidRPr="000A4148">
              <w:rPr>
                <w:rFonts w:eastAsia="Times New Roman" w:cstheme="minorHAnsi"/>
                <w:b/>
                <w:sz w:val="22"/>
                <w:szCs w:val="22"/>
              </w:rPr>
              <w:t>Out of home</w:t>
            </w:r>
          </w:p>
          <w:p w14:paraId="18D4B2BD" w14:textId="527B7792" w:rsidR="002A4F76" w:rsidRPr="000A4148" w:rsidRDefault="002A4F76" w:rsidP="00505B99">
            <w:pPr>
              <w:spacing w:before="60" w:after="60"/>
              <w:textAlignment w:val="baseline"/>
              <w:rPr>
                <w:rFonts w:eastAsia="Times New Roman" w:cstheme="minorHAnsi"/>
                <w:b/>
                <w:sz w:val="22"/>
                <w:szCs w:val="22"/>
              </w:rPr>
            </w:pPr>
            <w:r w:rsidRPr="75D06BE9">
              <w:rPr>
                <w:rFonts w:eastAsia="Times New Roman" w:cstheme="minorBidi"/>
                <w:sz w:val="22"/>
                <w:szCs w:val="22"/>
              </w:rPr>
              <w:t>Up to 200 g </w:t>
            </w:r>
          </w:p>
        </w:tc>
      </w:tr>
      <w:tr w:rsidR="002A4F76" w:rsidRPr="003C71FE" w14:paraId="1BB49F59" w14:textId="77777777" w:rsidTr="00257F32">
        <w:trPr>
          <w:trHeight w:val="480"/>
        </w:trPr>
        <w:tc>
          <w:tcPr>
            <w:tcW w:w="3233" w:type="dxa"/>
          </w:tcPr>
          <w:p w14:paraId="40F46037" w14:textId="5A6AE891" w:rsidR="002A4F76" w:rsidRPr="278BF13E" w:rsidRDefault="002A4F76" w:rsidP="00505B99">
            <w:pPr>
              <w:spacing w:before="60" w:after="60"/>
              <w:textAlignment w:val="baseline"/>
              <w:rPr>
                <w:rFonts w:eastAsia="Times New Roman" w:cstheme="minorBidi"/>
                <w:sz w:val="22"/>
                <w:szCs w:val="22"/>
              </w:rPr>
            </w:pPr>
            <w:r w:rsidRPr="560075F5">
              <w:rPr>
                <w:rFonts w:eastAsia="Times New Roman" w:cstheme="minorBidi"/>
                <w:sz w:val="22"/>
                <w:szCs w:val="22"/>
              </w:rPr>
              <w:t>Savoury pastry products</w:t>
            </w:r>
            <w:r>
              <w:rPr>
                <w:rFonts w:eastAsia="Times New Roman" w:cstheme="minorBidi"/>
                <w:sz w:val="22"/>
                <w:szCs w:val="22"/>
              </w:rPr>
              <w:t xml:space="preserve"> -</w:t>
            </w:r>
            <w:r w:rsidRPr="560075F5">
              <w:rPr>
                <w:rFonts w:eastAsia="Times New Roman" w:cstheme="minorBidi"/>
                <w:sz w:val="22"/>
                <w:szCs w:val="22"/>
              </w:rPr>
              <w:t xml:space="preserve"> pies, rolls, and filled pastries </w:t>
            </w:r>
          </w:p>
        </w:tc>
        <w:tc>
          <w:tcPr>
            <w:tcW w:w="5842" w:type="dxa"/>
          </w:tcPr>
          <w:p w14:paraId="5268FAA3" w14:textId="77777777" w:rsidR="002A4F76" w:rsidRPr="000A4148" w:rsidRDefault="002A4F76" w:rsidP="00505B99">
            <w:pPr>
              <w:spacing w:before="60" w:after="60"/>
              <w:textAlignment w:val="baseline"/>
              <w:rPr>
                <w:rFonts w:eastAsia="Times New Roman" w:cstheme="minorBidi"/>
                <w:b/>
                <w:bCs/>
                <w:sz w:val="22"/>
                <w:szCs w:val="22"/>
              </w:rPr>
            </w:pPr>
            <w:r w:rsidRPr="108E7E63">
              <w:rPr>
                <w:rFonts w:eastAsia="Times New Roman" w:cstheme="minorBidi"/>
                <w:b/>
                <w:bCs/>
                <w:sz w:val="22"/>
                <w:szCs w:val="22"/>
              </w:rPr>
              <w:t>Out of home</w:t>
            </w:r>
            <w:r>
              <w:rPr>
                <w:rFonts w:eastAsia="Times New Roman" w:cstheme="minorBidi"/>
                <w:b/>
                <w:bCs/>
                <w:sz w:val="22"/>
                <w:szCs w:val="22"/>
              </w:rPr>
              <w:t xml:space="preserve"> and R</w:t>
            </w:r>
            <w:r w:rsidRPr="108E7E63">
              <w:rPr>
                <w:rFonts w:eastAsia="Times New Roman" w:cstheme="minorBidi"/>
                <w:b/>
                <w:bCs/>
                <w:sz w:val="22"/>
                <w:szCs w:val="22"/>
              </w:rPr>
              <w:t>etail</w:t>
            </w:r>
          </w:p>
          <w:p w14:paraId="7A1BE888" w14:textId="206411A3" w:rsidR="002A4F76" w:rsidRPr="000A4148" w:rsidRDefault="002A4F76" w:rsidP="00505B99">
            <w:pPr>
              <w:spacing w:before="60" w:after="60"/>
              <w:textAlignment w:val="baseline"/>
              <w:rPr>
                <w:rFonts w:eastAsia="Times New Roman" w:cstheme="minorHAnsi"/>
                <w:b/>
                <w:sz w:val="22"/>
                <w:szCs w:val="22"/>
              </w:rPr>
            </w:pPr>
            <w:r w:rsidRPr="75D06BE9">
              <w:rPr>
                <w:rFonts w:eastAsia="Times New Roman" w:cstheme="minorBidi"/>
                <w:sz w:val="22"/>
                <w:szCs w:val="22"/>
              </w:rPr>
              <w:t>Up to 200 g  </w:t>
            </w:r>
          </w:p>
        </w:tc>
      </w:tr>
      <w:tr w:rsidR="002A4F76" w:rsidRPr="003C71FE" w14:paraId="7DB0D3E6" w14:textId="77777777" w:rsidTr="00257F32">
        <w:trPr>
          <w:trHeight w:val="480"/>
        </w:trPr>
        <w:tc>
          <w:tcPr>
            <w:tcW w:w="3233" w:type="dxa"/>
            <w:vMerge w:val="restart"/>
            <w:hideMark/>
          </w:tcPr>
          <w:p w14:paraId="4E590509" w14:textId="20C46A46" w:rsidR="002A4F76" w:rsidRPr="000A4148" w:rsidRDefault="002A4F76" w:rsidP="00505B99">
            <w:pPr>
              <w:spacing w:before="60" w:after="60"/>
              <w:textAlignment w:val="baseline"/>
              <w:rPr>
                <w:rFonts w:eastAsia="Times New Roman" w:cstheme="minorBidi"/>
                <w:sz w:val="22"/>
                <w:szCs w:val="22"/>
              </w:rPr>
            </w:pPr>
            <w:r w:rsidRPr="278BF13E">
              <w:rPr>
                <w:rFonts w:eastAsia="Times New Roman" w:cstheme="minorBidi"/>
                <w:sz w:val="22"/>
                <w:szCs w:val="22"/>
              </w:rPr>
              <w:t>Sweet biscuits</w:t>
            </w:r>
          </w:p>
        </w:tc>
        <w:tc>
          <w:tcPr>
            <w:tcW w:w="5842" w:type="dxa"/>
            <w:hideMark/>
          </w:tcPr>
          <w:p w14:paraId="51E361D8" w14:textId="77777777" w:rsidR="002A4F76" w:rsidRPr="000A4148" w:rsidRDefault="002A4F76" w:rsidP="00505B99">
            <w:pPr>
              <w:spacing w:before="60" w:after="60"/>
              <w:textAlignment w:val="baseline"/>
              <w:rPr>
                <w:rFonts w:eastAsia="Times New Roman" w:cstheme="minorHAnsi"/>
                <w:b/>
                <w:sz w:val="22"/>
                <w:szCs w:val="22"/>
              </w:rPr>
            </w:pPr>
            <w:r w:rsidRPr="000A4148">
              <w:rPr>
                <w:rFonts w:eastAsia="Times New Roman" w:cstheme="minorHAnsi"/>
                <w:b/>
                <w:sz w:val="22"/>
                <w:szCs w:val="22"/>
              </w:rPr>
              <w:t xml:space="preserve">Retail </w:t>
            </w:r>
          </w:p>
          <w:p w14:paraId="017B9932" w14:textId="51B25287" w:rsidR="002A4F76" w:rsidRPr="000A4148" w:rsidRDefault="002A4F76" w:rsidP="00505B99">
            <w:pPr>
              <w:spacing w:before="60" w:after="60"/>
              <w:rPr>
                <w:rFonts w:eastAsia="Times New Roman" w:cstheme="minorBidi"/>
                <w:sz w:val="22"/>
                <w:szCs w:val="22"/>
              </w:rPr>
            </w:pPr>
            <w:r w:rsidRPr="75D06BE9">
              <w:rPr>
                <w:rFonts w:eastAsia="Times New Roman" w:cstheme="minorBidi"/>
                <w:sz w:val="22"/>
                <w:szCs w:val="22"/>
              </w:rPr>
              <w:t>Up to 30 g  </w:t>
            </w:r>
          </w:p>
        </w:tc>
      </w:tr>
      <w:tr w:rsidR="002A4F76" w:rsidRPr="003C71FE" w14:paraId="187E3CA6" w14:textId="77777777" w:rsidTr="00257F32">
        <w:trPr>
          <w:trHeight w:val="480"/>
        </w:trPr>
        <w:tc>
          <w:tcPr>
            <w:tcW w:w="3233" w:type="dxa"/>
            <w:vMerge/>
            <w:hideMark/>
          </w:tcPr>
          <w:p w14:paraId="03BE1C5D" w14:textId="77777777" w:rsidR="002A4F76" w:rsidRPr="000A4148" w:rsidRDefault="002A4F76" w:rsidP="00505B99">
            <w:pPr>
              <w:spacing w:before="60" w:after="60"/>
              <w:rPr>
                <w:rFonts w:eastAsia="Times New Roman" w:cstheme="minorHAnsi"/>
                <w:sz w:val="22"/>
                <w:szCs w:val="22"/>
              </w:rPr>
            </w:pPr>
          </w:p>
        </w:tc>
        <w:tc>
          <w:tcPr>
            <w:tcW w:w="5842" w:type="dxa"/>
            <w:hideMark/>
          </w:tcPr>
          <w:p w14:paraId="02E9FFE0" w14:textId="77777777" w:rsidR="002A4F76" w:rsidRPr="000A4148" w:rsidRDefault="002A4F76" w:rsidP="00505B99">
            <w:pPr>
              <w:spacing w:before="60" w:after="60"/>
              <w:textAlignment w:val="baseline"/>
              <w:rPr>
                <w:rFonts w:eastAsia="Times New Roman" w:cstheme="minorHAnsi"/>
                <w:b/>
                <w:sz w:val="22"/>
                <w:szCs w:val="22"/>
              </w:rPr>
            </w:pPr>
            <w:r w:rsidRPr="000A4148">
              <w:rPr>
                <w:rFonts w:eastAsia="Times New Roman" w:cstheme="minorHAnsi"/>
                <w:b/>
                <w:sz w:val="22"/>
                <w:szCs w:val="22"/>
              </w:rPr>
              <w:t>Out of home  </w:t>
            </w:r>
          </w:p>
          <w:p w14:paraId="2F52D9E7" w14:textId="7EC9B142" w:rsidR="002A4F76" w:rsidRPr="000A4148" w:rsidRDefault="002A4F76" w:rsidP="00505B99">
            <w:pPr>
              <w:spacing w:before="60" w:after="60"/>
              <w:rPr>
                <w:rFonts w:eastAsia="Times New Roman" w:cstheme="minorBidi"/>
                <w:sz w:val="22"/>
                <w:szCs w:val="22"/>
              </w:rPr>
            </w:pPr>
            <w:r w:rsidRPr="75D06BE9">
              <w:rPr>
                <w:rFonts w:eastAsia="Times New Roman" w:cstheme="minorBidi"/>
                <w:sz w:val="22"/>
                <w:szCs w:val="22"/>
              </w:rPr>
              <w:t>Up to 60 g  </w:t>
            </w:r>
          </w:p>
        </w:tc>
      </w:tr>
    </w:tbl>
    <w:p w14:paraId="25E27DDE" w14:textId="77777777" w:rsidR="00AE496B" w:rsidRDefault="00AE496B">
      <w:pPr>
        <w:rPr>
          <w:rFonts w:asciiTheme="majorHAnsi" w:eastAsiaTheme="majorEastAsia" w:hAnsiTheme="majorHAnsi" w:cs="Arial"/>
          <w:b/>
          <w:bCs/>
          <w:kern w:val="32"/>
          <w:sz w:val="32"/>
          <w:szCs w:val="32"/>
          <w:shd w:val="clear" w:color="auto" w:fill="FFFFFF"/>
        </w:rPr>
      </w:pPr>
      <w:r>
        <w:rPr>
          <w:shd w:val="clear" w:color="auto" w:fill="FFFFFF"/>
        </w:rPr>
        <w:br w:type="page"/>
      </w:r>
    </w:p>
    <w:p w14:paraId="1A86898B" w14:textId="51CEF7F1" w:rsidR="001531CE" w:rsidRDefault="001531CE" w:rsidP="00795E9E">
      <w:pPr>
        <w:pStyle w:val="Heading1"/>
        <w:numPr>
          <w:ilvl w:val="0"/>
          <w:numId w:val="87"/>
        </w:numPr>
        <w:tabs>
          <w:tab w:val="left" w:pos="426"/>
        </w:tabs>
        <w:spacing w:before="0" w:after="240"/>
        <w:ind w:left="357" w:hanging="357"/>
        <w:rPr>
          <w:shd w:val="clear" w:color="auto" w:fill="FFFFFF"/>
        </w:rPr>
      </w:pPr>
      <w:bookmarkStart w:id="24" w:name="_Toc109294245"/>
      <w:r>
        <w:rPr>
          <w:shd w:val="clear" w:color="auto" w:fill="FFFFFF"/>
        </w:rPr>
        <w:lastRenderedPageBreak/>
        <w:t>Potentia</w:t>
      </w:r>
      <w:r w:rsidR="008B3E3D">
        <w:rPr>
          <w:shd w:val="clear" w:color="auto" w:fill="FFFFFF"/>
        </w:rPr>
        <w:t>l i</w:t>
      </w:r>
      <w:r>
        <w:rPr>
          <w:shd w:val="clear" w:color="auto" w:fill="FFFFFF"/>
        </w:rPr>
        <w:t>mpact</w:t>
      </w:r>
      <w:bookmarkEnd w:id="24"/>
    </w:p>
    <w:p w14:paraId="6E62244A" w14:textId="2F758434" w:rsidR="00C64E53" w:rsidRPr="00352C36" w:rsidRDefault="3273658F" w:rsidP="00795E9E">
      <w:pPr>
        <w:spacing w:after="240"/>
        <w:rPr>
          <w:sz w:val="22"/>
          <w:szCs w:val="22"/>
        </w:rPr>
      </w:pPr>
      <w:r w:rsidRPr="05260A5A">
        <w:rPr>
          <w:sz w:val="22"/>
          <w:szCs w:val="22"/>
        </w:rPr>
        <w:t>Modelling of t</w:t>
      </w:r>
      <w:r w:rsidR="1A65A265" w:rsidRPr="05260A5A">
        <w:rPr>
          <w:sz w:val="22"/>
          <w:szCs w:val="22"/>
        </w:rPr>
        <w:t>he</w:t>
      </w:r>
      <w:r w:rsidRPr="05260A5A">
        <w:rPr>
          <w:sz w:val="22"/>
          <w:szCs w:val="22"/>
        </w:rPr>
        <w:t xml:space="preserve"> </w:t>
      </w:r>
      <w:r w:rsidR="008B3E3D">
        <w:rPr>
          <w:sz w:val="22"/>
          <w:szCs w:val="22"/>
        </w:rPr>
        <w:t>reduced</w:t>
      </w:r>
      <w:r w:rsidR="08D271E7" w:rsidRPr="05260A5A">
        <w:rPr>
          <w:sz w:val="22"/>
          <w:szCs w:val="22"/>
        </w:rPr>
        <w:t xml:space="preserve"> serving</w:t>
      </w:r>
      <w:r w:rsidRPr="05260A5A">
        <w:rPr>
          <w:sz w:val="22"/>
          <w:szCs w:val="22"/>
        </w:rPr>
        <w:t xml:space="preserve"> sizes </w:t>
      </w:r>
      <w:r w:rsidR="3C8A5CBA" w:rsidRPr="05260A5A">
        <w:rPr>
          <w:sz w:val="22"/>
          <w:szCs w:val="22"/>
        </w:rPr>
        <w:t>was</w:t>
      </w:r>
      <w:r w:rsidRPr="05260A5A">
        <w:rPr>
          <w:sz w:val="22"/>
          <w:szCs w:val="22"/>
        </w:rPr>
        <w:t xml:space="preserve"> undertaken to </w:t>
      </w:r>
      <w:r w:rsidR="47A87BE9" w:rsidRPr="05260A5A">
        <w:rPr>
          <w:sz w:val="22"/>
          <w:szCs w:val="22"/>
        </w:rPr>
        <w:t xml:space="preserve">ascertain </w:t>
      </w:r>
      <w:r w:rsidR="7DE57788" w:rsidRPr="05260A5A">
        <w:rPr>
          <w:sz w:val="22"/>
          <w:szCs w:val="22"/>
        </w:rPr>
        <w:t xml:space="preserve">the </w:t>
      </w:r>
      <w:r w:rsidR="21E2B423" w:rsidRPr="05260A5A">
        <w:rPr>
          <w:sz w:val="22"/>
          <w:szCs w:val="22"/>
        </w:rPr>
        <w:t>theoretical impact</w:t>
      </w:r>
      <w:r w:rsidR="00352C36" w:rsidRPr="05260A5A">
        <w:rPr>
          <w:sz w:val="22"/>
          <w:szCs w:val="22"/>
        </w:rPr>
        <w:t xml:space="preserve"> on the </w:t>
      </w:r>
      <w:r w:rsidR="00600818" w:rsidRPr="05260A5A">
        <w:rPr>
          <w:sz w:val="22"/>
          <w:szCs w:val="22"/>
        </w:rPr>
        <w:t xml:space="preserve">diets of Australians by reducing </w:t>
      </w:r>
      <w:r w:rsidR="00D56FB2" w:rsidRPr="05260A5A">
        <w:rPr>
          <w:sz w:val="22"/>
          <w:szCs w:val="22"/>
        </w:rPr>
        <w:t xml:space="preserve">discretionary energy intake and </w:t>
      </w:r>
      <w:r w:rsidR="00600818" w:rsidRPr="05260A5A">
        <w:rPr>
          <w:sz w:val="22"/>
          <w:szCs w:val="22"/>
        </w:rPr>
        <w:t>nutrients of concern</w:t>
      </w:r>
      <w:r w:rsidR="00151E5A">
        <w:rPr>
          <w:rStyle w:val="FootnoteReference"/>
          <w:shd w:val="clear" w:color="auto" w:fill="FFFFFF"/>
        </w:rPr>
        <w:footnoteReference w:id="8"/>
      </w:r>
      <w:r w:rsidR="00600818" w:rsidRPr="05260A5A">
        <w:rPr>
          <w:sz w:val="22"/>
          <w:szCs w:val="22"/>
        </w:rPr>
        <w:t>.</w:t>
      </w:r>
      <w:r w:rsidR="7DE57788" w:rsidRPr="05260A5A">
        <w:rPr>
          <w:sz w:val="22"/>
          <w:szCs w:val="22"/>
        </w:rPr>
        <w:t xml:space="preserve"> </w:t>
      </w:r>
    </w:p>
    <w:p w14:paraId="5A61FE15" w14:textId="02EFD8AA" w:rsidR="00C64E53" w:rsidRPr="001E089F" w:rsidRDefault="00352C36" w:rsidP="00795E9E">
      <w:pPr>
        <w:spacing w:after="240"/>
        <w:rPr>
          <w:color w:val="FF0000"/>
          <w:sz w:val="22"/>
        </w:rPr>
      </w:pPr>
      <w:r w:rsidRPr="00352C36">
        <w:rPr>
          <w:sz w:val="22"/>
        </w:rPr>
        <w:t xml:space="preserve">Flinders University was engaged by the </w:t>
      </w:r>
      <w:r w:rsidR="00264D19">
        <w:rPr>
          <w:sz w:val="22"/>
        </w:rPr>
        <w:t xml:space="preserve">Australian Government </w:t>
      </w:r>
      <w:r w:rsidRPr="00352C36">
        <w:rPr>
          <w:sz w:val="22"/>
        </w:rPr>
        <w:t>Department of Health</w:t>
      </w:r>
      <w:r w:rsidR="00151E5A">
        <w:rPr>
          <w:rStyle w:val="FootnoteReference"/>
          <w:sz w:val="22"/>
        </w:rPr>
        <w:footnoteReference w:id="9"/>
      </w:r>
      <w:r w:rsidRPr="00352C36">
        <w:rPr>
          <w:sz w:val="22"/>
        </w:rPr>
        <w:t xml:space="preserve"> </w:t>
      </w:r>
      <w:r w:rsidR="3273658F" w:rsidRPr="00352C36">
        <w:rPr>
          <w:sz w:val="22"/>
        </w:rPr>
        <w:t xml:space="preserve">to use dietary simulation modelling </w:t>
      </w:r>
      <w:r w:rsidR="00CB18DF">
        <w:rPr>
          <w:sz w:val="22"/>
        </w:rPr>
        <w:t xml:space="preserve">to determine the theoretical individual and </w:t>
      </w:r>
      <w:r w:rsidR="3273658F" w:rsidRPr="00352C36">
        <w:rPr>
          <w:sz w:val="22"/>
        </w:rPr>
        <w:t>cumulative impact of applying proposed serving size recommendations on the consumption of total and discretionary: energy, sodium, saturated fat, total sugars and added sugars within the Australian adult population.</w:t>
      </w:r>
      <w:r w:rsidR="00600818">
        <w:rPr>
          <w:sz w:val="22"/>
        </w:rPr>
        <w:t xml:space="preserve"> </w:t>
      </w:r>
    </w:p>
    <w:p w14:paraId="3B87C2EF" w14:textId="6393057B" w:rsidR="00C64E53" w:rsidRPr="00352C36" w:rsidRDefault="3273658F" w:rsidP="00795E9E">
      <w:pPr>
        <w:spacing w:after="240"/>
        <w:rPr>
          <w:sz w:val="22"/>
          <w:szCs w:val="22"/>
        </w:rPr>
      </w:pPr>
      <w:r w:rsidRPr="00FD91A8">
        <w:rPr>
          <w:sz w:val="22"/>
          <w:szCs w:val="22"/>
        </w:rPr>
        <w:t>Thirteen scenarios across nine food categories were modelled using food intake data collected via a single 24</w:t>
      </w:r>
      <w:r w:rsidR="00200EAB">
        <w:rPr>
          <w:sz w:val="22"/>
          <w:szCs w:val="22"/>
        </w:rPr>
        <w:noBreakHyphen/>
      </w:r>
      <w:r w:rsidRPr="00FD91A8">
        <w:rPr>
          <w:sz w:val="22"/>
          <w:szCs w:val="22"/>
        </w:rPr>
        <w:t>hour dietary recall from 19 to 90-year</w:t>
      </w:r>
      <w:r w:rsidR="00AE7AFD">
        <w:rPr>
          <w:sz w:val="22"/>
          <w:szCs w:val="22"/>
        </w:rPr>
        <w:t>-</w:t>
      </w:r>
      <w:r w:rsidRPr="00FD91A8">
        <w:rPr>
          <w:sz w:val="22"/>
          <w:szCs w:val="22"/>
        </w:rPr>
        <w:t xml:space="preserve">olds, representative of the Australian adult population </w:t>
      </w:r>
      <w:r w:rsidRPr="001B710A">
        <w:rPr>
          <w:sz w:val="22"/>
          <w:szCs w:val="22"/>
        </w:rPr>
        <w:t>(National Nutrition and Physical Activity Survey, NNPAS, 2011</w:t>
      </w:r>
      <w:r w:rsidR="00EB2E43">
        <w:rPr>
          <w:sz w:val="22"/>
          <w:szCs w:val="22"/>
        </w:rPr>
        <w:t>–</w:t>
      </w:r>
      <w:r w:rsidRPr="001B710A">
        <w:rPr>
          <w:sz w:val="22"/>
          <w:szCs w:val="22"/>
        </w:rPr>
        <w:t>12).</w:t>
      </w:r>
      <w:r w:rsidRPr="00FD91A8">
        <w:rPr>
          <w:sz w:val="22"/>
          <w:szCs w:val="22"/>
        </w:rPr>
        <w:t xml:space="preserve"> </w:t>
      </w:r>
    </w:p>
    <w:p w14:paraId="1252EC3F" w14:textId="71723A7A" w:rsidR="00C64E53" w:rsidRPr="00352C36" w:rsidRDefault="00D56FB2" w:rsidP="00795E9E">
      <w:pPr>
        <w:spacing w:after="240"/>
        <w:rPr>
          <w:sz w:val="22"/>
          <w:szCs w:val="22"/>
        </w:rPr>
      </w:pPr>
      <w:r w:rsidRPr="6099F934">
        <w:rPr>
          <w:sz w:val="22"/>
          <w:szCs w:val="22"/>
        </w:rPr>
        <w:t>The following a</w:t>
      </w:r>
      <w:r w:rsidR="3273658F" w:rsidRPr="6099F934">
        <w:rPr>
          <w:sz w:val="22"/>
          <w:szCs w:val="22"/>
        </w:rPr>
        <w:t xml:space="preserve">ssumptions </w:t>
      </w:r>
      <w:r w:rsidRPr="6099F934">
        <w:rPr>
          <w:sz w:val="22"/>
          <w:szCs w:val="22"/>
        </w:rPr>
        <w:t xml:space="preserve">were </w:t>
      </w:r>
      <w:proofErr w:type="gramStart"/>
      <w:r w:rsidR="00CB18DF" w:rsidRPr="6099F934">
        <w:rPr>
          <w:sz w:val="22"/>
          <w:szCs w:val="22"/>
        </w:rPr>
        <w:t>made:</w:t>
      </w:r>
      <w:proofErr w:type="gramEnd"/>
      <w:r w:rsidR="00CB18DF" w:rsidRPr="6099F934">
        <w:rPr>
          <w:sz w:val="22"/>
          <w:szCs w:val="22"/>
        </w:rPr>
        <w:t xml:space="preserve"> p</w:t>
      </w:r>
      <w:r w:rsidR="3273658F" w:rsidRPr="6099F934">
        <w:rPr>
          <w:sz w:val="22"/>
          <w:szCs w:val="22"/>
        </w:rPr>
        <w:t xml:space="preserve">opulation consumption remained constant other than the modelled scenarios; portion size was equivalent to the serving size; serving size recommendations applied to both </w:t>
      </w:r>
      <w:r w:rsidR="00BF476F">
        <w:rPr>
          <w:sz w:val="22"/>
          <w:szCs w:val="22"/>
        </w:rPr>
        <w:t>FFG</w:t>
      </w:r>
      <w:r w:rsidR="5808ADDF" w:rsidRPr="6099F934">
        <w:rPr>
          <w:sz w:val="22"/>
          <w:szCs w:val="22"/>
        </w:rPr>
        <w:t xml:space="preserve"> foods</w:t>
      </w:r>
      <w:r w:rsidR="3273658F" w:rsidRPr="6099F934">
        <w:rPr>
          <w:sz w:val="22"/>
          <w:szCs w:val="22"/>
        </w:rPr>
        <w:t xml:space="preserve"> and discretionary items; </w:t>
      </w:r>
      <w:r w:rsidR="6F487C19" w:rsidRPr="6099F934">
        <w:rPr>
          <w:sz w:val="22"/>
          <w:szCs w:val="22"/>
        </w:rPr>
        <w:t xml:space="preserve">and </w:t>
      </w:r>
      <w:r w:rsidR="3273658F" w:rsidRPr="6099F934">
        <w:rPr>
          <w:sz w:val="22"/>
          <w:szCs w:val="22"/>
        </w:rPr>
        <w:t>100% compliance at food supply level.</w:t>
      </w:r>
    </w:p>
    <w:p w14:paraId="08491E74" w14:textId="1674F480" w:rsidR="00C64E53" w:rsidRPr="00352C36" w:rsidRDefault="01548C69" w:rsidP="00795E9E">
      <w:pPr>
        <w:spacing w:after="240"/>
        <w:rPr>
          <w:sz w:val="22"/>
          <w:szCs w:val="22"/>
        </w:rPr>
      </w:pPr>
      <w:bookmarkStart w:id="25" w:name="_Hlk109216442"/>
      <w:r w:rsidRPr="05260A5A">
        <w:rPr>
          <w:sz w:val="22"/>
          <w:szCs w:val="22"/>
        </w:rPr>
        <w:t>The base case</w:t>
      </w:r>
      <w:r w:rsidR="2A9FC092">
        <w:rPr>
          <w:sz w:val="22"/>
          <w:szCs w:val="22"/>
        </w:rPr>
        <w:t xml:space="preserve"> (observed mean dietary intake in the NNPAS)</w:t>
      </w:r>
      <w:r w:rsidR="002A4F76">
        <w:rPr>
          <w:sz w:val="22"/>
          <w:szCs w:val="22"/>
        </w:rPr>
        <w:t xml:space="preserve"> (3)</w:t>
      </w:r>
      <w:r w:rsidRPr="05260A5A">
        <w:rPr>
          <w:sz w:val="22"/>
          <w:szCs w:val="22"/>
        </w:rPr>
        <w:t xml:space="preserve"> was 8</w:t>
      </w:r>
      <w:r w:rsidR="002A4F76">
        <w:rPr>
          <w:sz w:val="22"/>
          <w:szCs w:val="22"/>
        </w:rPr>
        <w:t>,</w:t>
      </w:r>
      <w:r w:rsidRPr="05260A5A">
        <w:rPr>
          <w:sz w:val="22"/>
          <w:szCs w:val="22"/>
        </w:rPr>
        <w:t>698</w:t>
      </w:r>
      <w:r w:rsidR="002A4F76">
        <w:rPr>
          <w:sz w:val="22"/>
          <w:szCs w:val="22"/>
        </w:rPr>
        <w:t xml:space="preserve"> </w:t>
      </w:r>
      <w:r w:rsidRPr="05260A5A">
        <w:rPr>
          <w:sz w:val="22"/>
          <w:szCs w:val="22"/>
        </w:rPr>
        <w:t>kJ energy, 2</w:t>
      </w:r>
      <w:r w:rsidR="002A4F76">
        <w:rPr>
          <w:sz w:val="22"/>
          <w:szCs w:val="22"/>
        </w:rPr>
        <w:t>,</w:t>
      </w:r>
      <w:r w:rsidRPr="05260A5A">
        <w:rPr>
          <w:sz w:val="22"/>
          <w:szCs w:val="22"/>
        </w:rPr>
        <w:t>431</w:t>
      </w:r>
      <w:r w:rsidR="00860687">
        <w:rPr>
          <w:sz w:val="22"/>
          <w:szCs w:val="22"/>
        </w:rPr>
        <w:t> </w:t>
      </w:r>
      <w:r w:rsidRPr="05260A5A">
        <w:rPr>
          <w:sz w:val="22"/>
          <w:szCs w:val="22"/>
        </w:rPr>
        <w:t>mg sodium, 28</w:t>
      </w:r>
      <w:r w:rsidR="00860687">
        <w:rPr>
          <w:sz w:val="22"/>
          <w:szCs w:val="22"/>
        </w:rPr>
        <w:t> </w:t>
      </w:r>
      <w:r w:rsidRPr="05260A5A">
        <w:rPr>
          <w:sz w:val="22"/>
          <w:szCs w:val="22"/>
        </w:rPr>
        <w:t>g saturated fat and 105</w:t>
      </w:r>
      <w:r w:rsidR="00860687">
        <w:rPr>
          <w:sz w:val="22"/>
          <w:szCs w:val="22"/>
        </w:rPr>
        <w:t> </w:t>
      </w:r>
      <w:r w:rsidRPr="05260A5A">
        <w:rPr>
          <w:sz w:val="22"/>
          <w:szCs w:val="22"/>
        </w:rPr>
        <w:t>g</w:t>
      </w:r>
      <w:r w:rsidR="0B5E35C2" w:rsidRPr="05260A5A">
        <w:rPr>
          <w:sz w:val="22"/>
          <w:szCs w:val="22"/>
        </w:rPr>
        <w:t> </w:t>
      </w:r>
      <w:r w:rsidRPr="05260A5A">
        <w:rPr>
          <w:sz w:val="22"/>
          <w:szCs w:val="22"/>
        </w:rPr>
        <w:t>total sugars, per person, per day.</w:t>
      </w:r>
      <w:r w:rsidR="0B5E35C2" w:rsidRPr="05260A5A">
        <w:rPr>
          <w:sz w:val="22"/>
          <w:szCs w:val="22"/>
        </w:rPr>
        <w:t xml:space="preserve"> </w:t>
      </w:r>
      <w:r w:rsidRPr="05260A5A">
        <w:rPr>
          <w:sz w:val="22"/>
          <w:szCs w:val="22"/>
        </w:rPr>
        <w:t>The total difference between observed and modelled (theoretical) average adult population intakes were</w:t>
      </w:r>
      <w:r w:rsidR="06A01140" w:rsidRPr="05260A5A">
        <w:rPr>
          <w:sz w:val="22"/>
          <w:szCs w:val="22"/>
        </w:rPr>
        <w:t>:</w:t>
      </w:r>
      <w:r w:rsidRPr="05260A5A">
        <w:rPr>
          <w:sz w:val="22"/>
          <w:szCs w:val="22"/>
        </w:rPr>
        <w:t xml:space="preserve"> 4</w:t>
      </w:r>
      <w:r w:rsidRPr="75D06BE9">
        <w:rPr>
          <w:sz w:val="22"/>
          <w:szCs w:val="22"/>
        </w:rPr>
        <w:t>%</w:t>
      </w:r>
      <w:r w:rsidRPr="05260A5A">
        <w:rPr>
          <w:sz w:val="22"/>
          <w:szCs w:val="22"/>
        </w:rPr>
        <w:t xml:space="preserve"> reduction in energy (-356 kJ), 3</w:t>
      </w:r>
      <w:r w:rsidRPr="75D06BE9">
        <w:rPr>
          <w:sz w:val="22"/>
          <w:szCs w:val="22"/>
        </w:rPr>
        <w:t>%</w:t>
      </w:r>
      <w:r w:rsidRPr="05260A5A">
        <w:rPr>
          <w:sz w:val="22"/>
          <w:szCs w:val="22"/>
        </w:rPr>
        <w:t xml:space="preserve"> reduction in sodium (-72 mg), 6</w:t>
      </w:r>
      <w:r w:rsidRPr="75D06BE9">
        <w:rPr>
          <w:sz w:val="22"/>
          <w:szCs w:val="22"/>
        </w:rPr>
        <w:t>%</w:t>
      </w:r>
      <w:r w:rsidRPr="05260A5A">
        <w:rPr>
          <w:sz w:val="22"/>
          <w:szCs w:val="22"/>
        </w:rPr>
        <w:t xml:space="preserve"> reduction in saturated fat (-1.6 g), and 6</w:t>
      </w:r>
      <w:r w:rsidRPr="75D06BE9">
        <w:rPr>
          <w:sz w:val="22"/>
          <w:szCs w:val="22"/>
        </w:rPr>
        <w:t>%</w:t>
      </w:r>
      <w:r w:rsidRPr="05260A5A">
        <w:rPr>
          <w:sz w:val="22"/>
          <w:szCs w:val="22"/>
        </w:rPr>
        <w:t xml:space="preserve"> reduction in total sugars (-6.6 g)</w:t>
      </w:r>
      <w:r w:rsidR="2A9FC092">
        <w:rPr>
          <w:sz w:val="22"/>
          <w:szCs w:val="22"/>
        </w:rPr>
        <w:t>.</w:t>
      </w:r>
      <w:r w:rsidR="00F43FF5">
        <w:rPr>
          <w:rStyle w:val="FootnoteReference"/>
          <w:sz w:val="22"/>
          <w:szCs w:val="22"/>
        </w:rPr>
        <w:footnoteReference w:id="10"/>
      </w:r>
    </w:p>
    <w:bookmarkEnd w:id="25"/>
    <w:p w14:paraId="13F5B5BB" w14:textId="7887E00E" w:rsidR="00352C36" w:rsidRPr="00352C36" w:rsidRDefault="00352C36" w:rsidP="00795E9E">
      <w:pPr>
        <w:spacing w:after="240"/>
        <w:rPr>
          <w:sz w:val="22"/>
          <w:szCs w:val="22"/>
        </w:rPr>
      </w:pPr>
      <w:r w:rsidRPr="721DF8A1">
        <w:rPr>
          <w:sz w:val="22"/>
          <w:szCs w:val="22"/>
        </w:rPr>
        <w:t>Food categories which had the greatest overall potential impact on energy and nutrient intake were ‘Chocolate and chocolate-based confection</w:t>
      </w:r>
      <w:r w:rsidR="7C0981D2" w:rsidRPr="721DF8A1">
        <w:rPr>
          <w:sz w:val="22"/>
          <w:szCs w:val="22"/>
        </w:rPr>
        <w:t>e</w:t>
      </w:r>
      <w:r w:rsidRPr="721DF8A1">
        <w:rPr>
          <w:sz w:val="22"/>
          <w:szCs w:val="22"/>
        </w:rPr>
        <w:t xml:space="preserve">ry’, ‘Frozen desserts and ice-cream’, ‘Pizza’, ‘Crumbed and battered proteins’, and ‘Cakes, muffins, </w:t>
      </w:r>
      <w:proofErr w:type="gramStart"/>
      <w:r w:rsidRPr="721DF8A1">
        <w:rPr>
          <w:sz w:val="22"/>
          <w:szCs w:val="22"/>
        </w:rPr>
        <w:t>slices’</w:t>
      </w:r>
      <w:proofErr w:type="gramEnd"/>
      <w:r w:rsidRPr="721DF8A1">
        <w:rPr>
          <w:sz w:val="22"/>
          <w:szCs w:val="22"/>
        </w:rPr>
        <w:t>. Food categories with the lowest overall potential impact were ‘Savoury pastry products’, ‘</w:t>
      </w:r>
      <w:r w:rsidR="00860687">
        <w:rPr>
          <w:sz w:val="22"/>
          <w:szCs w:val="22"/>
        </w:rPr>
        <w:t>Hot potato chips, fries and wedges</w:t>
      </w:r>
      <w:r w:rsidRPr="721DF8A1">
        <w:rPr>
          <w:sz w:val="22"/>
          <w:szCs w:val="22"/>
        </w:rPr>
        <w:t xml:space="preserve">’ and ‘Sweet </w:t>
      </w:r>
      <w:proofErr w:type="gramStart"/>
      <w:r w:rsidRPr="721DF8A1">
        <w:rPr>
          <w:sz w:val="22"/>
          <w:szCs w:val="22"/>
        </w:rPr>
        <w:t>biscuits’</w:t>
      </w:r>
      <w:proofErr w:type="gramEnd"/>
      <w:r w:rsidRPr="721DF8A1">
        <w:rPr>
          <w:sz w:val="22"/>
          <w:szCs w:val="22"/>
        </w:rPr>
        <w:t>.</w:t>
      </w:r>
    </w:p>
    <w:p w14:paraId="4722A4E5" w14:textId="0D03DA49" w:rsidR="0050041D" w:rsidRPr="00860687" w:rsidRDefault="0050041D" w:rsidP="00B32AC9">
      <w:pPr>
        <w:pStyle w:val="Heading1"/>
        <w:numPr>
          <w:ilvl w:val="0"/>
          <w:numId w:val="87"/>
        </w:numPr>
        <w:spacing w:before="0" w:after="120"/>
        <w:rPr>
          <w:shd w:val="clear" w:color="auto" w:fill="FFFFFF"/>
        </w:rPr>
      </w:pPr>
      <w:bookmarkStart w:id="26" w:name="_Toc109294246"/>
      <w:r w:rsidRPr="00860687">
        <w:rPr>
          <w:shd w:val="clear" w:color="auto" w:fill="FFFFFF"/>
        </w:rPr>
        <w:t>Public consultation</w:t>
      </w:r>
      <w:bookmarkEnd w:id="26"/>
    </w:p>
    <w:p w14:paraId="4E840680" w14:textId="6F60A058" w:rsidR="00F155EC" w:rsidRPr="00860687" w:rsidRDefault="00F155EC" w:rsidP="00B32AC9">
      <w:pPr>
        <w:spacing w:after="240"/>
        <w:rPr>
          <w:sz w:val="22"/>
          <w:szCs w:val="22"/>
        </w:rPr>
      </w:pPr>
      <w:r w:rsidRPr="00860687">
        <w:rPr>
          <w:sz w:val="22"/>
          <w:szCs w:val="22"/>
        </w:rPr>
        <w:t xml:space="preserve">Draft recommendations and example pages of the Guide were released for public consultation during July and August 2021. Additional </w:t>
      </w:r>
      <w:r w:rsidRPr="00AE7AFD">
        <w:rPr>
          <w:sz w:val="22"/>
          <w:szCs w:val="22"/>
        </w:rPr>
        <w:t>consultation</w:t>
      </w:r>
      <w:r w:rsidR="00573030" w:rsidRPr="00860687">
        <w:rPr>
          <w:sz w:val="22"/>
          <w:szCs w:val="22"/>
        </w:rPr>
        <w:t xml:space="preserve"> </w:t>
      </w:r>
      <w:r w:rsidRPr="00860687">
        <w:rPr>
          <w:sz w:val="22"/>
          <w:szCs w:val="22"/>
        </w:rPr>
        <w:t xml:space="preserve">was conducted on the chilled beverages </w:t>
      </w:r>
      <w:r w:rsidR="00A3516E" w:rsidRPr="00860687">
        <w:rPr>
          <w:sz w:val="22"/>
          <w:szCs w:val="22"/>
        </w:rPr>
        <w:t xml:space="preserve">out of home </w:t>
      </w:r>
      <w:r w:rsidRPr="00860687">
        <w:rPr>
          <w:sz w:val="22"/>
          <w:szCs w:val="22"/>
        </w:rPr>
        <w:t>category</w:t>
      </w:r>
      <w:r w:rsidR="00A3516E" w:rsidRPr="00860687">
        <w:rPr>
          <w:sz w:val="22"/>
          <w:szCs w:val="22"/>
        </w:rPr>
        <w:t xml:space="preserve"> and the cakes out of home category</w:t>
      </w:r>
      <w:r w:rsidRPr="00860687">
        <w:rPr>
          <w:sz w:val="22"/>
          <w:szCs w:val="22"/>
        </w:rPr>
        <w:t xml:space="preserve"> in November 2021</w:t>
      </w:r>
      <w:r w:rsidR="003F2B7E" w:rsidRPr="00860687">
        <w:rPr>
          <w:rStyle w:val="FootnoteReference"/>
          <w:sz w:val="22"/>
          <w:szCs w:val="22"/>
        </w:rPr>
        <w:footnoteReference w:id="11"/>
      </w:r>
      <w:r w:rsidRPr="00860687">
        <w:rPr>
          <w:sz w:val="22"/>
          <w:szCs w:val="22"/>
        </w:rPr>
        <w:t xml:space="preserve">. </w:t>
      </w:r>
    </w:p>
    <w:p w14:paraId="2C8B517A" w14:textId="70BB54C4" w:rsidR="00F155EC" w:rsidRPr="00860687" w:rsidRDefault="00F155EC" w:rsidP="00B32AC9">
      <w:pPr>
        <w:spacing w:after="240"/>
        <w:rPr>
          <w:sz w:val="22"/>
          <w:szCs w:val="22"/>
        </w:rPr>
      </w:pPr>
      <w:r w:rsidRPr="00860687">
        <w:rPr>
          <w:sz w:val="22"/>
          <w:szCs w:val="22"/>
        </w:rPr>
        <w:t>There were 27 submissions to the consultation, of which around half represented the food industry, a third from the public health</w:t>
      </w:r>
      <w:r w:rsidR="00860687">
        <w:rPr>
          <w:sz w:val="22"/>
          <w:szCs w:val="22"/>
        </w:rPr>
        <w:t xml:space="preserve"> </w:t>
      </w:r>
      <w:r w:rsidRPr="00860687">
        <w:rPr>
          <w:sz w:val="22"/>
          <w:szCs w:val="22"/>
        </w:rPr>
        <w:t xml:space="preserve">sector or academia, </w:t>
      </w:r>
      <w:r w:rsidR="00860687">
        <w:rPr>
          <w:sz w:val="22"/>
          <w:szCs w:val="22"/>
        </w:rPr>
        <w:t>and</w:t>
      </w:r>
      <w:r w:rsidRPr="00860687">
        <w:rPr>
          <w:sz w:val="22"/>
          <w:szCs w:val="22"/>
        </w:rPr>
        <w:t xml:space="preserve"> a smaller number from government and members of the public.</w:t>
      </w:r>
    </w:p>
    <w:p w14:paraId="30B134BA" w14:textId="60AD3AF3" w:rsidR="00F155EC" w:rsidRPr="00860687" w:rsidRDefault="00F155EC" w:rsidP="00B32AC9">
      <w:pPr>
        <w:spacing w:after="240"/>
        <w:rPr>
          <w:sz w:val="22"/>
          <w:szCs w:val="22"/>
        </w:rPr>
      </w:pPr>
      <w:r w:rsidRPr="00860687">
        <w:rPr>
          <w:sz w:val="22"/>
          <w:szCs w:val="22"/>
        </w:rPr>
        <w:t xml:space="preserve">A summary of submissions </w:t>
      </w:r>
      <w:r w:rsidR="00860687">
        <w:rPr>
          <w:sz w:val="22"/>
          <w:szCs w:val="22"/>
        </w:rPr>
        <w:t>is</w:t>
      </w:r>
      <w:r w:rsidRPr="00860687">
        <w:rPr>
          <w:sz w:val="22"/>
          <w:szCs w:val="22"/>
        </w:rPr>
        <w:t xml:space="preserve"> published separately.</w:t>
      </w:r>
    </w:p>
    <w:p w14:paraId="449662CF" w14:textId="1A22E11C" w:rsidR="00C64E53" w:rsidRPr="00C64E53" w:rsidRDefault="00C64E53" w:rsidP="00B32AC9">
      <w:pPr>
        <w:pStyle w:val="Heading1"/>
        <w:numPr>
          <w:ilvl w:val="0"/>
          <w:numId w:val="87"/>
        </w:numPr>
        <w:spacing w:before="0" w:after="120"/>
        <w:rPr>
          <w:shd w:val="clear" w:color="auto" w:fill="FFFFFF"/>
        </w:rPr>
      </w:pPr>
      <w:bookmarkStart w:id="27" w:name="_Toc109294247"/>
      <w:r w:rsidRPr="00C64E53">
        <w:rPr>
          <w:shd w:val="clear" w:color="auto" w:fill="FFFFFF"/>
        </w:rPr>
        <w:lastRenderedPageBreak/>
        <w:t>Implementation of the serving size recommendations</w:t>
      </w:r>
      <w:bookmarkEnd w:id="27"/>
    </w:p>
    <w:p w14:paraId="19301231" w14:textId="018904FB" w:rsidR="003302F1" w:rsidRDefault="6AB46735" w:rsidP="00B32AC9">
      <w:pPr>
        <w:spacing w:after="120"/>
        <w:rPr>
          <w:sz w:val="22"/>
          <w:szCs w:val="22"/>
        </w:rPr>
      </w:pPr>
      <w:r w:rsidRPr="05260A5A">
        <w:rPr>
          <w:sz w:val="22"/>
          <w:szCs w:val="22"/>
        </w:rPr>
        <w:t>As t</w:t>
      </w:r>
      <w:r w:rsidR="00C2216F" w:rsidRPr="05260A5A">
        <w:rPr>
          <w:sz w:val="22"/>
          <w:szCs w:val="22"/>
        </w:rPr>
        <w:t>he Guide is v</w:t>
      </w:r>
      <w:r w:rsidR="00C64E53" w:rsidRPr="05260A5A">
        <w:rPr>
          <w:sz w:val="22"/>
          <w:szCs w:val="22"/>
        </w:rPr>
        <w:t>oluntary</w:t>
      </w:r>
      <w:r w:rsidR="3B84AB4F" w:rsidRPr="05260A5A">
        <w:rPr>
          <w:sz w:val="22"/>
          <w:szCs w:val="22"/>
        </w:rPr>
        <w:t xml:space="preserve">, </w:t>
      </w:r>
      <w:r w:rsidR="519F7710" w:rsidRPr="05260A5A">
        <w:rPr>
          <w:sz w:val="22"/>
          <w:szCs w:val="22"/>
        </w:rPr>
        <w:t>t</w:t>
      </w:r>
      <w:r w:rsidR="00C2216F" w:rsidRPr="05260A5A">
        <w:rPr>
          <w:sz w:val="22"/>
          <w:szCs w:val="22"/>
        </w:rPr>
        <w:t>here is no requirement for businesses to</w:t>
      </w:r>
      <w:r w:rsidR="00170425" w:rsidRPr="05260A5A">
        <w:rPr>
          <w:sz w:val="22"/>
          <w:szCs w:val="22"/>
        </w:rPr>
        <w:t xml:space="preserve"> ‘sign-</w:t>
      </w:r>
      <w:r w:rsidR="00C64E53" w:rsidRPr="05260A5A">
        <w:rPr>
          <w:sz w:val="22"/>
          <w:szCs w:val="22"/>
        </w:rPr>
        <w:t>up</w:t>
      </w:r>
      <w:r w:rsidR="00170425" w:rsidRPr="05260A5A">
        <w:rPr>
          <w:sz w:val="22"/>
          <w:szCs w:val="22"/>
        </w:rPr>
        <w:t>’</w:t>
      </w:r>
      <w:r w:rsidR="00C64E53" w:rsidRPr="05260A5A">
        <w:rPr>
          <w:sz w:val="22"/>
          <w:szCs w:val="22"/>
        </w:rPr>
        <w:t xml:space="preserve"> or report </w:t>
      </w:r>
      <w:r w:rsidR="00170425" w:rsidRPr="05260A5A">
        <w:rPr>
          <w:sz w:val="22"/>
          <w:szCs w:val="22"/>
        </w:rPr>
        <w:t xml:space="preserve">their progress. The Guide will assist companies to consider what actions they </w:t>
      </w:r>
      <w:r w:rsidR="2D541EDA" w:rsidRPr="05260A5A">
        <w:rPr>
          <w:sz w:val="22"/>
          <w:szCs w:val="22"/>
        </w:rPr>
        <w:t xml:space="preserve">may wish to adopt </w:t>
      </w:r>
      <w:r w:rsidR="6D71CD30" w:rsidRPr="05260A5A">
        <w:rPr>
          <w:sz w:val="22"/>
          <w:szCs w:val="22"/>
        </w:rPr>
        <w:t xml:space="preserve">to </w:t>
      </w:r>
      <w:r w:rsidR="6F99A48D" w:rsidRPr="05260A5A">
        <w:rPr>
          <w:sz w:val="22"/>
          <w:szCs w:val="22"/>
        </w:rPr>
        <w:t xml:space="preserve">monitor and </w:t>
      </w:r>
      <w:r w:rsidR="6D71CD30" w:rsidRPr="05260A5A">
        <w:rPr>
          <w:sz w:val="22"/>
          <w:szCs w:val="22"/>
        </w:rPr>
        <w:t>reduce</w:t>
      </w:r>
      <w:r w:rsidR="00170425" w:rsidRPr="05260A5A">
        <w:rPr>
          <w:sz w:val="22"/>
          <w:szCs w:val="22"/>
        </w:rPr>
        <w:t xml:space="preserve"> the serving sizes of their products.</w:t>
      </w:r>
    </w:p>
    <w:p w14:paraId="4C2600F5" w14:textId="04B573F8" w:rsidR="003302F1" w:rsidRDefault="003302F1" w:rsidP="00994436">
      <w:pPr>
        <w:pStyle w:val="Heading1"/>
        <w:numPr>
          <w:ilvl w:val="0"/>
          <w:numId w:val="87"/>
        </w:numPr>
        <w:tabs>
          <w:tab w:val="left" w:pos="426"/>
        </w:tabs>
        <w:ind w:left="426" w:hanging="426"/>
        <w:rPr>
          <w:shd w:val="clear" w:color="auto" w:fill="FFFFFF"/>
        </w:rPr>
      </w:pPr>
      <w:bookmarkStart w:id="28" w:name="_Toc109294248"/>
      <w:bookmarkStart w:id="29" w:name="_Toc65588142"/>
      <w:r>
        <w:rPr>
          <w:shd w:val="clear" w:color="auto" w:fill="FFFFFF"/>
        </w:rPr>
        <w:t>Monitoring and Evaluation</w:t>
      </w:r>
      <w:bookmarkEnd w:id="28"/>
    </w:p>
    <w:p w14:paraId="08F7B0B3" w14:textId="77777777" w:rsidR="003302F1" w:rsidRDefault="003302F1" w:rsidP="00CF30C0">
      <w:pPr>
        <w:spacing w:after="120"/>
        <w:rPr>
          <w:sz w:val="22"/>
          <w:szCs w:val="22"/>
        </w:rPr>
      </w:pPr>
      <w:r w:rsidRPr="67241177">
        <w:rPr>
          <w:sz w:val="22"/>
          <w:szCs w:val="22"/>
        </w:rPr>
        <w:t xml:space="preserve">To evaluate changes in serving sizes of the targeted foods, </w:t>
      </w:r>
      <w:proofErr w:type="gramStart"/>
      <w:r w:rsidRPr="67241177">
        <w:rPr>
          <w:sz w:val="22"/>
          <w:szCs w:val="22"/>
        </w:rPr>
        <w:t>a number of</w:t>
      </w:r>
      <w:proofErr w:type="gramEnd"/>
      <w:r w:rsidRPr="67241177">
        <w:rPr>
          <w:sz w:val="22"/>
          <w:szCs w:val="22"/>
        </w:rPr>
        <w:t xml:space="preserve"> monitoring and evaluation projects are proposed, including:</w:t>
      </w:r>
    </w:p>
    <w:p w14:paraId="2142742F" w14:textId="64CFFD9A" w:rsidR="003302F1" w:rsidRDefault="003302F1" w:rsidP="00CF30C0">
      <w:pPr>
        <w:pStyle w:val="ListParagraph"/>
        <w:numPr>
          <w:ilvl w:val="0"/>
          <w:numId w:val="22"/>
        </w:numPr>
        <w:spacing w:after="120"/>
        <w:contextualSpacing w:val="0"/>
        <w:rPr>
          <w:sz w:val="22"/>
          <w:szCs w:val="22"/>
        </w:rPr>
      </w:pPr>
      <w:r w:rsidRPr="25FD5DD0">
        <w:rPr>
          <w:sz w:val="22"/>
          <w:szCs w:val="22"/>
        </w:rPr>
        <w:t>Audits of serving sizes of targeted discretionary foods and beverages in retail and out of home setting</w:t>
      </w:r>
      <w:r w:rsidR="003F2B7E">
        <w:rPr>
          <w:sz w:val="22"/>
          <w:szCs w:val="22"/>
        </w:rPr>
        <w:t>s</w:t>
      </w:r>
      <w:r w:rsidRPr="25FD5DD0">
        <w:rPr>
          <w:sz w:val="22"/>
          <w:szCs w:val="22"/>
        </w:rPr>
        <w:t xml:space="preserve"> (</w:t>
      </w:r>
      <w:r w:rsidR="00860687">
        <w:rPr>
          <w:sz w:val="22"/>
          <w:szCs w:val="22"/>
        </w:rPr>
        <w:t>for example</w:t>
      </w:r>
      <w:r w:rsidRPr="25FD5DD0">
        <w:rPr>
          <w:sz w:val="22"/>
          <w:szCs w:val="22"/>
        </w:rPr>
        <w:t xml:space="preserve"> smaller serving sizes more visible</w:t>
      </w:r>
      <w:r w:rsidR="003F2B7E">
        <w:rPr>
          <w:sz w:val="22"/>
          <w:szCs w:val="22"/>
        </w:rPr>
        <w:t xml:space="preserve"> and</w:t>
      </w:r>
      <w:r w:rsidRPr="25FD5DD0">
        <w:rPr>
          <w:sz w:val="22"/>
          <w:szCs w:val="22"/>
        </w:rPr>
        <w:t xml:space="preserve"> being </w:t>
      </w:r>
      <w:r w:rsidR="003F2B7E">
        <w:rPr>
          <w:sz w:val="22"/>
          <w:szCs w:val="22"/>
        </w:rPr>
        <w:t xml:space="preserve">the </w:t>
      </w:r>
      <w:r w:rsidRPr="25FD5DD0">
        <w:rPr>
          <w:sz w:val="22"/>
          <w:szCs w:val="22"/>
        </w:rPr>
        <w:t>default option</w:t>
      </w:r>
      <w:r w:rsidR="003F2B7E">
        <w:rPr>
          <w:sz w:val="22"/>
          <w:szCs w:val="22"/>
        </w:rPr>
        <w:t>, and</w:t>
      </w:r>
      <w:r w:rsidRPr="25FD5DD0">
        <w:rPr>
          <w:sz w:val="22"/>
          <w:szCs w:val="22"/>
        </w:rPr>
        <w:t xml:space="preserve"> removing upsizing</w:t>
      </w:r>
      <w:proofErr w:type="gramStart"/>
      <w:r w:rsidRPr="25FD5DD0">
        <w:rPr>
          <w:sz w:val="22"/>
          <w:szCs w:val="22"/>
        </w:rPr>
        <w:t>);</w:t>
      </w:r>
      <w:proofErr w:type="gramEnd"/>
    </w:p>
    <w:p w14:paraId="0D6FE88C" w14:textId="77777777" w:rsidR="003302F1" w:rsidRDefault="003302F1" w:rsidP="00CF30C0">
      <w:pPr>
        <w:pStyle w:val="ListParagraph"/>
        <w:numPr>
          <w:ilvl w:val="0"/>
          <w:numId w:val="22"/>
        </w:numPr>
        <w:spacing w:after="120"/>
        <w:contextualSpacing w:val="0"/>
        <w:rPr>
          <w:sz w:val="22"/>
          <w:szCs w:val="22"/>
        </w:rPr>
      </w:pPr>
      <w:r w:rsidRPr="33482807">
        <w:rPr>
          <w:sz w:val="22"/>
          <w:szCs w:val="22"/>
        </w:rPr>
        <w:t xml:space="preserve">Qualitative survey or interviews with industry to identify enablers and barriers to reduce serving </w:t>
      </w:r>
      <w:proofErr w:type="gramStart"/>
      <w:r w:rsidRPr="33482807">
        <w:rPr>
          <w:sz w:val="22"/>
          <w:szCs w:val="22"/>
        </w:rPr>
        <w:t>sizes;</w:t>
      </w:r>
      <w:proofErr w:type="gramEnd"/>
    </w:p>
    <w:p w14:paraId="1939028D" w14:textId="560533FB" w:rsidR="003302F1" w:rsidRDefault="003302F1" w:rsidP="00CF30C0">
      <w:pPr>
        <w:pStyle w:val="ListParagraph"/>
        <w:numPr>
          <w:ilvl w:val="0"/>
          <w:numId w:val="22"/>
        </w:numPr>
        <w:spacing w:after="120"/>
        <w:contextualSpacing w:val="0"/>
        <w:rPr>
          <w:sz w:val="22"/>
          <w:szCs w:val="22"/>
        </w:rPr>
      </w:pPr>
      <w:r w:rsidRPr="67241177">
        <w:rPr>
          <w:sz w:val="22"/>
          <w:szCs w:val="22"/>
        </w:rPr>
        <w:t>Qualitative surveys or interviews with consumers to provide feedback on serving size changes (</w:t>
      </w:r>
      <w:r w:rsidR="003F2B7E">
        <w:rPr>
          <w:sz w:val="22"/>
          <w:szCs w:val="22"/>
        </w:rPr>
        <w:t xml:space="preserve">for example, </w:t>
      </w:r>
      <w:r w:rsidRPr="67241177">
        <w:rPr>
          <w:sz w:val="22"/>
          <w:szCs w:val="22"/>
        </w:rPr>
        <w:t xml:space="preserve">have changes in serving size been detected, </w:t>
      </w:r>
      <w:r w:rsidR="00303C72">
        <w:rPr>
          <w:sz w:val="22"/>
          <w:szCs w:val="22"/>
        </w:rPr>
        <w:t xml:space="preserve">for </w:t>
      </w:r>
      <w:r w:rsidRPr="67241177">
        <w:rPr>
          <w:sz w:val="22"/>
          <w:szCs w:val="22"/>
        </w:rPr>
        <w:t xml:space="preserve">which foods/beverages, </w:t>
      </w:r>
      <w:r w:rsidR="00303C72">
        <w:rPr>
          <w:sz w:val="22"/>
          <w:szCs w:val="22"/>
        </w:rPr>
        <w:t>and what are consumers’ reactions to these</w:t>
      </w:r>
      <w:proofErr w:type="gramStart"/>
      <w:r w:rsidRPr="67241177">
        <w:rPr>
          <w:sz w:val="22"/>
          <w:szCs w:val="22"/>
        </w:rPr>
        <w:t>);</w:t>
      </w:r>
      <w:proofErr w:type="gramEnd"/>
      <w:r w:rsidRPr="67241177">
        <w:rPr>
          <w:sz w:val="22"/>
          <w:szCs w:val="22"/>
        </w:rPr>
        <w:t xml:space="preserve"> </w:t>
      </w:r>
    </w:p>
    <w:p w14:paraId="3B239DD6" w14:textId="2BF78633" w:rsidR="003302F1" w:rsidRDefault="003302F1" w:rsidP="00CF30C0">
      <w:pPr>
        <w:pStyle w:val="ListParagraph"/>
        <w:numPr>
          <w:ilvl w:val="0"/>
          <w:numId w:val="22"/>
        </w:numPr>
        <w:spacing w:after="120"/>
        <w:contextualSpacing w:val="0"/>
        <w:rPr>
          <w:sz w:val="22"/>
          <w:szCs w:val="22"/>
        </w:rPr>
      </w:pPr>
      <w:r w:rsidRPr="25FD5DD0">
        <w:rPr>
          <w:sz w:val="22"/>
          <w:szCs w:val="22"/>
        </w:rPr>
        <w:t xml:space="preserve">Monitor and compare sales data of smaller versus larger serving sizes in retail and out of home </w:t>
      </w:r>
      <w:proofErr w:type="gramStart"/>
      <w:r w:rsidRPr="25FD5DD0">
        <w:rPr>
          <w:sz w:val="22"/>
          <w:szCs w:val="22"/>
        </w:rPr>
        <w:t>setting</w:t>
      </w:r>
      <w:r w:rsidR="00303C72">
        <w:rPr>
          <w:sz w:val="22"/>
          <w:szCs w:val="22"/>
        </w:rPr>
        <w:t>s</w:t>
      </w:r>
      <w:r w:rsidRPr="25FD5DD0">
        <w:rPr>
          <w:sz w:val="22"/>
          <w:szCs w:val="22"/>
        </w:rPr>
        <w:t>;</w:t>
      </w:r>
      <w:proofErr w:type="gramEnd"/>
    </w:p>
    <w:p w14:paraId="606AE093" w14:textId="137E1128" w:rsidR="003302F1" w:rsidRDefault="003302F1" w:rsidP="00CF30C0">
      <w:pPr>
        <w:pStyle w:val="ListParagraph"/>
        <w:numPr>
          <w:ilvl w:val="0"/>
          <w:numId w:val="22"/>
        </w:numPr>
        <w:spacing w:after="120"/>
        <w:contextualSpacing w:val="0"/>
        <w:rPr>
          <w:rFonts w:cstheme="minorBidi"/>
          <w:sz w:val="22"/>
          <w:szCs w:val="22"/>
        </w:rPr>
      </w:pPr>
      <w:r w:rsidRPr="67241177">
        <w:rPr>
          <w:sz w:val="22"/>
          <w:szCs w:val="22"/>
        </w:rPr>
        <w:t xml:space="preserve">Assess changes in population portion sizes of targeted discretionary foods and beverages pre- and post- implementation of the </w:t>
      </w:r>
      <w:proofErr w:type="gramStart"/>
      <w:r w:rsidRPr="67241177">
        <w:rPr>
          <w:sz w:val="22"/>
          <w:szCs w:val="22"/>
        </w:rPr>
        <w:t>Guide,</w:t>
      </w:r>
      <w:r w:rsidR="00D567F0">
        <w:rPr>
          <w:sz w:val="22"/>
          <w:szCs w:val="22"/>
        </w:rPr>
        <w:t xml:space="preserve"> </w:t>
      </w:r>
      <w:r w:rsidRPr="67241177">
        <w:rPr>
          <w:sz w:val="22"/>
          <w:szCs w:val="22"/>
        </w:rPr>
        <w:t>and</w:t>
      </w:r>
      <w:proofErr w:type="gramEnd"/>
      <w:r w:rsidRPr="67241177">
        <w:rPr>
          <w:sz w:val="22"/>
          <w:szCs w:val="22"/>
        </w:rPr>
        <w:t xml:space="preserve"> assess changes in total daily energy intake.</w:t>
      </w:r>
    </w:p>
    <w:p w14:paraId="6F8D9A0C" w14:textId="0FD4DFE6" w:rsidR="00367824" w:rsidRDefault="003302F1">
      <w:pPr>
        <w:rPr>
          <w:sz w:val="22"/>
          <w:szCs w:val="22"/>
        </w:rPr>
      </w:pPr>
      <w:r w:rsidRPr="1C8ED50E">
        <w:rPr>
          <w:sz w:val="22"/>
          <w:szCs w:val="22"/>
        </w:rPr>
        <w:t xml:space="preserve">Details of these projects will be discussed and progressed </w:t>
      </w:r>
      <w:r w:rsidR="00A65D71">
        <w:rPr>
          <w:sz w:val="22"/>
          <w:szCs w:val="22"/>
        </w:rPr>
        <w:t xml:space="preserve">through the </w:t>
      </w:r>
      <w:r w:rsidR="002A3FF8">
        <w:rPr>
          <w:sz w:val="22"/>
          <w:szCs w:val="22"/>
        </w:rPr>
        <w:t>Partnership IMERG</w:t>
      </w:r>
      <w:r w:rsidR="00A65D71">
        <w:rPr>
          <w:sz w:val="22"/>
          <w:szCs w:val="22"/>
        </w:rPr>
        <w:t>.</w:t>
      </w:r>
    </w:p>
    <w:p w14:paraId="749E2EA1" w14:textId="77777777" w:rsidR="00367824" w:rsidRDefault="00367824">
      <w:pPr>
        <w:rPr>
          <w:sz w:val="22"/>
          <w:szCs w:val="22"/>
        </w:rPr>
      </w:pPr>
      <w:r>
        <w:rPr>
          <w:sz w:val="22"/>
          <w:szCs w:val="22"/>
        </w:rPr>
        <w:br w:type="page"/>
      </w:r>
    </w:p>
    <w:p w14:paraId="71F08DF2" w14:textId="589EAF1C" w:rsidR="00563A63" w:rsidRDefault="00563A63" w:rsidP="00994436">
      <w:pPr>
        <w:pStyle w:val="Heading1"/>
        <w:numPr>
          <w:ilvl w:val="0"/>
          <w:numId w:val="87"/>
        </w:numPr>
        <w:tabs>
          <w:tab w:val="left" w:pos="426"/>
        </w:tabs>
        <w:ind w:left="426" w:hanging="426"/>
        <w:rPr>
          <w:shd w:val="clear" w:color="auto" w:fill="FFFFFF"/>
        </w:rPr>
      </w:pPr>
      <w:bookmarkStart w:id="30" w:name="_Toc109294249"/>
      <w:bookmarkStart w:id="31" w:name="_Hlk106873753"/>
      <w:r>
        <w:rPr>
          <w:shd w:val="clear" w:color="auto" w:fill="FFFFFF"/>
        </w:rPr>
        <w:lastRenderedPageBreak/>
        <w:t xml:space="preserve">Additional </w:t>
      </w:r>
      <w:r w:rsidR="00D02B7D">
        <w:rPr>
          <w:shd w:val="clear" w:color="auto" w:fill="FFFFFF"/>
        </w:rPr>
        <w:t>r</w:t>
      </w:r>
      <w:r>
        <w:rPr>
          <w:shd w:val="clear" w:color="auto" w:fill="FFFFFF"/>
        </w:rPr>
        <w:t>ecommendations</w:t>
      </w:r>
      <w:bookmarkEnd w:id="29"/>
      <w:r>
        <w:rPr>
          <w:shd w:val="clear" w:color="auto" w:fill="FFFFFF"/>
        </w:rPr>
        <w:t xml:space="preserve"> and future direction</w:t>
      </w:r>
      <w:bookmarkEnd w:id="30"/>
    </w:p>
    <w:p w14:paraId="4750B36F" w14:textId="3E7FD5CB" w:rsidR="00D02B7D" w:rsidRDefault="00D02B7D" w:rsidP="00795E9E">
      <w:pPr>
        <w:rPr>
          <w:sz w:val="22"/>
          <w:szCs w:val="22"/>
        </w:rPr>
      </w:pPr>
      <w:r w:rsidRPr="3BD28443">
        <w:rPr>
          <w:b/>
          <w:bCs/>
          <w:i/>
          <w:iCs/>
          <w:sz w:val="22"/>
          <w:szCs w:val="22"/>
        </w:rPr>
        <w:t>Consumer education to increase awareness around appropriate serving and portion sizes</w:t>
      </w:r>
    </w:p>
    <w:p w14:paraId="1C29779B" w14:textId="25ABEC63" w:rsidR="00D02B7D" w:rsidRDefault="00D02B7D" w:rsidP="00B32AC9">
      <w:pPr>
        <w:spacing w:after="240"/>
        <w:rPr>
          <w:rFonts w:ascii="Calibri" w:eastAsia="Calibri" w:hAnsi="Calibri" w:cs="Calibri"/>
          <w:sz w:val="22"/>
          <w:szCs w:val="22"/>
        </w:rPr>
      </w:pPr>
      <w:r w:rsidRPr="00D02B7D">
        <w:rPr>
          <w:rFonts w:ascii="Calibri" w:eastAsia="Calibri" w:hAnsi="Calibri" w:cs="Calibri"/>
          <w:sz w:val="22"/>
          <w:szCs w:val="22"/>
        </w:rPr>
        <w:t>Feedback from the public consultation highlighted the need for a consumer-facing awareness campaign. Consumer education is vital to increasing understanding of the role of discretionary foods in the diet and the amounts recommended in the ADG for individual energy needs.</w:t>
      </w:r>
    </w:p>
    <w:p w14:paraId="0C57619D" w14:textId="0FC20C5F" w:rsidR="00563A63" w:rsidRDefault="00D02B7D" w:rsidP="00B32AC9">
      <w:pPr>
        <w:spacing w:after="240"/>
        <w:rPr>
          <w:rFonts w:ascii="Calibri" w:eastAsia="Calibri" w:hAnsi="Calibri" w:cs="Calibri"/>
          <w:sz w:val="22"/>
          <w:szCs w:val="22"/>
        </w:rPr>
      </w:pPr>
      <w:r>
        <w:rPr>
          <w:rFonts w:ascii="Calibri" w:eastAsia="Calibri" w:hAnsi="Calibri" w:cs="Calibri"/>
          <w:sz w:val="22"/>
          <w:szCs w:val="22"/>
        </w:rPr>
        <w:t xml:space="preserve">The </w:t>
      </w:r>
      <w:r w:rsidR="00563A63" w:rsidRPr="00411690">
        <w:rPr>
          <w:rFonts w:ascii="Calibri" w:eastAsia="Calibri" w:hAnsi="Calibri" w:cs="Calibri"/>
          <w:sz w:val="22"/>
          <w:szCs w:val="22"/>
        </w:rPr>
        <w:t xml:space="preserve">PSWG </w:t>
      </w:r>
      <w:r>
        <w:rPr>
          <w:rFonts w:ascii="Calibri" w:eastAsia="Calibri" w:hAnsi="Calibri" w:cs="Calibri"/>
          <w:sz w:val="22"/>
          <w:szCs w:val="22"/>
        </w:rPr>
        <w:t>also identified the need for consumer education. The IB</w:t>
      </w:r>
      <w:r w:rsidR="00EB7823">
        <w:rPr>
          <w:rFonts w:ascii="Calibri" w:eastAsia="Calibri" w:hAnsi="Calibri" w:cs="Calibri"/>
          <w:sz w:val="22"/>
          <w:szCs w:val="22"/>
        </w:rPr>
        <w:t>PGWG supports recommendation</w:t>
      </w:r>
      <w:r w:rsidR="00795E9E">
        <w:rPr>
          <w:rFonts w:ascii="Calibri" w:eastAsia="Calibri" w:hAnsi="Calibri" w:cs="Calibri"/>
          <w:sz w:val="22"/>
          <w:szCs w:val="22"/>
        </w:rPr>
        <w:t> </w:t>
      </w:r>
      <w:r w:rsidR="00EB7823">
        <w:rPr>
          <w:rFonts w:ascii="Calibri" w:eastAsia="Calibri" w:hAnsi="Calibri" w:cs="Calibri"/>
          <w:sz w:val="22"/>
          <w:szCs w:val="22"/>
        </w:rPr>
        <w:t xml:space="preserve">1 from the PSWG’s final report: </w:t>
      </w:r>
      <w:r w:rsidR="00563A63" w:rsidRPr="0081058E">
        <w:rPr>
          <w:rFonts w:ascii="Calibri" w:eastAsia="Calibri" w:hAnsi="Calibri" w:cs="Calibri"/>
          <w:i/>
          <w:iCs/>
          <w:sz w:val="22"/>
          <w:szCs w:val="22"/>
        </w:rPr>
        <w:t>Better Awareness: develop and implement a communications strategy and campaign to promote appropriate sizes of portions, using agreed terminology, to address consumer perceptions about portion</w:t>
      </w:r>
      <w:r w:rsidR="00EB7823">
        <w:rPr>
          <w:rFonts w:ascii="Calibri" w:eastAsia="Calibri" w:hAnsi="Calibri" w:cs="Calibri"/>
          <w:sz w:val="22"/>
          <w:szCs w:val="22"/>
        </w:rPr>
        <w:t xml:space="preserve"> (2</w:t>
      </w:r>
      <w:r w:rsidR="00CE1CA8">
        <w:rPr>
          <w:rFonts w:ascii="Calibri" w:eastAsia="Calibri" w:hAnsi="Calibri" w:cs="Calibri"/>
          <w:sz w:val="22"/>
          <w:szCs w:val="22"/>
        </w:rPr>
        <w:t>3</w:t>
      </w:r>
      <w:r w:rsidR="00EB7823">
        <w:rPr>
          <w:rFonts w:ascii="Calibri" w:eastAsia="Calibri" w:hAnsi="Calibri" w:cs="Calibri"/>
          <w:sz w:val="22"/>
          <w:szCs w:val="22"/>
        </w:rPr>
        <w:t>)</w:t>
      </w:r>
      <w:r w:rsidR="00563A63" w:rsidRPr="00411690">
        <w:rPr>
          <w:rFonts w:ascii="Calibri" w:eastAsia="Calibri" w:hAnsi="Calibri" w:cs="Calibri"/>
          <w:sz w:val="22"/>
          <w:szCs w:val="22"/>
        </w:rPr>
        <w:t>.</w:t>
      </w:r>
    </w:p>
    <w:p w14:paraId="532E0993" w14:textId="33D93AEA" w:rsidR="00563A63" w:rsidRPr="002B6965" w:rsidRDefault="4F4A73DF" w:rsidP="00795E9E">
      <w:pPr>
        <w:rPr>
          <w:b/>
          <w:bCs/>
          <w:i/>
          <w:iCs/>
          <w:sz w:val="22"/>
          <w:szCs w:val="22"/>
        </w:rPr>
      </w:pPr>
      <w:r w:rsidRPr="4F4A73DF">
        <w:rPr>
          <w:b/>
          <w:bCs/>
          <w:i/>
          <w:iCs/>
          <w:sz w:val="22"/>
          <w:szCs w:val="22"/>
        </w:rPr>
        <w:t>Review of the Guide</w:t>
      </w:r>
    </w:p>
    <w:p w14:paraId="7870DFAA" w14:textId="2C936B67" w:rsidR="003E1698" w:rsidRDefault="4F4A73DF" w:rsidP="00B32AC9">
      <w:pPr>
        <w:spacing w:after="240"/>
        <w:rPr>
          <w:sz w:val="22"/>
          <w:szCs w:val="22"/>
        </w:rPr>
      </w:pPr>
      <w:r w:rsidRPr="4F4A73DF">
        <w:rPr>
          <w:sz w:val="22"/>
          <w:szCs w:val="22"/>
        </w:rPr>
        <w:t xml:space="preserve">The IBPGWG recommends </w:t>
      </w:r>
      <w:r w:rsidR="00D02B7D">
        <w:rPr>
          <w:sz w:val="22"/>
          <w:szCs w:val="22"/>
        </w:rPr>
        <w:t xml:space="preserve">reviews of the Guide based on new data that are published, for example the review of the ADG, major nutrition surveys, global </w:t>
      </w:r>
      <w:r w:rsidR="0081058E">
        <w:rPr>
          <w:sz w:val="22"/>
          <w:szCs w:val="22"/>
        </w:rPr>
        <w:t>evidence,</w:t>
      </w:r>
      <w:r w:rsidR="00D02B7D">
        <w:rPr>
          <w:sz w:val="22"/>
          <w:szCs w:val="22"/>
        </w:rPr>
        <w:t xml:space="preserve"> and actions, existing or new initiatives, and changes to the food supply. </w:t>
      </w:r>
      <w:r w:rsidR="003E1698">
        <w:rPr>
          <w:sz w:val="22"/>
          <w:szCs w:val="22"/>
        </w:rPr>
        <w:t xml:space="preserve">Such reviews should also consider of inclusion of new categories (for example, the potential benefit of guidance on hot beverages was identified as part of the public consultation). </w:t>
      </w:r>
    </w:p>
    <w:p w14:paraId="25258F30" w14:textId="4F2E1D76" w:rsidR="4F4A73DF" w:rsidRDefault="00D02B7D" w:rsidP="00B32AC9">
      <w:pPr>
        <w:spacing w:after="240"/>
        <w:rPr>
          <w:sz w:val="22"/>
          <w:szCs w:val="22"/>
        </w:rPr>
      </w:pPr>
      <w:r>
        <w:rPr>
          <w:sz w:val="22"/>
          <w:szCs w:val="22"/>
        </w:rPr>
        <w:t xml:space="preserve">Any updates should continue to complement the work of other Partnership </w:t>
      </w:r>
      <w:r w:rsidR="00C126B2">
        <w:rPr>
          <w:sz w:val="22"/>
          <w:szCs w:val="22"/>
        </w:rPr>
        <w:t>initiatives</w:t>
      </w:r>
      <w:r>
        <w:rPr>
          <w:sz w:val="22"/>
          <w:szCs w:val="22"/>
        </w:rPr>
        <w:t>.</w:t>
      </w:r>
    </w:p>
    <w:p w14:paraId="0F4873D8" w14:textId="4812FE65" w:rsidR="00563A63" w:rsidRPr="002B6965" w:rsidRDefault="2C9E0E85" w:rsidP="00795E9E">
      <w:pPr>
        <w:rPr>
          <w:b/>
          <w:bCs/>
          <w:i/>
          <w:iCs/>
          <w:sz w:val="22"/>
          <w:szCs w:val="22"/>
        </w:rPr>
      </w:pPr>
      <w:bookmarkStart w:id="32" w:name="_Hlk105753187"/>
      <w:r w:rsidRPr="3B6FF43D">
        <w:rPr>
          <w:b/>
          <w:bCs/>
          <w:i/>
          <w:iCs/>
          <w:sz w:val="22"/>
          <w:szCs w:val="22"/>
        </w:rPr>
        <w:t>Need for Consumption Data</w:t>
      </w:r>
    </w:p>
    <w:p w14:paraId="50BB8A96" w14:textId="51D2E681" w:rsidR="003B766F" w:rsidRDefault="0081058E" w:rsidP="00B32AC9">
      <w:pPr>
        <w:spacing w:after="240"/>
        <w:rPr>
          <w:sz w:val="22"/>
          <w:szCs w:val="22"/>
        </w:rPr>
      </w:pPr>
      <w:r w:rsidRPr="0AFE4B75">
        <w:rPr>
          <w:sz w:val="22"/>
          <w:szCs w:val="22"/>
        </w:rPr>
        <w:t>It is critical to understand what and where we eat to inform initiatives that improve Australians’ health. The food supply is dynamic with product innovation and reformulation, merging of food retail categories, and the increasing frequency of out of home eating</w:t>
      </w:r>
      <w:r>
        <w:rPr>
          <w:sz w:val="22"/>
          <w:szCs w:val="22"/>
        </w:rPr>
        <w:t xml:space="preserve"> and the use of online food platforms</w:t>
      </w:r>
      <w:r w:rsidRPr="0AFE4B75">
        <w:rPr>
          <w:sz w:val="22"/>
          <w:szCs w:val="22"/>
        </w:rPr>
        <w:t xml:space="preserve">. </w:t>
      </w:r>
      <w:r w:rsidR="00563A63" w:rsidRPr="0AFE4B75">
        <w:rPr>
          <w:sz w:val="22"/>
          <w:szCs w:val="22"/>
        </w:rPr>
        <w:t xml:space="preserve">The </w:t>
      </w:r>
      <w:r w:rsidR="00426E61">
        <w:rPr>
          <w:sz w:val="22"/>
          <w:szCs w:val="22"/>
        </w:rPr>
        <w:t>NNPAS</w:t>
      </w:r>
      <w:r w:rsidR="00563A63" w:rsidRPr="0AFE4B75">
        <w:rPr>
          <w:sz w:val="22"/>
          <w:szCs w:val="22"/>
        </w:rPr>
        <w:t xml:space="preserve">, which </w:t>
      </w:r>
      <w:r>
        <w:rPr>
          <w:sz w:val="22"/>
          <w:szCs w:val="22"/>
        </w:rPr>
        <w:t xml:space="preserve">will </w:t>
      </w:r>
      <w:r w:rsidR="00563A63" w:rsidRPr="0AFE4B75">
        <w:rPr>
          <w:sz w:val="22"/>
          <w:szCs w:val="22"/>
        </w:rPr>
        <w:t xml:space="preserve">be </w:t>
      </w:r>
      <w:r w:rsidR="00B433AE">
        <w:rPr>
          <w:sz w:val="22"/>
          <w:szCs w:val="22"/>
        </w:rPr>
        <w:t xml:space="preserve">next </w:t>
      </w:r>
      <w:r w:rsidR="00B44035">
        <w:rPr>
          <w:sz w:val="22"/>
          <w:szCs w:val="22"/>
        </w:rPr>
        <w:t>undertaken</w:t>
      </w:r>
      <w:r w:rsidR="00B44035" w:rsidRPr="0AFE4B75">
        <w:rPr>
          <w:sz w:val="22"/>
          <w:szCs w:val="22"/>
        </w:rPr>
        <w:t xml:space="preserve"> </w:t>
      </w:r>
      <w:r w:rsidR="00563A63" w:rsidRPr="0AFE4B75">
        <w:rPr>
          <w:sz w:val="22"/>
          <w:szCs w:val="22"/>
        </w:rPr>
        <w:t>in 2023 as part of the intergenerational Hea</w:t>
      </w:r>
      <w:r w:rsidR="00A50688">
        <w:rPr>
          <w:sz w:val="22"/>
          <w:szCs w:val="22"/>
        </w:rPr>
        <w:t>l</w:t>
      </w:r>
      <w:r w:rsidR="00563A63" w:rsidRPr="0AFE4B75">
        <w:rPr>
          <w:sz w:val="22"/>
          <w:szCs w:val="22"/>
        </w:rPr>
        <w:t xml:space="preserve">th and Mental Health Study, </w:t>
      </w:r>
      <w:r>
        <w:rPr>
          <w:sz w:val="22"/>
          <w:szCs w:val="22"/>
        </w:rPr>
        <w:t>will collect a range of information including dietary intake and behaviours</w:t>
      </w:r>
      <w:r w:rsidR="00563A63" w:rsidRPr="0AFE4B75">
        <w:rPr>
          <w:sz w:val="22"/>
          <w:szCs w:val="22"/>
        </w:rPr>
        <w:t xml:space="preserve">. It will allow updated consumption data to reveal any changes to foods trends and intake. </w:t>
      </w:r>
    </w:p>
    <w:p w14:paraId="14BE9B8B" w14:textId="6664DF14" w:rsidR="003B766F" w:rsidRDefault="00303C72" w:rsidP="00B32AC9">
      <w:pPr>
        <w:spacing w:after="240"/>
        <w:rPr>
          <w:b/>
          <w:bCs/>
          <w:i/>
          <w:iCs/>
          <w:sz w:val="22"/>
          <w:szCs w:val="22"/>
        </w:rPr>
      </w:pPr>
      <w:r>
        <w:rPr>
          <w:b/>
          <w:bCs/>
          <w:i/>
          <w:iCs/>
          <w:sz w:val="22"/>
          <w:szCs w:val="22"/>
        </w:rPr>
        <w:t>Need for updated portion and serving size guidance</w:t>
      </w:r>
    </w:p>
    <w:p w14:paraId="64FF3B4B" w14:textId="32EDA61C" w:rsidR="003B766F" w:rsidRPr="003302F1" w:rsidRDefault="00303C72" w:rsidP="00B32AC9">
      <w:pPr>
        <w:spacing w:after="240"/>
        <w:rPr>
          <w:sz w:val="22"/>
          <w:szCs w:val="22"/>
        </w:rPr>
      </w:pPr>
      <w:r>
        <w:rPr>
          <w:sz w:val="22"/>
          <w:szCs w:val="22"/>
        </w:rPr>
        <w:t xml:space="preserve">Consideration should be given </w:t>
      </w:r>
      <w:r w:rsidR="003B766F" w:rsidRPr="6136B92D">
        <w:rPr>
          <w:sz w:val="22"/>
          <w:szCs w:val="22"/>
        </w:rPr>
        <w:t xml:space="preserve">to update and embed portion guidance and appropriate servings of foods, both </w:t>
      </w:r>
      <w:r w:rsidR="003B766F">
        <w:rPr>
          <w:sz w:val="22"/>
          <w:szCs w:val="22"/>
        </w:rPr>
        <w:t>FFG</w:t>
      </w:r>
      <w:r w:rsidR="003B766F" w:rsidRPr="6136B92D">
        <w:rPr>
          <w:sz w:val="22"/>
          <w:szCs w:val="22"/>
        </w:rPr>
        <w:t xml:space="preserve"> and discretionary foods, for different ages and stages of the Australian population. </w:t>
      </w:r>
    </w:p>
    <w:bookmarkEnd w:id="31"/>
    <w:p w14:paraId="59721C69" w14:textId="386F1EA0" w:rsidR="0050147F" w:rsidRDefault="0050147F" w:rsidP="00B32AC9">
      <w:pPr>
        <w:spacing w:after="240"/>
        <w:rPr>
          <w:b/>
          <w:bCs/>
          <w:i/>
          <w:iCs/>
          <w:sz w:val="22"/>
          <w:szCs w:val="22"/>
        </w:rPr>
      </w:pPr>
      <w:r>
        <w:rPr>
          <w:b/>
          <w:bCs/>
          <w:i/>
          <w:iCs/>
          <w:sz w:val="22"/>
          <w:szCs w:val="22"/>
        </w:rPr>
        <w:br w:type="page"/>
      </w:r>
    </w:p>
    <w:p w14:paraId="0137A3A2" w14:textId="49DACBA8" w:rsidR="0050147F" w:rsidRDefault="0050147F" w:rsidP="0050147F">
      <w:pPr>
        <w:pStyle w:val="Heading1"/>
        <w:numPr>
          <w:ilvl w:val="0"/>
          <w:numId w:val="87"/>
        </w:numPr>
        <w:tabs>
          <w:tab w:val="left" w:pos="426"/>
        </w:tabs>
        <w:ind w:left="426" w:hanging="426"/>
        <w:rPr>
          <w:shd w:val="clear" w:color="auto" w:fill="FFFFFF"/>
        </w:rPr>
      </w:pPr>
      <w:bookmarkStart w:id="33" w:name="_Toc109294250"/>
      <w:bookmarkEnd w:id="32"/>
      <w:r w:rsidRPr="0050147F">
        <w:rPr>
          <w:shd w:val="clear" w:color="auto" w:fill="FFFFFF"/>
        </w:rPr>
        <w:lastRenderedPageBreak/>
        <w:t>Working Group members</w:t>
      </w:r>
      <w:bookmarkEnd w:id="33"/>
    </w:p>
    <w:p w14:paraId="69C3BB9A" w14:textId="77777777" w:rsidR="002C4ACE" w:rsidRPr="002C4ACE" w:rsidRDefault="002C4ACE" w:rsidP="002C4ACE"/>
    <w:tbl>
      <w:tblPr>
        <w:tblStyle w:val="PlainTable2"/>
        <w:tblW w:w="0" w:type="auto"/>
        <w:tblLayout w:type="fixed"/>
        <w:tblLook w:val="06A0" w:firstRow="1" w:lastRow="0" w:firstColumn="1" w:lastColumn="0" w:noHBand="1" w:noVBand="1"/>
      </w:tblPr>
      <w:tblGrid>
        <w:gridCol w:w="4461"/>
        <w:gridCol w:w="4462"/>
      </w:tblGrid>
      <w:tr w:rsidR="0050147F" w14:paraId="4DDD2D78" w14:textId="77777777" w:rsidTr="00F82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Pr>
          <w:p w14:paraId="4E8D1CA6" w14:textId="77777777" w:rsidR="0050147F" w:rsidRDefault="0050147F" w:rsidP="00367824">
            <w:pPr>
              <w:spacing w:after="120"/>
            </w:pPr>
            <w:r w:rsidRPr="6099F934">
              <w:rPr>
                <w:b w:val="0"/>
                <w:bCs w:val="0"/>
                <w:color w:val="313131"/>
              </w:rPr>
              <w:t>Member</w:t>
            </w:r>
          </w:p>
        </w:tc>
        <w:tc>
          <w:tcPr>
            <w:tcW w:w="4462" w:type="dxa"/>
          </w:tcPr>
          <w:p w14:paraId="1690D8E3" w14:textId="77777777" w:rsidR="0050147F" w:rsidRDefault="0050147F" w:rsidP="00367824">
            <w:pPr>
              <w:spacing w:after="120"/>
              <w:cnfStyle w:val="100000000000" w:firstRow="1" w:lastRow="0" w:firstColumn="0" w:lastColumn="0" w:oddVBand="0" w:evenVBand="0" w:oddHBand="0" w:evenHBand="0" w:firstRowFirstColumn="0" w:firstRowLastColumn="0" w:lastRowFirstColumn="0" w:lastRowLastColumn="0"/>
            </w:pPr>
            <w:r w:rsidRPr="6099F934">
              <w:rPr>
                <w:b w:val="0"/>
                <w:bCs w:val="0"/>
                <w:color w:val="313131"/>
              </w:rPr>
              <w:t>Organisation</w:t>
            </w:r>
          </w:p>
        </w:tc>
      </w:tr>
      <w:tr w:rsidR="0050147F" w14:paraId="0BC01C9F"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3926267E" w14:textId="77777777" w:rsidR="0050147F" w:rsidRPr="00367824" w:rsidRDefault="0050147F" w:rsidP="00367824">
            <w:pPr>
              <w:spacing w:after="120"/>
              <w:rPr>
                <w:b w:val="0"/>
                <w:bCs w:val="0"/>
              </w:rPr>
            </w:pPr>
            <w:r w:rsidRPr="00367824">
              <w:rPr>
                <w:b w:val="0"/>
                <w:bCs w:val="0"/>
                <w:color w:val="313131"/>
              </w:rPr>
              <w:t xml:space="preserve">Kirsten </w:t>
            </w:r>
            <w:proofErr w:type="spellStart"/>
            <w:r w:rsidRPr="00367824">
              <w:rPr>
                <w:b w:val="0"/>
                <w:bCs w:val="0"/>
                <w:color w:val="313131"/>
              </w:rPr>
              <w:t>Grinter</w:t>
            </w:r>
            <w:proofErr w:type="spellEnd"/>
            <w:r w:rsidRPr="00367824">
              <w:rPr>
                <w:b w:val="0"/>
                <w:bCs w:val="0"/>
                <w:color w:val="313131"/>
              </w:rPr>
              <w:t xml:space="preserve"> (Chair)</w:t>
            </w:r>
          </w:p>
        </w:tc>
        <w:tc>
          <w:tcPr>
            <w:tcW w:w="4462" w:type="dxa"/>
          </w:tcPr>
          <w:p w14:paraId="079F77B5" w14:textId="23440E76"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Nestl</w:t>
            </w:r>
            <w:r w:rsidR="00763F30">
              <w:rPr>
                <w:color w:val="313131"/>
              </w:rPr>
              <w:t>é</w:t>
            </w:r>
          </w:p>
        </w:tc>
      </w:tr>
      <w:tr w:rsidR="0050147F" w14:paraId="13E8C1B0"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6416A646" w14:textId="77777777" w:rsidR="0050147F" w:rsidRPr="00367824" w:rsidRDefault="0050147F" w:rsidP="00367824">
            <w:pPr>
              <w:spacing w:after="120"/>
              <w:rPr>
                <w:b w:val="0"/>
                <w:bCs w:val="0"/>
                <w:color w:val="313131"/>
              </w:rPr>
            </w:pPr>
            <w:r w:rsidRPr="00367824">
              <w:rPr>
                <w:b w:val="0"/>
                <w:bCs w:val="0"/>
                <w:color w:val="313131"/>
              </w:rPr>
              <w:t xml:space="preserve">Laura </w:t>
            </w:r>
            <w:proofErr w:type="spellStart"/>
            <w:r w:rsidRPr="00367824">
              <w:rPr>
                <w:b w:val="0"/>
                <w:bCs w:val="0"/>
                <w:color w:val="313131"/>
              </w:rPr>
              <w:t>Hatt</w:t>
            </w:r>
            <w:proofErr w:type="spellEnd"/>
            <w:r w:rsidRPr="00367824">
              <w:rPr>
                <w:b w:val="0"/>
                <w:bCs w:val="0"/>
                <w:color w:val="313131"/>
              </w:rPr>
              <w:t xml:space="preserve"> </w:t>
            </w:r>
          </w:p>
        </w:tc>
        <w:tc>
          <w:tcPr>
            <w:tcW w:w="4462" w:type="dxa"/>
          </w:tcPr>
          <w:p w14:paraId="53F5B334" w14:textId="77777777"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Australian Government Department of Health</w:t>
            </w:r>
          </w:p>
        </w:tc>
      </w:tr>
      <w:tr w:rsidR="0050147F" w14:paraId="71573E7B"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3C68A3AA" w14:textId="1AFE27C1" w:rsidR="0050147F" w:rsidRPr="00367824" w:rsidRDefault="0050147F" w:rsidP="00367824">
            <w:pPr>
              <w:spacing w:after="120"/>
              <w:rPr>
                <w:b w:val="0"/>
                <w:bCs w:val="0"/>
                <w:color w:val="313131"/>
              </w:rPr>
            </w:pPr>
            <w:r w:rsidRPr="00367824">
              <w:rPr>
                <w:b w:val="0"/>
                <w:bCs w:val="0"/>
                <w:color w:val="313131"/>
              </w:rPr>
              <w:t xml:space="preserve">Renee </w:t>
            </w:r>
            <w:proofErr w:type="spellStart"/>
            <w:r w:rsidRPr="00367824">
              <w:rPr>
                <w:b w:val="0"/>
                <w:bCs w:val="0"/>
                <w:color w:val="313131"/>
              </w:rPr>
              <w:t>Sololewski</w:t>
            </w:r>
            <w:proofErr w:type="spellEnd"/>
            <w:r w:rsidRPr="00367824">
              <w:rPr>
                <w:b w:val="0"/>
                <w:bCs w:val="0"/>
                <w:color w:val="313131"/>
              </w:rPr>
              <w:t xml:space="preserve"> </w:t>
            </w:r>
            <w:r w:rsidR="0044145E" w:rsidRPr="00367824">
              <w:rPr>
                <w:b w:val="0"/>
                <w:bCs w:val="0"/>
                <w:color w:val="313131"/>
              </w:rPr>
              <w:t>/</w:t>
            </w:r>
            <w:r w:rsidR="00367824">
              <w:rPr>
                <w:b w:val="0"/>
                <w:bCs w:val="0"/>
                <w:color w:val="313131"/>
              </w:rPr>
              <w:t xml:space="preserve"> </w:t>
            </w:r>
            <w:r w:rsidRPr="00367824">
              <w:rPr>
                <w:b w:val="0"/>
                <w:bCs w:val="0"/>
                <w:color w:val="313131"/>
              </w:rPr>
              <w:t xml:space="preserve">Katherine Bathgate </w:t>
            </w:r>
          </w:p>
        </w:tc>
        <w:tc>
          <w:tcPr>
            <w:tcW w:w="4462" w:type="dxa"/>
          </w:tcPr>
          <w:p w14:paraId="155B79AA" w14:textId="77777777"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Food Standards Australia New Zealand</w:t>
            </w:r>
          </w:p>
        </w:tc>
      </w:tr>
      <w:tr w:rsidR="0050147F" w14:paraId="0278C317"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3B04D8B7" w14:textId="062BF266" w:rsidR="00650791" w:rsidRPr="00367824" w:rsidRDefault="0050147F" w:rsidP="00367824">
            <w:pPr>
              <w:spacing w:after="120"/>
              <w:rPr>
                <w:b w:val="0"/>
                <w:bCs w:val="0"/>
                <w:color w:val="313131"/>
                <w:lang w:val="fr-BE"/>
              </w:rPr>
            </w:pPr>
            <w:r w:rsidRPr="00367824">
              <w:rPr>
                <w:b w:val="0"/>
                <w:bCs w:val="0"/>
                <w:color w:val="313131"/>
                <w:lang w:val="fr-BE"/>
              </w:rPr>
              <w:t xml:space="preserve">Liz </w:t>
            </w:r>
            <w:proofErr w:type="spellStart"/>
            <w:r w:rsidRPr="00367824">
              <w:rPr>
                <w:b w:val="0"/>
                <w:bCs w:val="0"/>
                <w:color w:val="313131"/>
                <w:lang w:val="fr-BE"/>
              </w:rPr>
              <w:t>Munn</w:t>
            </w:r>
            <w:proofErr w:type="spellEnd"/>
            <w:r w:rsidR="0044145E" w:rsidRPr="00367824">
              <w:rPr>
                <w:b w:val="0"/>
                <w:bCs w:val="0"/>
                <w:color w:val="313131"/>
                <w:lang w:val="fr-BE"/>
              </w:rPr>
              <w:t xml:space="preserve"> / </w:t>
            </w:r>
            <w:r w:rsidR="00650791" w:rsidRPr="00367824">
              <w:rPr>
                <w:b w:val="0"/>
                <w:bCs w:val="0"/>
                <w:color w:val="313131"/>
                <w:lang w:val="fr-BE"/>
              </w:rPr>
              <w:t>Lisa Yates</w:t>
            </w:r>
          </w:p>
        </w:tc>
        <w:tc>
          <w:tcPr>
            <w:tcW w:w="4462" w:type="dxa"/>
          </w:tcPr>
          <w:p w14:paraId="43FAAAD7" w14:textId="77777777"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New South Wales Ministry of Health</w:t>
            </w:r>
          </w:p>
        </w:tc>
      </w:tr>
      <w:tr w:rsidR="0050147F" w14:paraId="6A8208C8"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6DE0F9AF" w14:textId="77777777" w:rsidR="0050147F" w:rsidRPr="00367824" w:rsidRDefault="0050147F" w:rsidP="00367824">
            <w:pPr>
              <w:spacing w:after="120"/>
              <w:rPr>
                <w:b w:val="0"/>
                <w:bCs w:val="0"/>
              </w:rPr>
            </w:pPr>
            <w:r w:rsidRPr="00367824">
              <w:rPr>
                <w:b w:val="0"/>
                <w:bCs w:val="0"/>
                <w:color w:val="313131"/>
              </w:rPr>
              <w:t>Eithne Cahill</w:t>
            </w:r>
          </w:p>
        </w:tc>
        <w:tc>
          <w:tcPr>
            <w:tcW w:w="4462" w:type="dxa"/>
          </w:tcPr>
          <w:p w14:paraId="6AD78E7C" w14:textId="77777777"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Independent Nutrition Consultant</w:t>
            </w:r>
          </w:p>
        </w:tc>
      </w:tr>
      <w:tr w:rsidR="0050147F" w14:paraId="43686078"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1997C37D" w14:textId="77777777" w:rsidR="0050147F" w:rsidRPr="00367824" w:rsidRDefault="0050147F" w:rsidP="00367824">
            <w:pPr>
              <w:spacing w:after="120"/>
              <w:rPr>
                <w:b w:val="0"/>
                <w:bCs w:val="0"/>
              </w:rPr>
            </w:pPr>
            <w:r w:rsidRPr="00367824">
              <w:rPr>
                <w:b w:val="0"/>
                <w:bCs w:val="0"/>
                <w:color w:val="313131"/>
              </w:rPr>
              <w:t>Jennifer Thompson</w:t>
            </w:r>
          </w:p>
        </w:tc>
        <w:tc>
          <w:tcPr>
            <w:tcW w:w="4462" w:type="dxa"/>
          </w:tcPr>
          <w:p w14:paraId="6E335C49" w14:textId="77777777"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Ai Group</w:t>
            </w:r>
          </w:p>
        </w:tc>
      </w:tr>
      <w:tr w:rsidR="0050147F" w14:paraId="5B50A73E"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1649B07E" w14:textId="77777777" w:rsidR="0050147F" w:rsidRPr="00367824" w:rsidRDefault="0050147F" w:rsidP="00367824">
            <w:pPr>
              <w:spacing w:after="120"/>
              <w:rPr>
                <w:b w:val="0"/>
                <w:bCs w:val="0"/>
              </w:rPr>
            </w:pPr>
            <w:r w:rsidRPr="00367824">
              <w:rPr>
                <w:b w:val="0"/>
                <w:bCs w:val="0"/>
                <w:color w:val="313131"/>
              </w:rPr>
              <w:t xml:space="preserve">Anna </w:t>
            </w:r>
            <w:proofErr w:type="spellStart"/>
            <w:r w:rsidRPr="00367824">
              <w:rPr>
                <w:b w:val="0"/>
                <w:bCs w:val="0"/>
                <w:color w:val="313131"/>
              </w:rPr>
              <w:t>Rangan</w:t>
            </w:r>
            <w:proofErr w:type="spellEnd"/>
          </w:p>
        </w:tc>
        <w:tc>
          <w:tcPr>
            <w:tcW w:w="4462" w:type="dxa"/>
          </w:tcPr>
          <w:p w14:paraId="24047D89" w14:textId="77777777"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The University of Sydney</w:t>
            </w:r>
          </w:p>
        </w:tc>
      </w:tr>
      <w:tr w:rsidR="0050147F" w14:paraId="76EB30F0"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402CD163" w14:textId="77777777" w:rsidR="0050147F" w:rsidRPr="00367824" w:rsidRDefault="0050147F" w:rsidP="00367824">
            <w:pPr>
              <w:spacing w:after="120"/>
              <w:rPr>
                <w:b w:val="0"/>
                <w:bCs w:val="0"/>
              </w:rPr>
            </w:pPr>
            <w:r w:rsidRPr="00367824">
              <w:rPr>
                <w:b w:val="0"/>
                <w:bCs w:val="0"/>
                <w:color w:val="313131"/>
              </w:rPr>
              <w:t>Kate Wilkinson</w:t>
            </w:r>
          </w:p>
        </w:tc>
        <w:tc>
          <w:tcPr>
            <w:tcW w:w="4462" w:type="dxa"/>
          </w:tcPr>
          <w:p w14:paraId="126990F8" w14:textId="77777777"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Dietitians Association of Australia</w:t>
            </w:r>
          </w:p>
        </w:tc>
      </w:tr>
      <w:tr w:rsidR="0050147F" w14:paraId="60222872"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37C165E4" w14:textId="77777777" w:rsidR="0050147F" w:rsidRPr="00367824" w:rsidRDefault="0050147F" w:rsidP="00367824">
            <w:pPr>
              <w:spacing w:after="120"/>
              <w:rPr>
                <w:b w:val="0"/>
                <w:bCs w:val="0"/>
              </w:rPr>
            </w:pPr>
            <w:r w:rsidRPr="00367824">
              <w:rPr>
                <w:b w:val="0"/>
                <w:bCs w:val="0"/>
                <w:color w:val="313131"/>
              </w:rPr>
              <w:t>Emma Stirling</w:t>
            </w:r>
          </w:p>
        </w:tc>
        <w:tc>
          <w:tcPr>
            <w:tcW w:w="4462" w:type="dxa"/>
          </w:tcPr>
          <w:p w14:paraId="116EBBAA" w14:textId="77777777"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Australian Catholic University</w:t>
            </w:r>
          </w:p>
        </w:tc>
      </w:tr>
      <w:tr w:rsidR="0050147F" w14:paraId="5372A0E7" w14:textId="77777777" w:rsidTr="00F826E2">
        <w:tc>
          <w:tcPr>
            <w:cnfStyle w:val="001000000000" w:firstRow="0" w:lastRow="0" w:firstColumn="1" w:lastColumn="0" w:oddVBand="0" w:evenVBand="0" w:oddHBand="0" w:evenHBand="0" w:firstRowFirstColumn="0" w:firstRowLastColumn="0" w:lastRowFirstColumn="0" w:lastRowLastColumn="0"/>
            <w:tcW w:w="4461" w:type="dxa"/>
          </w:tcPr>
          <w:p w14:paraId="730E7029" w14:textId="03285239" w:rsidR="0050147F" w:rsidRPr="00F826E2" w:rsidRDefault="0050147F" w:rsidP="00367824">
            <w:pPr>
              <w:spacing w:after="120"/>
              <w:rPr>
                <w:b w:val="0"/>
                <w:bCs w:val="0"/>
                <w:lang w:val="fr-BE"/>
              </w:rPr>
            </w:pPr>
            <w:r w:rsidRPr="00F826E2">
              <w:rPr>
                <w:b w:val="0"/>
                <w:bCs w:val="0"/>
                <w:color w:val="313131"/>
                <w:lang w:val="fr-BE"/>
              </w:rPr>
              <w:t>Anne-Marie Mackintosh</w:t>
            </w:r>
            <w:r w:rsidRPr="00F826E2">
              <w:rPr>
                <w:color w:val="313131"/>
                <w:lang w:val="fr-BE"/>
              </w:rPr>
              <w:t xml:space="preserve"> </w:t>
            </w:r>
          </w:p>
        </w:tc>
        <w:tc>
          <w:tcPr>
            <w:tcW w:w="4462" w:type="dxa"/>
          </w:tcPr>
          <w:p w14:paraId="0BF1B9D4" w14:textId="77777777" w:rsidR="0050147F" w:rsidRDefault="0050147F" w:rsidP="00367824">
            <w:pPr>
              <w:spacing w:after="120"/>
              <w:cnfStyle w:val="000000000000" w:firstRow="0" w:lastRow="0" w:firstColumn="0" w:lastColumn="0" w:oddVBand="0" w:evenVBand="0" w:oddHBand="0" w:evenHBand="0" w:firstRowFirstColumn="0" w:firstRowLastColumn="0" w:lastRowFirstColumn="0" w:lastRowLastColumn="0"/>
            </w:pPr>
            <w:r w:rsidRPr="6099F934">
              <w:rPr>
                <w:color w:val="313131"/>
              </w:rPr>
              <w:t>Australian Food and Grocery Council</w:t>
            </w:r>
          </w:p>
        </w:tc>
      </w:tr>
    </w:tbl>
    <w:p w14:paraId="45125134" w14:textId="77777777" w:rsidR="002C4ACE" w:rsidRDefault="002C4ACE">
      <w:pPr>
        <w:rPr>
          <w:rFonts w:asciiTheme="majorHAnsi" w:eastAsiaTheme="majorEastAsia" w:hAnsiTheme="majorHAnsi" w:cs="Arial"/>
          <w:b/>
          <w:bCs/>
          <w:kern w:val="32"/>
          <w:sz w:val="32"/>
          <w:szCs w:val="32"/>
          <w:shd w:val="clear" w:color="auto" w:fill="FFFFFF"/>
        </w:rPr>
      </w:pPr>
      <w:r>
        <w:rPr>
          <w:shd w:val="clear" w:color="auto" w:fill="FFFFFF"/>
        </w:rPr>
        <w:br w:type="page"/>
      </w:r>
    </w:p>
    <w:p w14:paraId="5D72C84B" w14:textId="208C652E" w:rsidR="00BE7B72" w:rsidRDefault="00E26F7B" w:rsidP="00BE7B72">
      <w:pPr>
        <w:pStyle w:val="Heading1"/>
        <w:rPr>
          <w:shd w:val="clear" w:color="auto" w:fill="FFFFFF"/>
        </w:rPr>
      </w:pPr>
      <w:bookmarkStart w:id="34" w:name="_Toc109294251"/>
      <w:r w:rsidRPr="00E26F7B">
        <w:rPr>
          <w:shd w:val="clear" w:color="auto" w:fill="FFFFFF"/>
        </w:rPr>
        <w:lastRenderedPageBreak/>
        <w:t>References</w:t>
      </w:r>
      <w:bookmarkEnd w:id="34"/>
    </w:p>
    <w:p w14:paraId="3E7A414F" w14:textId="77777777" w:rsidR="00D567F0" w:rsidRPr="00D567F0" w:rsidRDefault="00D567F0" w:rsidP="00D567F0"/>
    <w:p w14:paraId="3D8C5697" w14:textId="30D60085" w:rsidR="00BE7B72" w:rsidRPr="004C3B0A" w:rsidRDefault="00BE7B72" w:rsidP="00CF30C0">
      <w:pPr>
        <w:pStyle w:val="ListParagraph"/>
        <w:numPr>
          <w:ilvl w:val="0"/>
          <w:numId w:val="76"/>
        </w:numPr>
        <w:spacing w:after="120"/>
        <w:ind w:left="360"/>
        <w:contextualSpacing w:val="0"/>
        <w:rPr>
          <w:sz w:val="22"/>
          <w:szCs w:val="22"/>
        </w:rPr>
      </w:pPr>
      <w:r w:rsidRPr="004C3B0A">
        <w:rPr>
          <w:sz w:val="22"/>
          <w:szCs w:val="22"/>
        </w:rPr>
        <w:t xml:space="preserve">Department of Health. </w:t>
      </w:r>
      <w:hyperlink r:id="rId17" w:history="1">
        <w:r w:rsidRPr="004C3B0A">
          <w:rPr>
            <w:sz w:val="22"/>
            <w:szCs w:val="22"/>
          </w:rPr>
          <w:t>Healthy Food Partnership</w:t>
        </w:r>
      </w:hyperlink>
      <w:r w:rsidRPr="004C3B0A">
        <w:rPr>
          <w:sz w:val="22"/>
          <w:szCs w:val="22"/>
        </w:rPr>
        <w:t xml:space="preserve">. </w:t>
      </w:r>
      <w:r w:rsidR="001B710A" w:rsidRPr="004C3B0A">
        <w:rPr>
          <w:sz w:val="22"/>
          <w:szCs w:val="22"/>
        </w:rPr>
        <w:t xml:space="preserve">Canberra: </w:t>
      </w:r>
      <w:r w:rsidRPr="004C3B0A">
        <w:rPr>
          <w:sz w:val="22"/>
          <w:szCs w:val="22"/>
        </w:rPr>
        <w:t>Australian Government Department of Health</w:t>
      </w:r>
      <w:r w:rsidR="001B710A" w:rsidRPr="004C3B0A">
        <w:rPr>
          <w:sz w:val="22"/>
          <w:szCs w:val="22"/>
        </w:rPr>
        <w:t>; 2016</w:t>
      </w:r>
      <w:r w:rsidRPr="004C3B0A">
        <w:rPr>
          <w:sz w:val="22"/>
          <w:szCs w:val="22"/>
        </w:rPr>
        <w:t>.</w:t>
      </w:r>
    </w:p>
    <w:p w14:paraId="0F267A88" w14:textId="690DFA83" w:rsidR="002E3904" w:rsidRPr="003B766F" w:rsidRDefault="002E3904" w:rsidP="00CF30C0">
      <w:pPr>
        <w:pStyle w:val="FootnoteText"/>
        <w:numPr>
          <w:ilvl w:val="0"/>
          <w:numId w:val="76"/>
        </w:numPr>
        <w:spacing w:after="120"/>
        <w:ind w:left="360"/>
        <w:rPr>
          <w:rFonts w:eastAsiaTheme="minorEastAsia" w:cs="Times New Roman"/>
          <w:sz w:val="22"/>
          <w:szCs w:val="22"/>
        </w:rPr>
      </w:pPr>
      <w:r w:rsidRPr="003B766F">
        <w:rPr>
          <w:rFonts w:eastAsiaTheme="minorEastAsia" w:cs="Times New Roman"/>
          <w:sz w:val="22"/>
          <w:szCs w:val="22"/>
        </w:rPr>
        <w:t>Australian Institute of Health and Welfare</w:t>
      </w:r>
      <w:r w:rsidR="000E6330" w:rsidRPr="003B766F">
        <w:rPr>
          <w:rFonts w:eastAsiaTheme="minorEastAsia" w:cs="Times New Roman"/>
          <w:sz w:val="22"/>
          <w:szCs w:val="22"/>
        </w:rPr>
        <w:t xml:space="preserve"> (AIHW)</w:t>
      </w:r>
      <w:r w:rsidRPr="003B766F">
        <w:rPr>
          <w:rFonts w:eastAsiaTheme="minorEastAsia" w:cs="Times New Roman"/>
          <w:sz w:val="22"/>
          <w:szCs w:val="22"/>
        </w:rPr>
        <w:t>. Australian Burden of Disease Study: impact and causes of illness and death in Australia 2018. Canberra: AIHW; 2021. Cat. No: BOD 29.</w:t>
      </w:r>
    </w:p>
    <w:p w14:paraId="5519FB8C" w14:textId="11CED301" w:rsidR="0037290D" w:rsidRPr="00C61AC8" w:rsidRDefault="00747521" w:rsidP="00CF30C0">
      <w:pPr>
        <w:pStyle w:val="FootnoteText"/>
        <w:numPr>
          <w:ilvl w:val="0"/>
          <w:numId w:val="76"/>
        </w:numPr>
        <w:spacing w:after="120"/>
        <w:ind w:left="360"/>
        <w:rPr>
          <w:sz w:val="22"/>
          <w:szCs w:val="22"/>
        </w:rPr>
      </w:pPr>
      <w:bookmarkStart w:id="35" w:name="_Hlk109216473"/>
      <w:r w:rsidRPr="266CC61F">
        <w:rPr>
          <w:sz w:val="22"/>
          <w:szCs w:val="22"/>
        </w:rPr>
        <w:t>Australian Bureau of Statistics</w:t>
      </w:r>
      <w:r w:rsidR="000E6330" w:rsidRPr="266CC61F">
        <w:rPr>
          <w:sz w:val="22"/>
          <w:szCs w:val="22"/>
        </w:rPr>
        <w:t xml:space="preserve"> (ABS)</w:t>
      </w:r>
      <w:r w:rsidRPr="266CC61F">
        <w:rPr>
          <w:sz w:val="22"/>
          <w:szCs w:val="22"/>
        </w:rPr>
        <w:t>. Australian Health Survey: consumption of food groups from the Australian Dietary Guidelines, 2011</w:t>
      </w:r>
      <w:r w:rsidR="00EB2E43">
        <w:rPr>
          <w:sz w:val="22"/>
          <w:szCs w:val="22"/>
        </w:rPr>
        <w:t>–</w:t>
      </w:r>
      <w:r w:rsidRPr="266CC61F">
        <w:rPr>
          <w:sz w:val="22"/>
          <w:szCs w:val="22"/>
        </w:rPr>
        <w:t>1</w:t>
      </w:r>
      <w:r w:rsidR="0038660C" w:rsidRPr="266CC61F">
        <w:rPr>
          <w:sz w:val="22"/>
          <w:szCs w:val="22"/>
        </w:rPr>
        <w:t>2. Canberra: ABS; 2016. ABS Cat.</w:t>
      </w:r>
      <w:r w:rsidRPr="266CC61F">
        <w:rPr>
          <w:sz w:val="22"/>
          <w:szCs w:val="22"/>
        </w:rPr>
        <w:t xml:space="preserve"> No.: 4364.0.55.012.</w:t>
      </w:r>
    </w:p>
    <w:bookmarkEnd w:id="35"/>
    <w:p w14:paraId="590DCDAE" w14:textId="2C93769E" w:rsidR="0037290D" w:rsidRPr="00C61AC8" w:rsidRDefault="00AE4ED9" w:rsidP="00CF30C0">
      <w:pPr>
        <w:pStyle w:val="FootnoteText"/>
        <w:numPr>
          <w:ilvl w:val="0"/>
          <w:numId w:val="76"/>
        </w:numPr>
        <w:spacing w:after="120"/>
        <w:ind w:left="360"/>
        <w:rPr>
          <w:rFonts w:cstheme="minorHAnsi"/>
          <w:sz w:val="22"/>
          <w:szCs w:val="22"/>
        </w:rPr>
      </w:pPr>
      <w:r w:rsidRPr="00C61AC8">
        <w:rPr>
          <w:rFonts w:cstheme="minorHAnsi"/>
          <w:sz w:val="22"/>
          <w:szCs w:val="22"/>
        </w:rPr>
        <w:t xml:space="preserve">Zheng M, </w:t>
      </w:r>
      <w:proofErr w:type="spellStart"/>
      <w:r w:rsidRPr="00C61AC8">
        <w:rPr>
          <w:rFonts w:cstheme="minorHAnsi"/>
          <w:sz w:val="22"/>
          <w:szCs w:val="22"/>
        </w:rPr>
        <w:t>Rangan</w:t>
      </w:r>
      <w:proofErr w:type="spellEnd"/>
      <w:r w:rsidRPr="00C61AC8">
        <w:rPr>
          <w:rFonts w:cstheme="minorHAnsi"/>
          <w:sz w:val="22"/>
          <w:szCs w:val="22"/>
        </w:rPr>
        <w:t xml:space="preserve"> A, </w:t>
      </w:r>
      <w:proofErr w:type="spellStart"/>
      <w:r w:rsidRPr="00C61AC8">
        <w:rPr>
          <w:rFonts w:cstheme="minorHAnsi"/>
          <w:sz w:val="22"/>
          <w:szCs w:val="22"/>
        </w:rPr>
        <w:t>Meertens</w:t>
      </w:r>
      <w:proofErr w:type="spellEnd"/>
      <w:r w:rsidRPr="00C61AC8">
        <w:rPr>
          <w:rFonts w:cstheme="minorHAnsi"/>
          <w:sz w:val="22"/>
          <w:szCs w:val="22"/>
        </w:rPr>
        <w:t xml:space="preserve"> B, Wu J. Changes in </w:t>
      </w:r>
      <w:r w:rsidR="009728DB">
        <w:rPr>
          <w:rFonts w:cstheme="minorHAnsi"/>
          <w:sz w:val="22"/>
          <w:szCs w:val="22"/>
        </w:rPr>
        <w:t>t</w:t>
      </w:r>
      <w:r w:rsidRPr="00C61AC8">
        <w:rPr>
          <w:rFonts w:cstheme="minorHAnsi"/>
          <w:sz w:val="22"/>
          <w:szCs w:val="22"/>
        </w:rPr>
        <w:t xml:space="preserve">ypical </w:t>
      </w:r>
      <w:r w:rsidR="009728DB">
        <w:rPr>
          <w:rFonts w:cstheme="minorHAnsi"/>
          <w:sz w:val="22"/>
          <w:szCs w:val="22"/>
        </w:rPr>
        <w:t>p</w:t>
      </w:r>
      <w:r w:rsidRPr="00C61AC8">
        <w:rPr>
          <w:rFonts w:cstheme="minorHAnsi"/>
          <w:sz w:val="22"/>
          <w:szCs w:val="22"/>
        </w:rPr>
        <w:t xml:space="preserve">ortion </w:t>
      </w:r>
      <w:r w:rsidR="009728DB">
        <w:rPr>
          <w:rFonts w:cstheme="minorHAnsi"/>
          <w:sz w:val="22"/>
          <w:szCs w:val="22"/>
        </w:rPr>
        <w:t>s</w:t>
      </w:r>
      <w:r w:rsidRPr="00C61AC8">
        <w:rPr>
          <w:rFonts w:cstheme="minorHAnsi"/>
          <w:sz w:val="22"/>
          <w:szCs w:val="22"/>
        </w:rPr>
        <w:t xml:space="preserve">izes of </w:t>
      </w:r>
      <w:r w:rsidR="009728DB">
        <w:rPr>
          <w:rFonts w:cstheme="minorHAnsi"/>
          <w:sz w:val="22"/>
          <w:szCs w:val="22"/>
        </w:rPr>
        <w:t>c</w:t>
      </w:r>
      <w:r w:rsidRPr="00C61AC8">
        <w:rPr>
          <w:rFonts w:cstheme="minorHAnsi"/>
          <w:sz w:val="22"/>
          <w:szCs w:val="22"/>
        </w:rPr>
        <w:t xml:space="preserve">ommonly </w:t>
      </w:r>
      <w:r w:rsidR="009728DB">
        <w:rPr>
          <w:rFonts w:cstheme="minorHAnsi"/>
          <w:sz w:val="22"/>
          <w:szCs w:val="22"/>
        </w:rPr>
        <w:t>c</w:t>
      </w:r>
      <w:r w:rsidRPr="00C61AC8">
        <w:rPr>
          <w:rFonts w:cstheme="minorHAnsi"/>
          <w:sz w:val="22"/>
          <w:szCs w:val="22"/>
        </w:rPr>
        <w:t xml:space="preserve">onsumed </w:t>
      </w:r>
      <w:r w:rsidR="009728DB">
        <w:rPr>
          <w:rFonts w:cstheme="minorHAnsi"/>
          <w:sz w:val="22"/>
          <w:szCs w:val="22"/>
        </w:rPr>
        <w:t>d</w:t>
      </w:r>
      <w:r w:rsidRPr="00C61AC8">
        <w:rPr>
          <w:rFonts w:cstheme="minorHAnsi"/>
          <w:sz w:val="22"/>
          <w:szCs w:val="22"/>
        </w:rPr>
        <w:t xml:space="preserve">iscretionary </w:t>
      </w:r>
      <w:r w:rsidR="009728DB">
        <w:rPr>
          <w:rFonts w:cstheme="minorHAnsi"/>
          <w:sz w:val="22"/>
          <w:szCs w:val="22"/>
        </w:rPr>
        <w:t>f</w:t>
      </w:r>
      <w:r w:rsidRPr="00C61AC8">
        <w:rPr>
          <w:rFonts w:cstheme="minorHAnsi"/>
          <w:sz w:val="22"/>
          <w:szCs w:val="22"/>
        </w:rPr>
        <w:t xml:space="preserve">oods among Australian </w:t>
      </w:r>
      <w:r w:rsidR="009728DB">
        <w:rPr>
          <w:rFonts w:cstheme="minorHAnsi"/>
          <w:sz w:val="22"/>
          <w:szCs w:val="22"/>
        </w:rPr>
        <w:t>a</w:t>
      </w:r>
      <w:r w:rsidRPr="00C61AC8">
        <w:rPr>
          <w:rFonts w:cstheme="minorHAnsi"/>
          <w:sz w:val="22"/>
          <w:szCs w:val="22"/>
        </w:rPr>
        <w:t>dults from 1995 to 2011–2012. Nutrients. 2017 Jun 6;</w:t>
      </w:r>
      <w:r w:rsidR="000E6330" w:rsidRPr="00C61AC8">
        <w:rPr>
          <w:rFonts w:cstheme="minorHAnsi"/>
          <w:sz w:val="22"/>
          <w:szCs w:val="22"/>
        </w:rPr>
        <w:t xml:space="preserve"> </w:t>
      </w:r>
      <w:r w:rsidRPr="00C61AC8">
        <w:rPr>
          <w:rFonts w:cstheme="minorHAnsi"/>
          <w:sz w:val="22"/>
          <w:szCs w:val="22"/>
        </w:rPr>
        <w:t xml:space="preserve">9(6):577. </w:t>
      </w:r>
      <w:proofErr w:type="spellStart"/>
      <w:r w:rsidR="009728DB">
        <w:rPr>
          <w:rFonts w:cstheme="minorHAnsi"/>
          <w:sz w:val="22"/>
          <w:szCs w:val="22"/>
        </w:rPr>
        <w:t>d</w:t>
      </w:r>
      <w:r w:rsidR="00480FED">
        <w:rPr>
          <w:rFonts w:cstheme="minorHAnsi"/>
          <w:sz w:val="22"/>
          <w:szCs w:val="22"/>
        </w:rPr>
        <w:t>oi</w:t>
      </w:r>
      <w:proofErr w:type="spellEnd"/>
      <w:r w:rsidR="0037290D" w:rsidRPr="00C61AC8">
        <w:rPr>
          <w:rFonts w:cstheme="minorHAnsi"/>
          <w:sz w:val="22"/>
          <w:szCs w:val="22"/>
        </w:rPr>
        <w:t>: 10.3390/nu9060577</w:t>
      </w:r>
    </w:p>
    <w:p w14:paraId="4D834FE5" w14:textId="77777777" w:rsidR="00040482" w:rsidRPr="00C61AC8" w:rsidRDefault="00040482" w:rsidP="00CF30C0">
      <w:pPr>
        <w:pStyle w:val="FootnoteText"/>
        <w:numPr>
          <w:ilvl w:val="0"/>
          <w:numId w:val="76"/>
        </w:numPr>
        <w:spacing w:after="120"/>
        <w:ind w:left="360"/>
        <w:rPr>
          <w:rFonts w:cstheme="minorHAnsi"/>
          <w:sz w:val="22"/>
          <w:szCs w:val="22"/>
        </w:rPr>
      </w:pPr>
      <w:r w:rsidRPr="00C61AC8">
        <w:rPr>
          <w:rFonts w:cstheme="minorHAnsi"/>
          <w:sz w:val="22"/>
          <w:szCs w:val="22"/>
        </w:rPr>
        <w:t xml:space="preserve">Howes K, Shahid M, Jones A, Taylor F, Dunford E, Sacks G, et al. Food Switch: State of the </w:t>
      </w:r>
      <w:proofErr w:type="gramStart"/>
      <w:r w:rsidRPr="00C61AC8">
        <w:rPr>
          <w:rFonts w:cstheme="minorHAnsi"/>
          <w:sz w:val="22"/>
          <w:szCs w:val="22"/>
        </w:rPr>
        <w:t>Fast Food</w:t>
      </w:r>
      <w:proofErr w:type="gramEnd"/>
      <w:r w:rsidRPr="00C61AC8">
        <w:rPr>
          <w:rFonts w:cstheme="minorHAnsi"/>
          <w:sz w:val="22"/>
          <w:szCs w:val="22"/>
        </w:rPr>
        <w:t xml:space="preserve"> Supply May 2020 [Internet]. Sydney: The George Institute for Global Health; 2020. </w:t>
      </w:r>
    </w:p>
    <w:p w14:paraId="3AC4CF72" w14:textId="0E601525" w:rsidR="00040482" w:rsidRPr="00C61AC8" w:rsidRDefault="4A628A6A" w:rsidP="00CF30C0">
      <w:pPr>
        <w:pStyle w:val="FootnoteText"/>
        <w:spacing w:after="120"/>
        <w:ind w:left="326"/>
        <w:rPr>
          <w:sz w:val="22"/>
          <w:szCs w:val="22"/>
        </w:rPr>
      </w:pPr>
      <w:r w:rsidRPr="3B6FF43D">
        <w:rPr>
          <w:sz w:val="22"/>
          <w:szCs w:val="22"/>
        </w:rPr>
        <w:t xml:space="preserve">Available from: </w:t>
      </w:r>
      <w:hyperlink r:id="rId18">
        <w:r w:rsidRPr="3B6FF43D">
          <w:rPr>
            <w:rStyle w:val="Hyperlink"/>
            <w:color w:val="auto"/>
            <w:sz w:val="22"/>
            <w:szCs w:val="22"/>
            <w:u w:val="none"/>
          </w:rPr>
          <w:t>https://www.georgeinstitute.org/sites/default/files/2020-05/state-of-food-supply-2020-report.pdf</w:t>
        </w:r>
      </w:hyperlink>
    </w:p>
    <w:p w14:paraId="7EE79403" w14:textId="636325AB" w:rsidR="00022FFC" w:rsidRPr="00C61AC8" w:rsidRDefault="00022FFC" w:rsidP="00CF30C0">
      <w:pPr>
        <w:pStyle w:val="FootnoteText"/>
        <w:numPr>
          <w:ilvl w:val="0"/>
          <w:numId w:val="76"/>
        </w:numPr>
        <w:spacing w:after="120"/>
        <w:ind w:left="360"/>
        <w:rPr>
          <w:rFonts w:cstheme="minorHAnsi"/>
          <w:sz w:val="22"/>
          <w:szCs w:val="22"/>
        </w:rPr>
      </w:pPr>
      <w:proofErr w:type="spellStart"/>
      <w:r w:rsidRPr="0044145E">
        <w:rPr>
          <w:rFonts w:cstheme="minorHAnsi"/>
          <w:sz w:val="22"/>
          <w:szCs w:val="22"/>
          <w:lang w:val="fr-BE"/>
        </w:rPr>
        <w:t>Hollands</w:t>
      </w:r>
      <w:proofErr w:type="spellEnd"/>
      <w:r w:rsidRPr="0044145E">
        <w:rPr>
          <w:rFonts w:cstheme="minorHAnsi"/>
          <w:sz w:val="22"/>
          <w:szCs w:val="22"/>
          <w:lang w:val="fr-BE"/>
        </w:rPr>
        <w:t xml:space="preserve"> GJ, </w:t>
      </w:r>
      <w:proofErr w:type="spellStart"/>
      <w:r w:rsidRPr="0044145E">
        <w:rPr>
          <w:rFonts w:cstheme="minorHAnsi"/>
          <w:sz w:val="22"/>
          <w:szCs w:val="22"/>
          <w:lang w:val="fr-BE"/>
        </w:rPr>
        <w:t>Shemilt</w:t>
      </w:r>
      <w:proofErr w:type="spellEnd"/>
      <w:r w:rsidRPr="0044145E">
        <w:rPr>
          <w:rFonts w:cstheme="minorHAnsi"/>
          <w:sz w:val="22"/>
          <w:szCs w:val="22"/>
          <w:lang w:val="fr-BE"/>
        </w:rPr>
        <w:t xml:space="preserve"> I, Marteau TM, </w:t>
      </w:r>
      <w:proofErr w:type="spellStart"/>
      <w:r w:rsidRPr="0044145E">
        <w:rPr>
          <w:rFonts w:cstheme="minorHAnsi"/>
          <w:sz w:val="22"/>
          <w:szCs w:val="22"/>
          <w:lang w:val="fr-BE"/>
        </w:rPr>
        <w:t>Jebb</w:t>
      </w:r>
      <w:proofErr w:type="spellEnd"/>
      <w:r w:rsidRPr="0044145E">
        <w:rPr>
          <w:rFonts w:cstheme="minorHAnsi"/>
          <w:sz w:val="22"/>
          <w:szCs w:val="22"/>
          <w:lang w:val="fr-BE"/>
        </w:rPr>
        <w:t xml:space="preserve"> SA, Lewis HB, Wei Y, et al. </w:t>
      </w:r>
      <w:r w:rsidRPr="00C61AC8">
        <w:rPr>
          <w:rFonts w:cstheme="minorHAnsi"/>
          <w:sz w:val="22"/>
          <w:szCs w:val="22"/>
        </w:rPr>
        <w:t xml:space="preserve">Portion, </w:t>
      </w:r>
      <w:proofErr w:type="gramStart"/>
      <w:r w:rsidRPr="00C61AC8">
        <w:rPr>
          <w:rFonts w:cstheme="minorHAnsi"/>
          <w:sz w:val="22"/>
          <w:szCs w:val="22"/>
        </w:rPr>
        <w:t>package</w:t>
      </w:r>
      <w:proofErr w:type="gramEnd"/>
      <w:r w:rsidRPr="00C61AC8">
        <w:rPr>
          <w:rFonts w:cstheme="minorHAnsi"/>
          <w:sz w:val="22"/>
          <w:szCs w:val="22"/>
        </w:rPr>
        <w:t xml:space="preserve"> or tableware size for changing selection and consumption of food, alcohol and tobacco. Cochra</w:t>
      </w:r>
      <w:r w:rsidR="00C229D2" w:rsidRPr="00C61AC8">
        <w:rPr>
          <w:rFonts w:cstheme="minorHAnsi"/>
          <w:sz w:val="22"/>
          <w:szCs w:val="22"/>
        </w:rPr>
        <w:t xml:space="preserve">ne Database </w:t>
      </w:r>
      <w:r w:rsidR="006A139E" w:rsidRPr="00C61AC8">
        <w:rPr>
          <w:rFonts w:cstheme="minorHAnsi"/>
          <w:sz w:val="22"/>
          <w:szCs w:val="22"/>
        </w:rPr>
        <w:t xml:space="preserve">of </w:t>
      </w:r>
      <w:r w:rsidR="00C229D2" w:rsidRPr="00C61AC8">
        <w:rPr>
          <w:rFonts w:cstheme="minorHAnsi"/>
          <w:sz w:val="22"/>
          <w:szCs w:val="22"/>
        </w:rPr>
        <w:t>Syst</w:t>
      </w:r>
      <w:r w:rsidR="006A139E" w:rsidRPr="00C61AC8">
        <w:rPr>
          <w:rFonts w:cstheme="minorHAnsi"/>
          <w:sz w:val="22"/>
          <w:szCs w:val="22"/>
        </w:rPr>
        <w:t>emic</w:t>
      </w:r>
      <w:r w:rsidR="00C229D2" w:rsidRPr="00C61AC8">
        <w:rPr>
          <w:rFonts w:cstheme="minorHAnsi"/>
          <w:sz w:val="22"/>
          <w:szCs w:val="22"/>
        </w:rPr>
        <w:t xml:space="preserve"> Rev</w:t>
      </w:r>
      <w:r w:rsidR="006A139E" w:rsidRPr="00C61AC8">
        <w:rPr>
          <w:rFonts w:cstheme="minorHAnsi"/>
          <w:sz w:val="22"/>
          <w:szCs w:val="22"/>
        </w:rPr>
        <w:t>iew [Internet]. 2015</w:t>
      </w:r>
      <w:r w:rsidR="003131A1">
        <w:rPr>
          <w:rFonts w:cstheme="minorHAnsi"/>
          <w:sz w:val="22"/>
          <w:szCs w:val="22"/>
        </w:rPr>
        <w:t xml:space="preserve"> Sep 14 [cited 2022 Feb 17]</w:t>
      </w:r>
      <w:r w:rsidR="006A139E" w:rsidRPr="00C61AC8">
        <w:rPr>
          <w:rFonts w:cstheme="minorHAnsi"/>
          <w:sz w:val="22"/>
          <w:szCs w:val="22"/>
        </w:rPr>
        <w:t>;</w:t>
      </w:r>
      <w:r w:rsidR="000E6330" w:rsidRPr="00C61AC8">
        <w:rPr>
          <w:rFonts w:cstheme="minorHAnsi"/>
          <w:sz w:val="22"/>
          <w:szCs w:val="22"/>
        </w:rPr>
        <w:t xml:space="preserve"> </w:t>
      </w:r>
      <w:r w:rsidR="003131A1">
        <w:rPr>
          <w:rFonts w:cstheme="minorHAnsi"/>
          <w:sz w:val="22"/>
          <w:szCs w:val="22"/>
        </w:rPr>
        <w:t>2015</w:t>
      </w:r>
      <w:r w:rsidR="00C229D2" w:rsidRPr="00C61AC8">
        <w:rPr>
          <w:rFonts w:cstheme="minorHAnsi"/>
          <w:sz w:val="22"/>
          <w:szCs w:val="22"/>
        </w:rPr>
        <w:t>(9)</w:t>
      </w:r>
      <w:r w:rsidR="006A139E" w:rsidRPr="00C61AC8">
        <w:rPr>
          <w:rFonts w:cstheme="minorHAnsi"/>
          <w:sz w:val="22"/>
          <w:szCs w:val="22"/>
        </w:rPr>
        <w:t xml:space="preserve">. Available from: </w:t>
      </w:r>
      <w:hyperlink r:id="rId19" w:history="1">
        <w:r w:rsidR="006A139E" w:rsidRPr="00C61AC8">
          <w:rPr>
            <w:rStyle w:val="Hyperlink"/>
            <w:rFonts w:cstheme="minorHAnsi"/>
            <w:color w:val="auto"/>
            <w:sz w:val="22"/>
            <w:szCs w:val="22"/>
            <w:u w:val="none"/>
          </w:rPr>
          <w:t>https://doi.org/10.1002/14651858.CD011045.pub2</w:t>
        </w:r>
      </w:hyperlink>
      <w:r w:rsidR="006A139E" w:rsidRPr="00C61AC8">
        <w:rPr>
          <w:rFonts w:cstheme="minorHAnsi"/>
          <w:sz w:val="22"/>
          <w:szCs w:val="22"/>
        </w:rPr>
        <w:t xml:space="preserve"> </w:t>
      </w:r>
    </w:p>
    <w:p w14:paraId="1344B9A6" w14:textId="77777777" w:rsidR="00C229D2" w:rsidRPr="00257F32" w:rsidRDefault="00C229D2" w:rsidP="00CF30C0">
      <w:pPr>
        <w:pStyle w:val="FootnoteText"/>
        <w:numPr>
          <w:ilvl w:val="0"/>
          <w:numId w:val="76"/>
        </w:numPr>
        <w:spacing w:after="120"/>
        <w:ind w:left="360"/>
        <w:rPr>
          <w:rFonts w:cstheme="minorHAnsi"/>
          <w:sz w:val="22"/>
          <w:szCs w:val="22"/>
        </w:rPr>
      </w:pPr>
      <w:r w:rsidRPr="00C61AC8">
        <w:rPr>
          <w:rFonts w:cstheme="minorHAnsi"/>
          <w:sz w:val="22"/>
          <w:szCs w:val="22"/>
        </w:rPr>
        <w:t xml:space="preserve">Kelly MT, Wallace JMW, Robson PJ, Rennie KL, Welch RW, Hannon-Fletcher MP, et al. Increased portion size leads to a sustained increase in energy intake over 4 d in normal-weight and overweight men and women. Br J </w:t>
      </w:r>
      <w:proofErr w:type="spellStart"/>
      <w:r w:rsidRPr="00C61AC8">
        <w:rPr>
          <w:rFonts w:cstheme="minorHAnsi"/>
          <w:sz w:val="22"/>
          <w:szCs w:val="22"/>
        </w:rPr>
        <w:t>Nutr</w:t>
      </w:r>
      <w:proofErr w:type="spellEnd"/>
      <w:r w:rsidRPr="00C61AC8">
        <w:rPr>
          <w:rFonts w:cstheme="minorHAnsi"/>
          <w:sz w:val="22"/>
          <w:szCs w:val="22"/>
        </w:rPr>
        <w:t xml:space="preserve">. Cambridge University Press; 2009; 102(3):470–7. </w:t>
      </w:r>
    </w:p>
    <w:p w14:paraId="05F6F207" w14:textId="112C9122" w:rsidR="00C229D2" w:rsidRPr="00C61AC8" w:rsidRDefault="00C229D2" w:rsidP="00CF30C0">
      <w:pPr>
        <w:pStyle w:val="FootnoteText"/>
        <w:spacing w:after="120"/>
        <w:ind w:left="326"/>
        <w:rPr>
          <w:rFonts w:cstheme="minorHAnsi"/>
          <w:sz w:val="22"/>
          <w:szCs w:val="22"/>
          <w:lang w:val="fr-FR"/>
        </w:rPr>
      </w:pPr>
      <w:proofErr w:type="spellStart"/>
      <w:r w:rsidRPr="00C61AC8">
        <w:rPr>
          <w:rFonts w:cstheme="minorHAnsi"/>
          <w:sz w:val="22"/>
          <w:szCs w:val="22"/>
        </w:rPr>
        <w:t>doi</w:t>
      </w:r>
      <w:proofErr w:type="spellEnd"/>
      <w:r w:rsidRPr="00C61AC8">
        <w:rPr>
          <w:rFonts w:cstheme="minorHAnsi"/>
          <w:sz w:val="22"/>
          <w:szCs w:val="22"/>
        </w:rPr>
        <w:t>: 10.1017/S0007114508201960</w:t>
      </w:r>
    </w:p>
    <w:p w14:paraId="30E2DC79" w14:textId="612D9ADD" w:rsidR="006A139E" w:rsidRPr="00C61AC8" w:rsidRDefault="006A139E" w:rsidP="00CF30C0">
      <w:pPr>
        <w:pStyle w:val="FootnoteText"/>
        <w:numPr>
          <w:ilvl w:val="0"/>
          <w:numId w:val="76"/>
        </w:numPr>
        <w:spacing w:after="120"/>
        <w:ind w:left="360"/>
        <w:rPr>
          <w:rFonts w:cstheme="minorHAnsi"/>
          <w:sz w:val="22"/>
          <w:szCs w:val="22"/>
        </w:rPr>
      </w:pPr>
      <w:proofErr w:type="spellStart"/>
      <w:r w:rsidRPr="00C61AC8">
        <w:rPr>
          <w:rFonts w:cstheme="minorHAnsi"/>
          <w:sz w:val="22"/>
          <w:szCs w:val="22"/>
        </w:rPr>
        <w:t>Almiron-Roig</w:t>
      </w:r>
      <w:proofErr w:type="spellEnd"/>
      <w:r w:rsidRPr="00C61AC8">
        <w:rPr>
          <w:rFonts w:cstheme="minorHAnsi"/>
          <w:sz w:val="22"/>
          <w:szCs w:val="22"/>
        </w:rPr>
        <w:t xml:space="preserve"> E, Forde CF, Hollands GJ, Vargas MA, </w:t>
      </w:r>
      <w:proofErr w:type="spellStart"/>
      <w:r w:rsidRPr="00C61AC8">
        <w:rPr>
          <w:rFonts w:cstheme="minorHAnsi"/>
          <w:sz w:val="22"/>
          <w:szCs w:val="22"/>
        </w:rPr>
        <w:t>Brunstrom</w:t>
      </w:r>
      <w:proofErr w:type="spellEnd"/>
      <w:r w:rsidRPr="00C61AC8">
        <w:rPr>
          <w:rFonts w:cstheme="minorHAnsi"/>
          <w:sz w:val="22"/>
          <w:szCs w:val="22"/>
        </w:rPr>
        <w:t xml:space="preserve"> JM. A review of evidence supporting current strategies, challenges, and opportunities to reduce portion sizes. </w:t>
      </w:r>
      <w:proofErr w:type="spellStart"/>
      <w:r w:rsidRPr="00C61AC8">
        <w:rPr>
          <w:rFonts w:cstheme="minorHAnsi"/>
          <w:sz w:val="22"/>
          <w:szCs w:val="22"/>
        </w:rPr>
        <w:t>Nutr</w:t>
      </w:r>
      <w:proofErr w:type="spellEnd"/>
      <w:r w:rsidRPr="00C61AC8">
        <w:rPr>
          <w:rFonts w:cstheme="minorHAnsi"/>
          <w:sz w:val="22"/>
          <w:szCs w:val="22"/>
        </w:rPr>
        <w:t xml:space="preserve"> Rev. 2020 Feb 1;</w:t>
      </w:r>
      <w:r w:rsidR="000E6330" w:rsidRPr="00C61AC8">
        <w:rPr>
          <w:rFonts w:cstheme="minorHAnsi"/>
          <w:sz w:val="22"/>
          <w:szCs w:val="22"/>
        </w:rPr>
        <w:t xml:space="preserve"> </w:t>
      </w:r>
      <w:r w:rsidRPr="00C61AC8">
        <w:rPr>
          <w:rFonts w:cstheme="minorHAnsi"/>
          <w:sz w:val="22"/>
          <w:szCs w:val="22"/>
        </w:rPr>
        <w:t>78(2):</w:t>
      </w:r>
      <w:r w:rsidR="001B710A" w:rsidRPr="00C61AC8">
        <w:rPr>
          <w:rFonts w:cstheme="minorHAnsi"/>
          <w:sz w:val="22"/>
          <w:szCs w:val="22"/>
        </w:rPr>
        <w:t xml:space="preserve"> p</w:t>
      </w:r>
      <w:r w:rsidRPr="00C61AC8">
        <w:rPr>
          <w:rFonts w:cstheme="minorHAnsi"/>
          <w:sz w:val="22"/>
          <w:szCs w:val="22"/>
        </w:rPr>
        <w:t xml:space="preserve">91-114. </w:t>
      </w:r>
      <w:proofErr w:type="spellStart"/>
      <w:r w:rsidRPr="00C61AC8">
        <w:rPr>
          <w:rFonts w:cstheme="minorHAnsi"/>
          <w:sz w:val="22"/>
          <w:szCs w:val="22"/>
        </w:rPr>
        <w:t>doi</w:t>
      </w:r>
      <w:proofErr w:type="spellEnd"/>
      <w:r w:rsidRPr="00C61AC8">
        <w:rPr>
          <w:rFonts w:cstheme="minorHAnsi"/>
          <w:sz w:val="22"/>
          <w:szCs w:val="22"/>
        </w:rPr>
        <w:t>: 10.1093/</w:t>
      </w:r>
      <w:proofErr w:type="spellStart"/>
      <w:r w:rsidRPr="00C61AC8">
        <w:rPr>
          <w:rFonts w:cstheme="minorHAnsi"/>
          <w:sz w:val="22"/>
          <w:szCs w:val="22"/>
        </w:rPr>
        <w:t>nutrit</w:t>
      </w:r>
      <w:proofErr w:type="spellEnd"/>
      <w:r w:rsidRPr="00C61AC8">
        <w:rPr>
          <w:rFonts w:cstheme="minorHAnsi"/>
          <w:sz w:val="22"/>
          <w:szCs w:val="22"/>
        </w:rPr>
        <w:t xml:space="preserve">/nuz047 </w:t>
      </w:r>
    </w:p>
    <w:p w14:paraId="5F77AFDE" w14:textId="06C6D6F6" w:rsidR="006A139E" w:rsidRPr="00C61AC8" w:rsidRDefault="006A139E" w:rsidP="00CF30C0">
      <w:pPr>
        <w:pStyle w:val="ListParagraph"/>
        <w:keepNext/>
        <w:numPr>
          <w:ilvl w:val="0"/>
          <w:numId w:val="76"/>
        </w:numPr>
        <w:spacing w:after="120"/>
        <w:ind w:left="360"/>
        <w:contextualSpacing w:val="0"/>
        <w:rPr>
          <w:rFonts w:cstheme="minorHAnsi"/>
          <w:sz w:val="22"/>
          <w:szCs w:val="22"/>
        </w:rPr>
      </w:pPr>
      <w:r w:rsidRPr="0044145E">
        <w:rPr>
          <w:rFonts w:eastAsiaTheme="minorHAnsi" w:cstheme="minorHAnsi"/>
          <w:sz w:val="22"/>
          <w:szCs w:val="22"/>
        </w:rPr>
        <w:t xml:space="preserve">Marteau TM, Hollands GJ, </w:t>
      </w:r>
      <w:proofErr w:type="spellStart"/>
      <w:r w:rsidRPr="0044145E">
        <w:rPr>
          <w:rFonts w:eastAsiaTheme="minorHAnsi" w:cstheme="minorHAnsi"/>
          <w:sz w:val="22"/>
          <w:szCs w:val="22"/>
        </w:rPr>
        <w:t>Shemilt</w:t>
      </w:r>
      <w:proofErr w:type="spellEnd"/>
      <w:r w:rsidRPr="0044145E">
        <w:rPr>
          <w:rFonts w:eastAsiaTheme="minorHAnsi" w:cstheme="minorHAnsi"/>
          <w:sz w:val="22"/>
          <w:szCs w:val="22"/>
        </w:rPr>
        <w:t xml:space="preserve"> I, </w:t>
      </w:r>
      <w:proofErr w:type="spellStart"/>
      <w:r w:rsidRPr="0044145E">
        <w:rPr>
          <w:rFonts w:eastAsiaTheme="minorHAnsi" w:cstheme="minorHAnsi"/>
          <w:sz w:val="22"/>
          <w:szCs w:val="22"/>
        </w:rPr>
        <w:t>Jebb</w:t>
      </w:r>
      <w:proofErr w:type="spellEnd"/>
      <w:r w:rsidRPr="0044145E">
        <w:rPr>
          <w:rFonts w:eastAsiaTheme="minorHAnsi" w:cstheme="minorHAnsi"/>
          <w:sz w:val="22"/>
          <w:szCs w:val="22"/>
        </w:rPr>
        <w:t xml:space="preserve"> SA. Downsizing: policy options to reduce portion sizes to help tackle obesity. </w:t>
      </w:r>
      <w:r w:rsidRPr="00C61AC8">
        <w:rPr>
          <w:rFonts w:eastAsiaTheme="minorHAnsi" w:cstheme="minorHAnsi"/>
          <w:sz w:val="22"/>
          <w:szCs w:val="22"/>
          <w:lang w:val="fr-FR"/>
        </w:rPr>
        <w:t xml:space="preserve">BMJ. 2015 </w:t>
      </w:r>
      <w:proofErr w:type="spellStart"/>
      <w:r w:rsidRPr="00C61AC8">
        <w:rPr>
          <w:rFonts w:eastAsiaTheme="minorHAnsi" w:cstheme="minorHAnsi"/>
          <w:sz w:val="22"/>
          <w:szCs w:val="22"/>
          <w:lang w:val="fr-FR"/>
        </w:rPr>
        <w:t>Dec</w:t>
      </w:r>
      <w:proofErr w:type="spellEnd"/>
      <w:r w:rsidRPr="00C61AC8">
        <w:rPr>
          <w:rFonts w:eastAsiaTheme="minorHAnsi" w:cstheme="minorHAnsi"/>
          <w:sz w:val="22"/>
          <w:szCs w:val="22"/>
          <w:lang w:val="fr-FR"/>
        </w:rPr>
        <w:t xml:space="preserve"> </w:t>
      </w:r>
      <w:proofErr w:type="gramStart"/>
      <w:r w:rsidRPr="00C61AC8">
        <w:rPr>
          <w:rFonts w:eastAsiaTheme="minorHAnsi" w:cstheme="minorHAnsi"/>
          <w:sz w:val="22"/>
          <w:szCs w:val="22"/>
          <w:lang w:val="fr-FR"/>
        </w:rPr>
        <w:t>02;</w:t>
      </w:r>
      <w:proofErr w:type="gramEnd"/>
      <w:r w:rsidR="000E6330" w:rsidRPr="00C61AC8">
        <w:rPr>
          <w:rFonts w:eastAsiaTheme="minorHAnsi" w:cstheme="minorHAnsi"/>
          <w:sz w:val="22"/>
          <w:szCs w:val="22"/>
          <w:lang w:val="fr-FR"/>
        </w:rPr>
        <w:t xml:space="preserve"> </w:t>
      </w:r>
      <w:r w:rsidRPr="00C61AC8">
        <w:rPr>
          <w:rFonts w:eastAsiaTheme="minorHAnsi" w:cstheme="minorHAnsi"/>
          <w:sz w:val="22"/>
          <w:szCs w:val="22"/>
          <w:lang w:val="fr-FR"/>
        </w:rPr>
        <w:t xml:space="preserve">351. </w:t>
      </w:r>
      <w:proofErr w:type="spellStart"/>
      <w:proofErr w:type="gramStart"/>
      <w:r w:rsidRPr="00C61AC8">
        <w:rPr>
          <w:rFonts w:eastAsiaTheme="minorHAnsi" w:cstheme="minorHAnsi"/>
          <w:sz w:val="22"/>
          <w:szCs w:val="22"/>
          <w:lang w:val="fr-FR"/>
        </w:rPr>
        <w:t>doi</w:t>
      </w:r>
      <w:proofErr w:type="spellEnd"/>
      <w:r w:rsidRPr="00C61AC8">
        <w:rPr>
          <w:rFonts w:eastAsiaTheme="minorHAnsi" w:cstheme="minorHAnsi"/>
          <w:sz w:val="22"/>
          <w:szCs w:val="22"/>
          <w:lang w:val="fr-FR"/>
        </w:rPr>
        <w:t>:</w:t>
      </w:r>
      <w:proofErr w:type="gramEnd"/>
      <w:r w:rsidRPr="00C61AC8">
        <w:rPr>
          <w:rFonts w:eastAsiaTheme="minorHAnsi" w:cstheme="minorHAnsi"/>
          <w:sz w:val="22"/>
          <w:szCs w:val="22"/>
          <w:lang w:val="fr-FR"/>
        </w:rPr>
        <w:t xml:space="preserve"> 10.1136/bmj.h5863</w:t>
      </w:r>
    </w:p>
    <w:p w14:paraId="401B08E8" w14:textId="65224327" w:rsidR="00B04A7B" w:rsidRPr="00C61AC8" w:rsidRDefault="00B04A7B" w:rsidP="00CF30C0">
      <w:pPr>
        <w:pStyle w:val="FootnoteText"/>
        <w:numPr>
          <w:ilvl w:val="0"/>
          <w:numId w:val="76"/>
        </w:numPr>
        <w:spacing w:after="120"/>
        <w:ind w:left="360"/>
        <w:rPr>
          <w:rFonts w:cstheme="minorHAnsi"/>
          <w:sz w:val="22"/>
          <w:szCs w:val="22"/>
        </w:rPr>
      </w:pPr>
      <w:r w:rsidRPr="00C61AC8">
        <w:rPr>
          <w:rFonts w:eastAsiaTheme="minorEastAsia" w:cstheme="minorHAnsi"/>
          <w:sz w:val="22"/>
          <w:szCs w:val="22"/>
        </w:rPr>
        <w:t xml:space="preserve">Lewis M, Lee A. Effective portion size strategies [Internet]. An evidence </w:t>
      </w:r>
      <w:proofErr w:type="gramStart"/>
      <w:r w:rsidRPr="00C61AC8">
        <w:rPr>
          <w:rFonts w:eastAsiaTheme="minorEastAsia" w:cstheme="minorHAnsi"/>
          <w:sz w:val="22"/>
          <w:szCs w:val="22"/>
        </w:rPr>
        <w:t>review</w:t>
      </w:r>
      <w:proofErr w:type="gramEnd"/>
      <w:r w:rsidRPr="00C61AC8">
        <w:rPr>
          <w:rFonts w:eastAsiaTheme="minorEastAsia" w:cstheme="minorHAnsi"/>
          <w:sz w:val="22"/>
          <w:szCs w:val="22"/>
        </w:rPr>
        <w:t xml:space="preserve"> prepared for the Australian Department of Health on behalf of The Australian Prevention Partnership Centre; </w:t>
      </w:r>
      <w:r w:rsidR="000E6330" w:rsidRPr="00C61AC8">
        <w:rPr>
          <w:rFonts w:eastAsiaTheme="minorEastAsia" w:cstheme="minorHAnsi"/>
          <w:sz w:val="22"/>
          <w:szCs w:val="22"/>
        </w:rPr>
        <w:t>2017. 20</w:t>
      </w:r>
      <w:r w:rsidRPr="00C61AC8">
        <w:rPr>
          <w:rFonts w:eastAsiaTheme="minorEastAsia" w:cstheme="minorHAnsi"/>
          <w:sz w:val="22"/>
          <w:szCs w:val="22"/>
        </w:rPr>
        <w:t xml:space="preserve">p. Available from: </w:t>
      </w:r>
      <w:hyperlink r:id="rId20" w:history="1">
        <w:r w:rsidRPr="00C61AC8">
          <w:rPr>
            <w:rStyle w:val="Hyperlink"/>
            <w:rFonts w:eastAsiaTheme="minorEastAsia" w:cstheme="minorHAnsi"/>
            <w:color w:val="auto"/>
            <w:sz w:val="22"/>
            <w:szCs w:val="22"/>
            <w:u w:val="none"/>
          </w:rPr>
          <w:t>https://preventioncentre.org.au/wp-content/uploads/2017/08/22082017_Rapid-review_Portion-size_response.pdf</w:t>
        </w:r>
      </w:hyperlink>
    </w:p>
    <w:p w14:paraId="6FC5B528" w14:textId="4BAA4A21" w:rsidR="008F3754" w:rsidRPr="00C61AC8" w:rsidRDefault="008F3754" w:rsidP="00CF30C0">
      <w:pPr>
        <w:pStyle w:val="FootnoteText"/>
        <w:numPr>
          <w:ilvl w:val="0"/>
          <w:numId w:val="76"/>
        </w:numPr>
        <w:spacing w:after="120"/>
        <w:ind w:left="360"/>
        <w:rPr>
          <w:rFonts w:cstheme="minorHAnsi"/>
          <w:sz w:val="22"/>
          <w:szCs w:val="22"/>
        </w:rPr>
      </w:pPr>
      <w:r w:rsidRPr="00C61AC8">
        <w:rPr>
          <w:rFonts w:cstheme="minorHAnsi"/>
          <w:sz w:val="22"/>
          <w:szCs w:val="22"/>
        </w:rPr>
        <w:t xml:space="preserve">Hollands GJ, Cartwright E, Pilling M, </w:t>
      </w:r>
      <w:proofErr w:type="spellStart"/>
      <w:r w:rsidRPr="00C61AC8">
        <w:rPr>
          <w:rFonts w:cstheme="minorHAnsi"/>
          <w:sz w:val="22"/>
          <w:szCs w:val="22"/>
        </w:rPr>
        <w:t>Pechey</w:t>
      </w:r>
      <w:proofErr w:type="spellEnd"/>
      <w:r w:rsidRPr="00C61AC8">
        <w:rPr>
          <w:rFonts w:cstheme="minorHAnsi"/>
          <w:sz w:val="22"/>
          <w:szCs w:val="22"/>
        </w:rPr>
        <w:t xml:space="preserve"> R, Vasiljevic M, </w:t>
      </w:r>
      <w:proofErr w:type="spellStart"/>
      <w:r w:rsidRPr="00C61AC8">
        <w:rPr>
          <w:rFonts w:cstheme="minorHAnsi"/>
          <w:sz w:val="22"/>
          <w:szCs w:val="22"/>
        </w:rPr>
        <w:t>Jebb</w:t>
      </w:r>
      <w:proofErr w:type="spellEnd"/>
      <w:r w:rsidRPr="00C61AC8">
        <w:rPr>
          <w:rFonts w:cstheme="minorHAnsi"/>
          <w:sz w:val="22"/>
          <w:szCs w:val="22"/>
        </w:rPr>
        <w:t xml:space="preserve"> SA, et al. Impact of reducing portion sizes in worksite cafeterias: a stepped wedge randomised controlled pilot trial. Int J </w:t>
      </w:r>
      <w:proofErr w:type="spellStart"/>
      <w:r w:rsidRPr="00C61AC8">
        <w:rPr>
          <w:rFonts w:cstheme="minorHAnsi"/>
          <w:sz w:val="22"/>
          <w:szCs w:val="22"/>
        </w:rPr>
        <w:t>Behav</w:t>
      </w:r>
      <w:proofErr w:type="spellEnd"/>
      <w:r w:rsidRPr="00C61AC8">
        <w:rPr>
          <w:rFonts w:cstheme="minorHAnsi"/>
          <w:sz w:val="22"/>
          <w:szCs w:val="22"/>
        </w:rPr>
        <w:t xml:space="preserve"> </w:t>
      </w:r>
      <w:proofErr w:type="spellStart"/>
      <w:r w:rsidRPr="00C61AC8">
        <w:rPr>
          <w:rFonts w:cstheme="minorHAnsi"/>
          <w:sz w:val="22"/>
          <w:szCs w:val="22"/>
        </w:rPr>
        <w:t>Nutr</w:t>
      </w:r>
      <w:proofErr w:type="spellEnd"/>
      <w:r w:rsidRPr="00C61AC8">
        <w:rPr>
          <w:rFonts w:cstheme="minorHAnsi"/>
          <w:sz w:val="22"/>
          <w:szCs w:val="22"/>
        </w:rPr>
        <w:t xml:space="preserve"> Phys Act [Internet]. 2018; 15(1). Available from: </w:t>
      </w:r>
      <w:hyperlink r:id="rId21" w:history="1">
        <w:r w:rsidRPr="00C61AC8">
          <w:rPr>
            <w:rStyle w:val="Hyperlink"/>
            <w:rFonts w:cstheme="minorHAnsi"/>
            <w:color w:val="auto"/>
            <w:sz w:val="22"/>
            <w:szCs w:val="22"/>
            <w:u w:val="none"/>
          </w:rPr>
          <w:t>https://doi.org/10.1186/s12966-018-0705-1</w:t>
        </w:r>
      </w:hyperlink>
    </w:p>
    <w:p w14:paraId="26610CFB" w14:textId="736666F4" w:rsidR="001F1B24" w:rsidRPr="00C61AC8" w:rsidRDefault="0037290D" w:rsidP="00CF30C0">
      <w:pPr>
        <w:pStyle w:val="FootnoteText"/>
        <w:numPr>
          <w:ilvl w:val="0"/>
          <w:numId w:val="76"/>
        </w:numPr>
        <w:spacing w:after="120"/>
        <w:ind w:left="360"/>
        <w:rPr>
          <w:rFonts w:cstheme="minorHAnsi"/>
          <w:sz w:val="22"/>
          <w:szCs w:val="22"/>
        </w:rPr>
      </w:pPr>
      <w:r w:rsidRPr="00C61AC8">
        <w:rPr>
          <w:rFonts w:cstheme="minorHAnsi"/>
          <w:sz w:val="22"/>
          <w:szCs w:val="22"/>
        </w:rPr>
        <w:t>I</w:t>
      </w:r>
      <w:r w:rsidR="001F1B24" w:rsidRPr="00C61AC8">
        <w:rPr>
          <w:rFonts w:cstheme="minorHAnsi"/>
          <w:sz w:val="22"/>
          <w:szCs w:val="22"/>
        </w:rPr>
        <w:t>nstitu</w:t>
      </w:r>
      <w:r w:rsidR="000E6330" w:rsidRPr="00C61AC8">
        <w:rPr>
          <w:rFonts w:cstheme="minorHAnsi"/>
          <w:sz w:val="22"/>
          <w:szCs w:val="22"/>
        </w:rPr>
        <w:t>te of Grocery Distribution (IGD)</w:t>
      </w:r>
      <w:r w:rsidR="00D348AA" w:rsidRPr="00C61AC8">
        <w:rPr>
          <w:rFonts w:cstheme="minorHAnsi"/>
          <w:sz w:val="22"/>
          <w:szCs w:val="22"/>
        </w:rPr>
        <w:t>: Healthy Eating</w:t>
      </w:r>
      <w:r w:rsidR="001F1B24" w:rsidRPr="00C61AC8">
        <w:rPr>
          <w:rFonts w:cstheme="minorHAnsi"/>
          <w:sz w:val="22"/>
          <w:szCs w:val="22"/>
        </w:rPr>
        <w:t xml:space="preserve">. Sizing up the opportunity: a guide to setting portion size. IGD; 2019. Available from: </w:t>
      </w:r>
      <w:hyperlink r:id="rId22" w:history="1">
        <w:r w:rsidR="001F1B24" w:rsidRPr="00C61AC8">
          <w:rPr>
            <w:rStyle w:val="Hyperlink"/>
            <w:rFonts w:cstheme="minorHAnsi"/>
            <w:color w:val="auto"/>
            <w:sz w:val="22"/>
            <w:szCs w:val="22"/>
            <w:u w:val="none"/>
          </w:rPr>
          <w:t>https://www.igd.com/social-impact/health/reformulation/focus-areas/portion-size/setting-portion-size</w:t>
        </w:r>
      </w:hyperlink>
    </w:p>
    <w:p w14:paraId="63E95359" w14:textId="400BF920" w:rsidR="00D44E44" w:rsidRPr="00C61AC8" w:rsidRDefault="00D44E44" w:rsidP="00CF30C0">
      <w:pPr>
        <w:pStyle w:val="FootnoteText"/>
        <w:numPr>
          <w:ilvl w:val="0"/>
          <w:numId w:val="76"/>
        </w:numPr>
        <w:spacing w:after="120"/>
        <w:ind w:left="360"/>
        <w:rPr>
          <w:rFonts w:cstheme="minorHAnsi"/>
          <w:sz w:val="22"/>
          <w:szCs w:val="22"/>
        </w:rPr>
      </w:pPr>
      <w:r w:rsidRPr="00C61AC8">
        <w:rPr>
          <w:rFonts w:eastAsiaTheme="minorEastAsia" w:cstheme="minorHAnsi"/>
          <w:sz w:val="22"/>
          <w:szCs w:val="22"/>
        </w:rPr>
        <w:t xml:space="preserve">Riis J. Opportunities and barriers for smaller portions in food service: lessons from marketing and behavioural economics. Int J </w:t>
      </w:r>
      <w:proofErr w:type="spellStart"/>
      <w:r w:rsidRPr="00C61AC8">
        <w:rPr>
          <w:rFonts w:eastAsiaTheme="minorEastAsia" w:cstheme="minorHAnsi"/>
          <w:sz w:val="22"/>
          <w:szCs w:val="22"/>
        </w:rPr>
        <w:t>Obes</w:t>
      </w:r>
      <w:proofErr w:type="spellEnd"/>
      <w:r w:rsidRPr="00C61AC8">
        <w:rPr>
          <w:rFonts w:eastAsiaTheme="minorEastAsia" w:cstheme="minorHAnsi"/>
          <w:sz w:val="22"/>
          <w:szCs w:val="22"/>
        </w:rPr>
        <w:t>. 2014 Jul; 38(1</w:t>
      </w:r>
      <w:proofErr w:type="gramStart"/>
      <w:r w:rsidRPr="00C61AC8">
        <w:rPr>
          <w:rFonts w:eastAsiaTheme="minorEastAsia" w:cstheme="minorHAnsi"/>
          <w:sz w:val="22"/>
          <w:szCs w:val="22"/>
        </w:rPr>
        <w:t>):S</w:t>
      </w:r>
      <w:proofErr w:type="gramEnd"/>
      <w:r w:rsidRPr="00C61AC8">
        <w:rPr>
          <w:rFonts w:eastAsiaTheme="minorEastAsia" w:cstheme="minorHAnsi"/>
          <w:sz w:val="22"/>
          <w:szCs w:val="22"/>
        </w:rPr>
        <w:t xml:space="preserve">19-24. </w:t>
      </w:r>
      <w:proofErr w:type="spellStart"/>
      <w:r w:rsidRPr="00C61AC8">
        <w:rPr>
          <w:rFonts w:eastAsiaTheme="minorEastAsia" w:cstheme="minorHAnsi"/>
          <w:sz w:val="22"/>
          <w:szCs w:val="22"/>
        </w:rPr>
        <w:t>doi</w:t>
      </w:r>
      <w:proofErr w:type="spellEnd"/>
      <w:r w:rsidRPr="00C61AC8">
        <w:rPr>
          <w:rFonts w:eastAsiaTheme="minorEastAsia" w:cstheme="minorHAnsi"/>
          <w:sz w:val="22"/>
          <w:szCs w:val="22"/>
        </w:rPr>
        <w:t>: 10.1038/ijo.2014.85.</w:t>
      </w:r>
    </w:p>
    <w:p w14:paraId="5E0EF80D" w14:textId="289697BB" w:rsidR="00AA24BD" w:rsidRDefault="00D44E44" w:rsidP="00CF30C0">
      <w:pPr>
        <w:pStyle w:val="EndnoteText"/>
        <w:numPr>
          <w:ilvl w:val="0"/>
          <w:numId w:val="76"/>
        </w:numPr>
        <w:spacing w:after="120"/>
        <w:ind w:left="360"/>
        <w:rPr>
          <w:rStyle w:val="Hyperlink"/>
          <w:rFonts w:cstheme="minorHAnsi"/>
          <w:color w:val="auto"/>
          <w:sz w:val="22"/>
          <w:szCs w:val="22"/>
          <w:u w:val="none"/>
          <w:shd w:val="clear" w:color="auto" w:fill="FFFFFF"/>
        </w:rPr>
      </w:pPr>
      <w:r w:rsidRPr="00C61AC8">
        <w:rPr>
          <w:rFonts w:cstheme="minorHAnsi"/>
          <w:sz w:val="22"/>
          <w:szCs w:val="22"/>
          <w:shd w:val="clear" w:color="auto" w:fill="FFFFFF"/>
        </w:rPr>
        <w:t xml:space="preserve">Health Canada. Nutrition Labelling: Table of Reference Amounts for Food. Ottawa ON: Health Canada; 2016. Available from: </w:t>
      </w:r>
      <w:hyperlink r:id="rId23" w:history="1">
        <w:r w:rsidRPr="00C61AC8">
          <w:rPr>
            <w:rStyle w:val="Hyperlink"/>
            <w:rFonts w:cstheme="minorHAnsi"/>
            <w:color w:val="auto"/>
            <w:sz w:val="22"/>
            <w:szCs w:val="22"/>
            <w:u w:val="none"/>
            <w:shd w:val="clear" w:color="auto" w:fill="FFFFFF"/>
          </w:rPr>
          <w:t>https://www.canada.ca/en/health-canada/services/technical-documents-labelling-requirements/table-reference-amounts-food.html</w:t>
        </w:r>
      </w:hyperlink>
    </w:p>
    <w:p w14:paraId="11792C66" w14:textId="4BFA5801" w:rsidR="00A6006D" w:rsidRPr="00AA24BD" w:rsidRDefault="00A6006D" w:rsidP="00CF30C0">
      <w:pPr>
        <w:pStyle w:val="EndnoteText"/>
        <w:numPr>
          <w:ilvl w:val="0"/>
          <w:numId w:val="76"/>
        </w:numPr>
        <w:spacing w:after="120"/>
        <w:ind w:left="360"/>
        <w:rPr>
          <w:rFonts w:cstheme="minorHAnsi"/>
          <w:sz w:val="22"/>
          <w:szCs w:val="22"/>
          <w:shd w:val="clear" w:color="auto" w:fill="FFFFFF"/>
        </w:rPr>
      </w:pPr>
      <w:r w:rsidRPr="00AA24BD">
        <w:rPr>
          <w:rFonts w:cstheme="minorHAnsi"/>
          <w:sz w:val="22"/>
          <w:szCs w:val="22"/>
        </w:rPr>
        <w:lastRenderedPageBreak/>
        <w:t>National Health and Medical Research Council (NHMRC). Eat for Health Educator Guide. Canberra: NHMRC; 2013.</w:t>
      </w:r>
    </w:p>
    <w:p w14:paraId="22ACBA9A" w14:textId="5CDD7D98" w:rsidR="00E1143D" w:rsidRPr="00C61AC8" w:rsidRDefault="00E1143D" w:rsidP="00CF30C0">
      <w:pPr>
        <w:pStyle w:val="ListParagraph"/>
        <w:keepNext/>
        <w:numPr>
          <w:ilvl w:val="0"/>
          <w:numId w:val="76"/>
        </w:numPr>
        <w:spacing w:after="120"/>
        <w:ind w:left="360"/>
        <w:contextualSpacing w:val="0"/>
        <w:rPr>
          <w:rFonts w:eastAsiaTheme="majorEastAsia" w:cstheme="minorBidi"/>
          <w:kern w:val="32"/>
          <w:sz w:val="22"/>
          <w:szCs w:val="22"/>
          <w:shd w:val="clear" w:color="auto" w:fill="FFFFFF"/>
        </w:rPr>
      </w:pPr>
      <w:r w:rsidRPr="2E79F527">
        <w:rPr>
          <w:rFonts w:cstheme="minorBidi"/>
          <w:sz w:val="22"/>
          <w:szCs w:val="22"/>
        </w:rPr>
        <w:t xml:space="preserve">National Health and Medical Research Council (NHMRC). Australian Dietary Guidelines. Canberra:  NHMRC; 2013. </w:t>
      </w:r>
    </w:p>
    <w:p w14:paraId="263BE725" w14:textId="77777777" w:rsidR="009812EE" w:rsidRPr="00C61AC8" w:rsidRDefault="009812EE" w:rsidP="00CF30C0">
      <w:pPr>
        <w:pStyle w:val="ListParagraph"/>
        <w:numPr>
          <w:ilvl w:val="0"/>
          <w:numId w:val="76"/>
        </w:numPr>
        <w:spacing w:after="120"/>
        <w:ind w:left="360"/>
        <w:contextualSpacing w:val="0"/>
        <w:rPr>
          <w:rFonts w:cstheme="minorHAnsi"/>
          <w:sz w:val="22"/>
          <w:szCs w:val="22"/>
        </w:rPr>
      </w:pPr>
      <w:r w:rsidRPr="00C61AC8">
        <w:rPr>
          <w:rFonts w:eastAsiaTheme="minorHAnsi" w:cstheme="minorHAnsi"/>
          <w:sz w:val="22"/>
          <w:szCs w:val="22"/>
        </w:rPr>
        <w:t xml:space="preserve">Lee AJ, Kane S, Ramsey R, Good E, Dick M. Testing the price and affordability of healthy and current (unhealthy) diets and the potential impacts of policy change in Australia. BMC Public Health. 2016; 16(315). </w:t>
      </w:r>
      <w:proofErr w:type="spellStart"/>
      <w:r w:rsidRPr="00C61AC8">
        <w:rPr>
          <w:rFonts w:eastAsiaTheme="minorHAnsi" w:cstheme="minorHAnsi"/>
          <w:sz w:val="22"/>
          <w:szCs w:val="22"/>
        </w:rPr>
        <w:t>doi</w:t>
      </w:r>
      <w:proofErr w:type="spellEnd"/>
      <w:r w:rsidRPr="00C61AC8">
        <w:rPr>
          <w:rFonts w:eastAsiaTheme="minorHAnsi" w:cstheme="minorHAnsi"/>
          <w:sz w:val="22"/>
          <w:szCs w:val="22"/>
        </w:rPr>
        <w:t>: 10.1186/s12889-016-2996-y</w:t>
      </w:r>
    </w:p>
    <w:p w14:paraId="1468F993" w14:textId="3234A674" w:rsidR="0037290D" w:rsidRPr="00C61AC8" w:rsidRDefault="000E6330" w:rsidP="00CF30C0">
      <w:pPr>
        <w:pStyle w:val="FootnoteText"/>
        <w:numPr>
          <w:ilvl w:val="0"/>
          <w:numId w:val="76"/>
        </w:numPr>
        <w:spacing w:after="120"/>
        <w:ind w:left="360"/>
        <w:rPr>
          <w:rFonts w:cstheme="minorHAnsi"/>
          <w:sz w:val="22"/>
          <w:szCs w:val="22"/>
        </w:rPr>
      </w:pPr>
      <w:r w:rsidRPr="00C61AC8">
        <w:rPr>
          <w:rFonts w:cstheme="minorHAnsi"/>
          <w:sz w:val="22"/>
          <w:szCs w:val="22"/>
        </w:rPr>
        <w:t>Food Standards Australia New Zealand</w:t>
      </w:r>
      <w:r w:rsidR="001B710A" w:rsidRPr="00C61AC8">
        <w:rPr>
          <w:rFonts w:cstheme="minorHAnsi"/>
          <w:sz w:val="22"/>
          <w:szCs w:val="22"/>
        </w:rPr>
        <w:t xml:space="preserve"> (FSANZ)</w:t>
      </w:r>
      <w:r w:rsidRPr="00C61AC8">
        <w:rPr>
          <w:rFonts w:cstheme="minorHAnsi"/>
          <w:sz w:val="22"/>
          <w:szCs w:val="22"/>
        </w:rPr>
        <w:t xml:space="preserve">. Determining the </w:t>
      </w:r>
      <w:proofErr w:type="gramStart"/>
      <w:r w:rsidRPr="00C61AC8">
        <w:rPr>
          <w:rFonts w:cstheme="minorHAnsi"/>
          <w:sz w:val="22"/>
          <w:szCs w:val="22"/>
        </w:rPr>
        <w:t>amount</w:t>
      </w:r>
      <w:proofErr w:type="gramEnd"/>
      <w:r w:rsidRPr="00C61AC8">
        <w:rPr>
          <w:rFonts w:cstheme="minorHAnsi"/>
          <w:sz w:val="22"/>
          <w:szCs w:val="22"/>
        </w:rPr>
        <w:t xml:space="preserve"> of added sugars and free sugars in foods listed in the AUSNUT 2011-13 dataset [Internet]. Canberra: FSANZ; 2016. Available from: </w:t>
      </w:r>
      <w:r w:rsidR="0037290D" w:rsidRPr="00C61AC8">
        <w:rPr>
          <w:rFonts w:cstheme="minorHAnsi"/>
          <w:sz w:val="22"/>
          <w:szCs w:val="22"/>
        </w:rPr>
        <w:t>https://www.foodstandards.gov.au/science/monitoringnutrients/ausnut/foodnutrient/Pages/Determining-the-amount-of-added-sugars-and-free-sugars-in-foods-listed-in-the-AUSNUT-201113-dataset.aspx</w:t>
      </w:r>
    </w:p>
    <w:p w14:paraId="5A0C66ED" w14:textId="1312FDEC" w:rsidR="00E7316D" w:rsidRPr="00C61AC8" w:rsidRDefault="1F17C204" w:rsidP="00CF30C0">
      <w:pPr>
        <w:pStyle w:val="ListParagraph"/>
        <w:keepNext/>
        <w:numPr>
          <w:ilvl w:val="0"/>
          <w:numId w:val="76"/>
        </w:numPr>
        <w:spacing w:after="120"/>
        <w:ind w:left="360"/>
        <w:contextualSpacing w:val="0"/>
        <w:rPr>
          <w:rFonts w:cstheme="minorBidi"/>
          <w:sz w:val="22"/>
          <w:szCs w:val="22"/>
        </w:rPr>
      </w:pPr>
      <w:r w:rsidRPr="3B6FF43D">
        <w:rPr>
          <w:rFonts w:cstheme="minorBidi"/>
          <w:sz w:val="22"/>
          <w:szCs w:val="22"/>
        </w:rPr>
        <w:t xml:space="preserve">World </w:t>
      </w:r>
      <w:r w:rsidR="00AA24BD">
        <w:rPr>
          <w:rFonts w:cstheme="minorBidi"/>
          <w:sz w:val="22"/>
          <w:szCs w:val="22"/>
        </w:rPr>
        <w:t>H</w:t>
      </w:r>
      <w:r w:rsidRPr="3B6FF43D">
        <w:rPr>
          <w:rFonts w:cstheme="minorBidi"/>
          <w:sz w:val="22"/>
          <w:szCs w:val="22"/>
        </w:rPr>
        <w:t xml:space="preserve">ealth Organization (WHO). Guideline: sugars intake for adults and children. Geneva: WHO; 2015.  </w:t>
      </w:r>
    </w:p>
    <w:p w14:paraId="590C2F62" w14:textId="5F9A8A39" w:rsidR="002C1F86" w:rsidRPr="00C61AC8" w:rsidRDefault="002C1F86" w:rsidP="00CF30C0">
      <w:pPr>
        <w:pStyle w:val="ListParagraph"/>
        <w:numPr>
          <w:ilvl w:val="0"/>
          <w:numId w:val="76"/>
        </w:numPr>
        <w:spacing w:after="120"/>
        <w:ind w:left="360"/>
        <w:contextualSpacing w:val="0"/>
        <w:rPr>
          <w:rFonts w:eastAsiaTheme="majorEastAsia" w:cstheme="minorBidi"/>
          <w:sz w:val="22"/>
          <w:szCs w:val="22"/>
        </w:rPr>
      </w:pPr>
      <w:r w:rsidRPr="266CC61F">
        <w:rPr>
          <w:rFonts w:cstheme="minorBidi"/>
          <w:sz w:val="22"/>
          <w:szCs w:val="22"/>
        </w:rPr>
        <w:t>A</w:t>
      </w:r>
      <w:r w:rsidR="001B710A" w:rsidRPr="266CC61F">
        <w:rPr>
          <w:rFonts w:cstheme="minorBidi"/>
          <w:sz w:val="22"/>
          <w:szCs w:val="22"/>
        </w:rPr>
        <w:t xml:space="preserve">ustralian </w:t>
      </w:r>
      <w:r w:rsidRPr="266CC61F">
        <w:rPr>
          <w:rFonts w:cstheme="minorBidi"/>
          <w:sz w:val="22"/>
          <w:szCs w:val="22"/>
        </w:rPr>
        <w:t>B</w:t>
      </w:r>
      <w:r w:rsidR="001B710A" w:rsidRPr="266CC61F">
        <w:rPr>
          <w:rFonts w:cstheme="minorBidi"/>
          <w:sz w:val="22"/>
          <w:szCs w:val="22"/>
        </w:rPr>
        <w:t xml:space="preserve">ureau of </w:t>
      </w:r>
      <w:r w:rsidRPr="266CC61F">
        <w:rPr>
          <w:rFonts w:cstheme="minorBidi"/>
          <w:sz w:val="22"/>
          <w:szCs w:val="22"/>
        </w:rPr>
        <w:t>S</w:t>
      </w:r>
      <w:r w:rsidR="001B710A" w:rsidRPr="266CC61F">
        <w:rPr>
          <w:rFonts w:cstheme="minorBidi"/>
          <w:sz w:val="22"/>
          <w:szCs w:val="22"/>
        </w:rPr>
        <w:t>tatistics (ABS)</w:t>
      </w:r>
      <w:r w:rsidRPr="266CC61F">
        <w:rPr>
          <w:rFonts w:cstheme="minorBidi"/>
          <w:sz w:val="22"/>
          <w:szCs w:val="22"/>
        </w:rPr>
        <w:t>. Australian Health Survey: Consumption of added sugars, 2011</w:t>
      </w:r>
      <w:r w:rsidR="00EB2E43">
        <w:rPr>
          <w:rFonts w:cstheme="minorBidi"/>
          <w:sz w:val="22"/>
          <w:szCs w:val="22"/>
        </w:rPr>
        <w:softHyphen/>
        <w:t>–</w:t>
      </w:r>
      <w:r w:rsidRPr="266CC61F">
        <w:rPr>
          <w:rFonts w:cstheme="minorBidi"/>
          <w:sz w:val="22"/>
          <w:szCs w:val="22"/>
        </w:rPr>
        <w:t xml:space="preserve">12. Canberra: ABS; 2016. ABS Cat. No.: 4364.0.55.011.   </w:t>
      </w:r>
    </w:p>
    <w:p w14:paraId="686EC087" w14:textId="2544BCD0" w:rsidR="00B23C26" w:rsidRPr="00C61AC8" w:rsidRDefault="00B23C26" w:rsidP="00CF30C0">
      <w:pPr>
        <w:pStyle w:val="ListParagraph"/>
        <w:numPr>
          <w:ilvl w:val="0"/>
          <w:numId w:val="76"/>
        </w:numPr>
        <w:spacing w:after="120"/>
        <w:ind w:left="360"/>
        <w:contextualSpacing w:val="0"/>
        <w:rPr>
          <w:rFonts w:eastAsiaTheme="majorEastAsia" w:cstheme="minorHAnsi"/>
          <w:sz w:val="22"/>
          <w:szCs w:val="22"/>
        </w:rPr>
      </w:pPr>
      <w:r w:rsidRPr="0044145E">
        <w:rPr>
          <w:rFonts w:eastAsiaTheme="minorHAnsi" w:cstheme="minorHAnsi"/>
          <w:sz w:val="22"/>
          <w:szCs w:val="22"/>
          <w:lang w:val="fr-BE"/>
        </w:rPr>
        <w:t xml:space="preserve">Mente A, </w:t>
      </w:r>
      <w:proofErr w:type="spellStart"/>
      <w:r w:rsidRPr="0044145E">
        <w:rPr>
          <w:rFonts w:eastAsiaTheme="minorHAnsi" w:cstheme="minorHAnsi"/>
          <w:sz w:val="22"/>
          <w:szCs w:val="22"/>
          <w:lang w:val="fr-BE"/>
        </w:rPr>
        <w:t>Dehghan</w:t>
      </w:r>
      <w:proofErr w:type="spellEnd"/>
      <w:r w:rsidRPr="0044145E">
        <w:rPr>
          <w:rFonts w:eastAsiaTheme="minorHAnsi" w:cstheme="minorHAnsi"/>
          <w:sz w:val="22"/>
          <w:szCs w:val="22"/>
          <w:lang w:val="fr-BE"/>
        </w:rPr>
        <w:t xml:space="preserve"> M, </w:t>
      </w:r>
      <w:proofErr w:type="spellStart"/>
      <w:r w:rsidRPr="0044145E">
        <w:rPr>
          <w:rFonts w:eastAsiaTheme="minorHAnsi" w:cstheme="minorHAnsi"/>
          <w:sz w:val="22"/>
          <w:szCs w:val="22"/>
          <w:lang w:val="fr-BE"/>
        </w:rPr>
        <w:t>Rangarajan</w:t>
      </w:r>
      <w:proofErr w:type="spellEnd"/>
      <w:r w:rsidRPr="0044145E">
        <w:rPr>
          <w:rFonts w:eastAsiaTheme="minorHAnsi" w:cstheme="minorHAnsi"/>
          <w:sz w:val="22"/>
          <w:szCs w:val="22"/>
          <w:lang w:val="fr-BE"/>
        </w:rPr>
        <w:t xml:space="preserve"> S, McQueen M, Dagenais G, </w:t>
      </w:r>
      <w:proofErr w:type="spellStart"/>
      <w:r w:rsidRPr="0044145E">
        <w:rPr>
          <w:rFonts w:eastAsiaTheme="minorHAnsi" w:cstheme="minorHAnsi"/>
          <w:sz w:val="22"/>
          <w:szCs w:val="22"/>
          <w:lang w:val="fr-BE"/>
        </w:rPr>
        <w:t>Wielgosz</w:t>
      </w:r>
      <w:proofErr w:type="spellEnd"/>
      <w:r w:rsidRPr="0044145E">
        <w:rPr>
          <w:rFonts w:eastAsiaTheme="minorHAnsi" w:cstheme="minorHAnsi"/>
          <w:sz w:val="22"/>
          <w:szCs w:val="22"/>
          <w:lang w:val="fr-BE"/>
        </w:rPr>
        <w:t xml:space="preserve"> A, et al. </w:t>
      </w:r>
      <w:r w:rsidRPr="00C61AC8">
        <w:rPr>
          <w:rFonts w:eastAsiaTheme="minorHAnsi" w:cstheme="minorHAnsi"/>
          <w:sz w:val="22"/>
          <w:szCs w:val="22"/>
        </w:rPr>
        <w:t xml:space="preserve">Association of dietary nutrients with blood lipids and blood pressure in 18 countries: a cross-sectional analysis from the PURE study. Lancet Diabetes Endocrinol. 2017; 5(10): 774-784. </w:t>
      </w:r>
    </w:p>
    <w:p w14:paraId="5FD0C0E6" w14:textId="12E07FBC" w:rsidR="00136E11" w:rsidRDefault="00136E11" w:rsidP="00CF30C0">
      <w:pPr>
        <w:pStyle w:val="ListParagraph"/>
        <w:numPr>
          <w:ilvl w:val="0"/>
          <w:numId w:val="76"/>
        </w:numPr>
        <w:spacing w:after="120"/>
        <w:ind w:left="360"/>
        <w:contextualSpacing w:val="0"/>
        <w:rPr>
          <w:rFonts w:eastAsiaTheme="majorEastAsia" w:cstheme="minorHAnsi"/>
          <w:sz w:val="22"/>
          <w:szCs w:val="22"/>
        </w:rPr>
      </w:pPr>
      <w:r w:rsidRPr="00C61AC8">
        <w:rPr>
          <w:rFonts w:eastAsiaTheme="majorEastAsia" w:cstheme="minorHAnsi"/>
          <w:sz w:val="22"/>
          <w:szCs w:val="22"/>
        </w:rPr>
        <w:t xml:space="preserve">Australian Bureau of Statistics. Australian Health Survey: Nutrition First Results - Foods and Nutrients – Discretionary Foods [Internet]. Canberra: ABS; 2014 May. ABS Cat. No.: 4364.0.55.007. Available from: </w:t>
      </w:r>
      <w:hyperlink r:id="rId24" w:anchor="discretionary-foods" w:history="1">
        <w:r w:rsidR="00EB7823" w:rsidRPr="00120DF0">
          <w:rPr>
            <w:rStyle w:val="Hyperlink"/>
            <w:rFonts w:eastAsiaTheme="majorEastAsia" w:cstheme="minorHAnsi"/>
            <w:sz w:val="22"/>
            <w:szCs w:val="22"/>
          </w:rPr>
          <w:t>https://www.abs.gov.au/statistics/health/health-conditions-and-risks/australian-health-survey-nutrition-first-results-foods-and-nutrients/latest-release#discretionary-foods</w:t>
        </w:r>
      </w:hyperlink>
    </w:p>
    <w:p w14:paraId="5F18E7E4" w14:textId="12C8D147" w:rsidR="00505B99" w:rsidRPr="002B2E51" w:rsidRDefault="00EB7823" w:rsidP="002B2E51">
      <w:pPr>
        <w:pStyle w:val="ListParagraph"/>
        <w:numPr>
          <w:ilvl w:val="0"/>
          <w:numId w:val="76"/>
        </w:numPr>
        <w:spacing w:after="120"/>
        <w:ind w:left="360"/>
        <w:contextualSpacing w:val="0"/>
        <w:rPr>
          <w:rFonts w:eastAsiaTheme="majorEastAsia" w:cstheme="minorHAnsi"/>
          <w:sz w:val="22"/>
          <w:szCs w:val="22"/>
        </w:rPr>
      </w:pPr>
      <w:r>
        <w:rPr>
          <w:rFonts w:eastAsiaTheme="majorEastAsia" w:cstheme="minorHAnsi"/>
          <w:sz w:val="22"/>
          <w:szCs w:val="22"/>
        </w:rPr>
        <w:t xml:space="preserve">Healthy Food Partnership. Healthy Food Partnership Portion Size Working Group: Recommendations and Summary of Work. Canberra: Australian Government Department of Health. 2018 July. Available from: </w:t>
      </w:r>
      <w:r w:rsidRPr="00EB7823">
        <w:rPr>
          <w:rFonts w:eastAsiaTheme="majorEastAsia" w:cstheme="minorHAnsi"/>
          <w:sz w:val="22"/>
          <w:szCs w:val="22"/>
        </w:rPr>
        <w:t>https://webarchive.nla.gov.au/awa/20210604022950/http://medicareforall.health.gov.au/internet/main/publishing.nsf/Content/portion-control</w:t>
      </w:r>
      <w:bookmarkStart w:id="36" w:name="_Hlk107312737"/>
    </w:p>
    <w:p w14:paraId="636A96FF" w14:textId="5E915323" w:rsidR="00D567F0" w:rsidRDefault="00D567F0">
      <w:pPr>
        <w:rPr>
          <w:rFonts w:asciiTheme="majorHAnsi" w:eastAsiaTheme="majorEastAsia" w:hAnsiTheme="majorHAnsi" w:cs="Arial"/>
          <w:b/>
          <w:bCs/>
          <w:kern w:val="32"/>
          <w:sz w:val="32"/>
          <w:szCs w:val="32"/>
          <w:shd w:val="clear" w:color="auto" w:fill="FFFFFF"/>
        </w:rPr>
      </w:pPr>
      <w:r>
        <w:rPr>
          <w:rFonts w:asciiTheme="majorHAnsi" w:eastAsiaTheme="majorEastAsia" w:hAnsiTheme="majorHAnsi" w:cs="Arial"/>
          <w:b/>
          <w:bCs/>
          <w:kern w:val="32"/>
          <w:sz w:val="32"/>
          <w:szCs w:val="32"/>
          <w:shd w:val="clear" w:color="auto" w:fill="FFFFFF"/>
        </w:rPr>
        <w:br w:type="page"/>
      </w:r>
    </w:p>
    <w:p w14:paraId="18BCCFB7" w14:textId="2AEBCA94" w:rsidR="00D567F0" w:rsidRDefault="00D567F0" w:rsidP="00D567F0">
      <w:pPr>
        <w:pStyle w:val="Heading1"/>
        <w:rPr>
          <w:rFonts w:asciiTheme="minorHAnsi" w:hAnsiTheme="minorHAnsi" w:cstheme="minorHAnsi"/>
        </w:rPr>
      </w:pPr>
      <w:bookmarkStart w:id="37" w:name="_Appendix_A_–"/>
      <w:bookmarkStart w:id="38" w:name="_Toc109294252"/>
      <w:bookmarkEnd w:id="37"/>
      <w:r w:rsidRPr="002C4ACE">
        <w:rPr>
          <w:rFonts w:asciiTheme="minorHAnsi" w:hAnsiTheme="minorHAnsi" w:cstheme="minorHAnsi"/>
        </w:rPr>
        <w:lastRenderedPageBreak/>
        <w:t>Appendix A – Rationale for serving size recommendations</w:t>
      </w:r>
      <w:bookmarkEnd w:id="38"/>
    </w:p>
    <w:p w14:paraId="32C74770" w14:textId="77777777" w:rsidR="001E1FE4" w:rsidRPr="001E1FE4" w:rsidRDefault="001E1FE4" w:rsidP="001E1FE4"/>
    <w:p w14:paraId="67395190" w14:textId="5972F9F3" w:rsidR="00DD1EB6" w:rsidRPr="001E1FE4" w:rsidRDefault="001E1FE4" w:rsidP="001E1FE4">
      <w:pPr>
        <w:pStyle w:val="BodyText"/>
        <w:rPr>
          <w:b/>
          <w:bCs/>
          <w:sz w:val="28"/>
          <w:szCs w:val="28"/>
          <w:lang w:val="fr"/>
        </w:rPr>
      </w:pPr>
      <w:r w:rsidRPr="002C4ACE">
        <w:rPr>
          <w:b/>
          <w:bCs/>
          <w:sz w:val="28"/>
          <w:szCs w:val="28"/>
          <w:lang w:val="fr"/>
        </w:rPr>
        <w:t>Cakes, muffins and slices</w:t>
      </w:r>
    </w:p>
    <w:tbl>
      <w:tblPr>
        <w:tblStyle w:val="TableGrid4"/>
        <w:tblW w:w="9493" w:type="dxa"/>
        <w:jc w:val="center"/>
        <w:tblLayout w:type="fixed"/>
        <w:tblLook w:val="04A0" w:firstRow="1" w:lastRow="0" w:firstColumn="1" w:lastColumn="0" w:noHBand="0" w:noVBand="1"/>
      </w:tblPr>
      <w:tblGrid>
        <w:gridCol w:w="1413"/>
        <w:gridCol w:w="2270"/>
        <w:gridCol w:w="2266"/>
        <w:gridCol w:w="1607"/>
        <w:gridCol w:w="1937"/>
      </w:tblGrid>
      <w:tr w:rsidR="00AB23A2" w:rsidRPr="00C97C2E" w14:paraId="77188DA6" w14:textId="77777777" w:rsidTr="00F002ED">
        <w:trPr>
          <w:jc w:val="center"/>
        </w:trPr>
        <w:tc>
          <w:tcPr>
            <w:tcW w:w="1413" w:type="dxa"/>
          </w:tcPr>
          <w:p w14:paraId="42098DF0"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Setting</w:t>
            </w:r>
            <w:r w:rsidRPr="00367824">
              <w:rPr>
                <w:rFonts w:ascii="Calibri" w:eastAsia="Calibri" w:hAnsi="Calibri" w:cs="Calibri"/>
                <w:color w:val="000000" w:themeColor="text1"/>
                <w:sz w:val="22"/>
                <w:szCs w:val="22"/>
              </w:rPr>
              <w:t> </w:t>
            </w:r>
          </w:p>
        </w:tc>
        <w:tc>
          <w:tcPr>
            <w:tcW w:w="2270" w:type="dxa"/>
          </w:tcPr>
          <w:p w14:paraId="03971379"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Current serving sizes </w:t>
            </w:r>
          </w:p>
          <w:p w14:paraId="55D2AFEB" w14:textId="77777777" w:rsidR="00AB23A2" w:rsidRPr="00367824" w:rsidRDefault="00AB23A2" w:rsidP="001E1FE4">
            <w:pPr>
              <w:rPr>
                <w:rFonts w:ascii="Calibri" w:eastAsia="Calibri" w:hAnsi="Calibri" w:cs="Calibri"/>
                <w:b/>
                <w:bCs/>
                <w:color w:val="000000" w:themeColor="text1"/>
                <w:sz w:val="22"/>
                <w:szCs w:val="22"/>
                <w:lang w:val="en-GB"/>
              </w:rPr>
            </w:pPr>
            <w:r w:rsidRPr="00367824">
              <w:rPr>
                <w:rFonts w:ascii="Calibri" w:eastAsia="Calibri" w:hAnsi="Calibri" w:cs="Calibri"/>
                <w:b/>
                <w:bCs/>
                <w:color w:val="000000" w:themeColor="text1"/>
                <w:sz w:val="22"/>
                <w:szCs w:val="22"/>
              </w:rPr>
              <w:t>(66</w:t>
            </w:r>
            <w:r w:rsidRPr="00367824">
              <w:rPr>
                <w:rFonts w:ascii="Calibri" w:eastAsia="Calibri" w:hAnsi="Calibri" w:cs="Calibri"/>
                <w:b/>
                <w:bCs/>
                <w:color w:val="000000" w:themeColor="text1"/>
                <w:sz w:val="22"/>
                <w:szCs w:val="22"/>
                <w:vertAlign w:val="superscript"/>
              </w:rPr>
              <w:t>th</w:t>
            </w:r>
            <w:r w:rsidRPr="00367824">
              <w:rPr>
                <w:rFonts w:ascii="Calibri" w:eastAsia="Calibri" w:hAnsi="Calibri" w:cs="Calibri"/>
                <w:b/>
                <w:bCs/>
                <w:color w:val="000000" w:themeColor="text1"/>
                <w:sz w:val="22"/>
                <w:szCs w:val="22"/>
              </w:rPr>
              <w:t xml:space="preserve"> percentile (unless otherwise stated))</w:t>
            </w:r>
            <w:r w:rsidRPr="00367824">
              <w:rPr>
                <w:rFonts w:ascii="Calibri" w:eastAsia="Calibri" w:hAnsi="Calibri" w:cs="Calibri"/>
                <w:b/>
                <w:bCs/>
                <w:color w:val="000000" w:themeColor="text1"/>
                <w:sz w:val="22"/>
                <w:szCs w:val="22"/>
                <w:vertAlign w:val="superscript"/>
              </w:rPr>
              <w:t>1</w:t>
            </w:r>
          </w:p>
        </w:tc>
        <w:tc>
          <w:tcPr>
            <w:tcW w:w="2266" w:type="dxa"/>
          </w:tcPr>
          <w:p w14:paraId="1F4A5F4A" w14:textId="03DEC85B" w:rsidR="00AB23A2" w:rsidRPr="00367824" w:rsidRDefault="00AB23A2" w:rsidP="00832F11">
            <w:pPr>
              <w:rPr>
                <w:rFonts w:ascii="Calibri" w:eastAsia="Calibri" w:hAnsi="Calibri" w:cs="Calibri"/>
                <w:color w:val="000000" w:themeColor="text1"/>
                <w:sz w:val="22"/>
                <w:szCs w:val="22"/>
                <w:u w:val="single"/>
                <w:lang w:val="en-GB"/>
              </w:rPr>
            </w:pPr>
            <w:r w:rsidRPr="00367824">
              <w:rPr>
                <w:rFonts w:ascii="Calibri" w:eastAsia="Calibri" w:hAnsi="Calibri" w:cs="Calibri"/>
                <w:b/>
                <w:bCs/>
                <w:color w:val="000000" w:themeColor="text1"/>
                <w:sz w:val="22"/>
                <w:szCs w:val="22"/>
              </w:rPr>
              <w:t>Recommended maximum serving size (g)</w:t>
            </w:r>
          </w:p>
        </w:tc>
        <w:tc>
          <w:tcPr>
            <w:tcW w:w="1607" w:type="dxa"/>
          </w:tcPr>
          <w:p w14:paraId="55A44FB2" w14:textId="0F2B1C06" w:rsidR="00AB23A2" w:rsidRPr="00367824" w:rsidRDefault="00AB23A2" w:rsidP="00832F11">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Energy per recommended serving size (kJ)</w:t>
            </w:r>
            <w:r w:rsidRPr="00367824">
              <w:rPr>
                <w:rFonts w:ascii="Calibri" w:eastAsia="Calibri" w:hAnsi="Calibri" w:cs="Calibri"/>
                <w:color w:val="000000" w:themeColor="text1"/>
                <w:sz w:val="22"/>
                <w:szCs w:val="22"/>
                <w:vertAlign w:val="superscript"/>
              </w:rPr>
              <w:t>3</w:t>
            </w:r>
          </w:p>
        </w:tc>
        <w:tc>
          <w:tcPr>
            <w:tcW w:w="1937" w:type="dxa"/>
          </w:tcPr>
          <w:p w14:paraId="55A35C4B" w14:textId="3F468362" w:rsidR="00AB23A2" w:rsidRPr="00367824" w:rsidRDefault="00AB23A2" w:rsidP="00832F11">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Discretionary Serve 600 kJ equivalent</w:t>
            </w:r>
            <w:r w:rsidRPr="00367824">
              <w:rPr>
                <w:rFonts w:ascii="Calibri" w:eastAsia="Calibri" w:hAnsi="Calibri" w:cs="Calibri"/>
                <w:b/>
                <w:bCs/>
                <w:color w:val="000000" w:themeColor="text1"/>
                <w:sz w:val="22"/>
                <w:szCs w:val="22"/>
                <w:vertAlign w:val="superscript"/>
              </w:rPr>
              <w:t>4</w:t>
            </w:r>
          </w:p>
        </w:tc>
      </w:tr>
      <w:tr w:rsidR="00AB23A2" w:rsidRPr="00C97C2E" w14:paraId="32090AFB" w14:textId="77777777" w:rsidTr="00F002ED">
        <w:trPr>
          <w:jc w:val="center"/>
        </w:trPr>
        <w:tc>
          <w:tcPr>
            <w:tcW w:w="1413" w:type="dxa"/>
          </w:tcPr>
          <w:p w14:paraId="03FF026F"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Retail </w:t>
            </w:r>
          </w:p>
          <w:p w14:paraId="690D09CE" w14:textId="77777777" w:rsidR="00AB23A2" w:rsidRPr="00367824" w:rsidRDefault="00AB23A2" w:rsidP="001E1FE4">
            <w:pPr>
              <w:rPr>
                <w:rFonts w:ascii="Times New Roman" w:eastAsia="Times New Roman" w:hAnsi="Times New Roman"/>
                <w:color w:val="000000" w:themeColor="text1"/>
                <w:sz w:val="22"/>
                <w:szCs w:val="22"/>
              </w:rPr>
            </w:pPr>
          </w:p>
        </w:tc>
        <w:tc>
          <w:tcPr>
            <w:tcW w:w="2270" w:type="dxa"/>
          </w:tcPr>
          <w:p w14:paraId="343E077E"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lang w:val="en-GB"/>
              </w:rPr>
              <w:t>Cakes</w:t>
            </w:r>
          </w:p>
          <w:p w14:paraId="4AB23694"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US"/>
              </w:rPr>
              <w:t xml:space="preserve">Pre-portioned: 50 g </w:t>
            </w:r>
          </w:p>
          <w:p w14:paraId="31E4A262"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Unportioned: 68 g </w:t>
            </w:r>
          </w:p>
          <w:p w14:paraId="2B36628B"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b/>
                <w:color w:val="000000" w:themeColor="text1"/>
                <w:sz w:val="22"/>
                <w:szCs w:val="22"/>
              </w:rPr>
              <w:t>Muffins</w:t>
            </w:r>
          </w:p>
          <w:p w14:paraId="606F3946"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105 g </w:t>
            </w:r>
          </w:p>
          <w:p w14:paraId="25F516E9"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lang w:val="en-US"/>
              </w:rPr>
              <w:t>Slices</w:t>
            </w:r>
          </w:p>
          <w:p w14:paraId="467CB260"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US"/>
              </w:rPr>
              <w:t xml:space="preserve">Pre-portioned: 35 g </w:t>
            </w:r>
          </w:p>
          <w:p w14:paraId="038E15A3" w14:textId="77777777" w:rsidR="00AB23A2" w:rsidRPr="00367824" w:rsidRDefault="00AB23A2" w:rsidP="001E1FE4">
            <w:pPr>
              <w:rPr>
                <w:rFonts w:ascii="Calibri" w:eastAsia="Calibri" w:hAnsi="Calibri" w:cs="Calibri"/>
                <w:color w:val="000000" w:themeColor="text1"/>
                <w:sz w:val="22"/>
                <w:szCs w:val="22"/>
                <w:lang w:val="en-US"/>
              </w:rPr>
            </w:pPr>
            <w:r w:rsidRPr="00367824">
              <w:rPr>
                <w:rFonts w:ascii="Calibri" w:eastAsia="Calibri" w:hAnsi="Calibri" w:cs="Calibri"/>
                <w:color w:val="000000" w:themeColor="text1"/>
                <w:sz w:val="22"/>
                <w:szCs w:val="22"/>
                <w:lang w:val="en-US"/>
              </w:rPr>
              <w:t xml:space="preserve">Unportioned: 135 g </w:t>
            </w:r>
          </w:p>
          <w:p w14:paraId="38D3DC86" w14:textId="115BA322" w:rsidR="00B74906" w:rsidRPr="00367824" w:rsidRDefault="00B74906" w:rsidP="001E1FE4">
            <w:pPr>
              <w:rPr>
                <w:rFonts w:ascii="Calibri" w:eastAsia="Calibri" w:hAnsi="Calibri" w:cs="Calibri"/>
                <w:color w:val="000000" w:themeColor="text1"/>
                <w:sz w:val="22"/>
                <w:szCs w:val="22"/>
              </w:rPr>
            </w:pPr>
          </w:p>
        </w:tc>
        <w:tc>
          <w:tcPr>
            <w:tcW w:w="2266" w:type="dxa"/>
          </w:tcPr>
          <w:p w14:paraId="32BFDDBE"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GB"/>
              </w:rPr>
              <w:t xml:space="preserve">90 g for cakes and </w:t>
            </w:r>
            <w:proofErr w:type="gramStart"/>
            <w:r w:rsidRPr="00367824">
              <w:rPr>
                <w:rFonts w:ascii="Calibri" w:eastAsia="Calibri" w:hAnsi="Calibri" w:cs="Calibri"/>
                <w:color w:val="000000" w:themeColor="text1"/>
                <w:sz w:val="22"/>
                <w:szCs w:val="22"/>
                <w:lang w:val="en-GB"/>
              </w:rPr>
              <w:t>muffins;</w:t>
            </w:r>
            <w:proofErr w:type="gramEnd"/>
            <w:r w:rsidRPr="00367824">
              <w:rPr>
                <w:rFonts w:ascii="Calibri" w:eastAsia="Calibri" w:hAnsi="Calibri" w:cs="Calibri"/>
                <w:color w:val="000000" w:themeColor="text1"/>
                <w:sz w:val="22"/>
                <w:szCs w:val="22"/>
                <w:lang w:val="en-GB"/>
              </w:rPr>
              <w:t xml:space="preserve"> </w:t>
            </w:r>
          </w:p>
          <w:p w14:paraId="05AA8C6E"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GB"/>
              </w:rPr>
              <w:t xml:space="preserve">45 g for slices </w:t>
            </w:r>
          </w:p>
        </w:tc>
        <w:tc>
          <w:tcPr>
            <w:tcW w:w="1607" w:type="dxa"/>
          </w:tcPr>
          <w:p w14:paraId="7ADA1998"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~1,200</w:t>
            </w:r>
          </w:p>
          <w:p w14:paraId="1C14E0EB" w14:textId="77777777" w:rsidR="00AB23A2" w:rsidRPr="00367824" w:rsidRDefault="00AB23A2" w:rsidP="001E1FE4">
            <w:pPr>
              <w:rPr>
                <w:rFonts w:ascii="Calibri" w:eastAsia="Calibri" w:hAnsi="Calibri" w:cs="Calibri"/>
                <w:color w:val="000000" w:themeColor="text1"/>
                <w:sz w:val="22"/>
                <w:szCs w:val="22"/>
              </w:rPr>
            </w:pPr>
          </w:p>
        </w:tc>
        <w:tc>
          <w:tcPr>
            <w:tcW w:w="1937" w:type="dxa"/>
          </w:tcPr>
          <w:p w14:paraId="68056538"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1.5-2.5</w:t>
            </w:r>
          </w:p>
        </w:tc>
      </w:tr>
      <w:tr w:rsidR="00AB23A2" w:rsidRPr="00C97C2E" w14:paraId="75E58AE5" w14:textId="77777777" w:rsidTr="00F002ED">
        <w:trPr>
          <w:jc w:val="center"/>
        </w:trPr>
        <w:tc>
          <w:tcPr>
            <w:tcW w:w="1413" w:type="dxa"/>
          </w:tcPr>
          <w:p w14:paraId="1FF71FC5"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Out of home </w:t>
            </w:r>
          </w:p>
        </w:tc>
        <w:tc>
          <w:tcPr>
            <w:tcW w:w="2270" w:type="dxa"/>
          </w:tcPr>
          <w:p w14:paraId="668A8136"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US"/>
              </w:rPr>
              <w:t>Median serving sizes</w:t>
            </w:r>
            <w:r w:rsidRPr="00367824">
              <w:rPr>
                <w:rFonts w:ascii="Calibri" w:eastAsia="Calibri" w:hAnsi="Calibri" w:cs="Calibri"/>
                <w:color w:val="000000" w:themeColor="text1"/>
                <w:sz w:val="22"/>
                <w:szCs w:val="22"/>
                <w:vertAlign w:val="superscript"/>
                <w:lang w:val="en-US"/>
              </w:rPr>
              <w:t>2</w:t>
            </w:r>
            <w:r w:rsidRPr="00367824">
              <w:rPr>
                <w:rFonts w:ascii="Calibri" w:eastAsia="Calibri" w:hAnsi="Calibri" w:cs="Calibri"/>
                <w:color w:val="000000" w:themeColor="text1"/>
                <w:sz w:val="22"/>
                <w:szCs w:val="22"/>
                <w:lang w:val="en-US"/>
              </w:rPr>
              <w:t>:</w:t>
            </w:r>
          </w:p>
          <w:p w14:paraId="6A8BDABE"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lang w:val="en-US"/>
              </w:rPr>
              <w:t xml:space="preserve">Cakes </w:t>
            </w:r>
          </w:p>
          <w:p w14:paraId="12539AF8"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US"/>
              </w:rPr>
              <w:t xml:space="preserve">149 g </w:t>
            </w:r>
          </w:p>
          <w:p w14:paraId="2C6CDDCF"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lang w:val="en-US"/>
              </w:rPr>
              <w:t xml:space="preserve">Muffins </w:t>
            </w:r>
          </w:p>
          <w:p w14:paraId="67860D23"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US"/>
              </w:rPr>
              <w:t xml:space="preserve">159 g </w:t>
            </w:r>
          </w:p>
          <w:p w14:paraId="1CB2E7BC"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lang w:val="en-US"/>
              </w:rPr>
              <w:t>Slices</w:t>
            </w:r>
          </w:p>
          <w:p w14:paraId="183055E3" w14:textId="77777777" w:rsidR="00AB23A2" w:rsidRPr="00367824" w:rsidRDefault="00AB23A2" w:rsidP="001E1FE4">
            <w:pPr>
              <w:rPr>
                <w:rFonts w:ascii="Calibri" w:eastAsia="Calibri" w:hAnsi="Calibri" w:cs="Calibri"/>
                <w:color w:val="000000" w:themeColor="text1"/>
                <w:sz w:val="22"/>
                <w:szCs w:val="22"/>
                <w:lang w:val="en-US"/>
              </w:rPr>
            </w:pPr>
            <w:r w:rsidRPr="00367824">
              <w:rPr>
                <w:rFonts w:ascii="Calibri" w:eastAsia="Calibri" w:hAnsi="Calibri" w:cs="Calibri"/>
                <w:color w:val="000000" w:themeColor="text1"/>
                <w:sz w:val="22"/>
                <w:szCs w:val="22"/>
                <w:lang w:val="en-US"/>
              </w:rPr>
              <w:t xml:space="preserve">100 g </w:t>
            </w:r>
          </w:p>
          <w:p w14:paraId="1670DFFB" w14:textId="7FAFD94D" w:rsidR="00B74906" w:rsidRPr="00367824" w:rsidRDefault="00B74906" w:rsidP="001E1FE4">
            <w:pPr>
              <w:rPr>
                <w:rFonts w:ascii="Calibri" w:eastAsia="Calibri" w:hAnsi="Calibri" w:cs="Calibri"/>
                <w:color w:val="000000" w:themeColor="text1"/>
                <w:sz w:val="22"/>
                <w:szCs w:val="22"/>
              </w:rPr>
            </w:pPr>
          </w:p>
        </w:tc>
        <w:tc>
          <w:tcPr>
            <w:tcW w:w="2266" w:type="dxa"/>
          </w:tcPr>
          <w:p w14:paraId="231CE304" w14:textId="77777777" w:rsidR="00F002ED"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Cakes – light-medium weight: 125 g, </w:t>
            </w:r>
          </w:p>
          <w:p w14:paraId="2FBC97A5" w14:textId="68BE1C85" w:rsidR="00F002ED"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heavy weight: 150</w:t>
            </w:r>
            <w:r w:rsidR="00F002ED">
              <w:rPr>
                <w:rFonts w:ascii="Calibri" w:eastAsia="Calibri" w:hAnsi="Calibri" w:cs="Calibri"/>
                <w:color w:val="000000" w:themeColor="text1"/>
                <w:sz w:val="22"/>
                <w:szCs w:val="22"/>
              </w:rPr>
              <w:t> </w:t>
            </w:r>
            <w:r w:rsidRPr="00367824">
              <w:rPr>
                <w:rFonts w:ascii="Calibri" w:eastAsia="Calibri" w:hAnsi="Calibri" w:cs="Calibri"/>
                <w:color w:val="000000" w:themeColor="text1"/>
                <w:sz w:val="22"/>
                <w:szCs w:val="22"/>
              </w:rPr>
              <w:t xml:space="preserve">g </w:t>
            </w:r>
          </w:p>
          <w:p w14:paraId="034D5B02" w14:textId="263DE666"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Muffins – 150 g Slices – 90 g</w:t>
            </w:r>
          </w:p>
          <w:p w14:paraId="49A8FF64" w14:textId="77777777" w:rsidR="00AB23A2" w:rsidRPr="00367824" w:rsidRDefault="00AB23A2" w:rsidP="001E1FE4">
            <w:pPr>
              <w:rPr>
                <w:rFonts w:ascii="Calibri" w:eastAsia="Calibri" w:hAnsi="Calibri" w:cs="Calibri"/>
                <w:color w:val="000000" w:themeColor="text1"/>
                <w:sz w:val="22"/>
                <w:szCs w:val="22"/>
              </w:rPr>
            </w:pPr>
          </w:p>
        </w:tc>
        <w:tc>
          <w:tcPr>
            <w:tcW w:w="1607" w:type="dxa"/>
          </w:tcPr>
          <w:p w14:paraId="735A8ADA"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~1,800</w:t>
            </w:r>
          </w:p>
          <w:p w14:paraId="738DB0C6"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 </w:t>
            </w:r>
          </w:p>
          <w:p w14:paraId="1DC38535" w14:textId="77777777" w:rsidR="00AB23A2" w:rsidRPr="00367824" w:rsidRDefault="00AB23A2" w:rsidP="001E1FE4">
            <w:pPr>
              <w:rPr>
                <w:rFonts w:ascii="Calibri" w:eastAsia="Calibri" w:hAnsi="Calibri" w:cs="Calibri"/>
                <w:color w:val="000000" w:themeColor="text1"/>
                <w:sz w:val="22"/>
                <w:szCs w:val="22"/>
              </w:rPr>
            </w:pPr>
          </w:p>
        </w:tc>
        <w:tc>
          <w:tcPr>
            <w:tcW w:w="1937" w:type="dxa"/>
          </w:tcPr>
          <w:p w14:paraId="70D9FDAB" w14:textId="77777777" w:rsidR="00AB23A2" w:rsidRPr="00367824" w:rsidRDefault="00AB23A2" w:rsidP="001E1FE4">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~2-4</w:t>
            </w:r>
          </w:p>
        </w:tc>
      </w:tr>
    </w:tbl>
    <w:p w14:paraId="46ABFFC7" w14:textId="4F805F2B" w:rsidR="00D567F0" w:rsidRDefault="00D567F0" w:rsidP="00D567F0">
      <w:pPr>
        <w:rPr>
          <w:lang w:val="fr"/>
        </w:rPr>
      </w:pPr>
    </w:p>
    <w:p w14:paraId="24CC220C" w14:textId="5F17DBDC" w:rsidR="00D567F0" w:rsidRPr="00367824" w:rsidRDefault="00D567F0" w:rsidP="00AB23A2">
      <w:pPr>
        <w:spacing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Decisions against agreed Methodology (see section </w:t>
      </w:r>
      <w:r w:rsidR="00994436" w:rsidRPr="00367824">
        <w:rPr>
          <w:rFonts w:ascii="Calibri" w:eastAsia="Calibri" w:hAnsi="Calibri" w:cs="Calibri"/>
          <w:b/>
          <w:bCs/>
          <w:color w:val="000000" w:themeColor="text1"/>
          <w:sz w:val="22"/>
          <w:szCs w:val="22"/>
        </w:rPr>
        <w:t>6</w:t>
      </w:r>
      <w:r w:rsidRPr="00367824">
        <w:rPr>
          <w:rFonts w:ascii="Calibri" w:eastAsia="Calibri" w:hAnsi="Calibri" w:cs="Calibri"/>
          <w:b/>
          <w:bCs/>
          <w:color w:val="000000" w:themeColor="text1"/>
          <w:sz w:val="22"/>
          <w:szCs w:val="22"/>
        </w:rPr>
        <w:t>.2)</w:t>
      </w:r>
    </w:p>
    <w:p w14:paraId="4642F230" w14:textId="77777777" w:rsidR="00D567F0" w:rsidRPr="00367824" w:rsidRDefault="00D567F0" w:rsidP="00832F11">
      <w:pPr>
        <w:pStyle w:val="ListParagraph"/>
        <w:numPr>
          <w:ilvl w:val="0"/>
          <w:numId w:val="44"/>
        </w:numPr>
        <w:spacing w:after="120"/>
        <w:ind w:left="357" w:hanging="357"/>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Setting and context: </w:t>
      </w:r>
      <w:r w:rsidRPr="00367824">
        <w:rPr>
          <w:rFonts w:ascii="Calibri" w:eastAsia="Calibri" w:hAnsi="Calibri" w:cs="Calibri"/>
          <w:color w:val="000000" w:themeColor="text1"/>
          <w:sz w:val="22"/>
          <w:szCs w:val="22"/>
        </w:rPr>
        <w:t>Retail and out of home settings. Intended to be consumed as a snack.</w:t>
      </w:r>
      <w:r w:rsidRPr="00367824">
        <w:rPr>
          <w:rFonts w:ascii="Calibri" w:eastAsia="Calibri" w:hAnsi="Calibri" w:cs="Calibri"/>
          <w:color w:val="000000" w:themeColor="text1"/>
          <w:sz w:val="22"/>
          <w:szCs w:val="22"/>
          <w:lang w:val="en-GB"/>
        </w:rPr>
        <w:t xml:space="preserve"> Serving sizes in out of home settings are generally larger than those in retail settings. </w:t>
      </w:r>
    </w:p>
    <w:p w14:paraId="3DF36726" w14:textId="77777777" w:rsidR="00C97C2E" w:rsidRPr="00367824" w:rsidRDefault="00D567F0" w:rsidP="00832F11">
      <w:pPr>
        <w:pStyle w:val="ListParagraph"/>
        <w:numPr>
          <w:ilvl w:val="0"/>
          <w:numId w:val="44"/>
        </w:numPr>
        <w:spacing w:after="120"/>
        <w:ind w:left="363"/>
        <w:contextualSpacing w:val="0"/>
        <w:rPr>
          <w:rStyle w:val="normaltextrun"/>
          <w:rFonts w:cstheme="minorBidi"/>
          <w:color w:val="000000" w:themeColor="text1"/>
          <w:sz w:val="22"/>
          <w:szCs w:val="22"/>
        </w:rPr>
      </w:pPr>
      <w:r w:rsidRPr="00367824">
        <w:rPr>
          <w:rFonts w:ascii="Calibri" w:eastAsia="Calibri" w:hAnsi="Calibri" w:cs="Calibri"/>
          <w:b/>
          <w:bCs/>
          <w:color w:val="000000" w:themeColor="text1"/>
          <w:sz w:val="22"/>
          <w:szCs w:val="22"/>
        </w:rPr>
        <w:t xml:space="preserve">Considerations: </w:t>
      </w:r>
      <w:r w:rsidRPr="00367824">
        <w:rPr>
          <w:rFonts w:ascii="Calibri" w:eastAsia="Calibri" w:hAnsi="Calibri" w:cs="Calibri"/>
          <w:color w:val="000000" w:themeColor="text1"/>
          <w:sz w:val="22"/>
          <w:szCs w:val="22"/>
        </w:rPr>
        <w:t>Comparison between 1995 and 2011/2012 national dietary surveys indicate an increase in energy content of 569 kJ per portion</w:t>
      </w:r>
      <w:r w:rsidRPr="00367824">
        <w:rPr>
          <w:rFonts w:ascii="Calibri" w:eastAsia="Calibri" w:hAnsi="Calibri" w:cs="Calibri"/>
          <w:color w:val="000000" w:themeColor="text1"/>
          <w:sz w:val="22"/>
          <w:szCs w:val="22"/>
          <w:vertAlign w:val="superscript"/>
        </w:rPr>
        <w:t>5</w:t>
      </w:r>
      <w:r w:rsidRPr="00367824">
        <w:rPr>
          <w:rFonts w:ascii="Calibri" w:eastAsia="Calibri" w:hAnsi="Calibri" w:cs="Calibri"/>
          <w:color w:val="000000" w:themeColor="text1"/>
          <w:sz w:val="22"/>
          <w:szCs w:val="22"/>
        </w:rPr>
        <w:t>. Retail</w:t>
      </w:r>
      <w:r w:rsidRPr="00367824">
        <w:rPr>
          <w:rFonts w:ascii="Calibri" w:eastAsia="Calibri" w:hAnsi="Calibri" w:cs="Calibri"/>
          <w:b/>
          <w:bCs/>
          <w:color w:val="000000" w:themeColor="text1"/>
          <w:sz w:val="22"/>
          <w:szCs w:val="22"/>
        </w:rPr>
        <w:t xml:space="preserve"> </w:t>
      </w:r>
      <w:r w:rsidRPr="00367824">
        <w:rPr>
          <w:rFonts w:ascii="Calibri" w:eastAsia="Calibri" w:hAnsi="Calibri" w:cs="Calibri"/>
          <w:color w:val="000000" w:themeColor="text1"/>
          <w:sz w:val="22"/>
          <w:szCs w:val="22"/>
        </w:rPr>
        <w:t>serving size recommendations align with multiple discretionary serves. This allows 1.5 to 2.5 discretionary serves in one sitting occasion, dependent upon individual choice. Product data and category composition shows 66</w:t>
      </w:r>
      <w:r w:rsidRPr="00367824">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 of cakes/muffins and slices is 65 g (pre-portioned)/75 g (un-portioned)</w:t>
      </w:r>
      <w:r w:rsidRPr="00367824">
        <w:rPr>
          <w:rFonts w:ascii="Calibri" w:eastAsia="Calibri" w:hAnsi="Calibri" w:cs="Calibri"/>
          <w:color w:val="000000" w:themeColor="text1"/>
          <w:sz w:val="22"/>
          <w:szCs w:val="22"/>
          <w:vertAlign w:val="superscript"/>
        </w:rPr>
        <w:t>1</w:t>
      </w:r>
      <w:r w:rsidRPr="00367824">
        <w:rPr>
          <w:rFonts w:ascii="Calibri" w:eastAsia="Calibri" w:hAnsi="Calibri" w:cs="Calibri"/>
          <w:color w:val="000000" w:themeColor="text1"/>
          <w:sz w:val="22"/>
          <w:szCs w:val="22"/>
        </w:rPr>
        <w:t xml:space="preserve">. Within this category, muffins and cakes are typically larger than slices. </w:t>
      </w:r>
      <w:r w:rsidRPr="00367824">
        <w:rPr>
          <w:rFonts w:ascii="Calibri" w:eastAsia="Calibri" w:hAnsi="Calibri" w:cs="Calibri"/>
          <w:color w:val="000000" w:themeColor="text1"/>
          <w:sz w:val="22"/>
          <w:szCs w:val="22"/>
          <w:lang w:val="en-GB"/>
        </w:rPr>
        <w:t xml:space="preserve">The composition of cakes and muffins </w:t>
      </w:r>
      <w:proofErr w:type="gramStart"/>
      <w:r w:rsidRPr="00367824">
        <w:rPr>
          <w:rFonts w:ascii="Calibri" w:eastAsia="Calibri" w:hAnsi="Calibri" w:cs="Calibri"/>
          <w:color w:val="000000" w:themeColor="text1"/>
          <w:sz w:val="22"/>
          <w:szCs w:val="22"/>
          <w:lang w:val="en-GB"/>
        </w:rPr>
        <w:t>e.g.</w:t>
      </w:r>
      <w:proofErr w:type="gramEnd"/>
      <w:r w:rsidRPr="00367824">
        <w:rPr>
          <w:rFonts w:ascii="Calibri" w:eastAsia="Calibri" w:hAnsi="Calibri" w:cs="Calibri"/>
          <w:color w:val="000000" w:themeColor="text1"/>
          <w:sz w:val="22"/>
          <w:szCs w:val="22"/>
          <w:lang w:val="en-GB"/>
        </w:rPr>
        <w:t xml:space="preserve"> banana cake/bread vs banana muffin may often be similar compared with slices that are generally more ingredient dense. </w:t>
      </w:r>
      <w:r w:rsidRPr="00367824">
        <w:rPr>
          <w:rStyle w:val="normaltextrun"/>
          <w:rFonts w:ascii="Calibri" w:eastAsia="Calibri" w:hAnsi="Calibri" w:cs="Calibri"/>
          <w:color w:val="000000" w:themeColor="text1"/>
          <w:sz w:val="22"/>
          <w:szCs w:val="22"/>
          <w:lang w:val="en-GB"/>
        </w:rPr>
        <w:t xml:space="preserve">Out of home serving size recommendations align with multiple of discretionary serves of 600 kJ. This allows 2 to 4 discretionary serves in one sitting occasion, dependent upon individual choice. </w:t>
      </w:r>
    </w:p>
    <w:p w14:paraId="0F33025E" w14:textId="15B236B3" w:rsidR="00D567F0" w:rsidRPr="00367824" w:rsidRDefault="00D567F0" w:rsidP="00832F11">
      <w:pPr>
        <w:pStyle w:val="ListParagraph"/>
        <w:numPr>
          <w:ilvl w:val="0"/>
          <w:numId w:val="44"/>
        </w:numPr>
        <w:spacing w:after="120"/>
        <w:ind w:left="363"/>
        <w:contextualSpacing w:val="0"/>
        <w:rPr>
          <w:rFonts w:cstheme="minorBidi"/>
          <w:color w:val="000000" w:themeColor="text1"/>
          <w:sz w:val="22"/>
          <w:szCs w:val="22"/>
        </w:rPr>
      </w:pPr>
      <w:r w:rsidRPr="00367824">
        <w:rPr>
          <w:rFonts w:ascii="Calibri" w:eastAsia="Calibri" w:hAnsi="Calibri" w:cs="Calibri"/>
          <w:b/>
          <w:bCs/>
          <w:sz w:val="22"/>
          <w:szCs w:val="22"/>
          <w:lang w:val="en-GB"/>
        </w:rPr>
        <w:t xml:space="preserve">Alignment with other guidance: </w:t>
      </w:r>
      <w:r w:rsidRPr="00367824">
        <w:rPr>
          <w:rFonts w:ascii="Calibri" w:eastAsia="Calibri" w:hAnsi="Calibri" w:cs="Calibri"/>
          <w:color w:val="000000" w:themeColor="text1"/>
          <w:sz w:val="22"/>
          <w:szCs w:val="22"/>
        </w:rPr>
        <w:t>Retail serving size</w:t>
      </w:r>
      <w:r w:rsidRPr="00367824">
        <w:rPr>
          <w:rFonts w:ascii="Calibri" w:eastAsia="Calibri" w:hAnsi="Calibri" w:cs="Calibri"/>
          <w:b/>
          <w:bCs/>
          <w:color w:val="000000" w:themeColor="text1"/>
          <w:sz w:val="22"/>
          <w:szCs w:val="22"/>
        </w:rPr>
        <w:t xml:space="preserve"> </w:t>
      </w:r>
      <w:r w:rsidRPr="00367824">
        <w:rPr>
          <w:rFonts w:ascii="Calibri" w:eastAsia="Calibri" w:hAnsi="Calibri" w:cs="Calibri"/>
          <w:sz w:val="22"/>
          <w:szCs w:val="22"/>
          <w:lang w:val="en-GB"/>
        </w:rPr>
        <w:t xml:space="preserve">considers jurisdictional guidance </w:t>
      </w:r>
      <w:proofErr w:type="gramStart"/>
      <w:r w:rsidRPr="00367824">
        <w:rPr>
          <w:rFonts w:ascii="Calibri" w:eastAsia="Calibri" w:hAnsi="Calibri" w:cs="Calibri"/>
          <w:sz w:val="22"/>
          <w:szCs w:val="22"/>
          <w:lang w:val="en-GB"/>
        </w:rPr>
        <w:t>i.e.</w:t>
      </w:r>
      <w:proofErr w:type="gramEnd"/>
      <w:r w:rsidRPr="00367824">
        <w:rPr>
          <w:rFonts w:ascii="Calibri" w:eastAsia="Calibri" w:hAnsi="Calibri" w:cs="Calibri"/>
          <w:sz w:val="22"/>
          <w:szCs w:val="22"/>
        </w:rPr>
        <w:t xml:space="preserve"> NSW </w:t>
      </w:r>
      <w:r w:rsidRPr="00367824">
        <w:rPr>
          <w:rFonts w:ascii="Calibri" w:eastAsia="Calibri" w:hAnsi="Calibri" w:cs="Calibri"/>
          <w:sz w:val="22"/>
          <w:szCs w:val="22"/>
          <w:lang w:val="en-GB"/>
        </w:rPr>
        <w:t xml:space="preserve">Ministry of Health </w:t>
      </w:r>
      <w:r w:rsidRPr="00367824">
        <w:rPr>
          <w:rFonts w:ascii="Calibri" w:eastAsia="Calibri" w:hAnsi="Calibri" w:cs="Calibri"/>
          <w:i/>
          <w:iCs/>
          <w:sz w:val="22"/>
          <w:szCs w:val="22"/>
          <w:lang w:val="en-GB"/>
        </w:rPr>
        <w:t xml:space="preserve">Healthy Food and Drink in NSW Health Facilities for Staff and Visitors </w:t>
      </w:r>
      <w:r w:rsidRPr="00367824">
        <w:rPr>
          <w:rFonts w:ascii="Calibri" w:eastAsia="Calibri" w:hAnsi="Calibri" w:cs="Calibri"/>
          <w:i/>
          <w:iCs/>
          <w:sz w:val="22"/>
          <w:szCs w:val="22"/>
        </w:rPr>
        <w:t>Framework</w:t>
      </w:r>
      <w:r w:rsidRPr="00367824">
        <w:rPr>
          <w:rFonts w:ascii="Calibri" w:eastAsia="Calibri" w:hAnsi="Calibri" w:cs="Calibri"/>
          <w:sz w:val="22"/>
          <w:szCs w:val="22"/>
          <w:lang w:val="en-GB"/>
        </w:rPr>
        <w:t xml:space="preserve"> retail setting portion size (80 g</w:t>
      </w:r>
      <w:r w:rsidRPr="00367824">
        <w:rPr>
          <w:rFonts w:ascii="Calibri" w:eastAsia="Calibri" w:hAnsi="Calibri" w:cs="Calibri"/>
          <w:color w:val="000000" w:themeColor="text1"/>
          <w:sz w:val="22"/>
          <w:szCs w:val="22"/>
          <w:lang w:val="en-GB"/>
        </w:rPr>
        <w:t>)</w:t>
      </w:r>
      <w:r w:rsidRPr="00367824">
        <w:rPr>
          <w:rFonts w:ascii="Calibri" w:eastAsia="Calibri" w:hAnsi="Calibri" w:cs="Calibri"/>
          <w:color w:val="000000" w:themeColor="text1"/>
          <w:sz w:val="22"/>
          <w:szCs w:val="22"/>
          <w:vertAlign w:val="superscript"/>
          <w:lang w:val="en-GB"/>
        </w:rPr>
        <w:t>6</w:t>
      </w:r>
      <w:r w:rsidRPr="00367824">
        <w:rPr>
          <w:rFonts w:ascii="Calibri" w:eastAsia="Calibri" w:hAnsi="Calibri" w:cs="Calibri"/>
          <w:color w:val="000000" w:themeColor="text1"/>
          <w:sz w:val="22"/>
          <w:szCs w:val="22"/>
          <w:lang w:val="en-GB"/>
        </w:rPr>
        <w:t xml:space="preserve"> and Victorian Government Guidelines (80 g)</w:t>
      </w:r>
      <w:r w:rsidRPr="00367824">
        <w:rPr>
          <w:rFonts w:ascii="Calibri" w:eastAsia="Calibri" w:hAnsi="Calibri" w:cs="Calibri"/>
          <w:color w:val="000000" w:themeColor="text1"/>
          <w:sz w:val="22"/>
          <w:szCs w:val="22"/>
          <w:vertAlign w:val="superscript"/>
          <w:lang w:val="en-GB"/>
        </w:rPr>
        <w:t>7</w:t>
      </w:r>
      <w:r w:rsidRPr="00367824">
        <w:rPr>
          <w:rFonts w:ascii="Calibri" w:eastAsia="Calibri" w:hAnsi="Calibri" w:cs="Calibri"/>
          <w:color w:val="000000" w:themeColor="text1"/>
          <w:sz w:val="22"/>
          <w:szCs w:val="22"/>
          <w:lang w:val="en-GB"/>
        </w:rPr>
        <w:t>; US RACC (55-125 g)</w:t>
      </w:r>
      <w:r w:rsidRPr="00367824">
        <w:rPr>
          <w:rFonts w:ascii="Calibri" w:eastAsia="Calibri" w:hAnsi="Calibri" w:cs="Calibri"/>
          <w:color w:val="000000" w:themeColor="text1"/>
          <w:sz w:val="22"/>
          <w:szCs w:val="22"/>
          <w:vertAlign w:val="superscript"/>
          <w:lang w:val="en-GB"/>
        </w:rPr>
        <w:t xml:space="preserve"> 8</w:t>
      </w:r>
      <w:r w:rsidRPr="00367824">
        <w:rPr>
          <w:rFonts w:ascii="Calibri" w:eastAsia="Calibri" w:hAnsi="Calibri" w:cs="Calibri"/>
          <w:color w:val="000000" w:themeColor="text1"/>
          <w:sz w:val="22"/>
          <w:szCs w:val="22"/>
          <w:lang w:val="en-GB"/>
        </w:rPr>
        <w:t>; Canada RA (55-125 g)</w:t>
      </w:r>
      <w:r w:rsidRPr="00367824">
        <w:rPr>
          <w:rFonts w:ascii="Calibri" w:eastAsia="Calibri" w:hAnsi="Calibri" w:cs="Calibri"/>
          <w:color w:val="000000" w:themeColor="text1"/>
          <w:sz w:val="22"/>
          <w:szCs w:val="22"/>
          <w:vertAlign w:val="superscript"/>
          <w:lang w:val="en-GB"/>
        </w:rPr>
        <w:t>9</w:t>
      </w:r>
      <w:r w:rsidRPr="00367824">
        <w:rPr>
          <w:rFonts w:ascii="Calibri" w:eastAsia="Calibri" w:hAnsi="Calibri" w:cs="Calibri"/>
          <w:color w:val="000000" w:themeColor="text1"/>
          <w:sz w:val="22"/>
          <w:szCs w:val="22"/>
          <w:lang w:val="en-GB"/>
        </w:rPr>
        <w:t>; and PHE energy target (1</w:t>
      </w:r>
      <w:r w:rsidR="00CF28E4" w:rsidRPr="00367824">
        <w:rPr>
          <w:rFonts w:ascii="Calibri" w:eastAsia="Calibri" w:hAnsi="Calibri" w:cs="Calibri"/>
          <w:color w:val="000000" w:themeColor="text1"/>
          <w:sz w:val="22"/>
          <w:szCs w:val="22"/>
          <w:lang w:val="en-GB"/>
        </w:rPr>
        <w:t>,</w:t>
      </w:r>
      <w:r w:rsidRPr="00367824">
        <w:rPr>
          <w:rFonts w:ascii="Calibri" w:eastAsia="Calibri" w:hAnsi="Calibri" w:cs="Calibri"/>
          <w:color w:val="000000" w:themeColor="text1"/>
          <w:sz w:val="22"/>
          <w:szCs w:val="22"/>
          <w:lang w:val="en-GB"/>
        </w:rPr>
        <w:t>358 kJ/ serving)</w:t>
      </w:r>
      <w:r w:rsidRPr="00367824">
        <w:rPr>
          <w:rFonts w:ascii="Calibri" w:eastAsia="Calibri" w:hAnsi="Calibri" w:cs="Calibri"/>
          <w:color w:val="000000" w:themeColor="text1"/>
          <w:sz w:val="22"/>
          <w:szCs w:val="22"/>
          <w:vertAlign w:val="superscript"/>
          <w:lang w:val="en-GB"/>
        </w:rPr>
        <w:t>10</w:t>
      </w:r>
      <w:r w:rsidRPr="00367824">
        <w:rPr>
          <w:rFonts w:ascii="Calibri" w:eastAsia="Calibri" w:hAnsi="Calibri" w:cs="Calibri"/>
          <w:color w:val="000000" w:themeColor="text1"/>
          <w:sz w:val="22"/>
          <w:szCs w:val="22"/>
          <w:lang w:val="en-GB"/>
        </w:rPr>
        <w:t xml:space="preserve">. </w:t>
      </w:r>
    </w:p>
    <w:p w14:paraId="32EE7EAE" w14:textId="77777777" w:rsidR="00D567F0" w:rsidRPr="00367824" w:rsidRDefault="00D567F0" w:rsidP="00832F11">
      <w:pPr>
        <w:pStyle w:val="ListParagraph"/>
        <w:spacing w:after="120"/>
        <w:ind w:left="363"/>
        <w:contextualSpacing w:val="0"/>
        <w:rPr>
          <w:rFonts w:cstheme="minorBidi"/>
          <w:color w:val="000000" w:themeColor="text1"/>
          <w:sz w:val="22"/>
          <w:szCs w:val="22"/>
        </w:rPr>
      </w:pPr>
      <w:r w:rsidRPr="00367824">
        <w:rPr>
          <w:rStyle w:val="eop"/>
          <w:rFonts w:cstheme="minorBidi"/>
          <w:color w:val="000000" w:themeColor="text1"/>
          <w:sz w:val="22"/>
          <w:szCs w:val="22"/>
        </w:rPr>
        <w:t>However, out of home serving recommendations do not</w:t>
      </w:r>
      <w:r w:rsidRPr="00367824">
        <w:rPr>
          <w:rStyle w:val="eop"/>
          <w:rFonts w:cstheme="minorBidi"/>
          <w:sz w:val="22"/>
          <w:szCs w:val="22"/>
        </w:rPr>
        <w:t xml:space="preserve"> align</w:t>
      </w:r>
      <w:r w:rsidRPr="00367824">
        <w:rPr>
          <w:rStyle w:val="normaltextrun"/>
          <w:rFonts w:ascii="Calibri" w:eastAsia="Calibri" w:hAnsi="Calibri" w:cs="Calibri"/>
          <w:color w:val="000000" w:themeColor="text1"/>
          <w:sz w:val="22"/>
          <w:szCs w:val="22"/>
          <w:lang w:val="en-GB"/>
        </w:rPr>
        <w:t xml:space="preserve"> with the</w:t>
      </w:r>
      <w:r w:rsidRPr="00367824">
        <w:rPr>
          <w:rFonts w:ascii="Calibri" w:eastAsia="Calibri" w:hAnsi="Calibri" w:cs="Calibri"/>
          <w:sz w:val="22"/>
          <w:szCs w:val="22"/>
        </w:rPr>
        <w:t xml:space="preserve"> NSW </w:t>
      </w:r>
      <w:r w:rsidRPr="00367824">
        <w:rPr>
          <w:rFonts w:ascii="Calibri" w:eastAsia="Calibri" w:hAnsi="Calibri" w:cs="Calibri"/>
          <w:sz w:val="22"/>
          <w:szCs w:val="22"/>
          <w:lang w:val="en-GB"/>
        </w:rPr>
        <w:t xml:space="preserve">Ministry of Health </w:t>
      </w:r>
      <w:r w:rsidRPr="00367824">
        <w:rPr>
          <w:rFonts w:ascii="Calibri" w:eastAsia="Calibri" w:hAnsi="Calibri" w:cs="Calibri"/>
          <w:i/>
          <w:iCs/>
          <w:sz w:val="22"/>
          <w:szCs w:val="22"/>
          <w:lang w:val="en-GB"/>
        </w:rPr>
        <w:t xml:space="preserve">Healthy Food and Drink in NSW Health Facilities for Staff and Visitors </w:t>
      </w:r>
      <w:r w:rsidRPr="00367824">
        <w:rPr>
          <w:rFonts w:ascii="Calibri" w:eastAsia="Calibri" w:hAnsi="Calibri" w:cs="Calibri"/>
          <w:i/>
          <w:iCs/>
          <w:sz w:val="22"/>
          <w:szCs w:val="22"/>
        </w:rPr>
        <w:t>Framework</w:t>
      </w:r>
      <w:r w:rsidRPr="00367824">
        <w:rPr>
          <w:rFonts w:ascii="Calibri" w:eastAsia="Calibri" w:hAnsi="Calibri" w:cs="Calibri"/>
          <w:sz w:val="22"/>
          <w:szCs w:val="22"/>
          <w:vertAlign w:val="superscript"/>
        </w:rPr>
        <w:t xml:space="preserve"> 6</w:t>
      </w:r>
      <w:r w:rsidRPr="00367824">
        <w:rPr>
          <w:rStyle w:val="normaltextrun"/>
          <w:rFonts w:ascii="Calibri" w:eastAsia="Calibri" w:hAnsi="Calibri" w:cs="Calibri"/>
          <w:sz w:val="22"/>
          <w:szCs w:val="22"/>
          <w:lang w:val="en-GB"/>
        </w:rPr>
        <w:t xml:space="preserve"> or </w:t>
      </w:r>
      <w:r w:rsidRPr="00367824">
        <w:rPr>
          <w:rStyle w:val="normaltextrun"/>
          <w:rFonts w:ascii="Calibri" w:eastAsia="Calibri" w:hAnsi="Calibri" w:cs="Calibri"/>
          <w:color w:val="000000" w:themeColor="text1"/>
          <w:sz w:val="22"/>
          <w:szCs w:val="22"/>
          <w:lang w:val="en-GB"/>
        </w:rPr>
        <w:t>Victorian Government Guidelines</w:t>
      </w:r>
      <w:r w:rsidRPr="00367824">
        <w:rPr>
          <w:rStyle w:val="normaltextrun"/>
          <w:rFonts w:ascii="Calibri" w:eastAsia="Calibri" w:hAnsi="Calibri" w:cs="Calibri"/>
          <w:color w:val="000000" w:themeColor="text1"/>
          <w:sz w:val="22"/>
          <w:szCs w:val="22"/>
          <w:vertAlign w:val="superscript"/>
          <w:lang w:val="en-GB"/>
        </w:rPr>
        <w:t>7</w:t>
      </w:r>
      <w:r w:rsidRPr="00367824">
        <w:rPr>
          <w:rStyle w:val="normaltextrun"/>
          <w:rFonts w:ascii="Calibri" w:eastAsia="Calibri" w:hAnsi="Calibri" w:cs="Calibri"/>
          <w:color w:val="000000" w:themeColor="text1"/>
          <w:sz w:val="22"/>
          <w:szCs w:val="22"/>
          <w:lang w:val="en-GB"/>
        </w:rPr>
        <w:t xml:space="preserve"> – these serving sizes are significantly smaller than the currently available offerings in out of home</w:t>
      </w:r>
      <w:r w:rsidRPr="00367824">
        <w:rPr>
          <w:rStyle w:val="eop"/>
          <w:rFonts w:ascii="Calibri" w:eastAsia="Calibri" w:hAnsi="Calibri" w:cs="Calibri"/>
          <w:color w:val="000000" w:themeColor="text1"/>
          <w:sz w:val="22"/>
          <w:szCs w:val="22"/>
        </w:rPr>
        <w:t xml:space="preserve"> setting and the recommendation seeks to address this. </w:t>
      </w:r>
    </w:p>
    <w:p w14:paraId="027EAB56" w14:textId="25E4856D" w:rsidR="00D567F0" w:rsidRPr="00367824" w:rsidRDefault="00D567F0" w:rsidP="00832F11">
      <w:pPr>
        <w:pStyle w:val="ListParagraph"/>
        <w:numPr>
          <w:ilvl w:val="0"/>
          <w:numId w:val="44"/>
        </w:numPr>
        <w:spacing w:after="120"/>
        <w:ind w:left="363"/>
        <w:contextualSpacing w:val="0"/>
        <w:rPr>
          <w:rFonts w:cstheme="minorBidi"/>
          <w:color w:val="000000" w:themeColor="text1"/>
          <w:sz w:val="22"/>
          <w:szCs w:val="22"/>
        </w:rPr>
      </w:pPr>
      <w:r w:rsidRPr="00367824">
        <w:rPr>
          <w:rFonts w:ascii="Calibri" w:eastAsia="Calibri" w:hAnsi="Calibri" w:cs="Calibri"/>
          <w:b/>
          <w:bCs/>
          <w:sz w:val="22"/>
          <w:szCs w:val="22"/>
          <w:lang w:val="en-GB"/>
        </w:rPr>
        <w:lastRenderedPageBreak/>
        <w:t xml:space="preserve">Feasibility: </w:t>
      </w:r>
      <w:r w:rsidRPr="00367824">
        <w:rPr>
          <w:rStyle w:val="normaltextrun"/>
          <w:rFonts w:ascii="Calibri" w:eastAsia="Calibri" w:hAnsi="Calibri" w:cs="Calibri"/>
          <w:sz w:val="22"/>
          <w:szCs w:val="22"/>
          <w:lang w:val="en-GB"/>
        </w:rPr>
        <w:t>A draft recommendation of 125 g for cakes, regardless of density, in out of home settings was proposed in the original public consultation of the Guide. The cake category was subsequently sub-divided into light-medium weight and heavy weight cakes. This was in recognition that the median weight for cheesecakes and mud cakes exceeds the 125 g recommendation based on published research data (175 g and 180 g</w:t>
      </w:r>
      <w:r w:rsidR="00AC26B2" w:rsidRPr="00367824">
        <w:rPr>
          <w:rStyle w:val="normaltextrun"/>
          <w:rFonts w:ascii="Calibri" w:eastAsia="Calibri" w:hAnsi="Calibri" w:cs="Calibri"/>
          <w:sz w:val="22"/>
          <w:szCs w:val="22"/>
          <w:lang w:val="en-GB"/>
        </w:rPr>
        <w:t>,</w:t>
      </w:r>
      <w:r w:rsidRPr="00367824">
        <w:rPr>
          <w:rStyle w:val="normaltextrun"/>
          <w:rFonts w:ascii="Calibri" w:eastAsia="Calibri" w:hAnsi="Calibri" w:cs="Calibri"/>
          <w:sz w:val="22"/>
          <w:szCs w:val="22"/>
          <w:lang w:val="en-GB"/>
        </w:rPr>
        <w:t xml:space="preserve"> respectively). A maximum serving size recommendation of 150 g for heavy weight cakes was considered more feasible. Setting separate serving size recommendations for retail and out of home settings was deemed practical due to significant differences between the current serving sizes. </w:t>
      </w:r>
    </w:p>
    <w:p w14:paraId="507FB8B7" w14:textId="77777777" w:rsidR="00D567F0" w:rsidRPr="00367824" w:rsidRDefault="00D567F0" w:rsidP="00832F11">
      <w:pPr>
        <w:pStyle w:val="ListParagraph"/>
        <w:numPr>
          <w:ilvl w:val="0"/>
          <w:numId w:val="44"/>
        </w:numPr>
        <w:spacing w:after="120"/>
        <w:ind w:left="363"/>
        <w:contextualSpacing w:val="0"/>
        <w:rPr>
          <w:rFonts w:cstheme="minorBidi"/>
          <w:color w:val="000000" w:themeColor="text1"/>
          <w:sz w:val="22"/>
          <w:szCs w:val="22"/>
        </w:rPr>
      </w:pPr>
      <w:r w:rsidRPr="00367824">
        <w:rPr>
          <w:rFonts w:ascii="Calibri" w:eastAsia="Calibri" w:hAnsi="Calibri" w:cs="Calibri"/>
          <w:b/>
          <w:bCs/>
          <w:sz w:val="22"/>
          <w:szCs w:val="22"/>
          <w:lang w:val="en-GB"/>
        </w:rPr>
        <w:t xml:space="preserve">Industry and consumer acceptance: </w:t>
      </w:r>
      <w:r w:rsidRPr="00367824">
        <w:rPr>
          <w:rStyle w:val="eop"/>
          <w:rFonts w:ascii="Calibri" w:eastAsia="Calibri" w:hAnsi="Calibri" w:cs="Calibri"/>
          <w:color w:val="000000" w:themeColor="text1"/>
          <w:sz w:val="22"/>
          <w:szCs w:val="22"/>
        </w:rPr>
        <w:t>Consumer education and acceptance will be important.</w:t>
      </w:r>
    </w:p>
    <w:p w14:paraId="4EDE2058" w14:textId="77777777" w:rsidR="00D567F0" w:rsidRPr="00367824" w:rsidRDefault="00D567F0" w:rsidP="00832F11">
      <w:pPr>
        <w:rPr>
          <w:rFonts w:ascii="Calibri" w:eastAsia="Calibri" w:hAnsi="Calibri" w:cs="Calibri"/>
          <w:b/>
          <w:bCs/>
          <w:color w:val="000000" w:themeColor="text1"/>
          <w:sz w:val="22"/>
          <w:szCs w:val="22"/>
        </w:rPr>
      </w:pPr>
      <w:r w:rsidRPr="00367824">
        <w:rPr>
          <w:rFonts w:ascii="Calibri" w:eastAsia="Calibri" w:hAnsi="Calibri" w:cs="Calibri"/>
          <w:b/>
          <w:bCs/>
          <w:color w:val="000000" w:themeColor="text1"/>
          <w:sz w:val="22"/>
          <w:szCs w:val="22"/>
        </w:rPr>
        <w:t>Other Considerations or Influences underpinning this Category target</w:t>
      </w:r>
    </w:p>
    <w:p w14:paraId="3A8BB4F9" w14:textId="7EE7682A" w:rsidR="00D567F0" w:rsidRPr="00367824" w:rsidRDefault="00D567F0" w:rsidP="00832F11">
      <w:pPr>
        <w:pStyle w:val="ListParagraph"/>
        <w:numPr>
          <w:ilvl w:val="0"/>
          <w:numId w:val="45"/>
        </w:numPr>
        <w:ind w:left="363"/>
        <w:rPr>
          <w:rStyle w:val="normaltextrun"/>
          <w:rFonts w:ascii="Calibri" w:eastAsia="Calibri" w:hAnsi="Calibri" w:cs="Calibri"/>
          <w:b/>
          <w:bCs/>
          <w:color w:val="000000" w:themeColor="text1"/>
          <w:sz w:val="22"/>
          <w:szCs w:val="22"/>
        </w:rPr>
      </w:pPr>
      <w:r w:rsidRPr="00367824">
        <w:rPr>
          <w:rStyle w:val="normaltextrun"/>
          <w:rFonts w:ascii="Calibri" w:eastAsia="Calibri" w:hAnsi="Calibri" w:cs="Calibri"/>
          <w:color w:val="000000" w:themeColor="text1"/>
          <w:sz w:val="22"/>
          <w:szCs w:val="22"/>
          <w:lang w:val="en-GB"/>
        </w:rPr>
        <w:t>Research data</w:t>
      </w:r>
      <w:r w:rsidRPr="00367824">
        <w:rPr>
          <w:rStyle w:val="normaltextrun"/>
          <w:rFonts w:ascii="Calibri" w:eastAsia="Calibri" w:hAnsi="Calibri" w:cs="Calibri"/>
          <w:color w:val="000000" w:themeColor="text1"/>
          <w:sz w:val="22"/>
          <w:szCs w:val="22"/>
          <w:vertAlign w:val="superscript"/>
          <w:lang w:val="en-GB"/>
        </w:rPr>
        <w:t>2</w:t>
      </w:r>
      <w:r w:rsidRPr="00367824">
        <w:rPr>
          <w:rStyle w:val="normaltextrun"/>
          <w:rFonts w:ascii="Calibri" w:eastAsia="Calibri" w:hAnsi="Calibri" w:cs="Calibri"/>
          <w:color w:val="000000" w:themeColor="text1"/>
          <w:sz w:val="22"/>
          <w:szCs w:val="22"/>
          <w:lang w:val="en-GB"/>
        </w:rPr>
        <w:t xml:space="preserve"> demonstrates larger out of home portions comparatively to retail: </w:t>
      </w:r>
      <w:proofErr w:type="gramStart"/>
      <w:r w:rsidRPr="00367824">
        <w:rPr>
          <w:rStyle w:val="normaltextrun"/>
          <w:rFonts w:ascii="Calibri" w:eastAsia="Calibri" w:hAnsi="Calibri" w:cs="Calibri"/>
          <w:color w:val="000000" w:themeColor="text1"/>
          <w:sz w:val="22"/>
          <w:szCs w:val="22"/>
          <w:lang w:val="en-GB"/>
        </w:rPr>
        <w:t>i.e.</w:t>
      </w:r>
      <w:proofErr w:type="gramEnd"/>
      <w:r w:rsidRPr="00367824">
        <w:rPr>
          <w:rStyle w:val="normaltextrun"/>
          <w:rFonts w:ascii="Calibri" w:eastAsia="Calibri" w:hAnsi="Calibri" w:cs="Calibri"/>
          <w:color w:val="000000" w:themeColor="text1"/>
          <w:sz w:val="22"/>
          <w:szCs w:val="22"/>
          <w:lang w:val="en-GB"/>
        </w:rPr>
        <w:t xml:space="preserve"> cakes 150</w:t>
      </w:r>
      <w:r w:rsidR="00832F11">
        <w:rPr>
          <w:sz w:val="22"/>
          <w:szCs w:val="22"/>
        </w:rPr>
        <w:t> </w:t>
      </w:r>
      <w:r w:rsidRPr="00367824">
        <w:rPr>
          <w:rStyle w:val="normaltextrun"/>
          <w:rFonts w:ascii="Calibri" w:eastAsia="Calibri" w:hAnsi="Calibri" w:cs="Calibri"/>
          <w:color w:val="000000" w:themeColor="text1"/>
          <w:sz w:val="22"/>
          <w:szCs w:val="22"/>
          <w:lang w:val="en-GB"/>
        </w:rPr>
        <w:t>g, muffins 159</w:t>
      </w:r>
      <w:r w:rsidR="00832F11">
        <w:rPr>
          <w:rStyle w:val="normaltextrun"/>
          <w:rFonts w:ascii="Calibri" w:eastAsia="Calibri" w:hAnsi="Calibri" w:cs="Calibri"/>
          <w:color w:val="000000" w:themeColor="text1"/>
          <w:sz w:val="22"/>
          <w:szCs w:val="22"/>
          <w:lang w:val="en-GB"/>
        </w:rPr>
        <w:t> </w:t>
      </w:r>
      <w:r w:rsidRPr="00367824">
        <w:rPr>
          <w:rStyle w:val="normaltextrun"/>
          <w:rFonts w:ascii="Calibri" w:eastAsia="Calibri" w:hAnsi="Calibri" w:cs="Calibri"/>
          <w:color w:val="000000" w:themeColor="text1"/>
          <w:sz w:val="22"/>
          <w:szCs w:val="22"/>
          <w:lang w:val="en-GB"/>
        </w:rPr>
        <w:t>g and slices 100</w:t>
      </w:r>
      <w:r w:rsidR="00832F11">
        <w:rPr>
          <w:rStyle w:val="normaltextrun"/>
          <w:rFonts w:ascii="Calibri" w:eastAsia="Calibri" w:hAnsi="Calibri" w:cs="Calibri"/>
          <w:color w:val="000000" w:themeColor="text1"/>
          <w:sz w:val="22"/>
          <w:szCs w:val="22"/>
          <w:lang w:val="en-GB"/>
        </w:rPr>
        <w:t> </w:t>
      </w:r>
      <w:r w:rsidRPr="00367824">
        <w:rPr>
          <w:rStyle w:val="normaltextrun"/>
          <w:rFonts w:ascii="Calibri" w:eastAsia="Calibri" w:hAnsi="Calibri" w:cs="Calibri"/>
          <w:color w:val="000000" w:themeColor="text1"/>
          <w:sz w:val="22"/>
          <w:szCs w:val="22"/>
          <w:lang w:val="en-GB"/>
        </w:rPr>
        <w:t xml:space="preserve">g; </w:t>
      </w:r>
      <w:proofErr w:type="spellStart"/>
      <w:r w:rsidRPr="00367824">
        <w:rPr>
          <w:rStyle w:val="normaltextrun"/>
          <w:rFonts w:ascii="Calibri" w:eastAsia="Calibri" w:hAnsi="Calibri" w:cs="Calibri"/>
          <w:color w:val="000000" w:themeColor="text1"/>
          <w:sz w:val="22"/>
          <w:szCs w:val="22"/>
          <w:lang w:val="en-GB"/>
        </w:rPr>
        <w:t>iFed</w:t>
      </w:r>
      <w:proofErr w:type="spellEnd"/>
      <w:r w:rsidRPr="00367824">
        <w:rPr>
          <w:rStyle w:val="normaltextrun"/>
          <w:rFonts w:ascii="Calibri" w:eastAsia="Calibri" w:hAnsi="Calibri" w:cs="Calibri"/>
          <w:color w:val="000000" w:themeColor="text1"/>
          <w:sz w:val="22"/>
          <w:szCs w:val="22"/>
          <w:lang w:val="en-GB"/>
        </w:rPr>
        <w:t xml:space="preserve"> data: 66</w:t>
      </w:r>
      <w:r w:rsidRPr="00312E62">
        <w:rPr>
          <w:rStyle w:val="normaltextrun"/>
          <w:rFonts w:ascii="Calibri" w:eastAsia="Calibri" w:hAnsi="Calibri" w:cs="Calibri"/>
          <w:color w:val="000000" w:themeColor="text1"/>
          <w:sz w:val="22"/>
          <w:szCs w:val="22"/>
          <w:vertAlign w:val="superscript"/>
          <w:lang w:val="en-GB"/>
        </w:rPr>
        <w:t>th</w:t>
      </w:r>
      <w:r w:rsidRPr="00367824">
        <w:rPr>
          <w:rStyle w:val="normaltextrun"/>
          <w:rFonts w:ascii="Calibri" w:eastAsia="Calibri" w:hAnsi="Calibri" w:cs="Calibri"/>
          <w:color w:val="000000" w:themeColor="text1"/>
          <w:sz w:val="22"/>
          <w:szCs w:val="22"/>
          <w:lang w:val="en-GB"/>
        </w:rPr>
        <w:t xml:space="preserve"> percentile for muffins: 165</w:t>
      </w:r>
      <w:r w:rsidR="00832F11">
        <w:rPr>
          <w:rStyle w:val="normaltextrun"/>
          <w:rFonts w:ascii="Calibri" w:eastAsia="Calibri" w:hAnsi="Calibri" w:cs="Calibri"/>
          <w:color w:val="000000" w:themeColor="text1"/>
          <w:sz w:val="22"/>
          <w:szCs w:val="22"/>
          <w:lang w:val="en-GB"/>
        </w:rPr>
        <w:t> </w:t>
      </w:r>
      <w:r w:rsidRPr="00367824">
        <w:rPr>
          <w:rStyle w:val="normaltextrun"/>
          <w:rFonts w:ascii="Calibri" w:eastAsia="Calibri" w:hAnsi="Calibri" w:cs="Calibri"/>
          <w:color w:val="000000" w:themeColor="text1"/>
          <w:sz w:val="22"/>
          <w:szCs w:val="22"/>
          <w:lang w:val="en-GB"/>
        </w:rPr>
        <w:t>g</w:t>
      </w:r>
      <w:r w:rsidRPr="00367824">
        <w:rPr>
          <w:rStyle w:val="normaltextrun"/>
          <w:rFonts w:ascii="Calibri" w:eastAsia="Calibri" w:hAnsi="Calibri" w:cs="Calibri"/>
          <w:color w:val="000000" w:themeColor="text1"/>
          <w:sz w:val="22"/>
          <w:szCs w:val="22"/>
          <w:vertAlign w:val="superscript"/>
          <w:lang w:val="en-GB"/>
        </w:rPr>
        <w:t>1</w:t>
      </w:r>
      <w:r w:rsidRPr="00367824">
        <w:rPr>
          <w:rStyle w:val="normaltextrun"/>
          <w:rFonts w:ascii="Calibri" w:eastAsia="Calibri" w:hAnsi="Calibri" w:cs="Calibri"/>
          <w:color w:val="000000" w:themeColor="text1"/>
          <w:sz w:val="22"/>
          <w:szCs w:val="22"/>
          <w:lang w:val="en-GB"/>
        </w:rPr>
        <w:t xml:space="preserve">. </w:t>
      </w:r>
    </w:p>
    <w:p w14:paraId="1CAA889B" w14:textId="77777777" w:rsidR="00D567F0" w:rsidRPr="00367824" w:rsidRDefault="00D567F0" w:rsidP="00832F11">
      <w:pPr>
        <w:pStyle w:val="ListParagraph"/>
        <w:numPr>
          <w:ilvl w:val="0"/>
          <w:numId w:val="43"/>
        </w:numPr>
        <w:spacing w:beforeAutospacing="1" w:afterAutospacing="1"/>
        <w:ind w:left="363"/>
        <w:rPr>
          <w:rFonts w:ascii="Calibri" w:eastAsia="Calibri" w:hAnsi="Calibri" w:cs="Calibri"/>
          <w:color w:val="000000" w:themeColor="text1"/>
          <w:sz w:val="22"/>
          <w:szCs w:val="22"/>
        </w:rPr>
      </w:pPr>
      <w:r w:rsidRPr="00367824">
        <w:rPr>
          <w:rStyle w:val="normaltextrun"/>
          <w:rFonts w:ascii="Calibri" w:eastAsia="Calibri" w:hAnsi="Calibri" w:cs="Calibri"/>
          <w:color w:val="000000" w:themeColor="text1"/>
          <w:sz w:val="22"/>
          <w:szCs w:val="22"/>
          <w:lang w:val="en-GB"/>
        </w:rPr>
        <w:t>Considered 10% reduction approach as recommended by IGD commercial and consumer insights group – designed to nudge consumer behaviour around acceptable portions, downward</w:t>
      </w:r>
      <w:r w:rsidRPr="00367824">
        <w:rPr>
          <w:rStyle w:val="normaltextrun"/>
          <w:rFonts w:ascii="Calibri" w:eastAsia="Calibri" w:hAnsi="Calibri" w:cs="Calibri"/>
          <w:color w:val="000000" w:themeColor="text1"/>
          <w:sz w:val="22"/>
          <w:szCs w:val="22"/>
          <w:vertAlign w:val="superscript"/>
          <w:lang w:val="en-GB"/>
        </w:rPr>
        <w:t>11</w:t>
      </w:r>
      <w:r w:rsidRPr="00367824">
        <w:rPr>
          <w:rStyle w:val="normaltextrun"/>
          <w:rFonts w:ascii="Calibri" w:eastAsia="Calibri" w:hAnsi="Calibri" w:cs="Calibri"/>
          <w:color w:val="000000" w:themeColor="text1"/>
          <w:sz w:val="22"/>
          <w:szCs w:val="22"/>
          <w:lang w:val="en-GB"/>
        </w:rPr>
        <w:t xml:space="preserve">. </w:t>
      </w:r>
    </w:p>
    <w:p w14:paraId="5547551C" w14:textId="0B5DB6A7" w:rsidR="00D567F0" w:rsidRPr="00367824" w:rsidRDefault="00D567F0" w:rsidP="00832F11">
      <w:pPr>
        <w:pStyle w:val="ListParagraph"/>
        <w:numPr>
          <w:ilvl w:val="0"/>
          <w:numId w:val="43"/>
        </w:numPr>
        <w:spacing w:beforeAutospacing="1" w:afterAutospacing="1"/>
        <w:ind w:left="363"/>
        <w:rPr>
          <w:rStyle w:val="normaltextrun"/>
          <w:rFonts w:cstheme="minorBidi"/>
          <w:color w:val="000000" w:themeColor="text1"/>
          <w:sz w:val="22"/>
          <w:szCs w:val="22"/>
        </w:rPr>
      </w:pPr>
      <w:r w:rsidRPr="00367824">
        <w:rPr>
          <w:rStyle w:val="normaltextrun"/>
          <w:rFonts w:ascii="Calibri" w:eastAsia="Calibri" w:hAnsi="Calibri" w:cs="Calibri"/>
          <w:color w:val="000000" w:themeColor="text1"/>
          <w:sz w:val="22"/>
          <w:szCs w:val="22"/>
          <w:lang w:val="en-GB"/>
        </w:rPr>
        <w:t>Cakes - applies the US RACC/Canadian RA for cakes of 125</w:t>
      </w:r>
      <w:r w:rsidR="00832F11">
        <w:rPr>
          <w:rStyle w:val="normaltextrun"/>
          <w:rFonts w:ascii="Calibri" w:eastAsia="Calibri" w:hAnsi="Calibri" w:cs="Calibri"/>
          <w:color w:val="000000" w:themeColor="text1"/>
          <w:sz w:val="22"/>
          <w:szCs w:val="22"/>
          <w:lang w:val="en-GB"/>
        </w:rPr>
        <w:t> </w:t>
      </w:r>
      <w:r w:rsidRPr="00367824">
        <w:rPr>
          <w:rStyle w:val="normaltextrun"/>
          <w:rFonts w:ascii="Calibri" w:eastAsia="Calibri" w:hAnsi="Calibri" w:cs="Calibri"/>
          <w:color w:val="000000" w:themeColor="text1"/>
          <w:sz w:val="22"/>
          <w:szCs w:val="22"/>
          <w:lang w:val="en-GB"/>
        </w:rPr>
        <w:t>g</w:t>
      </w:r>
      <w:r w:rsidRPr="00367824">
        <w:rPr>
          <w:rStyle w:val="normaltextrun"/>
          <w:rFonts w:ascii="Calibri" w:eastAsia="Calibri" w:hAnsi="Calibri" w:cs="Calibri"/>
          <w:color w:val="000000" w:themeColor="text1"/>
          <w:sz w:val="22"/>
          <w:szCs w:val="22"/>
          <w:vertAlign w:val="superscript"/>
          <w:lang w:val="en-GB"/>
        </w:rPr>
        <w:t xml:space="preserve"> 8, 9</w:t>
      </w:r>
      <w:r w:rsidRPr="00367824">
        <w:rPr>
          <w:rStyle w:val="normaltextrun"/>
          <w:rFonts w:ascii="Calibri" w:eastAsia="Calibri" w:hAnsi="Calibri" w:cs="Calibri"/>
          <w:color w:val="000000" w:themeColor="text1"/>
          <w:sz w:val="22"/>
          <w:szCs w:val="22"/>
          <w:lang w:val="en-GB"/>
        </w:rPr>
        <w:t> </w:t>
      </w:r>
      <w:r w:rsidR="0050147F" w:rsidRPr="00367824">
        <w:rPr>
          <w:rStyle w:val="normaltextrun"/>
          <w:rFonts w:ascii="Calibri" w:eastAsia="Calibri" w:hAnsi="Calibri" w:cs="Calibri"/>
          <w:color w:val="000000" w:themeColor="text1"/>
          <w:sz w:val="22"/>
          <w:szCs w:val="22"/>
          <w:lang w:val="en-GB"/>
        </w:rPr>
        <w:t>(</w:t>
      </w:r>
      <w:r w:rsidRPr="00367824">
        <w:rPr>
          <w:rStyle w:val="normaltextrun"/>
          <w:rFonts w:ascii="Calibri" w:eastAsia="Calibri" w:hAnsi="Calibri" w:cs="Calibri"/>
          <w:color w:val="000000" w:themeColor="text1"/>
          <w:sz w:val="22"/>
          <w:szCs w:val="22"/>
          <w:lang w:val="en-GB"/>
        </w:rPr>
        <w:t>3 discretionary serves</w:t>
      </w:r>
      <w:r w:rsidR="0050147F" w:rsidRPr="00367824">
        <w:rPr>
          <w:rStyle w:val="normaltextrun"/>
          <w:rFonts w:ascii="Calibri" w:eastAsia="Calibri" w:hAnsi="Calibri" w:cs="Calibri"/>
          <w:color w:val="000000" w:themeColor="text1"/>
          <w:sz w:val="22"/>
          <w:szCs w:val="22"/>
          <w:lang w:val="en-GB"/>
        </w:rPr>
        <w:t>)</w:t>
      </w:r>
    </w:p>
    <w:p w14:paraId="7466F0CD" w14:textId="57991936" w:rsidR="00ED1CB9" w:rsidRPr="00367824" w:rsidRDefault="00D567F0" w:rsidP="00832F11">
      <w:pPr>
        <w:pStyle w:val="ListParagraph"/>
        <w:numPr>
          <w:ilvl w:val="0"/>
          <w:numId w:val="43"/>
        </w:numPr>
        <w:ind w:left="363"/>
        <w:rPr>
          <w:sz w:val="22"/>
          <w:szCs w:val="22"/>
        </w:rPr>
      </w:pPr>
      <w:r w:rsidRPr="00367824">
        <w:rPr>
          <w:rStyle w:val="normaltextrun"/>
          <w:rFonts w:ascii="Calibri" w:eastAsia="Calibri" w:hAnsi="Calibri" w:cs="Calibri"/>
          <w:color w:val="000000" w:themeColor="text1"/>
          <w:sz w:val="22"/>
          <w:szCs w:val="22"/>
          <w:lang w:val="en-GB"/>
        </w:rPr>
        <w:t xml:space="preserve">Slices - applies 90 g upper limit </w:t>
      </w:r>
      <w:r w:rsidR="0050147F" w:rsidRPr="00367824">
        <w:rPr>
          <w:rStyle w:val="normaltextrun"/>
          <w:rFonts w:ascii="Calibri" w:eastAsia="Calibri" w:hAnsi="Calibri" w:cs="Calibri"/>
          <w:color w:val="000000" w:themeColor="text1"/>
          <w:sz w:val="22"/>
          <w:szCs w:val="22"/>
          <w:lang w:val="en-GB"/>
        </w:rPr>
        <w:t>(</w:t>
      </w:r>
      <w:r w:rsidRPr="00367824">
        <w:rPr>
          <w:rStyle w:val="normaltextrun"/>
          <w:rFonts w:ascii="Calibri" w:eastAsia="Calibri" w:hAnsi="Calibri" w:cs="Calibri"/>
          <w:color w:val="000000" w:themeColor="text1"/>
          <w:sz w:val="22"/>
          <w:szCs w:val="22"/>
          <w:lang w:val="en-GB"/>
        </w:rPr>
        <w:t>2 discretionary serves</w:t>
      </w:r>
      <w:r w:rsidR="0050147F" w:rsidRPr="00367824">
        <w:rPr>
          <w:rStyle w:val="normaltextrun"/>
          <w:rFonts w:ascii="Calibri" w:eastAsia="Calibri" w:hAnsi="Calibri" w:cs="Calibri"/>
          <w:color w:val="000000" w:themeColor="text1"/>
          <w:sz w:val="22"/>
          <w:szCs w:val="22"/>
          <w:lang w:val="en-GB"/>
        </w:rPr>
        <w:t>)</w:t>
      </w:r>
    </w:p>
    <w:p w14:paraId="6A1ED4D1" w14:textId="77777777" w:rsidR="00ED1CB9" w:rsidRPr="00367824" w:rsidRDefault="00ED1CB9" w:rsidP="00AB23A2">
      <w:pPr>
        <w:pStyle w:val="BodyText"/>
        <w:rPr>
          <w:b/>
          <w:bCs/>
          <w:sz w:val="22"/>
        </w:rPr>
      </w:pPr>
    </w:p>
    <w:p w14:paraId="10E25A7A" w14:textId="77777777" w:rsidR="00826BFB" w:rsidRPr="00367824" w:rsidRDefault="00826BFB" w:rsidP="00AB23A2">
      <w:pPr>
        <w:pStyle w:val="BodyText"/>
        <w:rPr>
          <w:b/>
          <w:bCs/>
          <w:sz w:val="22"/>
        </w:rPr>
      </w:pPr>
    </w:p>
    <w:p w14:paraId="15997D19" w14:textId="77777777" w:rsidR="00826BFB" w:rsidRPr="00367824" w:rsidRDefault="00826BFB" w:rsidP="00AB23A2">
      <w:pPr>
        <w:pStyle w:val="BodyText"/>
        <w:rPr>
          <w:b/>
          <w:bCs/>
          <w:sz w:val="22"/>
        </w:rPr>
      </w:pPr>
    </w:p>
    <w:p w14:paraId="6EADC242" w14:textId="77777777" w:rsidR="00826BFB" w:rsidRPr="00367824" w:rsidRDefault="00826BFB" w:rsidP="00AB23A2">
      <w:pPr>
        <w:pStyle w:val="BodyText"/>
        <w:rPr>
          <w:b/>
          <w:bCs/>
          <w:sz w:val="22"/>
        </w:rPr>
      </w:pPr>
    </w:p>
    <w:p w14:paraId="45B5B2F1" w14:textId="77777777" w:rsidR="00826BFB" w:rsidRPr="00367824" w:rsidRDefault="00826BFB" w:rsidP="00AB23A2">
      <w:pPr>
        <w:pStyle w:val="BodyText"/>
        <w:rPr>
          <w:b/>
          <w:bCs/>
          <w:sz w:val="22"/>
        </w:rPr>
      </w:pPr>
    </w:p>
    <w:p w14:paraId="6F79E14C" w14:textId="77777777" w:rsidR="00826BFB" w:rsidRPr="0044145E" w:rsidRDefault="00826BFB" w:rsidP="00AB23A2">
      <w:pPr>
        <w:pStyle w:val="BodyText"/>
        <w:rPr>
          <w:b/>
          <w:bCs/>
          <w:sz w:val="28"/>
          <w:szCs w:val="28"/>
        </w:rPr>
      </w:pPr>
    </w:p>
    <w:p w14:paraId="722401C2" w14:textId="77777777" w:rsidR="00826BFB" w:rsidRPr="0044145E" w:rsidRDefault="00826BFB" w:rsidP="00AB23A2">
      <w:pPr>
        <w:pStyle w:val="BodyText"/>
        <w:rPr>
          <w:b/>
          <w:bCs/>
          <w:sz w:val="28"/>
          <w:szCs w:val="28"/>
        </w:rPr>
      </w:pPr>
    </w:p>
    <w:p w14:paraId="28AA68B8" w14:textId="77777777" w:rsidR="00826BFB" w:rsidRPr="0044145E" w:rsidRDefault="00826BFB" w:rsidP="00AB23A2">
      <w:pPr>
        <w:pStyle w:val="BodyText"/>
        <w:rPr>
          <w:b/>
          <w:bCs/>
          <w:sz w:val="28"/>
          <w:szCs w:val="28"/>
        </w:rPr>
      </w:pPr>
    </w:p>
    <w:p w14:paraId="48E5C39F" w14:textId="77777777" w:rsidR="00826BFB" w:rsidRPr="0044145E" w:rsidRDefault="00826BFB" w:rsidP="00AB23A2">
      <w:pPr>
        <w:pStyle w:val="BodyText"/>
        <w:rPr>
          <w:b/>
          <w:bCs/>
          <w:sz w:val="28"/>
          <w:szCs w:val="28"/>
        </w:rPr>
      </w:pPr>
    </w:p>
    <w:p w14:paraId="465918E6" w14:textId="77777777" w:rsidR="00826BFB" w:rsidRPr="0044145E" w:rsidRDefault="00826BFB" w:rsidP="00AB23A2">
      <w:pPr>
        <w:pStyle w:val="BodyText"/>
        <w:rPr>
          <w:b/>
          <w:bCs/>
          <w:sz w:val="28"/>
          <w:szCs w:val="28"/>
        </w:rPr>
      </w:pPr>
    </w:p>
    <w:p w14:paraId="21EEF6D5" w14:textId="77777777" w:rsidR="00367824" w:rsidRPr="00312E62" w:rsidRDefault="00367824">
      <w:pPr>
        <w:rPr>
          <w:rFonts w:ascii="Calibri" w:eastAsia="Calibri" w:hAnsi="Calibri"/>
          <w:b/>
          <w:bCs/>
          <w:color w:val="000000"/>
          <w:sz w:val="28"/>
          <w:szCs w:val="28"/>
        </w:rPr>
      </w:pPr>
      <w:r w:rsidRPr="00312E62">
        <w:rPr>
          <w:b/>
          <w:bCs/>
          <w:sz w:val="28"/>
          <w:szCs w:val="28"/>
        </w:rPr>
        <w:br w:type="page"/>
      </w:r>
    </w:p>
    <w:p w14:paraId="17E22D95" w14:textId="6EF0AB77" w:rsidR="00C97C2E" w:rsidRPr="002C4ACE" w:rsidRDefault="00C97C2E" w:rsidP="00D11B69">
      <w:pPr>
        <w:pStyle w:val="BodyText"/>
        <w:spacing w:before="0"/>
        <w:rPr>
          <w:b/>
          <w:bCs/>
          <w:sz w:val="28"/>
          <w:szCs w:val="28"/>
          <w:lang w:val="fr"/>
        </w:rPr>
      </w:pPr>
      <w:proofErr w:type="spellStart"/>
      <w:r w:rsidRPr="002C4ACE">
        <w:rPr>
          <w:b/>
          <w:bCs/>
          <w:sz w:val="28"/>
          <w:szCs w:val="28"/>
          <w:lang w:val="fr"/>
        </w:rPr>
        <w:lastRenderedPageBreak/>
        <w:t>Chilled</w:t>
      </w:r>
      <w:proofErr w:type="spellEnd"/>
      <w:r w:rsidRPr="002C4ACE">
        <w:rPr>
          <w:b/>
          <w:bCs/>
          <w:sz w:val="28"/>
          <w:szCs w:val="28"/>
          <w:lang w:val="fr"/>
        </w:rPr>
        <w:t xml:space="preserve"> </w:t>
      </w:r>
      <w:proofErr w:type="spellStart"/>
      <w:r w:rsidRPr="002C4ACE">
        <w:rPr>
          <w:b/>
          <w:bCs/>
          <w:sz w:val="28"/>
          <w:szCs w:val="28"/>
          <w:lang w:val="fr"/>
        </w:rPr>
        <w:t>Beverages</w:t>
      </w:r>
      <w:proofErr w:type="spellEnd"/>
    </w:p>
    <w:tbl>
      <w:tblPr>
        <w:tblStyle w:val="TableGrid5"/>
        <w:tblW w:w="9492" w:type="dxa"/>
        <w:jc w:val="center"/>
        <w:tblLayout w:type="fixed"/>
        <w:tblLook w:val="04A0" w:firstRow="1" w:lastRow="0" w:firstColumn="1" w:lastColumn="0" w:noHBand="0" w:noVBand="1"/>
      </w:tblPr>
      <w:tblGrid>
        <w:gridCol w:w="1696"/>
        <w:gridCol w:w="1988"/>
        <w:gridCol w:w="1936"/>
        <w:gridCol w:w="1936"/>
        <w:gridCol w:w="1936"/>
      </w:tblGrid>
      <w:tr w:rsidR="00C97C2E" w:rsidRPr="00367824" w14:paraId="08C9740A" w14:textId="77777777" w:rsidTr="00D11B69">
        <w:trPr>
          <w:jc w:val="center"/>
        </w:trPr>
        <w:tc>
          <w:tcPr>
            <w:tcW w:w="1696" w:type="dxa"/>
          </w:tcPr>
          <w:p w14:paraId="5AFB7489"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Setting</w:t>
            </w:r>
            <w:r w:rsidRPr="00367824">
              <w:rPr>
                <w:rFonts w:ascii="Calibri" w:eastAsia="Calibri" w:hAnsi="Calibri" w:cs="Calibri"/>
                <w:color w:val="000000" w:themeColor="text1"/>
                <w:sz w:val="22"/>
                <w:szCs w:val="22"/>
              </w:rPr>
              <w:t> </w:t>
            </w:r>
          </w:p>
        </w:tc>
        <w:tc>
          <w:tcPr>
            <w:tcW w:w="1988" w:type="dxa"/>
          </w:tcPr>
          <w:p w14:paraId="7BB28994"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Current serving sizes </w:t>
            </w:r>
          </w:p>
          <w:p w14:paraId="0B54DC7E"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(66</w:t>
            </w:r>
            <w:r w:rsidRPr="00367824">
              <w:rPr>
                <w:rFonts w:ascii="Calibri" w:eastAsia="Calibri" w:hAnsi="Calibri" w:cs="Calibri"/>
                <w:b/>
                <w:bCs/>
                <w:color w:val="000000" w:themeColor="text1"/>
                <w:sz w:val="22"/>
                <w:szCs w:val="22"/>
                <w:vertAlign w:val="superscript"/>
              </w:rPr>
              <w:t>th</w:t>
            </w:r>
            <w:r w:rsidRPr="00367824">
              <w:rPr>
                <w:rFonts w:ascii="Calibri" w:eastAsia="Calibri" w:hAnsi="Calibri" w:cs="Calibri"/>
                <w:b/>
                <w:bCs/>
                <w:color w:val="000000" w:themeColor="text1"/>
                <w:sz w:val="22"/>
                <w:szCs w:val="22"/>
              </w:rPr>
              <w:t xml:space="preserve"> percentile (unless otherwise stated))</w:t>
            </w:r>
            <w:r w:rsidRPr="00367824">
              <w:rPr>
                <w:rFonts w:ascii="Calibri" w:eastAsia="Calibri" w:hAnsi="Calibri" w:cs="Calibri"/>
                <w:b/>
                <w:bCs/>
                <w:color w:val="000000" w:themeColor="text1"/>
                <w:sz w:val="22"/>
                <w:szCs w:val="22"/>
                <w:vertAlign w:val="superscript"/>
              </w:rPr>
              <w:t>1</w:t>
            </w:r>
          </w:p>
        </w:tc>
        <w:tc>
          <w:tcPr>
            <w:tcW w:w="1936" w:type="dxa"/>
          </w:tcPr>
          <w:p w14:paraId="519B8CA3" w14:textId="2150B58D"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Recommended maximum serving size (</w:t>
            </w:r>
            <w:r w:rsidR="00916C86" w:rsidRPr="00367824">
              <w:rPr>
                <w:rFonts w:ascii="Calibri" w:eastAsia="Calibri" w:hAnsi="Calibri" w:cs="Calibri"/>
                <w:b/>
                <w:bCs/>
                <w:color w:val="000000" w:themeColor="text1"/>
                <w:sz w:val="22"/>
                <w:szCs w:val="22"/>
              </w:rPr>
              <w:t>mL</w:t>
            </w:r>
            <w:r w:rsidRPr="00367824">
              <w:rPr>
                <w:rFonts w:ascii="Calibri" w:eastAsia="Calibri" w:hAnsi="Calibri" w:cs="Calibri"/>
                <w:b/>
                <w:bCs/>
                <w:color w:val="000000" w:themeColor="text1"/>
                <w:sz w:val="22"/>
                <w:szCs w:val="22"/>
              </w:rPr>
              <w:t>)</w:t>
            </w:r>
          </w:p>
          <w:p w14:paraId="576F3243" w14:textId="77777777" w:rsidR="00C97C2E" w:rsidRPr="00367824" w:rsidRDefault="00C97C2E" w:rsidP="008C396B">
            <w:pPr>
              <w:rPr>
                <w:rFonts w:ascii="Calibri" w:eastAsia="Calibri" w:hAnsi="Calibri" w:cs="Calibri"/>
                <w:color w:val="000000" w:themeColor="text1"/>
                <w:sz w:val="22"/>
                <w:szCs w:val="22"/>
              </w:rPr>
            </w:pPr>
          </w:p>
        </w:tc>
        <w:tc>
          <w:tcPr>
            <w:tcW w:w="1936" w:type="dxa"/>
          </w:tcPr>
          <w:p w14:paraId="5FE82781"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Energy per recommended serving size (kJ)</w:t>
            </w:r>
            <w:r w:rsidRPr="00367824">
              <w:rPr>
                <w:rFonts w:ascii="Calibri" w:eastAsia="Calibri" w:hAnsi="Calibri" w:cs="Calibri"/>
                <w:color w:val="000000" w:themeColor="text1"/>
                <w:sz w:val="22"/>
                <w:szCs w:val="22"/>
                <w:vertAlign w:val="superscript"/>
              </w:rPr>
              <w:t>3</w:t>
            </w:r>
          </w:p>
        </w:tc>
        <w:tc>
          <w:tcPr>
            <w:tcW w:w="1936" w:type="dxa"/>
          </w:tcPr>
          <w:p w14:paraId="684060AB" w14:textId="762536A6"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Discretionary Serve 600</w:t>
            </w:r>
            <w:r w:rsidR="002C4ACE" w:rsidRPr="00367824">
              <w:rPr>
                <w:rFonts w:ascii="Calibri" w:eastAsia="Calibri" w:hAnsi="Calibri" w:cs="Calibri"/>
                <w:b/>
                <w:bCs/>
                <w:color w:val="000000" w:themeColor="text1"/>
                <w:sz w:val="22"/>
                <w:szCs w:val="22"/>
              </w:rPr>
              <w:t xml:space="preserve"> </w:t>
            </w:r>
            <w:r w:rsidRPr="00367824">
              <w:rPr>
                <w:rFonts w:ascii="Calibri" w:eastAsia="Calibri" w:hAnsi="Calibri" w:cs="Calibri"/>
                <w:b/>
                <w:bCs/>
                <w:color w:val="000000" w:themeColor="text1"/>
                <w:sz w:val="22"/>
                <w:szCs w:val="22"/>
              </w:rPr>
              <w:t>kJ equivalent</w:t>
            </w:r>
            <w:r w:rsidRPr="00367824">
              <w:rPr>
                <w:rFonts w:ascii="Calibri" w:eastAsia="Calibri" w:hAnsi="Calibri" w:cs="Calibri"/>
                <w:b/>
                <w:bCs/>
                <w:color w:val="000000" w:themeColor="text1"/>
                <w:sz w:val="22"/>
                <w:szCs w:val="22"/>
                <w:vertAlign w:val="superscript"/>
              </w:rPr>
              <w:t>4</w:t>
            </w:r>
            <w:r w:rsidRPr="00367824">
              <w:rPr>
                <w:rFonts w:ascii="Calibri" w:eastAsia="Calibri" w:hAnsi="Calibri" w:cs="Calibri"/>
                <w:b/>
                <w:bCs/>
                <w:color w:val="000000" w:themeColor="text1"/>
                <w:sz w:val="22"/>
                <w:szCs w:val="22"/>
              </w:rPr>
              <w:t xml:space="preserve"> </w:t>
            </w:r>
          </w:p>
        </w:tc>
      </w:tr>
      <w:tr w:rsidR="00C97C2E" w:rsidRPr="00367824" w14:paraId="359AC6E4" w14:textId="77777777" w:rsidTr="00D11B69">
        <w:trPr>
          <w:jc w:val="center"/>
        </w:trPr>
        <w:tc>
          <w:tcPr>
            <w:tcW w:w="1696" w:type="dxa"/>
          </w:tcPr>
          <w:p w14:paraId="33755709"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Out of home </w:t>
            </w:r>
          </w:p>
        </w:tc>
        <w:tc>
          <w:tcPr>
            <w:tcW w:w="1988" w:type="dxa"/>
          </w:tcPr>
          <w:p w14:paraId="3798BEF9" w14:textId="7E3535A4" w:rsidR="00B74906" w:rsidRPr="00367824" w:rsidRDefault="00C97C2E" w:rsidP="00D11B69">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590 ml</w:t>
            </w:r>
          </w:p>
        </w:tc>
        <w:tc>
          <w:tcPr>
            <w:tcW w:w="1936" w:type="dxa"/>
          </w:tcPr>
          <w:p w14:paraId="79E333F7"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450 ml</w:t>
            </w:r>
          </w:p>
        </w:tc>
        <w:tc>
          <w:tcPr>
            <w:tcW w:w="1936" w:type="dxa"/>
          </w:tcPr>
          <w:p w14:paraId="1C4D7EF2"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~650 </w:t>
            </w:r>
          </w:p>
        </w:tc>
        <w:tc>
          <w:tcPr>
            <w:tcW w:w="1936" w:type="dxa"/>
          </w:tcPr>
          <w:p w14:paraId="640BD943"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~1-1.5</w:t>
            </w:r>
          </w:p>
        </w:tc>
      </w:tr>
    </w:tbl>
    <w:p w14:paraId="0DCCF3B8" w14:textId="23E642CE" w:rsidR="00C97C2E" w:rsidRPr="00367824" w:rsidRDefault="00C97C2E" w:rsidP="00F826E2">
      <w:pPr>
        <w:spacing w:before="120" w:after="120"/>
        <w:rPr>
          <w:rFonts w:ascii="Calibri" w:eastAsia="Calibri" w:hAnsi="Calibri" w:cs="Calibri"/>
          <w:b/>
          <w:bCs/>
          <w:color w:val="000000" w:themeColor="text1"/>
          <w:sz w:val="22"/>
          <w:szCs w:val="22"/>
        </w:rPr>
      </w:pPr>
      <w:r w:rsidRPr="00367824">
        <w:rPr>
          <w:rFonts w:ascii="Calibri" w:eastAsia="Calibri" w:hAnsi="Calibri" w:cs="Calibri"/>
          <w:b/>
          <w:bCs/>
          <w:color w:val="000000" w:themeColor="text1"/>
          <w:sz w:val="22"/>
          <w:szCs w:val="22"/>
        </w:rPr>
        <w:t xml:space="preserve">Decisions against agreed Methodology (see section </w:t>
      </w:r>
      <w:r w:rsidR="00994436" w:rsidRPr="00367824">
        <w:rPr>
          <w:rFonts w:ascii="Calibri" w:eastAsia="Calibri" w:hAnsi="Calibri" w:cs="Calibri"/>
          <w:b/>
          <w:bCs/>
          <w:color w:val="000000" w:themeColor="text1"/>
          <w:sz w:val="22"/>
          <w:szCs w:val="22"/>
        </w:rPr>
        <w:t>6</w:t>
      </w:r>
      <w:r w:rsidRPr="00367824">
        <w:rPr>
          <w:rFonts w:ascii="Calibri" w:eastAsia="Calibri" w:hAnsi="Calibri" w:cs="Calibri"/>
          <w:b/>
          <w:bCs/>
          <w:color w:val="000000" w:themeColor="text1"/>
          <w:sz w:val="22"/>
          <w:szCs w:val="22"/>
        </w:rPr>
        <w:t>.2)</w:t>
      </w:r>
    </w:p>
    <w:p w14:paraId="0AAE99FC" w14:textId="77777777" w:rsidR="00C97C2E" w:rsidRPr="00367824" w:rsidRDefault="00C97C2E" w:rsidP="007A17AB">
      <w:pPr>
        <w:pStyle w:val="ListParagraph"/>
        <w:numPr>
          <w:ilvl w:val="0"/>
          <w:numId w:val="12"/>
        </w:numPr>
        <w:spacing w:after="120"/>
        <w:ind w:left="357" w:hanging="357"/>
        <w:contextualSpacing w:val="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Setting and context: </w:t>
      </w:r>
      <w:r w:rsidRPr="00367824">
        <w:rPr>
          <w:rFonts w:ascii="Calibri" w:eastAsia="Calibri" w:hAnsi="Calibri" w:cs="Calibri"/>
          <w:color w:val="000000" w:themeColor="text1"/>
          <w:sz w:val="22"/>
          <w:szCs w:val="22"/>
        </w:rPr>
        <w:t>Out of home settings. Consumed in multiple settings, usually a snack or meal accompaniment.</w:t>
      </w:r>
    </w:p>
    <w:p w14:paraId="67561E9A" w14:textId="5C375931" w:rsidR="00C97C2E" w:rsidRPr="00367824" w:rsidRDefault="00C97C2E" w:rsidP="00832F11">
      <w:pPr>
        <w:pStyle w:val="ListParagraph"/>
        <w:numPr>
          <w:ilvl w:val="0"/>
          <w:numId w:val="12"/>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Considerations:</w:t>
      </w:r>
      <w:r w:rsidRPr="00367824">
        <w:rPr>
          <w:rFonts w:ascii="Calibri" w:eastAsia="Calibri" w:hAnsi="Calibri" w:cs="Calibri"/>
          <w:color w:val="000000" w:themeColor="text1"/>
          <w:sz w:val="22"/>
          <w:szCs w:val="22"/>
        </w:rPr>
        <w:t xml:space="preserve"> One discretionary serve for a soft drink is 375 ml, as outlined in the </w:t>
      </w:r>
      <w:r w:rsidRPr="00F826E2">
        <w:rPr>
          <w:rFonts w:ascii="Calibri" w:eastAsia="Calibri" w:hAnsi="Calibri" w:cs="Calibri"/>
          <w:i/>
          <w:iCs/>
          <w:color w:val="000000" w:themeColor="text1"/>
          <w:sz w:val="22"/>
          <w:szCs w:val="22"/>
        </w:rPr>
        <w:t>Eat for Health Educator Guide</w:t>
      </w:r>
      <w:r w:rsidRPr="00F826E2">
        <w:rPr>
          <w:rFonts w:ascii="Calibri" w:eastAsia="Calibri" w:hAnsi="Calibri" w:cs="Calibri"/>
          <w:i/>
          <w:iCs/>
          <w:color w:val="000000" w:themeColor="text1"/>
          <w:sz w:val="22"/>
          <w:szCs w:val="22"/>
          <w:vertAlign w:val="superscript"/>
        </w:rPr>
        <w:t>4</w:t>
      </w:r>
      <w:r w:rsidRPr="00367824">
        <w:rPr>
          <w:rFonts w:ascii="Calibri" w:eastAsia="Calibri" w:hAnsi="Calibri" w:cs="Calibri"/>
          <w:color w:val="000000" w:themeColor="text1"/>
          <w:sz w:val="22"/>
          <w:szCs w:val="22"/>
        </w:rPr>
        <w:t xml:space="preserve">. Median amounts consumed: </w:t>
      </w:r>
      <w:proofErr w:type="gramStart"/>
      <w:r w:rsidRPr="00367824">
        <w:rPr>
          <w:rFonts w:ascii="Calibri" w:eastAsia="Calibri" w:hAnsi="Calibri" w:cs="Calibri"/>
          <w:color w:val="000000" w:themeColor="text1"/>
          <w:sz w:val="22"/>
          <w:szCs w:val="22"/>
        </w:rPr>
        <w:t>Soft</w:t>
      </w:r>
      <w:proofErr w:type="gramEnd"/>
      <w:r w:rsidRPr="00367824">
        <w:rPr>
          <w:rFonts w:ascii="Calibri" w:eastAsia="Calibri" w:hAnsi="Calibri" w:cs="Calibri"/>
          <w:color w:val="000000" w:themeColor="text1"/>
          <w:sz w:val="22"/>
          <w:szCs w:val="22"/>
        </w:rPr>
        <w:t xml:space="preserve"> drinks – 390 g; Fruit drinks from concentrate – 302 g</w:t>
      </w:r>
      <w:r w:rsidRPr="00367824">
        <w:rPr>
          <w:rFonts w:ascii="Calibri" w:eastAsia="Calibri" w:hAnsi="Calibri" w:cs="Calibri"/>
          <w:color w:val="000000" w:themeColor="text1"/>
          <w:sz w:val="22"/>
          <w:szCs w:val="22"/>
          <w:vertAlign w:val="superscript"/>
        </w:rPr>
        <w:t>12</w:t>
      </w:r>
      <w:r w:rsidRPr="00367824">
        <w:rPr>
          <w:rFonts w:ascii="Calibri" w:eastAsia="Calibri" w:hAnsi="Calibri" w:cs="Calibri"/>
          <w:color w:val="000000" w:themeColor="text1"/>
          <w:sz w:val="22"/>
          <w:szCs w:val="22"/>
        </w:rPr>
        <w:t>. Data on dairy and dairy-alternative based drinks was not available. Retail data shows that 375</w:t>
      </w:r>
      <w:r w:rsidR="00AC26B2" w:rsidRPr="00367824">
        <w:rPr>
          <w:rFonts w:ascii="Calibri" w:eastAsia="Calibri" w:hAnsi="Calibri" w:cs="Calibri"/>
          <w:color w:val="000000" w:themeColor="text1"/>
          <w:sz w:val="22"/>
          <w:szCs w:val="22"/>
        </w:rPr>
        <w:t xml:space="preserve"> </w:t>
      </w:r>
      <w:r w:rsidRPr="00367824">
        <w:rPr>
          <w:rFonts w:ascii="Calibri" w:eastAsia="Calibri" w:hAnsi="Calibri" w:cs="Calibri"/>
          <w:color w:val="000000" w:themeColor="text1"/>
          <w:sz w:val="22"/>
          <w:szCs w:val="22"/>
        </w:rPr>
        <w:t>ml is the most frequently sold soft drink size, followed by 200 ml and 300</w:t>
      </w:r>
      <w:r w:rsidR="00D11B69">
        <w:rPr>
          <w:rFonts w:ascii="Calibri" w:eastAsia="Calibri" w:hAnsi="Calibri" w:cs="Calibri"/>
          <w:color w:val="000000" w:themeColor="text1"/>
          <w:sz w:val="22"/>
          <w:szCs w:val="22"/>
        </w:rPr>
        <w:t> </w:t>
      </w:r>
      <w:r w:rsidRPr="00367824">
        <w:rPr>
          <w:rFonts w:ascii="Calibri" w:eastAsia="Calibri" w:hAnsi="Calibri" w:cs="Calibri"/>
          <w:color w:val="000000" w:themeColor="text1"/>
          <w:sz w:val="22"/>
          <w:szCs w:val="22"/>
        </w:rPr>
        <w:t xml:space="preserve">ml. </w:t>
      </w:r>
      <w:bookmarkStart w:id="39" w:name="_Hlk109286983"/>
      <w:r w:rsidRPr="00367824">
        <w:rPr>
          <w:rFonts w:ascii="Calibri" w:eastAsia="Calibri" w:hAnsi="Calibri" w:cs="Calibri"/>
          <w:color w:val="000000" w:themeColor="text1"/>
          <w:sz w:val="22"/>
          <w:szCs w:val="22"/>
        </w:rPr>
        <w:t>The serving sizes available in out of home settings are significantly larger than those purchased in retail stores</w:t>
      </w:r>
      <w:r w:rsidRPr="00367824">
        <w:rPr>
          <w:rFonts w:ascii="Calibri" w:eastAsia="Calibri" w:hAnsi="Calibri" w:cs="Calibri"/>
          <w:color w:val="000000" w:themeColor="text1"/>
          <w:sz w:val="22"/>
          <w:szCs w:val="22"/>
          <w:vertAlign w:val="superscript"/>
        </w:rPr>
        <w:t>1, 13</w:t>
      </w:r>
      <w:r w:rsidRPr="00367824">
        <w:rPr>
          <w:rFonts w:ascii="Calibri" w:eastAsia="Calibri" w:hAnsi="Calibri" w:cs="Calibri"/>
          <w:color w:val="000000" w:themeColor="text1"/>
          <w:sz w:val="22"/>
          <w:szCs w:val="22"/>
        </w:rPr>
        <w:t>. Further, the George Institute for Global Health found that average soft drink sizes have increased by 69 ml between 2016 and</w:t>
      </w:r>
      <w:r w:rsidRPr="00367824">
        <w:rPr>
          <w:sz w:val="22"/>
          <w:szCs w:val="22"/>
        </w:rPr>
        <w:t xml:space="preserve"> </w:t>
      </w:r>
      <w:r w:rsidRPr="00367824">
        <w:rPr>
          <w:rFonts w:ascii="Calibri" w:eastAsia="Calibri" w:hAnsi="Calibri" w:cs="Calibri"/>
          <w:color w:val="000000" w:themeColor="text1"/>
          <w:sz w:val="22"/>
          <w:szCs w:val="22"/>
        </w:rPr>
        <w:t>2019</w:t>
      </w:r>
      <w:r w:rsidRPr="00367824">
        <w:rPr>
          <w:rFonts w:ascii="Calibri" w:eastAsia="Calibri" w:hAnsi="Calibri" w:cs="Calibri"/>
          <w:color w:val="000000" w:themeColor="text1"/>
          <w:sz w:val="22"/>
          <w:szCs w:val="22"/>
          <w:vertAlign w:val="superscript"/>
        </w:rPr>
        <w:t xml:space="preserve"> 13</w:t>
      </w:r>
      <w:r w:rsidRPr="00367824">
        <w:rPr>
          <w:rFonts w:ascii="Calibri" w:eastAsia="Calibri" w:hAnsi="Calibri" w:cs="Calibri"/>
          <w:color w:val="000000" w:themeColor="text1"/>
          <w:sz w:val="22"/>
          <w:szCs w:val="22"/>
        </w:rPr>
        <w:t>.</w:t>
      </w:r>
      <w:bookmarkEnd w:id="39"/>
      <w:r w:rsidRPr="00367824">
        <w:rPr>
          <w:rFonts w:ascii="Calibri" w:eastAsia="Calibri" w:hAnsi="Calibri" w:cs="Calibri"/>
          <w:color w:val="000000" w:themeColor="text1"/>
          <w:sz w:val="22"/>
          <w:szCs w:val="22"/>
        </w:rPr>
        <w:t xml:space="preserve">  This finding is supported by Euromonitor data, which show that in out of home settings, the most frequently sold sizes are 390 ml and 600 ml</w:t>
      </w:r>
      <w:r w:rsidRPr="00367824">
        <w:rPr>
          <w:rFonts w:ascii="Calibri" w:eastAsia="Calibri" w:hAnsi="Calibri" w:cs="Calibri"/>
          <w:color w:val="000000" w:themeColor="text1"/>
          <w:sz w:val="22"/>
          <w:szCs w:val="22"/>
          <w:vertAlign w:val="superscript"/>
        </w:rPr>
        <w:t>14</w:t>
      </w:r>
      <w:r w:rsidRPr="00367824">
        <w:rPr>
          <w:rFonts w:ascii="Calibri" w:eastAsia="Calibri" w:hAnsi="Calibri" w:cs="Calibri"/>
          <w:color w:val="000000" w:themeColor="text1"/>
          <w:sz w:val="22"/>
          <w:szCs w:val="22"/>
        </w:rPr>
        <w:t>. The category of ‘Fruit drinks’ represents a broad range of products which can vary considerably in fruit juice and sugar content (</w:t>
      </w:r>
      <w:proofErr w:type="gramStart"/>
      <w:r w:rsidRPr="00367824">
        <w:rPr>
          <w:rFonts w:ascii="Calibri" w:eastAsia="Calibri" w:hAnsi="Calibri" w:cs="Calibri"/>
          <w:color w:val="000000" w:themeColor="text1"/>
          <w:sz w:val="22"/>
          <w:szCs w:val="22"/>
        </w:rPr>
        <w:t>similar to</w:t>
      </w:r>
      <w:proofErr w:type="gramEnd"/>
      <w:r w:rsidRPr="00367824">
        <w:rPr>
          <w:rFonts w:ascii="Calibri" w:eastAsia="Calibri" w:hAnsi="Calibri" w:cs="Calibri"/>
          <w:color w:val="000000" w:themeColor="text1"/>
          <w:sz w:val="22"/>
          <w:szCs w:val="22"/>
        </w:rPr>
        <w:t xml:space="preserve"> soft drinks). This category is known for its diversity and therefore significant variation in energy.</w:t>
      </w:r>
    </w:p>
    <w:p w14:paraId="0F386325" w14:textId="77777777" w:rsidR="00950831" w:rsidRPr="00367824" w:rsidRDefault="00C97C2E" w:rsidP="00832F11">
      <w:pPr>
        <w:pStyle w:val="ListParagraph"/>
        <w:numPr>
          <w:ilvl w:val="0"/>
          <w:numId w:val="12"/>
        </w:numPr>
        <w:spacing w:after="120"/>
        <w:ind w:left="360"/>
        <w:contextualSpacing w:val="0"/>
        <w:rPr>
          <w:rFonts w:ascii="Calibri" w:eastAsia="Calibri" w:hAnsi="Calibri" w:cs="Calibri"/>
          <w:color w:val="000000" w:themeColor="text1"/>
          <w:sz w:val="22"/>
          <w:szCs w:val="22"/>
        </w:rPr>
      </w:pPr>
      <w:r w:rsidRPr="00367824">
        <w:rPr>
          <w:rFonts w:ascii="Calibri" w:eastAsia="Calibri" w:hAnsi="Calibri" w:cs="Calibri"/>
          <w:b/>
          <w:bCs/>
          <w:sz w:val="22"/>
          <w:szCs w:val="22"/>
        </w:rPr>
        <w:t xml:space="preserve">Alignment with other guidance: </w:t>
      </w:r>
      <w:r w:rsidRPr="00367824">
        <w:rPr>
          <w:rFonts w:ascii="Calibri" w:eastAsia="Calibri" w:hAnsi="Calibri" w:cs="Calibri"/>
          <w:sz w:val="22"/>
          <w:szCs w:val="22"/>
        </w:rPr>
        <w:t>Not aligned with other jurisdictional guidance. Victorian Government guidelines allow a maximum of 250 ml</w:t>
      </w:r>
      <w:r w:rsidRPr="00367824">
        <w:rPr>
          <w:rFonts w:ascii="Calibri" w:eastAsia="Calibri" w:hAnsi="Calibri" w:cs="Calibri"/>
          <w:sz w:val="22"/>
          <w:szCs w:val="22"/>
          <w:vertAlign w:val="superscript"/>
        </w:rPr>
        <w:t>7</w:t>
      </w:r>
      <w:r w:rsidRPr="00367824">
        <w:rPr>
          <w:rFonts w:ascii="Calibri" w:eastAsia="Calibri" w:hAnsi="Calibri" w:cs="Calibri"/>
          <w:sz w:val="22"/>
          <w:szCs w:val="22"/>
        </w:rPr>
        <w:t xml:space="preserve">; NSW Government </w:t>
      </w:r>
      <w:r w:rsidRPr="00367824">
        <w:rPr>
          <w:rFonts w:ascii="Calibri" w:eastAsia="Calibri" w:hAnsi="Calibri" w:cs="Calibri"/>
          <w:sz w:val="22"/>
          <w:szCs w:val="22"/>
          <w:lang w:val="en-GB"/>
        </w:rPr>
        <w:t xml:space="preserve">guidelines </w:t>
      </w:r>
      <w:r w:rsidRPr="00367824">
        <w:rPr>
          <w:rFonts w:ascii="Calibri" w:eastAsia="Calibri" w:hAnsi="Calibri" w:cs="Calibri"/>
          <w:sz w:val="22"/>
          <w:szCs w:val="22"/>
        </w:rPr>
        <w:t xml:space="preserve">limit </w:t>
      </w:r>
      <w:r w:rsidRPr="00367824">
        <w:rPr>
          <w:rFonts w:ascii="Calibri" w:eastAsia="Calibri" w:hAnsi="Calibri" w:cs="Calibri"/>
          <w:color w:val="000000" w:themeColor="text1"/>
          <w:sz w:val="22"/>
          <w:szCs w:val="22"/>
        </w:rPr>
        <w:t>diet and sugar free drinks and flavoured milks to 500 ml and sugar sweetened soft drinks and fruit drinks are not to be sold</w:t>
      </w:r>
      <w:r w:rsidRPr="00367824">
        <w:rPr>
          <w:rFonts w:ascii="Calibri" w:eastAsia="Calibri" w:hAnsi="Calibri" w:cs="Calibri"/>
          <w:color w:val="000000" w:themeColor="text1"/>
          <w:sz w:val="22"/>
          <w:szCs w:val="22"/>
          <w:vertAlign w:val="superscript"/>
        </w:rPr>
        <w:t>6</w:t>
      </w:r>
      <w:r w:rsidRPr="00367824">
        <w:rPr>
          <w:rFonts w:ascii="Calibri" w:eastAsia="Calibri" w:hAnsi="Calibri" w:cs="Calibri"/>
          <w:color w:val="000000" w:themeColor="text1"/>
          <w:sz w:val="22"/>
          <w:szCs w:val="22"/>
        </w:rPr>
        <w:t xml:space="preserve">. </w:t>
      </w:r>
    </w:p>
    <w:p w14:paraId="69F50078" w14:textId="1BF333B9" w:rsidR="00C97C2E" w:rsidRPr="00367824" w:rsidRDefault="00C97C2E" w:rsidP="00832F11">
      <w:pPr>
        <w:pStyle w:val="ListParagraph"/>
        <w:numPr>
          <w:ilvl w:val="0"/>
          <w:numId w:val="12"/>
        </w:numPr>
        <w:spacing w:after="120"/>
        <w:ind w:left="360"/>
        <w:contextualSpacing w:val="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Feasibility: </w:t>
      </w:r>
      <w:r w:rsidRPr="00367824">
        <w:rPr>
          <w:rFonts w:ascii="Calibri" w:eastAsia="Calibri" w:hAnsi="Calibri" w:cs="Calibri"/>
          <w:color w:val="000000" w:themeColor="text1"/>
          <w:sz w:val="22"/>
          <w:szCs w:val="22"/>
        </w:rPr>
        <w:t>The 66</w:t>
      </w:r>
      <w:r w:rsidRPr="00367824">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 (590 ml) was considered as the maximum serving size recommendation; however, it was not deemed a suitable cut-point for this category primarily because the available data for the out of home sector is not comprehensive and is skewed towards the larger serve sizes for frozen soft drinks, and because the sizes currently available are significantly out of step with health advice.</w:t>
      </w:r>
    </w:p>
    <w:p w14:paraId="771FDA13" w14:textId="77777777" w:rsidR="00C97C2E" w:rsidRPr="00367824" w:rsidRDefault="00C97C2E" w:rsidP="00832F11">
      <w:pPr>
        <w:pStyle w:val="ListParagraph"/>
        <w:numPr>
          <w:ilvl w:val="0"/>
          <w:numId w:val="12"/>
        </w:numPr>
        <w:spacing w:after="120"/>
        <w:ind w:left="360"/>
        <w:contextualSpacing w:val="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Industry and consumer acceptance: </w:t>
      </w:r>
      <w:r w:rsidRPr="00367824">
        <w:rPr>
          <w:rFonts w:ascii="Calibri" w:eastAsia="Calibri" w:hAnsi="Calibri" w:cs="Calibri"/>
          <w:color w:val="000000" w:themeColor="text1"/>
          <w:sz w:val="22"/>
          <w:szCs w:val="22"/>
        </w:rPr>
        <w:t xml:space="preserve">Reducing the sizes of soft drinks in the out of home sector is likely to be challenging. Therefore, an upper limit on serving sizes is proposed, which will work in conjunction with other recommendations and the Partnership Reformulation Program sugar target for soft drinks. </w:t>
      </w:r>
    </w:p>
    <w:p w14:paraId="7C44B93E" w14:textId="305197A6" w:rsidR="00C97C2E" w:rsidRPr="00367824" w:rsidRDefault="00C97C2E" w:rsidP="00832F11">
      <w:pPr>
        <w:spacing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Other Considerations or Influences underpinning this Category target</w:t>
      </w:r>
    </w:p>
    <w:p w14:paraId="73838B56" w14:textId="77777777" w:rsidR="00C97C2E" w:rsidRPr="00367824" w:rsidRDefault="00C97C2E" w:rsidP="00832F11">
      <w:pPr>
        <w:pStyle w:val="ListParagraph"/>
        <w:numPr>
          <w:ilvl w:val="0"/>
          <w:numId w:val="7"/>
        </w:numPr>
        <w:spacing w:after="120"/>
        <w:ind w:left="360"/>
        <w:contextualSpacing w:val="0"/>
        <w:rPr>
          <w:rFonts w:cstheme="minorBidi"/>
          <w:color w:val="000000" w:themeColor="text1"/>
          <w:sz w:val="22"/>
          <w:szCs w:val="22"/>
        </w:rPr>
      </w:pPr>
      <w:r w:rsidRPr="00367824">
        <w:rPr>
          <w:rFonts w:ascii="Calibri" w:eastAsia="Calibri" w:hAnsi="Calibri" w:cs="Calibri"/>
          <w:color w:val="000000" w:themeColor="text1"/>
          <w:sz w:val="22"/>
          <w:szCs w:val="22"/>
        </w:rPr>
        <w:t>The Guide includes guidance on other steps industry can take to reduce serving sizes, such as introducing smaller options of around 200 ml (if not currently available), offering water as the default option, and making the smallest size the default option.</w:t>
      </w:r>
    </w:p>
    <w:p w14:paraId="18856059" w14:textId="77777777" w:rsidR="00C97C2E" w:rsidRPr="00367824" w:rsidRDefault="00C97C2E" w:rsidP="00832F11">
      <w:pPr>
        <w:pStyle w:val="ListParagraph"/>
        <w:numPr>
          <w:ilvl w:val="0"/>
          <w:numId w:val="7"/>
        </w:numPr>
        <w:spacing w:after="120"/>
        <w:ind w:left="360"/>
        <w:contextualSpacing w:val="0"/>
        <w:rPr>
          <w:color w:val="000000" w:themeColor="text1"/>
          <w:sz w:val="22"/>
          <w:szCs w:val="22"/>
        </w:rPr>
      </w:pPr>
      <w:r w:rsidRPr="00367824">
        <w:rPr>
          <w:rFonts w:ascii="Calibri" w:eastAsia="Calibri" w:hAnsi="Calibri" w:cs="Calibri"/>
          <w:color w:val="000000" w:themeColor="text1"/>
          <w:sz w:val="22"/>
          <w:szCs w:val="22"/>
        </w:rPr>
        <w:t xml:space="preserve">There has been a shift away from post mix/fountain style drinks sold in cups, to those sold in bottles and cans. </w:t>
      </w:r>
    </w:p>
    <w:p w14:paraId="4FCE04C8" w14:textId="77777777" w:rsidR="00C97C2E" w:rsidRPr="00367824" w:rsidRDefault="00C97C2E" w:rsidP="00832F11">
      <w:pPr>
        <w:pStyle w:val="ListParagraph"/>
        <w:numPr>
          <w:ilvl w:val="0"/>
          <w:numId w:val="7"/>
        </w:numPr>
        <w:spacing w:after="120"/>
        <w:ind w:left="354" w:hanging="357"/>
        <w:contextualSpacing w:val="0"/>
        <w:rPr>
          <w:color w:val="000000" w:themeColor="text1"/>
          <w:sz w:val="22"/>
          <w:szCs w:val="22"/>
        </w:rPr>
      </w:pPr>
      <w:r w:rsidRPr="00367824">
        <w:rPr>
          <w:rFonts w:ascii="Calibri" w:eastAsia="Calibri" w:hAnsi="Calibri" w:cs="Calibri"/>
          <w:color w:val="000000" w:themeColor="text1"/>
          <w:sz w:val="22"/>
          <w:szCs w:val="22"/>
        </w:rPr>
        <w:t xml:space="preserve">It is recommended that the following guidance be adopted, depending on meal size ordered: 200-250 ml bottle/can = small meal; 300 ml bottle/375 ml can = medium meal; 390-450 ml bottle/440 ml can = large meal. </w:t>
      </w:r>
    </w:p>
    <w:p w14:paraId="2D9A4D51" w14:textId="77777777" w:rsidR="00C97C2E" w:rsidRPr="00367824" w:rsidRDefault="00C97C2E" w:rsidP="00832F11">
      <w:pPr>
        <w:pStyle w:val="ListParagraph"/>
        <w:numPr>
          <w:ilvl w:val="0"/>
          <w:numId w:val="7"/>
        </w:numPr>
        <w:spacing w:after="120"/>
        <w:ind w:left="360"/>
        <w:contextualSpacing w:val="0"/>
        <w:rPr>
          <w:color w:val="000000" w:themeColor="text1"/>
          <w:sz w:val="22"/>
          <w:szCs w:val="22"/>
        </w:rPr>
      </w:pPr>
      <w:r w:rsidRPr="00367824">
        <w:rPr>
          <w:rFonts w:ascii="Calibri" w:eastAsia="Calibri" w:hAnsi="Calibri" w:cs="Calibri"/>
          <w:color w:val="000000" w:themeColor="text1"/>
          <w:sz w:val="22"/>
          <w:szCs w:val="22"/>
        </w:rPr>
        <w:t xml:space="preserve">Note intensely sweetened (diet or low joule) drinks and fruit drinks are included in this category. </w:t>
      </w:r>
    </w:p>
    <w:p w14:paraId="1394DC0B" w14:textId="77777777" w:rsidR="00C97C2E" w:rsidRPr="00367824" w:rsidRDefault="00C97C2E" w:rsidP="00832F11">
      <w:pPr>
        <w:pStyle w:val="ListParagraph"/>
        <w:numPr>
          <w:ilvl w:val="0"/>
          <w:numId w:val="7"/>
        </w:numPr>
        <w:spacing w:after="120"/>
        <w:ind w:left="360"/>
        <w:contextualSpacing w:val="0"/>
        <w:rPr>
          <w:color w:val="000000" w:themeColor="text1"/>
          <w:sz w:val="22"/>
          <w:szCs w:val="22"/>
        </w:rPr>
      </w:pPr>
      <w:r w:rsidRPr="00367824">
        <w:rPr>
          <w:rFonts w:ascii="Calibri" w:eastAsia="Calibri" w:hAnsi="Calibri" w:cs="Calibri"/>
          <w:color w:val="000000" w:themeColor="text1"/>
          <w:sz w:val="22"/>
          <w:szCs w:val="22"/>
        </w:rPr>
        <w:t xml:space="preserve">The recommendation is exclusive of ice. Inclusion of ice adds volume without adding energy. </w:t>
      </w:r>
    </w:p>
    <w:p w14:paraId="7C115687" w14:textId="771540A5" w:rsidR="00C97C2E" w:rsidRDefault="00C97C2E" w:rsidP="00312E62">
      <w:pPr>
        <w:rPr>
          <w:b/>
          <w:bCs/>
          <w:sz w:val="28"/>
          <w:szCs w:val="28"/>
        </w:rPr>
      </w:pPr>
      <w:r w:rsidRPr="0044145E">
        <w:rPr>
          <w:b/>
          <w:bCs/>
          <w:sz w:val="28"/>
          <w:szCs w:val="28"/>
        </w:rPr>
        <w:lastRenderedPageBreak/>
        <w:t>Chocolate and chocolate-alternative-based confectionery</w:t>
      </w:r>
    </w:p>
    <w:p w14:paraId="055DED56" w14:textId="77777777" w:rsidR="00312E62" w:rsidRPr="0044145E" w:rsidRDefault="00312E62" w:rsidP="007A17AB">
      <w:pPr>
        <w:rPr>
          <w:b/>
          <w:bCs/>
          <w:sz w:val="28"/>
          <w:szCs w:val="28"/>
        </w:rPr>
      </w:pPr>
    </w:p>
    <w:tbl>
      <w:tblPr>
        <w:tblStyle w:val="TableGrid"/>
        <w:tblW w:w="9492" w:type="dxa"/>
        <w:jc w:val="center"/>
        <w:tblLayout w:type="fixed"/>
        <w:tblLook w:val="04A0" w:firstRow="1" w:lastRow="0" w:firstColumn="1" w:lastColumn="0" w:noHBand="0" w:noVBand="1"/>
      </w:tblPr>
      <w:tblGrid>
        <w:gridCol w:w="1171"/>
        <w:gridCol w:w="2450"/>
        <w:gridCol w:w="1957"/>
        <w:gridCol w:w="1957"/>
        <w:gridCol w:w="1957"/>
      </w:tblGrid>
      <w:tr w:rsidR="00C97C2E" w:rsidRPr="00367824" w14:paraId="4AB9F404" w14:textId="77777777" w:rsidTr="0062083C">
        <w:trPr>
          <w:jc w:val="center"/>
        </w:trPr>
        <w:tc>
          <w:tcPr>
            <w:tcW w:w="1267" w:type="dxa"/>
          </w:tcPr>
          <w:p w14:paraId="403183F6"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Setting</w:t>
            </w:r>
            <w:r w:rsidRPr="00367824">
              <w:rPr>
                <w:rFonts w:ascii="Calibri" w:eastAsia="Calibri" w:hAnsi="Calibri" w:cs="Calibri"/>
                <w:color w:val="000000" w:themeColor="text1"/>
                <w:sz w:val="22"/>
                <w:szCs w:val="22"/>
              </w:rPr>
              <w:t> </w:t>
            </w:r>
          </w:p>
        </w:tc>
        <w:tc>
          <w:tcPr>
            <w:tcW w:w="2676" w:type="dxa"/>
          </w:tcPr>
          <w:p w14:paraId="46A04537"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Current serving sizes </w:t>
            </w:r>
          </w:p>
          <w:p w14:paraId="0D8C2873"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(66</w:t>
            </w:r>
            <w:r w:rsidRPr="00367824">
              <w:rPr>
                <w:rFonts w:ascii="Calibri" w:eastAsia="Calibri" w:hAnsi="Calibri" w:cs="Calibri"/>
                <w:b/>
                <w:bCs/>
                <w:color w:val="000000" w:themeColor="text1"/>
                <w:sz w:val="22"/>
                <w:szCs w:val="22"/>
                <w:vertAlign w:val="superscript"/>
              </w:rPr>
              <w:t>th</w:t>
            </w:r>
            <w:r w:rsidRPr="00367824">
              <w:rPr>
                <w:rFonts w:ascii="Calibri" w:eastAsia="Calibri" w:hAnsi="Calibri" w:cs="Calibri"/>
                <w:b/>
                <w:bCs/>
                <w:color w:val="000000" w:themeColor="text1"/>
                <w:sz w:val="22"/>
                <w:szCs w:val="22"/>
              </w:rPr>
              <w:t xml:space="preserve"> percentile (unless otherwise stated))</w:t>
            </w:r>
            <w:r w:rsidRPr="00367824">
              <w:rPr>
                <w:rFonts w:ascii="Calibri" w:eastAsia="Calibri" w:hAnsi="Calibri" w:cs="Calibri"/>
                <w:b/>
                <w:bCs/>
                <w:color w:val="000000" w:themeColor="text1"/>
                <w:sz w:val="22"/>
                <w:szCs w:val="22"/>
                <w:vertAlign w:val="superscript"/>
              </w:rPr>
              <w:t>1</w:t>
            </w:r>
          </w:p>
        </w:tc>
        <w:tc>
          <w:tcPr>
            <w:tcW w:w="2133" w:type="dxa"/>
          </w:tcPr>
          <w:p w14:paraId="5A51924D" w14:textId="3C1C5226" w:rsidR="00C97C2E" w:rsidRPr="00367824" w:rsidRDefault="00C97C2E" w:rsidP="00BC2D7E">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Recommended maximum serving size (g)</w:t>
            </w:r>
          </w:p>
        </w:tc>
        <w:tc>
          <w:tcPr>
            <w:tcW w:w="2133" w:type="dxa"/>
          </w:tcPr>
          <w:p w14:paraId="2649EB4D" w14:textId="2588507A" w:rsidR="00C97C2E" w:rsidRPr="00367824" w:rsidRDefault="00C97C2E" w:rsidP="00BC2D7E">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Energy per recommended serving size (kJ)</w:t>
            </w:r>
            <w:r w:rsidRPr="00367824">
              <w:rPr>
                <w:rFonts w:ascii="Calibri" w:eastAsia="Calibri" w:hAnsi="Calibri" w:cs="Calibri"/>
                <w:color w:val="000000" w:themeColor="text1"/>
                <w:sz w:val="22"/>
                <w:szCs w:val="22"/>
                <w:vertAlign w:val="superscript"/>
              </w:rPr>
              <w:t>3</w:t>
            </w:r>
          </w:p>
        </w:tc>
        <w:tc>
          <w:tcPr>
            <w:tcW w:w="2133" w:type="dxa"/>
          </w:tcPr>
          <w:p w14:paraId="055FE3FC" w14:textId="79841589" w:rsidR="00C97C2E" w:rsidRPr="00367824" w:rsidRDefault="00C97C2E" w:rsidP="00BC2D7E">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Discretionary Serve 600</w:t>
            </w:r>
            <w:r w:rsidR="002C4ACE" w:rsidRPr="00367824">
              <w:rPr>
                <w:rFonts w:ascii="Calibri" w:eastAsia="Calibri" w:hAnsi="Calibri" w:cs="Calibri"/>
                <w:b/>
                <w:bCs/>
                <w:color w:val="000000" w:themeColor="text1"/>
                <w:sz w:val="22"/>
                <w:szCs w:val="22"/>
              </w:rPr>
              <w:t xml:space="preserve"> </w:t>
            </w:r>
            <w:r w:rsidRPr="00367824">
              <w:rPr>
                <w:rFonts w:ascii="Calibri" w:eastAsia="Calibri" w:hAnsi="Calibri" w:cs="Calibri"/>
                <w:b/>
                <w:bCs/>
                <w:color w:val="000000" w:themeColor="text1"/>
                <w:sz w:val="22"/>
                <w:szCs w:val="22"/>
              </w:rPr>
              <w:t>kJ equivalent</w:t>
            </w:r>
            <w:r w:rsidRPr="00367824">
              <w:rPr>
                <w:rFonts w:ascii="Calibri" w:eastAsia="Calibri" w:hAnsi="Calibri" w:cs="Calibri"/>
                <w:b/>
                <w:bCs/>
                <w:color w:val="000000" w:themeColor="text1"/>
                <w:sz w:val="22"/>
                <w:szCs w:val="22"/>
                <w:vertAlign w:val="superscript"/>
              </w:rPr>
              <w:t>4</w:t>
            </w:r>
          </w:p>
        </w:tc>
      </w:tr>
      <w:tr w:rsidR="00C97C2E" w:rsidRPr="00367824" w14:paraId="745DACD4" w14:textId="77777777" w:rsidTr="0062083C">
        <w:trPr>
          <w:trHeight w:val="1020"/>
          <w:jc w:val="center"/>
        </w:trPr>
        <w:tc>
          <w:tcPr>
            <w:tcW w:w="1267" w:type="dxa"/>
          </w:tcPr>
          <w:p w14:paraId="5AD32381"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Retail</w:t>
            </w:r>
          </w:p>
        </w:tc>
        <w:tc>
          <w:tcPr>
            <w:tcW w:w="2676" w:type="dxa"/>
          </w:tcPr>
          <w:p w14:paraId="7105F4D6"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lang w:val="en-US"/>
              </w:rPr>
              <w:t>All types</w:t>
            </w:r>
            <w:r w:rsidRPr="00367824">
              <w:rPr>
                <w:rFonts w:ascii="Calibri" w:eastAsia="Calibri" w:hAnsi="Calibri" w:cs="Calibri"/>
                <w:color w:val="000000" w:themeColor="text1"/>
                <w:sz w:val="22"/>
                <w:szCs w:val="22"/>
                <w:vertAlign w:val="superscript"/>
              </w:rPr>
              <w:t>1</w:t>
            </w:r>
          </w:p>
          <w:p w14:paraId="0C8EA1F1" w14:textId="77777777" w:rsidR="00C97C2E" w:rsidRPr="00367824" w:rsidRDefault="00C97C2E" w:rsidP="008C396B">
            <w:pPr>
              <w:rPr>
                <w:rFonts w:ascii="Calibri" w:eastAsia="Calibri" w:hAnsi="Calibri" w:cs="Calibri"/>
                <w:color w:val="000000" w:themeColor="text1"/>
                <w:sz w:val="22"/>
                <w:szCs w:val="22"/>
                <w:lang w:val="en-GB"/>
              </w:rPr>
            </w:pPr>
            <w:r w:rsidRPr="00367824">
              <w:rPr>
                <w:rFonts w:ascii="Calibri" w:eastAsia="Calibri" w:hAnsi="Calibri" w:cs="Calibri"/>
                <w:color w:val="000000" w:themeColor="text1"/>
                <w:sz w:val="22"/>
                <w:szCs w:val="22"/>
                <w:lang w:val="en-GB"/>
              </w:rPr>
              <w:t xml:space="preserve">Portioned: 28 g </w:t>
            </w:r>
          </w:p>
          <w:p w14:paraId="56E7591D"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GB"/>
              </w:rPr>
              <w:t xml:space="preserve">Unportioned:  25 g </w:t>
            </w:r>
          </w:p>
          <w:p w14:paraId="0452A114" w14:textId="77777777" w:rsidR="00C97C2E" w:rsidRPr="00367824" w:rsidRDefault="00C97C2E" w:rsidP="008C396B">
            <w:pPr>
              <w:rPr>
                <w:rFonts w:ascii="Calibri" w:eastAsia="Calibri" w:hAnsi="Calibri" w:cs="Calibri"/>
                <w:color w:val="000000" w:themeColor="text1"/>
                <w:sz w:val="22"/>
                <w:szCs w:val="22"/>
              </w:rPr>
            </w:pPr>
          </w:p>
          <w:p w14:paraId="70FA332F"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lang w:val="en-US"/>
              </w:rPr>
              <w:t>Bars (only)</w:t>
            </w:r>
            <w:r w:rsidRPr="00367824">
              <w:rPr>
                <w:rFonts w:ascii="Calibri" w:eastAsia="Calibri" w:hAnsi="Calibri" w:cs="Calibri"/>
                <w:color w:val="000000" w:themeColor="text1"/>
                <w:sz w:val="22"/>
                <w:szCs w:val="22"/>
                <w:vertAlign w:val="superscript"/>
                <w:lang w:val="en-US"/>
              </w:rPr>
              <w:t xml:space="preserve">15 </w:t>
            </w:r>
          </w:p>
          <w:p w14:paraId="498A97BF"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US"/>
              </w:rPr>
              <w:t xml:space="preserve">Portioned/partitioned: 36 g </w:t>
            </w:r>
          </w:p>
          <w:p w14:paraId="64EC5606" w14:textId="0180C495" w:rsidR="00B74906" w:rsidRPr="00367824" w:rsidRDefault="00C97C2E" w:rsidP="00BC2D7E">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US"/>
              </w:rPr>
              <w:t>Non-</w:t>
            </w:r>
            <w:r w:rsidR="00BC2D7E">
              <w:rPr>
                <w:rFonts w:ascii="Calibri" w:eastAsia="Calibri" w:hAnsi="Calibri" w:cs="Calibri"/>
                <w:color w:val="000000" w:themeColor="text1"/>
                <w:sz w:val="22"/>
                <w:szCs w:val="22"/>
                <w:lang w:val="en-US"/>
              </w:rPr>
              <w:t>p</w:t>
            </w:r>
            <w:r w:rsidRPr="00367824">
              <w:rPr>
                <w:rFonts w:ascii="Calibri" w:eastAsia="Calibri" w:hAnsi="Calibri" w:cs="Calibri"/>
                <w:color w:val="000000" w:themeColor="text1"/>
                <w:sz w:val="22"/>
                <w:szCs w:val="22"/>
                <w:lang w:val="en-US"/>
              </w:rPr>
              <w:t>ortioned/</w:t>
            </w:r>
            <w:r w:rsidR="00BC2D7E">
              <w:rPr>
                <w:rFonts w:ascii="Calibri" w:eastAsia="Calibri" w:hAnsi="Calibri" w:cs="Calibri"/>
                <w:color w:val="000000" w:themeColor="text1"/>
                <w:sz w:val="22"/>
                <w:szCs w:val="22"/>
                <w:lang w:val="en-US"/>
              </w:rPr>
              <w:t xml:space="preserve"> </w:t>
            </w:r>
            <w:r w:rsidRPr="00367824">
              <w:rPr>
                <w:rFonts w:ascii="Calibri" w:eastAsia="Calibri" w:hAnsi="Calibri" w:cs="Calibri"/>
                <w:color w:val="000000" w:themeColor="text1"/>
                <w:sz w:val="22"/>
                <w:szCs w:val="22"/>
                <w:lang w:val="en-US"/>
              </w:rPr>
              <w:t xml:space="preserve">partitioned: 50 g </w:t>
            </w:r>
          </w:p>
        </w:tc>
        <w:tc>
          <w:tcPr>
            <w:tcW w:w="2133" w:type="dxa"/>
          </w:tcPr>
          <w:p w14:paraId="59AD03A3"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50 g for single consumption bars</w:t>
            </w:r>
          </w:p>
          <w:p w14:paraId="5D716DCA" w14:textId="77777777" w:rsidR="00C97C2E" w:rsidRPr="00367824" w:rsidRDefault="00C97C2E" w:rsidP="008C396B">
            <w:pPr>
              <w:rPr>
                <w:rFonts w:ascii="Calibri" w:eastAsia="Calibri" w:hAnsi="Calibri" w:cs="Calibri"/>
                <w:color w:val="000000" w:themeColor="text1"/>
                <w:sz w:val="22"/>
                <w:szCs w:val="22"/>
              </w:rPr>
            </w:pPr>
          </w:p>
          <w:p w14:paraId="4E7C98E8" w14:textId="440242A6" w:rsidR="00C97C2E" w:rsidRPr="00367824" w:rsidRDefault="00C97C2E" w:rsidP="00BC2D7E">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25 g +/- 5 g for all other chocolate, as outlined in the existing </w:t>
            </w:r>
            <w:r w:rsidRPr="00367824">
              <w:rPr>
                <w:rFonts w:ascii="Calibri" w:eastAsiaTheme="minorHAnsi" w:hAnsi="Calibri" w:cs="Calibri"/>
                <w:sz w:val="22"/>
                <w:szCs w:val="22"/>
                <w:lang w:eastAsia="en-US"/>
              </w:rPr>
              <w:t>industry guidance (</w:t>
            </w:r>
            <w:r w:rsidRPr="00367824">
              <w:rPr>
                <w:rFonts w:ascii="Calibri" w:eastAsiaTheme="minorHAnsi" w:hAnsi="Calibri" w:cs="Calibri"/>
                <w:i/>
                <w:iCs/>
                <w:sz w:val="22"/>
                <w:szCs w:val="22"/>
                <w:lang w:eastAsia="en-US"/>
              </w:rPr>
              <w:t xml:space="preserve">Be </w:t>
            </w:r>
            <w:proofErr w:type="spellStart"/>
            <w:r w:rsidRPr="00367824">
              <w:rPr>
                <w:rFonts w:ascii="Calibri" w:eastAsiaTheme="minorHAnsi" w:hAnsi="Calibri" w:cs="Calibri"/>
                <w:i/>
                <w:iCs/>
                <w:sz w:val="22"/>
                <w:szCs w:val="22"/>
                <w:lang w:eastAsia="en-US"/>
              </w:rPr>
              <w:t>treatwise</w:t>
            </w:r>
            <w:proofErr w:type="spellEnd"/>
            <w:r w:rsidRPr="00367824">
              <w:rPr>
                <w:rFonts w:ascii="Calibri" w:eastAsiaTheme="minorHAnsi" w:hAnsi="Calibri" w:cs="Calibri"/>
                <w:i/>
                <w:iCs/>
                <w:sz w:val="22"/>
                <w:szCs w:val="22"/>
                <w:lang w:eastAsia="en-US"/>
              </w:rPr>
              <w:t>)</w:t>
            </w:r>
          </w:p>
        </w:tc>
        <w:tc>
          <w:tcPr>
            <w:tcW w:w="2133" w:type="dxa"/>
          </w:tcPr>
          <w:p w14:paraId="1D02CC75" w14:textId="05AF57EB" w:rsidR="00C97C2E" w:rsidRPr="00367824" w:rsidRDefault="00C97C2E" w:rsidP="008C396B">
            <w:pPr>
              <w:rPr>
                <w:rFonts w:ascii="Arial" w:eastAsia="Arial" w:hAnsi="Arial" w:cs="Arial"/>
                <w:color w:val="000000" w:themeColor="text1"/>
                <w:sz w:val="22"/>
                <w:szCs w:val="22"/>
              </w:rPr>
            </w:pPr>
            <w:r w:rsidRPr="00367824">
              <w:rPr>
                <w:rFonts w:ascii="Calibri" w:eastAsia="Calibri" w:hAnsi="Calibri" w:cs="Calibri"/>
                <w:color w:val="000000" w:themeColor="text1"/>
                <w:sz w:val="22"/>
                <w:szCs w:val="22"/>
              </w:rPr>
              <w:t>~1,100</w:t>
            </w:r>
          </w:p>
          <w:p w14:paraId="0315A160" w14:textId="77777777" w:rsidR="00C97C2E" w:rsidRPr="00367824" w:rsidRDefault="00C97C2E" w:rsidP="008C396B">
            <w:pPr>
              <w:rPr>
                <w:rFonts w:ascii="Arial" w:eastAsia="Arial" w:hAnsi="Arial" w:cs="Arial"/>
                <w:color w:val="000000" w:themeColor="text1"/>
                <w:sz w:val="22"/>
                <w:szCs w:val="22"/>
              </w:rPr>
            </w:pPr>
          </w:p>
        </w:tc>
        <w:tc>
          <w:tcPr>
            <w:tcW w:w="2133" w:type="dxa"/>
          </w:tcPr>
          <w:p w14:paraId="6FDC8363"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~2</w:t>
            </w:r>
          </w:p>
          <w:p w14:paraId="79A970EA" w14:textId="77777777" w:rsidR="00C97C2E" w:rsidRPr="00367824" w:rsidRDefault="00C97C2E" w:rsidP="008C396B">
            <w:pPr>
              <w:rPr>
                <w:rFonts w:ascii="Calibri" w:eastAsia="Calibri" w:hAnsi="Calibri" w:cs="Calibri"/>
                <w:color w:val="000000" w:themeColor="text1"/>
                <w:sz w:val="22"/>
                <w:szCs w:val="22"/>
              </w:rPr>
            </w:pPr>
          </w:p>
        </w:tc>
      </w:tr>
    </w:tbl>
    <w:p w14:paraId="48BC298A" w14:textId="59A50BB0" w:rsidR="00C97C2E" w:rsidRPr="00367824" w:rsidRDefault="00C97C2E" w:rsidP="00BC2D7E">
      <w:pPr>
        <w:spacing w:before="240"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Decisions against agreed Methodology (see section </w:t>
      </w:r>
      <w:r w:rsidR="00994436" w:rsidRPr="00367824">
        <w:rPr>
          <w:rFonts w:ascii="Calibri" w:eastAsia="Calibri" w:hAnsi="Calibri" w:cs="Calibri"/>
          <w:b/>
          <w:bCs/>
          <w:color w:val="000000" w:themeColor="text1"/>
          <w:sz w:val="22"/>
          <w:szCs w:val="22"/>
        </w:rPr>
        <w:t>6</w:t>
      </w:r>
      <w:r w:rsidRPr="00367824">
        <w:rPr>
          <w:rFonts w:ascii="Calibri" w:eastAsia="Calibri" w:hAnsi="Calibri" w:cs="Calibri"/>
          <w:b/>
          <w:bCs/>
          <w:color w:val="000000" w:themeColor="text1"/>
          <w:sz w:val="22"/>
          <w:szCs w:val="22"/>
        </w:rPr>
        <w:t>.2)</w:t>
      </w:r>
    </w:p>
    <w:p w14:paraId="75927BF4" w14:textId="77777777" w:rsidR="00C97C2E" w:rsidRPr="00367824" w:rsidRDefault="00C97C2E" w:rsidP="0062083C">
      <w:pPr>
        <w:pStyle w:val="ListParagraph"/>
        <w:numPr>
          <w:ilvl w:val="0"/>
          <w:numId w:val="21"/>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Setting and context: </w:t>
      </w:r>
      <w:r w:rsidRPr="00367824">
        <w:rPr>
          <w:rFonts w:ascii="Calibri" w:eastAsia="Calibri" w:hAnsi="Calibri" w:cs="Calibri"/>
          <w:color w:val="000000" w:themeColor="text1"/>
          <w:sz w:val="22"/>
          <w:szCs w:val="22"/>
        </w:rPr>
        <w:t>Retail settings. Intended to be consumed as a treat.</w:t>
      </w:r>
    </w:p>
    <w:p w14:paraId="0FAA4444" w14:textId="4F78B5C3" w:rsidR="00C97C2E" w:rsidRPr="00367824" w:rsidRDefault="00C97C2E" w:rsidP="0062083C">
      <w:pPr>
        <w:pStyle w:val="ListParagraph"/>
        <w:numPr>
          <w:ilvl w:val="0"/>
          <w:numId w:val="21"/>
        </w:numPr>
        <w:spacing w:after="120"/>
        <w:ind w:left="360"/>
        <w:contextualSpacing w:val="0"/>
        <w:rPr>
          <w:rFonts w:cstheme="minorBidi"/>
          <w:color w:val="000000" w:themeColor="text1"/>
          <w:sz w:val="22"/>
          <w:szCs w:val="22"/>
          <w:lang w:val="en-GB"/>
        </w:rPr>
      </w:pPr>
      <w:r w:rsidRPr="00367824">
        <w:rPr>
          <w:rFonts w:ascii="Calibri" w:eastAsia="Calibri" w:hAnsi="Calibri" w:cs="Calibri"/>
          <w:b/>
          <w:bCs/>
          <w:color w:val="000000" w:themeColor="text1"/>
          <w:sz w:val="22"/>
          <w:szCs w:val="22"/>
        </w:rPr>
        <w:t xml:space="preserve">Considerations: </w:t>
      </w:r>
      <w:r w:rsidRPr="00367824">
        <w:rPr>
          <w:rFonts w:ascii="Calibri" w:eastAsia="Calibri" w:hAnsi="Calibri" w:cs="Calibri"/>
          <w:color w:val="000000" w:themeColor="text1"/>
          <w:sz w:val="22"/>
          <w:szCs w:val="22"/>
        </w:rPr>
        <w:t xml:space="preserve">50 g serving size recommendation aligns with two discretionary serves of chocolate as outlined in the </w:t>
      </w:r>
      <w:r w:rsidRPr="00F826E2">
        <w:rPr>
          <w:rFonts w:ascii="Calibri" w:eastAsia="Calibri" w:hAnsi="Calibri" w:cs="Calibri"/>
          <w:i/>
          <w:iCs/>
          <w:color w:val="000000" w:themeColor="text1"/>
          <w:sz w:val="22"/>
          <w:szCs w:val="22"/>
        </w:rPr>
        <w:t>Eat for Health Educator Guide</w:t>
      </w:r>
      <w:r w:rsidRPr="00367824">
        <w:rPr>
          <w:rFonts w:ascii="Calibri" w:eastAsia="Calibri" w:hAnsi="Calibri" w:cs="Calibri"/>
          <w:color w:val="000000" w:themeColor="text1"/>
          <w:sz w:val="22"/>
          <w:szCs w:val="22"/>
        </w:rPr>
        <w:t>. Median amount consumed is 28 g for all types of chocolate products</w:t>
      </w:r>
      <w:r w:rsidRPr="00367824">
        <w:rPr>
          <w:rFonts w:ascii="Calibri" w:eastAsia="Calibri" w:hAnsi="Calibri" w:cs="Calibri"/>
          <w:color w:val="000000" w:themeColor="text1"/>
          <w:sz w:val="22"/>
          <w:szCs w:val="22"/>
          <w:vertAlign w:val="superscript"/>
        </w:rPr>
        <w:t>12</w:t>
      </w:r>
      <w:r w:rsidRPr="00367824">
        <w:rPr>
          <w:rFonts w:ascii="Calibri" w:eastAsia="Calibri" w:hAnsi="Calibri" w:cs="Calibri"/>
          <w:color w:val="000000" w:themeColor="text1"/>
          <w:sz w:val="22"/>
          <w:szCs w:val="22"/>
        </w:rPr>
        <w:t>.</w:t>
      </w:r>
      <w:r w:rsidRPr="00367824">
        <w:rPr>
          <w:rFonts w:ascii="Calibri" w:eastAsia="Calibri" w:hAnsi="Calibri" w:cs="Calibri"/>
          <w:color w:val="000000" w:themeColor="text1"/>
          <w:sz w:val="22"/>
          <w:szCs w:val="22"/>
          <w:lang w:val="en-GB"/>
        </w:rPr>
        <w:t xml:space="preserve"> Product data</w:t>
      </w:r>
      <w:r w:rsidRPr="00367824">
        <w:rPr>
          <w:rFonts w:ascii="Calibri" w:eastAsia="Calibri" w:hAnsi="Calibri" w:cs="Calibri"/>
          <w:color w:val="000000" w:themeColor="text1"/>
          <w:sz w:val="22"/>
          <w:szCs w:val="22"/>
          <w:vertAlign w:val="superscript"/>
        </w:rPr>
        <w:t xml:space="preserve"> </w:t>
      </w:r>
      <w:r w:rsidRPr="00367824">
        <w:rPr>
          <w:rFonts w:ascii="Calibri" w:eastAsia="Calibri" w:hAnsi="Calibri" w:cs="Calibri"/>
          <w:color w:val="000000" w:themeColor="text1"/>
          <w:sz w:val="22"/>
          <w:szCs w:val="22"/>
          <w:lang w:val="en-GB"/>
        </w:rPr>
        <w:t>shows the 66</w:t>
      </w:r>
      <w:r w:rsidRPr="00367824">
        <w:rPr>
          <w:rFonts w:ascii="Calibri" w:eastAsia="Calibri" w:hAnsi="Calibri" w:cs="Calibri"/>
          <w:color w:val="000000" w:themeColor="text1"/>
          <w:sz w:val="22"/>
          <w:szCs w:val="22"/>
          <w:vertAlign w:val="superscript"/>
          <w:lang w:val="en-GB"/>
        </w:rPr>
        <w:t>th</w:t>
      </w:r>
      <w:r w:rsidRPr="00367824">
        <w:rPr>
          <w:rFonts w:ascii="Calibri" w:eastAsia="Calibri" w:hAnsi="Calibri" w:cs="Calibri"/>
          <w:color w:val="000000" w:themeColor="text1"/>
          <w:sz w:val="22"/>
          <w:szCs w:val="22"/>
          <w:lang w:val="en-GB"/>
        </w:rPr>
        <w:t xml:space="preserve"> percentile of all types of portioned chocolates is 28 g (538 kJ) and unportioned is 25 g (557 kJ)</w:t>
      </w:r>
      <w:r w:rsidRPr="00367824">
        <w:rPr>
          <w:rFonts w:ascii="Calibri" w:eastAsia="Calibri" w:hAnsi="Calibri" w:cs="Calibri"/>
          <w:color w:val="000000" w:themeColor="text1"/>
          <w:sz w:val="22"/>
          <w:szCs w:val="22"/>
          <w:vertAlign w:val="superscript"/>
          <w:lang w:val="en-GB"/>
        </w:rPr>
        <w:t>1</w:t>
      </w:r>
      <w:r w:rsidRPr="00367824">
        <w:rPr>
          <w:rFonts w:ascii="Calibri" w:eastAsia="Calibri" w:hAnsi="Calibri" w:cs="Calibri"/>
          <w:color w:val="000000" w:themeColor="text1"/>
          <w:sz w:val="22"/>
          <w:szCs w:val="22"/>
          <w:lang w:val="en-GB"/>
        </w:rPr>
        <w:t>; unportioned chocolates (bars only) is 50 g (1,013 kJ) per bar</w:t>
      </w:r>
      <w:r w:rsidRPr="00367824">
        <w:rPr>
          <w:rFonts w:ascii="Calibri" w:eastAsia="Calibri" w:hAnsi="Calibri" w:cs="Calibri"/>
          <w:color w:val="000000" w:themeColor="text1"/>
          <w:sz w:val="22"/>
          <w:szCs w:val="22"/>
          <w:vertAlign w:val="superscript"/>
          <w:lang w:val="en-GB"/>
        </w:rPr>
        <w:t>15</w:t>
      </w:r>
      <w:r w:rsidRPr="00367824">
        <w:rPr>
          <w:rFonts w:ascii="Calibri" w:eastAsia="Calibri" w:hAnsi="Calibri" w:cs="Calibri"/>
          <w:color w:val="000000" w:themeColor="text1"/>
          <w:sz w:val="22"/>
          <w:szCs w:val="22"/>
          <w:lang w:val="en-GB"/>
        </w:rPr>
        <w:t>; portioned chocolate bars is 36 g (1,110 kJ)</w:t>
      </w:r>
      <w:r w:rsidRPr="00367824">
        <w:rPr>
          <w:rFonts w:ascii="Calibri" w:eastAsia="Calibri" w:hAnsi="Calibri" w:cs="Calibri"/>
          <w:color w:val="000000" w:themeColor="text1"/>
          <w:sz w:val="22"/>
          <w:szCs w:val="22"/>
          <w:vertAlign w:val="superscript"/>
          <w:lang w:val="en-GB"/>
        </w:rPr>
        <w:t>15</w:t>
      </w:r>
      <w:r w:rsidRPr="00367824">
        <w:rPr>
          <w:rFonts w:ascii="Calibri" w:eastAsia="Calibri" w:hAnsi="Calibri" w:cs="Calibri"/>
          <w:color w:val="000000" w:themeColor="text1"/>
          <w:sz w:val="22"/>
          <w:szCs w:val="22"/>
          <w:lang w:val="en-GB"/>
        </w:rPr>
        <w:t>.</w:t>
      </w:r>
    </w:p>
    <w:p w14:paraId="1209ABAA" w14:textId="77777777" w:rsidR="00C97C2E" w:rsidRPr="00367824" w:rsidRDefault="00C97C2E" w:rsidP="0062083C">
      <w:pPr>
        <w:pStyle w:val="ListParagraph"/>
        <w:numPr>
          <w:ilvl w:val="0"/>
          <w:numId w:val="21"/>
        </w:numPr>
        <w:spacing w:after="120"/>
        <w:ind w:left="360"/>
        <w:contextualSpacing w:val="0"/>
        <w:rPr>
          <w:color w:val="000000" w:themeColor="text1"/>
          <w:sz w:val="22"/>
          <w:szCs w:val="22"/>
        </w:rPr>
      </w:pPr>
      <w:r w:rsidRPr="00367824">
        <w:rPr>
          <w:rFonts w:ascii="Calibri" w:eastAsia="Calibri" w:hAnsi="Calibri" w:cs="Calibri"/>
          <w:b/>
          <w:bCs/>
          <w:color w:val="000000" w:themeColor="text1"/>
          <w:sz w:val="22"/>
          <w:szCs w:val="22"/>
          <w:lang w:val="en-GB"/>
        </w:rPr>
        <w:t xml:space="preserve">Alignment with other guidance: </w:t>
      </w:r>
      <w:r w:rsidRPr="00367824">
        <w:rPr>
          <w:rFonts w:ascii="Calibri" w:eastAsia="Calibri" w:hAnsi="Calibri" w:cs="Calibri"/>
          <w:color w:val="000000" w:themeColor="text1"/>
          <w:sz w:val="22"/>
          <w:szCs w:val="22"/>
        </w:rPr>
        <w:t xml:space="preserve">Consideration was given to jurisdictional guidance, including </w:t>
      </w:r>
      <w:r w:rsidRPr="00367824">
        <w:rPr>
          <w:rFonts w:ascii="Calibri" w:eastAsia="Calibri" w:hAnsi="Calibri" w:cs="Calibri"/>
          <w:sz w:val="22"/>
          <w:szCs w:val="22"/>
        </w:rPr>
        <w:t xml:space="preserve">NSW </w:t>
      </w:r>
      <w:r w:rsidRPr="00367824">
        <w:rPr>
          <w:rFonts w:ascii="Calibri" w:eastAsia="Calibri" w:hAnsi="Calibri" w:cs="Calibri"/>
          <w:sz w:val="22"/>
          <w:szCs w:val="22"/>
          <w:lang w:val="en-GB"/>
        </w:rPr>
        <w:t xml:space="preserve">Ministry of Health </w:t>
      </w:r>
      <w:r w:rsidRPr="00367824">
        <w:rPr>
          <w:rFonts w:ascii="Calibri" w:eastAsia="Calibri" w:hAnsi="Calibri" w:cs="Calibri"/>
          <w:i/>
          <w:iCs/>
          <w:sz w:val="22"/>
          <w:szCs w:val="22"/>
          <w:lang w:val="en-GB"/>
        </w:rPr>
        <w:t xml:space="preserve">Healthy Food and Drink in NSW Health Facilities for Staff and Visitors </w:t>
      </w:r>
      <w:r w:rsidRPr="00367824">
        <w:rPr>
          <w:rFonts w:ascii="Calibri" w:eastAsia="Calibri" w:hAnsi="Calibri" w:cs="Calibri"/>
          <w:i/>
          <w:iCs/>
          <w:sz w:val="22"/>
          <w:szCs w:val="22"/>
        </w:rPr>
        <w:t xml:space="preserve">Framework </w:t>
      </w:r>
      <w:r w:rsidRPr="00367824">
        <w:rPr>
          <w:rFonts w:ascii="Calibri" w:eastAsia="Calibri" w:hAnsi="Calibri" w:cs="Calibri"/>
          <w:sz w:val="22"/>
          <w:szCs w:val="22"/>
        </w:rPr>
        <w:t>(</w:t>
      </w:r>
      <w:r w:rsidRPr="00367824">
        <w:rPr>
          <w:rFonts w:ascii="Calibri" w:eastAsia="Calibri" w:hAnsi="Calibri" w:cs="Calibri"/>
          <w:color w:val="000000" w:themeColor="text1"/>
          <w:sz w:val="22"/>
          <w:szCs w:val="22"/>
        </w:rPr>
        <w:t>50 g)</w:t>
      </w:r>
      <w:r w:rsidRPr="00367824">
        <w:rPr>
          <w:rFonts w:ascii="Calibri" w:eastAsia="Calibri" w:hAnsi="Calibri" w:cs="Calibri"/>
          <w:color w:val="000000" w:themeColor="text1"/>
          <w:sz w:val="22"/>
          <w:szCs w:val="22"/>
          <w:vertAlign w:val="superscript"/>
        </w:rPr>
        <w:t>6</w:t>
      </w:r>
      <w:r w:rsidRPr="00367824">
        <w:rPr>
          <w:rFonts w:ascii="Calibri" w:eastAsia="Calibri" w:hAnsi="Calibri" w:cs="Calibri"/>
          <w:color w:val="000000" w:themeColor="text1"/>
          <w:sz w:val="22"/>
          <w:szCs w:val="22"/>
        </w:rPr>
        <w:t>; US RACC (Reference Amounts Customarily Consumed) = 30 g</w:t>
      </w:r>
      <w:r w:rsidRPr="00367824">
        <w:rPr>
          <w:rFonts w:ascii="Calibri" w:eastAsia="Calibri" w:hAnsi="Calibri" w:cs="Calibri"/>
          <w:color w:val="000000" w:themeColor="text1"/>
          <w:sz w:val="22"/>
          <w:szCs w:val="22"/>
          <w:vertAlign w:val="superscript"/>
        </w:rPr>
        <w:t>8</w:t>
      </w:r>
      <w:r w:rsidRPr="00367824">
        <w:rPr>
          <w:rFonts w:ascii="Calibri" w:eastAsia="Calibri" w:hAnsi="Calibri" w:cs="Calibri"/>
          <w:color w:val="000000" w:themeColor="text1"/>
          <w:sz w:val="22"/>
          <w:szCs w:val="22"/>
        </w:rPr>
        <w:t>, Canadian RA (Reference Amount) = 40 g</w:t>
      </w:r>
      <w:r w:rsidRPr="00367824">
        <w:rPr>
          <w:rFonts w:ascii="Calibri" w:eastAsia="Calibri" w:hAnsi="Calibri" w:cs="Calibri"/>
          <w:color w:val="000000" w:themeColor="text1"/>
          <w:sz w:val="22"/>
          <w:szCs w:val="22"/>
          <w:vertAlign w:val="superscript"/>
        </w:rPr>
        <w:t>9</w:t>
      </w:r>
      <w:r w:rsidRPr="00367824">
        <w:rPr>
          <w:rFonts w:ascii="Calibri" w:eastAsia="Calibri" w:hAnsi="Calibri" w:cs="Calibri"/>
          <w:color w:val="000000" w:themeColor="text1"/>
          <w:sz w:val="22"/>
          <w:szCs w:val="22"/>
        </w:rPr>
        <w:t>; US single serve contains up to 200% of RACC = 60 g and Canada 50-200% of RA i.e. up to 80 g ; Public Health England (PHE) energy range of 836-1,046 kJ per serving</w:t>
      </w:r>
      <w:r w:rsidRPr="00367824">
        <w:rPr>
          <w:rFonts w:ascii="Calibri" w:eastAsia="Calibri" w:hAnsi="Calibri" w:cs="Calibri"/>
          <w:color w:val="000000" w:themeColor="text1"/>
          <w:sz w:val="22"/>
          <w:szCs w:val="22"/>
          <w:vertAlign w:val="superscript"/>
        </w:rPr>
        <w:t>10</w:t>
      </w:r>
      <w:r w:rsidRPr="00367824">
        <w:rPr>
          <w:rFonts w:ascii="Calibri" w:eastAsia="Calibri" w:hAnsi="Calibri" w:cs="Calibri"/>
          <w:color w:val="000000" w:themeColor="text1"/>
          <w:sz w:val="22"/>
          <w:szCs w:val="22"/>
        </w:rPr>
        <w:t xml:space="preserve"> and industry guidance (</w:t>
      </w:r>
      <w:r w:rsidRPr="00367824">
        <w:rPr>
          <w:rFonts w:ascii="Calibri" w:eastAsia="Calibri" w:hAnsi="Calibri" w:cs="Calibri"/>
          <w:i/>
          <w:iCs/>
          <w:color w:val="000000" w:themeColor="text1"/>
          <w:sz w:val="22"/>
          <w:szCs w:val="22"/>
        </w:rPr>
        <w:t xml:space="preserve">Be </w:t>
      </w:r>
      <w:proofErr w:type="spellStart"/>
      <w:r w:rsidRPr="00367824">
        <w:rPr>
          <w:rFonts w:ascii="Calibri" w:eastAsia="Calibri" w:hAnsi="Calibri" w:cs="Calibri"/>
          <w:i/>
          <w:iCs/>
          <w:color w:val="000000" w:themeColor="text1"/>
          <w:sz w:val="22"/>
          <w:szCs w:val="22"/>
        </w:rPr>
        <w:t>treatwise</w:t>
      </w:r>
      <w:proofErr w:type="spellEnd"/>
      <w:r w:rsidRPr="00367824">
        <w:rPr>
          <w:rFonts w:ascii="Calibri" w:eastAsia="Calibri" w:hAnsi="Calibri" w:cs="Calibri"/>
          <w:color w:val="000000" w:themeColor="text1"/>
          <w:sz w:val="22"/>
          <w:szCs w:val="22"/>
        </w:rPr>
        <w:t xml:space="preserve">® i.e. 25 g +/-5 g and </w:t>
      </w:r>
      <w:proofErr w:type="spellStart"/>
      <w:r w:rsidRPr="00367824">
        <w:rPr>
          <w:rFonts w:ascii="Calibri" w:eastAsia="Calibri" w:hAnsi="Calibri" w:cs="Calibri"/>
          <w:color w:val="000000" w:themeColor="text1"/>
          <w:sz w:val="22"/>
          <w:szCs w:val="22"/>
        </w:rPr>
        <w:t>Portionability</w:t>
      </w:r>
      <w:proofErr w:type="spellEnd"/>
      <w:r w:rsidRPr="00367824">
        <w:rPr>
          <w:rFonts w:ascii="Calibri" w:eastAsia="Calibri" w:hAnsi="Calibri" w:cs="Calibri"/>
          <w:color w:val="000000" w:themeColor="text1"/>
          <w:sz w:val="22"/>
          <w:szCs w:val="22"/>
        </w:rPr>
        <w:t xml:space="preserve"> criterion)</w:t>
      </w:r>
      <w:r w:rsidRPr="00367824">
        <w:rPr>
          <w:rFonts w:ascii="Calibri" w:eastAsia="Calibri" w:hAnsi="Calibri" w:cs="Calibri"/>
          <w:color w:val="000000" w:themeColor="text1"/>
          <w:sz w:val="22"/>
          <w:szCs w:val="22"/>
          <w:vertAlign w:val="superscript"/>
        </w:rPr>
        <w:t>16</w:t>
      </w:r>
      <w:r w:rsidRPr="00367824">
        <w:rPr>
          <w:rFonts w:ascii="Calibri" w:eastAsia="Calibri" w:hAnsi="Calibri" w:cs="Calibri"/>
          <w:color w:val="000000" w:themeColor="text1"/>
          <w:sz w:val="22"/>
          <w:szCs w:val="22"/>
        </w:rPr>
        <w:t>.</w:t>
      </w:r>
    </w:p>
    <w:p w14:paraId="180B4CC3" w14:textId="77777777" w:rsidR="00C97C2E" w:rsidRPr="00367824" w:rsidRDefault="00C97C2E" w:rsidP="0062083C">
      <w:pPr>
        <w:pStyle w:val="ListParagraph"/>
        <w:numPr>
          <w:ilvl w:val="0"/>
          <w:numId w:val="21"/>
        </w:numPr>
        <w:spacing w:after="120"/>
        <w:ind w:left="360"/>
        <w:contextualSpacing w:val="0"/>
        <w:rPr>
          <w:color w:val="000000" w:themeColor="text1"/>
          <w:sz w:val="22"/>
          <w:szCs w:val="22"/>
          <w:lang w:val="en-US"/>
        </w:rPr>
      </w:pPr>
      <w:r w:rsidRPr="00367824">
        <w:rPr>
          <w:rFonts w:ascii="Calibri" w:eastAsia="Calibri" w:hAnsi="Calibri" w:cs="Calibri"/>
          <w:b/>
          <w:bCs/>
          <w:color w:val="000000" w:themeColor="text1"/>
          <w:sz w:val="22"/>
          <w:szCs w:val="22"/>
          <w:lang w:val="en-GB"/>
        </w:rPr>
        <w:t xml:space="preserve">Feasibility: </w:t>
      </w:r>
      <w:r w:rsidRPr="00367824">
        <w:rPr>
          <w:rFonts w:ascii="Calibri" w:eastAsia="Calibri" w:hAnsi="Calibri" w:cs="Calibri"/>
          <w:color w:val="000000" w:themeColor="text1"/>
          <w:sz w:val="22"/>
          <w:szCs w:val="22"/>
          <w:lang w:val="en-GB"/>
        </w:rPr>
        <w:t xml:space="preserve">Data from the major supermarkets were obtained to help inform this recommendation and validated general conformance with the industry agreed standardised serving size. </w:t>
      </w:r>
    </w:p>
    <w:p w14:paraId="048C8A91" w14:textId="5DAC0750" w:rsidR="00C97C2E" w:rsidRPr="00367824" w:rsidRDefault="00C97C2E" w:rsidP="0062083C">
      <w:pPr>
        <w:pStyle w:val="ListParagraph"/>
        <w:numPr>
          <w:ilvl w:val="0"/>
          <w:numId w:val="21"/>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Industry and consumer acceptance: </w:t>
      </w:r>
      <w:r w:rsidRPr="00367824">
        <w:rPr>
          <w:rFonts w:ascii="Calibri" w:eastAsia="Calibri" w:hAnsi="Calibri" w:cs="Calibri"/>
          <w:color w:val="000000" w:themeColor="text1"/>
          <w:sz w:val="22"/>
          <w:szCs w:val="22"/>
        </w:rPr>
        <w:t xml:space="preserve"> Consultation with industry offers confidence that the industry will evolve its serving size guidance to incorporate the maximum serving size recommendation of 50</w:t>
      </w:r>
      <w:r w:rsidR="0050147F" w:rsidRPr="00367824">
        <w:rPr>
          <w:rFonts w:ascii="Calibri" w:eastAsia="Calibri" w:hAnsi="Calibri" w:cs="Calibri"/>
          <w:color w:val="000000" w:themeColor="text1"/>
          <w:sz w:val="22"/>
          <w:szCs w:val="22"/>
        </w:rPr>
        <w:t> </w:t>
      </w:r>
      <w:r w:rsidRPr="00367824">
        <w:rPr>
          <w:rFonts w:ascii="Calibri" w:eastAsia="Calibri" w:hAnsi="Calibri" w:cs="Calibri"/>
          <w:color w:val="000000" w:themeColor="text1"/>
          <w:sz w:val="22"/>
          <w:szCs w:val="22"/>
        </w:rPr>
        <w:t>g.</w:t>
      </w:r>
    </w:p>
    <w:p w14:paraId="5E7ECA31" w14:textId="77777777" w:rsidR="00C97C2E" w:rsidRPr="00367824" w:rsidRDefault="00C97C2E" w:rsidP="0062083C">
      <w:pPr>
        <w:spacing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Other Considerations or Influences underpinning this Category target</w:t>
      </w:r>
    </w:p>
    <w:p w14:paraId="411F9344" w14:textId="3D263827" w:rsidR="00C97C2E" w:rsidRPr="00367824" w:rsidRDefault="00C97C2E" w:rsidP="0062083C">
      <w:pPr>
        <w:pStyle w:val="ListParagraph"/>
        <w:numPr>
          <w:ilvl w:val="0"/>
          <w:numId w:val="3"/>
        </w:numPr>
        <w:spacing w:after="120"/>
        <w:ind w:left="360"/>
        <w:contextualSpacing w:val="0"/>
        <w:rPr>
          <w:color w:val="000000" w:themeColor="text1"/>
          <w:sz w:val="22"/>
          <w:szCs w:val="22"/>
        </w:rPr>
      </w:pPr>
      <w:r w:rsidRPr="00367824">
        <w:rPr>
          <w:rFonts w:ascii="Calibri" w:eastAsia="Calibri" w:hAnsi="Calibri" w:cs="Calibri"/>
          <w:color w:val="000000" w:themeColor="text1"/>
          <w:sz w:val="22"/>
          <w:szCs w:val="22"/>
        </w:rPr>
        <w:t xml:space="preserve">The </w:t>
      </w:r>
      <w:proofErr w:type="spellStart"/>
      <w:r w:rsidRPr="00367824">
        <w:rPr>
          <w:rFonts w:ascii="Calibri" w:eastAsia="Calibri" w:hAnsi="Calibri" w:cs="Calibri"/>
          <w:color w:val="000000" w:themeColor="text1"/>
          <w:sz w:val="22"/>
          <w:szCs w:val="22"/>
        </w:rPr>
        <w:t>FoodTrack</w:t>
      </w:r>
      <w:proofErr w:type="spellEnd"/>
      <w:r w:rsidRPr="00367824">
        <w:rPr>
          <w:rFonts w:ascii="Calibri" w:eastAsia="Calibri" w:hAnsi="Calibri" w:cs="Calibri"/>
          <w:color w:val="000000" w:themeColor="text1"/>
          <w:sz w:val="22"/>
          <w:szCs w:val="22"/>
        </w:rPr>
        <w:t xml:space="preserve"> data</w:t>
      </w:r>
      <w:r w:rsidRPr="00367824">
        <w:rPr>
          <w:rFonts w:ascii="Calibri" w:eastAsia="Calibri" w:hAnsi="Calibri" w:cs="Calibri"/>
          <w:color w:val="000000" w:themeColor="text1"/>
          <w:sz w:val="22"/>
          <w:szCs w:val="22"/>
          <w:vertAlign w:val="superscript"/>
        </w:rPr>
        <w:t>1</w:t>
      </w:r>
      <w:r w:rsidRPr="00367824">
        <w:rPr>
          <w:rFonts w:ascii="Calibri" w:eastAsia="Calibri" w:hAnsi="Calibri" w:cs="Calibri"/>
          <w:color w:val="000000" w:themeColor="text1"/>
          <w:sz w:val="22"/>
          <w:szCs w:val="22"/>
        </w:rPr>
        <w:t xml:space="preserve"> was supplemented by industry Nielsen grocery and convenience bar (only) data (Moving Annual Total 6/9/20 and Moving Annual Total 2/8/20</w:t>
      </w:r>
      <w:r w:rsidR="00AC26B2" w:rsidRPr="00367824">
        <w:rPr>
          <w:rFonts w:ascii="Calibri" w:eastAsia="Calibri" w:hAnsi="Calibri" w:cs="Calibri"/>
          <w:color w:val="000000" w:themeColor="text1"/>
          <w:sz w:val="22"/>
          <w:szCs w:val="22"/>
        </w:rPr>
        <w:t>,</w:t>
      </w:r>
      <w:r w:rsidRPr="00367824">
        <w:rPr>
          <w:rFonts w:ascii="Calibri" w:eastAsia="Calibri" w:hAnsi="Calibri" w:cs="Calibri"/>
          <w:color w:val="000000" w:themeColor="text1"/>
          <w:sz w:val="22"/>
          <w:szCs w:val="22"/>
        </w:rPr>
        <w:t xml:space="preserve"> respectively</w:t>
      </w:r>
      <w:r w:rsidR="00AC26B2" w:rsidRPr="00367824">
        <w:rPr>
          <w:rFonts w:ascii="Calibri" w:eastAsia="Calibri" w:hAnsi="Calibri" w:cs="Calibri"/>
          <w:color w:val="000000" w:themeColor="text1"/>
          <w:sz w:val="22"/>
          <w:szCs w:val="22"/>
        </w:rPr>
        <w:t>)</w:t>
      </w:r>
      <w:r w:rsidRPr="00367824">
        <w:rPr>
          <w:rFonts w:ascii="Calibri" w:eastAsia="Calibri" w:hAnsi="Calibri" w:cs="Calibri"/>
          <w:color w:val="000000" w:themeColor="text1"/>
          <w:sz w:val="22"/>
          <w:szCs w:val="22"/>
          <w:vertAlign w:val="superscript"/>
        </w:rPr>
        <w:t>15</w:t>
      </w:r>
      <w:r w:rsidRPr="00367824">
        <w:rPr>
          <w:rFonts w:ascii="Calibri" w:eastAsia="Calibri" w:hAnsi="Calibri" w:cs="Calibri"/>
          <w:color w:val="000000" w:themeColor="text1"/>
          <w:sz w:val="22"/>
          <w:szCs w:val="22"/>
        </w:rPr>
        <w:t xml:space="preserve">. </w:t>
      </w:r>
    </w:p>
    <w:p w14:paraId="73616CE5" w14:textId="77777777" w:rsidR="00C97C2E" w:rsidRPr="00367824" w:rsidRDefault="00C97C2E" w:rsidP="0062083C">
      <w:pPr>
        <w:pStyle w:val="ListParagraph"/>
        <w:numPr>
          <w:ilvl w:val="0"/>
          <w:numId w:val="3"/>
        </w:numPr>
        <w:spacing w:after="120"/>
        <w:ind w:left="360"/>
        <w:contextualSpacing w:val="0"/>
        <w:rPr>
          <w:color w:val="000000" w:themeColor="text1"/>
          <w:sz w:val="22"/>
          <w:szCs w:val="22"/>
        </w:rPr>
      </w:pPr>
      <w:proofErr w:type="spellStart"/>
      <w:r w:rsidRPr="00367824">
        <w:rPr>
          <w:rFonts w:ascii="Calibri" w:eastAsia="Calibri" w:hAnsi="Calibri" w:cs="Calibri"/>
          <w:color w:val="000000" w:themeColor="text1"/>
          <w:sz w:val="22"/>
          <w:szCs w:val="22"/>
        </w:rPr>
        <w:t>Portionability</w:t>
      </w:r>
      <w:proofErr w:type="spellEnd"/>
      <w:r w:rsidRPr="00367824">
        <w:rPr>
          <w:rFonts w:ascii="Calibri" w:eastAsia="Calibri" w:hAnsi="Calibri" w:cs="Calibri"/>
          <w:color w:val="000000" w:themeColor="text1"/>
          <w:sz w:val="22"/>
          <w:szCs w:val="22"/>
        </w:rPr>
        <w:t xml:space="preserve"> was also considered. For example, a 60 g bar with delineation/perforation might be 3 x 20 g portions.  A 43 g bar, with no </w:t>
      </w:r>
      <w:proofErr w:type="spellStart"/>
      <w:r w:rsidRPr="00367824">
        <w:rPr>
          <w:rFonts w:ascii="Calibri" w:eastAsia="Calibri" w:hAnsi="Calibri" w:cs="Calibri"/>
          <w:color w:val="000000" w:themeColor="text1"/>
          <w:sz w:val="22"/>
          <w:szCs w:val="22"/>
        </w:rPr>
        <w:t>portionability</w:t>
      </w:r>
      <w:proofErr w:type="spellEnd"/>
      <w:r w:rsidRPr="00367824">
        <w:rPr>
          <w:rFonts w:ascii="Calibri" w:eastAsia="Calibri" w:hAnsi="Calibri" w:cs="Calibri"/>
          <w:color w:val="000000" w:themeColor="text1"/>
          <w:sz w:val="22"/>
          <w:szCs w:val="22"/>
        </w:rPr>
        <w:t>, would be the whole bar as it is likely to be consumed by an individual in one sitting.</w:t>
      </w:r>
    </w:p>
    <w:p w14:paraId="5E7F0BBD" w14:textId="77777777" w:rsidR="0062083C" w:rsidRPr="0062083C" w:rsidRDefault="00C97C2E" w:rsidP="0062083C">
      <w:pPr>
        <w:pStyle w:val="ListParagraph"/>
        <w:numPr>
          <w:ilvl w:val="0"/>
          <w:numId w:val="3"/>
        </w:numPr>
        <w:spacing w:after="120"/>
        <w:ind w:left="360"/>
        <w:contextualSpacing w:val="0"/>
        <w:rPr>
          <w:color w:val="000000" w:themeColor="text1"/>
          <w:sz w:val="22"/>
          <w:szCs w:val="22"/>
        </w:rPr>
      </w:pPr>
      <w:r w:rsidRPr="00367824">
        <w:rPr>
          <w:rFonts w:ascii="Calibri" w:eastAsia="Calibri" w:hAnsi="Calibri" w:cs="Calibri"/>
          <w:color w:val="000000" w:themeColor="text1"/>
          <w:sz w:val="22"/>
          <w:szCs w:val="22"/>
        </w:rPr>
        <w:t>The recommended serving size applies to single consumption bars which are not portioned or partitioned/delineated into smaller portions and are usually sold in serve sizes greater than 30 g.</w:t>
      </w:r>
    </w:p>
    <w:p w14:paraId="6C514D5B" w14:textId="77777777" w:rsidR="0062083C" w:rsidRPr="0062083C" w:rsidRDefault="00C97C2E" w:rsidP="0062083C">
      <w:pPr>
        <w:pStyle w:val="ListParagraph"/>
        <w:numPr>
          <w:ilvl w:val="0"/>
          <w:numId w:val="3"/>
        </w:numPr>
        <w:spacing w:after="120"/>
        <w:ind w:left="360"/>
        <w:contextualSpacing w:val="0"/>
        <w:rPr>
          <w:color w:val="000000" w:themeColor="text1"/>
          <w:sz w:val="22"/>
          <w:szCs w:val="22"/>
        </w:rPr>
      </w:pPr>
      <w:r w:rsidRPr="0062083C">
        <w:rPr>
          <w:rFonts w:ascii="Calibri" w:eastAsia="Calibri" w:hAnsi="Calibri" w:cs="Calibri"/>
          <w:color w:val="000000" w:themeColor="text1"/>
          <w:sz w:val="22"/>
          <w:szCs w:val="22"/>
        </w:rPr>
        <w:t>Typical energy and grams per portion for chocolate have remained unchanged between 1995</w:t>
      </w:r>
      <w:r w:rsidR="00B4019E" w:rsidRPr="0062083C">
        <w:rPr>
          <w:rFonts w:ascii="Calibri" w:eastAsia="Calibri" w:hAnsi="Calibri" w:cs="Calibri"/>
          <w:color w:val="000000" w:themeColor="text1"/>
          <w:sz w:val="22"/>
          <w:szCs w:val="22"/>
        </w:rPr>
        <w:softHyphen/>
      </w:r>
      <w:r w:rsidR="00B4019E" w:rsidRPr="0062083C">
        <w:rPr>
          <w:rFonts w:ascii="Calibri" w:eastAsia="Calibri" w:hAnsi="Calibri" w:cs="Calibri"/>
          <w:color w:val="000000" w:themeColor="text1"/>
          <w:sz w:val="22"/>
          <w:szCs w:val="22"/>
        </w:rPr>
        <w:softHyphen/>
        <w:t>–</w:t>
      </w:r>
      <w:r w:rsidRPr="0062083C">
        <w:rPr>
          <w:rFonts w:ascii="Calibri" w:eastAsia="Calibri" w:hAnsi="Calibri" w:cs="Calibri"/>
          <w:color w:val="000000" w:themeColor="text1"/>
          <w:sz w:val="22"/>
          <w:szCs w:val="22"/>
        </w:rPr>
        <w:t>2011</w:t>
      </w:r>
      <w:r w:rsidRPr="0062083C">
        <w:rPr>
          <w:rFonts w:ascii="Calibri" w:eastAsia="Calibri" w:hAnsi="Calibri" w:cs="Calibri"/>
          <w:color w:val="000000" w:themeColor="text1"/>
          <w:sz w:val="22"/>
          <w:szCs w:val="22"/>
          <w:vertAlign w:val="superscript"/>
        </w:rPr>
        <w:t>5</w:t>
      </w:r>
      <w:r w:rsidRPr="0062083C">
        <w:rPr>
          <w:rFonts w:ascii="Calibri" w:eastAsia="Calibri" w:hAnsi="Calibri" w:cs="Calibri"/>
          <w:color w:val="000000" w:themeColor="text1"/>
          <w:sz w:val="22"/>
          <w:szCs w:val="22"/>
        </w:rPr>
        <w:t xml:space="preserve">. </w:t>
      </w:r>
    </w:p>
    <w:p w14:paraId="04DE9ED3" w14:textId="0AA4B8C6" w:rsidR="00C97C2E" w:rsidRPr="0062083C" w:rsidRDefault="00C97C2E" w:rsidP="0062083C">
      <w:pPr>
        <w:pStyle w:val="ListParagraph"/>
        <w:numPr>
          <w:ilvl w:val="0"/>
          <w:numId w:val="3"/>
        </w:numPr>
        <w:spacing w:after="120"/>
        <w:ind w:left="360"/>
        <w:contextualSpacing w:val="0"/>
        <w:rPr>
          <w:color w:val="000000" w:themeColor="text1"/>
          <w:sz w:val="22"/>
          <w:szCs w:val="22"/>
        </w:rPr>
      </w:pPr>
      <w:r w:rsidRPr="0062083C">
        <w:rPr>
          <w:rFonts w:ascii="Calibri" w:eastAsia="Calibri" w:hAnsi="Calibri" w:cs="Calibri"/>
          <w:color w:val="000000" w:themeColor="text1"/>
          <w:sz w:val="22"/>
          <w:szCs w:val="22"/>
        </w:rPr>
        <w:t xml:space="preserve">The confectionery industry’s guidance (available at: https://www.betreatwise.info/) is supported by a consumer facing on pack </w:t>
      </w:r>
      <w:r w:rsidRPr="0062083C">
        <w:rPr>
          <w:rFonts w:ascii="Calibri" w:eastAsia="Calibri" w:hAnsi="Calibri" w:cs="Calibri"/>
          <w:i/>
          <w:iCs/>
          <w:color w:val="000000" w:themeColor="text1"/>
          <w:sz w:val="22"/>
          <w:szCs w:val="22"/>
        </w:rPr>
        <w:t xml:space="preserve">Be </w:t>
      </w:r>
      <w:proofErr w:type="spellStart"/>
      <w:r w:rsidRPr="0062083C">
        <w:rPr>
          <w:rFonts w:ascii="Calibri" w:eastAsia="Calibri" w:hAnsi="Calibri" w:cs="Calibri"/>
          <w:i/>
          <w:iCs/>
          <w:color w:val="000000" w:themeColor="text1"/>
          <w:sz w:val="22"/>
          <w:szCs w:val="22"/>
        </w:rPr>
        <w:t>treatwise</w:t>
      </w:r>
      <w:proofErr w:type="spellEnd"/>
      <w:r w:rsidRPr="0062083C">
        <w:rPr>
          <w:rFonts w:ascii="Calibri" w:eastAsia="Calibri" w:hAnsi="Calibri" w:cs="Calibri"/>
          <w:color w:val="000000" w:themeColor="text1"/>
          <w:sz w:val="22"/>
          <w:szCs w:val="22"/>
        </w:rPr>
        <w:t>® message</w:t>
      </w:r>
      <w:r w:rsidRPr="0062083C">
        <w:rPr>
          <w:rFonts w:ascii="Calibri" w:eastAsia="Calibri" w:hAnsi="Calibri" w:cs="Calibri"/>
          <w:color w:val="000000" w:themeColor="text1"/>
          <w:sz w:val="22"/>
          <w:szCs w:val="22"/>
          <w:vertAlign w:val="superscript"/>
        </w:rPr>
        <w:t>16</w:t>
      </w:r>
      <w:r w:rsidRPr="0062083C">
        <w:rPr>
          <w:rFonts w:ascii="Calibri" w:eastAsia="Calibri" w:hAnsi="Calibri" w:cs="Calibri"/>
          <w:color w:val="000000" w:themeColor="text1"/>
          <w:sz w:val="22"/>
          <w:szCs w:val="22"/>
        </w:rPr>
        <w:t xml:space="preserve">. </w:t>
      </w:r>
    </w:p>
    <w:p w14:paraId="1AF05C62" w14:textId="1BFD0BBE" w:rsidR="00C97C2E" w:rsidRPr="002C4ACE" w:rsidRDefault="00C97C2E" w:rsidP="00BC2D7E">
      <w:pPr>
        <w:pStyle w:val="BodyText"/>
        <w:spacing w:line="240" w:lineRule="auto"/>
        <w:rPr>
          <w:b/>
          <w:bCs/>
          <w:sz w:val="28"/>
          <w:szCs w:val="28"/>
          <w:lang w:val="fr"/>
        </w:rPr>
      </w:pPr>
      <w:proofErr w:type="spellStart"/>
      <w:r w:rsidRPr="002C4ACE">
        <w:rPr>
          <w:b/>
          <w:bCs/>
          <w:sz w:val="28"/>
          <w:szCs w:val="28"/>
          <w:lang w:val="fr"/>
        </w:rPr>
        <w:lastRenderedPageBreak/>
        <w:t>Crumbed</w:t>
      </w:r>
      <w:proofErr w:type="spellEnd"/>
      <w:r w:rsidRPr="002C4ACE">
        <w:rPr>
          <w:b/>
          <w:bCs/>
          <w:sz w:val="28"/>
          <w:szCs w:val="28"/>
          <w:lang w:val="fr"/>
        </w:rPr>
        <w:t xml:space="preserve"> and </w:t>
      </w:r>
      <w:proofErr w:type="spellStart"/>
      <w:r w:rsidRPr="002C4ACE">
        <w:rPr>
          <w:b/>
          <w:bCs/>
          <w:sz w:val="28"/>
          <w:szCs w:val="28"/>
          <w:lang w:val="fr"/>
        </w:rPr>
        <w:t>battered</w:t>
      </w:r>
      <w:proofErr w:type="spellEnd"/>
      <w:r w:rsidRPr="002C4ACE">
        <w:rPr>
          <w:b/>
          <w:bCs/>
          <w:sz w:val="28"/>
          <w:szCs w:val="28"/>
          <w:lang w:val="fr"/>
        </w:rPr>
        <w:t xml:space="preserve"> </w:t>
      </w:r>
      <w:proofErr w:type="spellStart"/>
      <w:r w:rsidRPr="002C4ACE">
        <w:rPr>
          <w:b/>
          <w:bCs/>
          <w:sz w:val="28"/>
          <w:szCs w:val="28"/>
          <w:lang w:val="fr"/>
        </w:rPr>
        <w:t>proteins</w:t>
      </w:r>
      <w:proofErr w:type="spellEnd"/>
      <w:r w:rsidRPr="002C4ACE">
        <w:rPr>
          <w:b/>
          <w:bCs/>
          <w:sz w:val="28"/>
          <w:szCs w:val="28"/>
          <w:lang w:val="fr"/>
        </w:rPr>
        <w:t xml:space="preserve"> </w:t>
      </w:r>
    </w:p>
    <w:tbl>
      <w:tblPr>
        <w:tblStyle w:val="TableGrid6"/>
        <w:tblW w:w="9492" w:type="dxa"/>
        <w:jc w:val="center"/>
        <w:tblLayout w:type="fixed"/>
        <w:tblLook w:val="04A0" w:firstRow="1" w:lastRow="0" w:firstColumn="1" w:lastColumn="0" w:noHBand="0" w:noVBand="1"/>
      </w:tblPr>
      <w:tblGrid>
        <w:gridCol w:w="1364"/>
        <w:gridCol w:w="2904"/>
        <w:gridCol w:w="1741"/>
        <w:gridCol w:w="1741"/>
        <w:gridCol w:w="1742"/>
      </w:tblGrid>
      <w:tr w:rsidR="00C97C2E" w:rsidRPr="00367824" w14:paraId="7503129D" w14:textId="77777777" w:rsidTr="0062083C">
        <w:trPr>
          <w:jc w:val="center"/>
        </w:trPr>
        <w:tc>
          <w:tcPr>
            <w:tcW w:w="1479" w:type="dxa"/>
          </w:tcPr>
          <w:p w14:paraId="1214D586"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Setting</w:t>
            </w:r>
            <w:r w:rsidRPr="00367824">
              <w:rPr>
                <w:rFonts w:ascii="Calibri" w:eastAsia="Calibri" w:hAnsi="Calibri" w:cs="Calibri"/>
                <w:color w:val="000000" w:themeColor="text1"/>
                <w:sz w:val="22"/>
                <w:szCs w:val="22"/>
              </w:rPr>
              <w:t> </w:t>
            </w:r>
          </w:p>
        </w:tc>
        <w:tc>
          <w:tcPr>
            <w:tcW w:w="3177" w:type="dxa"/>
          </w:tcPr>
          <w:p w14:paraId="445038D1"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Current serving sizes </w:t>
            </w:r>
          </w:p>
          <w:p w14:paraId="54A07A2C"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(66</w:t>
            </w:r>
            <w:r w:rsidRPr="00367824">
              <w:rPr>
                <w:rFonts w:ascii="Calibri" w:eastAsia="Calibri" w:hAnsi="Calibri" w:cs="Calibri"/>
                <w:b/>
                <w:bCs/>
                <w:color w:val="000000" w:themeColor="text1"/>
                <w:sz w:val="22"/>
                <w:szCs w:val="22"/>
                <w:vertAlign w:val="superscript"/>
              </w:rPr>
              <w:t>th</w:t>
            </w:r>
            <w:r w:rsidRPr="00367824">
              <w:rPr>
                <w:rFonts w:ascii="Calibri" w:eastAsia="Calibri" w:hAnsi="Calibri" w:cs="Calibri"/>
                <w:b/>
                <w:bCs/>
                <w:color w:val="000000" w:themeColor="text1"/>
                <w:sz w:val="22"/>
                <w:szCs w:val="22"/>
              </w:rPr>
              <w:t xml:space="preserve"> percentile (unless otherwise stated))</w:t>
            </w:r>
            <w:r w:rsidRPr="00367824">
              <w:rPr>
                <w:rFonts w:ascii="Calibri" w:eastAsia="Calibri" w:hAnsi="Calibri" w:cs="Calibri"/>
                <w:b/>
                <w:bCs/>
                <w:color w:val="000000" w:themeColor="text1"/>
                <w:sz w:val="22"/>
                <w:szCs w:val="22"/>
                <w:vertAlign w:val="superscript"/>
              </w:rPr>
              <w:t>1</w:t>
            </w:r>
          </w:p>
        </w:tc>
        <w:tc>
          <w:tcPr>
            <w:tcW w:w="1895" w:type="dxa"/>
          </w:tcPr>
          <w:p w14:paraId="492AC3C2" w14:textId="2A3216F7" w:rsidR="00C97C2E" w:rsidRPr="00367824" w:rsidRDefault="00C97C2E" w:rsidP="00BC2D7E">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Recommended maximum serving size (g)</w:t>
            </w:r>
          </w:p>
        </w:tc>
        <w:tc>
          <w:tcPr>
            <w:tcW w:w="1895" w:type="dxa"/>
          </w:tcPr>
          <w:p w14:paraId="36780E7C" w14:textId="5EA7C6D0" w:rsidR="00C97C2E" w:rsidRPr="00367824" w:rsidRDefault="00C97C2E" w:rsidP="00BC2D7E">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Energy per recommended serving size (kJ)</w:t>
            </w:r>
            <w:r w:rsidRPr="00367824">
              <w:rPr>
                <w:rFonts w:ascii="Calibri" w:eastAsia="Calibri" w:hAnsi="Calibri" w:cs="Calibri"/>
                <w:color w:val="000000" w:themeColor="text1"/>
                <w:sz w:val="22"/>
                <w:szCs w:val="22"/>
                <w:vertAlign w:val="superscript"/>
              </w:rPr>
              <w:t>3</w:t>
            </w:r>
          </w:p>
        </w:tc>
        <w:tc>
          <w:tcPr>
            <w:tcW w:w="1896" w:type="dxa"/>
          </w:tcPr>
          <w:p w14:paraId="36D06D6F" w14:textId="32CC9595"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Discretionary Serve 600</w:t>
            </w:r>
            <w:r w:rsidR="002C4ACE" w:rsidRPr="00367824">
              <w:rPr>
                <w:rFonts w:ascii="Calibri" w:eastAsia="Calibri" w:hAnsi="Calibri" w:cs="Calibri"/>
                <w:b/>
                <w:bCs/>
                <w:color w:val="000000" w:themeColor="text1"/>
                <w:sz w:val="22"/>
                <w:szCs w:val="22"/>
              </w:rPr>
              <w:t xml:space="preserve"> </w:t>
            </w:r>
            <w:r w:rsidRPr="00367824">
              <w:rPr>
                <w:rFonts w:ascii="Calibri" w:eastAsia="Calibri" w:hAnsi="Calibri" w:cs="Calibri"/>
                <w:b/>
                <w:bCs/>
                <w:color w:val="000000" w:themeColor="text1"/>
                <w:sz w:val="22"/>
                <w:szCs w:val="22"/>
              </w:rPr>
              <w:t>kJ equivalent</w:t>
            </w:r>
            <w:r w:rsidRPr="00367824">
              <w:rPr>
                <w:rFonts w:ascii="Calibri" w:eastAsia="Calibri" w:hAnsi="Calibri" w:cs="Calibri"/>
                <w:b/>
                <w:bCs/>
                <w:color w:val="000000" w:themeColor="text1"/>
                <w:sz w:val="22"/>
                <w:szCs w:val="22"/>
                <w:vertAlign w:val="superscript"/>
              </w:rPr>
              <w:t>4</w:t>
            </w:r>
          </w:p>
        </w:tc>
      </w:tr>
      <w:tr w:rsidR="00C97C2E" w:rsidRPr="00367824" w14:paraId="21B0331E" w14:textId="77777777" w:rsidTr="0062083C">
        <w:trPr>
          <w:jc w:val="center"/>
        </w:trPr>
        <w:tc>
          <w:tcPr>
            <w:tcW w:w="1479" w:type="dxa"/>
          </w:tcPr>
          <w:p w14:paraId="11EE0254"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Out of home </w:t>
            </w:r>
          </w:p>
        </w:tc>
        <w:tc>
          <w:tcPr>
            <w:tcW w:w="3177" w:type="dxa"/>
          </w:tcPr>
          <w:p w14:paraId="72DC1C91"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lang w:val="en-US"/>
              </w:rPr>
              <w:t>Crumbed chicken</w:t>
            </w:r>
          </w:p>
          <w:p w14:paraId="0140CE88" w14:textId="77777777" w:rsidR="00C97C2E" w:rsidRPr="00367824" w:rsidRDefault="00C97C2E" w:rsidP="008C396B">
            <w:pPr>
              <w:rPr>
                <w:rFonts w:ascii="Calibri" w:eastAsia="Calibri" w:hAnsi="Calibri" w:cs="Calibri"/>
                <w:color w:val="000000" w:themeColor="text1"/>
                <w:sz w:val="22"/>
                <w:szCs w:val="22"/>
                <w:lang w:val="en-US"/>
              </w:rPr>
            </w:pPr>
            <w:r w:rsidRPr="00367824">
              <w:rPr>
                <w:rFonts w:ascii="Calibri" w:eastAsia="Calibri" w:hAnsi="Calibri" w:cs="Calibri"/>
                <w:color w:val="000000" w:themeColor="text1"/>
                <w:sz w:val="22"/>
                <w:szCs w:val="22"/>
                <w:lang w:val="en-US"/>
              </w:rPr>
              <w:t>134 g</w:t>
            </w:r>
            <w:r w:rsidRPr="00367824">
              <w:rPr>
                <w:rFonts w:ascii="Times New Roman" w:eastAsia="Times New Roman" w:hAnsi="Times New Roman"/>
                <w:color w:val="000000" w:themeColor="text1"/>
                <w:sz w:val="22"/>
                <w:szCs w:val="22"/>
              </w:rPr>
              <w:t xml:space="preserve"> </w:t>
            </w:r>
          </w:p>
          <w:p w14:paraId="63BE41CF" w14:textId="1A990505"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Crumbed fish</w:t>
            </w:r>
          </w:p>
          <w:p w14:paraId="14EF9362"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lang w:val="en-US"/>
              </w:rPr>
              <w:t>122 g</w:t>
            </w:r>
          </w:p>
          <w:p w14:paraId="00959B9B"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lang w:val="en-US"/>
              </w:rPr>
              <w:t>Plant based proteins</w:t>
            </w:r>
          </w:p>
          <w:p w14:paraId="4E9B1365" w14:textId="21530394" w:rsidR="00C97C2E" w:rsidRPr="00367824" w:rsidRDefault="00C97C2E" w:rsidP="008C396B">
            <w:pPr>
              <w:rPr>
                <w:rFonts w:ascii="Calibri" w:eastAsia="Calibri" w:hAnsi="Calibri" w:cs="Calibri"/>
                <w:color w:val="000000" w:themeColor="text1"/>
                <w:sz w:val="22"/>
                <w:szCs w:val="22"/>
                <w:vertAlign w:val="superscript"/>
                <w:lang w:val="en-US"/>
              </w:rPr>
            </w:pPr>
            <w:r w:rsidRPr="00367824">
              <w:rPr>
                <w:rFonts w:ascii="Calibri" w:eastAsia="Calibri" w:hAnsi="Calibri" w:cs="Calibri"/>
                <w:color w:val="000000" w:themeColor="text1"/>
                <w:sz w:val="22"/>
                <w:szCs w:val="22"/>
                <w:lang w:val="en-US"/>
              </w:rPr>
              <w:t>110 g</w:t>
            </w:r>
            <w:r w:rsidR="00BD059E">
              <w:rPr>
                <w:rFonts w:ascii="Calibri" w:eastAsia="Calibri" w:hAnsi="Calibri" w:cs="Calibri"/>
                <w:color w:val="000000" w:themeColor="text1"/>
                <w:sz w:val="22"/>
                <w:szCs w:val="22"/>
                <w:vertAlign w:val="superscript"/>
                <w:lang w:val="en-US"/>
              </w:rPr>
              <w:t>17</w:t>
            </w:r>
          </w:p>
          <w:p w14:paraId="067F43E8" w14:textId="5AB78CA2" w:rsidR="00B74906" w:rsidRPr="00367824" w:rsidRDefault="00B74906" w:rsidP="008C396B">
            <w:pPr>
              <w:rPr>
                <w:rFonts w:ascii="Calibri" w:eastAsia="Calibri" w:hAnsi="Calibri" w:cs="Calibri"/>
                <w:color w:val="000000" w:themeColor="text1"/>
                <w:sz w:val="22"/>
                <w:szCs w:val="22"/>
              </w:rPr>
            </w:pPr>
          </w:p>
        </w:tc>
        <w:tc>
          <w:tcPr>
            <w:tcW w:w="1895" w:type="dxa"/>
          </w:tcPr>
          <w:p w14:paraId="12B402CE"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150 g</w:t>
            </w:r>
          </w:p>
          <w:p w14:paraId="1EDC44F9" w14:textId="77777777" w:rsidR="00C97C2E" w:rsidRPr="00367824" w:rsidRDefault="00C97C2E" w:rsidP="008C396B">
            <w:pPr>
              <w:rPr>
                <w:rFonts w:ascii="Calibri" w:eastAsia="Calibri" w:hAnsi="Calibri" w:cs="Calibri"/>
                <w:color w:val="000000" w:themeColor="text1"/>
                <w:sz w:val="22"/>
                <w:szCs w:val="22"/>
              </w:rPr>
            </w:pPr>
          </w:p>
          <w:p w14:paraId="034EB76A" w14:textId="77777777" w:rsidR="00C97C2E" w:rsidRPr="00367824" w:rsidRDefault="00C97C2E" w:rsidP="008C396B">
            <w:pPr>
              <w:rPr>
                <w:rFonts w:ascii="Calibri" w:eastAsia="Calibri" w:hAnsi="Calibri" w:cs="Calibri"/>
                <w:color w:val="000000" w:themeColor="text1"/>
                <w:sz w:val="22"/>
                <w:szCs w:val="22"/>
              </w:rPr>
            </w:pPr>
          </w:p>
        </w:tc>
        <w:tc>
          <w:tcPr>
            <w:tcW w:w="1895" w:type="dxa"/>
          </w:tcPr>
          <w:p w14:paraId="6ED2854B"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~1,500 kJ</w:t>
            </w:r>
          </w:p>
        </w:tc>
        <w:tc>
          <w:tcPr>
            <w:tcW w:w="1896" w:type="dxa"/>
          </w:tcPr>
          <w:p w14:paraId="3209167B"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~2.5</w:t>
            </w:r>
          </w:p>
        </w:tc>
      </w:tr>
    </w:tbl>
    <w:p w14:paraId="7FA5D5D8" w14:textId="77777777" w:rsidR="00C97C2E" w:rsidRPr="00367824" w:rsidRDefault="00C97C2E" w:rsidP="00C97C2E">
      <w:pPr>
        <w:rPr>
          <w:sz w:val="22"/>
          <w:szCs w:val="22"/>
        </w:rPr>
      </w:pPr>
    </w:p>
    <w:p w14:paraId="1809B868" w14:textId="3D624D80" w:rsidR="00C97C2E" w:rsidRPr="00367824" w:rsidRDefault="00C97C2E" w:rsidP="00BA6EA5">
      <w:pPr>
        <w:pStyle w:val="paragraph"/>
        <w:spacing w:before="0" w:beforeAutospacing="0" w:after="120" w:afterAutospacing="0"/>
        <w:rPr>
          <w:rFonts w:ascii="Calibri" w:eastAsia="Calibri" w:hAnsi="Calibri" w:cs="Calibri"/>
          <w:b/>
          <w:bCs/>
          <w:color w:val="000000" w:themeColor="text1"/>
          <w:sz w:val="22"/>
          <w:szCs w:val="22"/>
        </w:rPr>
      </w:pPr>
      <w:r w:rsidRPr="00367824">
        <w:rPr>
          <w:rFonts w:ascii="Calibri" w:eastAsia="Calibri" w:hAnsi="Calibri" w:cs="Calibri"/>
          <w:b/>
          <w:bCs/>
          <w:color w:val="000000" w:themeColor="text1"/>
          <w:sz w:val="22"/>
          <w:szCs w:val="22"/>
        </w:rPr>
        <w:t xml:space="preserve">Decisions against agreed Methodology (see section </w:t>
      </w:r>
      <w:r w:rsidR="00994436" w:rsidRPr="00367824">
        <w:rPr>
          <w:rFonts w:ascii="Calibri" w:eastAsia="Calibri" w:hAnsi="Calibri" w:cs="Calibri"/>
          <w:b/>
          <w:bCs/>
          <w:color w:val="000000" w:themeColor="text1"/>
          <w:sz w:val="22"/>
          <w:szCs w:val="22"/>
        </w:rPr>
        <w:t>6</w:t>
      </w:r>
      <w:r w:rsidRPr="00367824">
        <w:rPr>
          <w:rFonts w:ascii="Calibri" w:eastAsia="Calibri" w:hAnsi="Calibri" w:cs="Calibri"/>
          <w:b/>
          <w:bCs/>
          <w:color w:val="000000" w:themeColor="text1"/>
          <w:sz w:val="22"/>
          <w:szCs w:val="22"/>
        </w:rPr>
        <w:t>.2)</w:t>
      </w:r>
    </w:p>
    <w:p w14:paraId="47F427DA" w14:textId="77777777" w:rsidR="00C97C2E" w:rsidRPr="00367824" w:rsidRDefault="00C97C2E" w:rsidP="0050147F">
      <w:pPr>
        <w:pStyle w:val="paragraph"/>
        <w:numPr>
          <w:ilvl w:val="0"/>
          <w:numId w:val="65"/>
        </w:numPr>
        <w:spacing w:before="0" w:beforeAutospacing="0" w:after="120" w:afterAutospacing="0"/>
        <w:rPr>
          <w:rFonts w:asciiTheme="minorHAnsi" w:eastAsiaTheme="minorEastAsia" w:hAnsiTheme="minorHAnsi" w:cstheme="minorBidi"/>
          <w:color w:val="000000" w:themeColor="text1"/>
          <w:sz w:val="22"/>
          <w:szCs w:val="22"/>
        </w:rPr>
      </w:pPr>
      <w:r w:rsidRPr="00367824">
        <w:rPr>
          <w:rFonts w:ascii="Calibri" w:eastAsia="Calibri" w:hAnsi="Calibri" w:cs="Calibri"/>
          <w:b/>
          <w:bCs/>
          <w:color w:val="000000" w:themeColor="text1"/>
          <w:sz w:val="22"/>
          <w:szCs w:val="22"/>
        </w:rPr>
        <w:t xml:space="preserve">Setting and context: </w:t>
      </w:r>
      <w:r w:rsidRPr="00367824">
        <w:rPr>
          <w:rFonts w:ascii="Calibri" w:eastAsia="Calibri" w:hAnsi="Calibri" w:cs="Calibri"/>
          <w:color w:val="000000" w:themeColor="text1"/>
          <w:sz w:val="22"/>
          <w:szCs w:val="22"/>
        </w:rPr>
        <w:t>Out of home settings. Intended to be consumed as part of a meal.</w:t>
      </w:r>
    </w:p>
    <w:p w14:paraId="7CA9A744" w14:textId="2102255F" w:rsidR="00C97C2E" w:rsidRPr="00367824" w:rsidRDefault="00C97C2E" w:rsidP="0050147F">
      <w:pPr>
        <w:pStyle w:val="paragraph"/>
        <w:numPr>
          <w:ilvl w:val="0"/>
          <w:numId w:val="65"/>
        </w:numPr>
        <w:spacing w:before="0" w:beforeAutospacing="0" w:after="120" w:afterAutospacing="0"/>
        <w:rPr>
          <w:rFonts w:asciiTheme="minorHAnsi" w:eastAsiaTheme="minorEastAsia" w:hAnsiTheme="minorHAnsi" w:cstheme="minorBidi"/>
          <w:color w:val="000000" w:themeColor="text1"/>
          <w:sz w:val="22"/>
          <w:szCs w:val="22"/>
        </w:rPr>
      </w:pPr>
      <w:r w:rsidRPr="00367824">
        <w:rPr>
          <w:rFonts w:ascii="Calibri" w:eastAsia="Calibri" w:hAnsi="Calibri" w:cs="Calibri"/>
          <w:b/>
          <w:bCs/>
          <w:color w:val="000000" w:themeColor="text1"/>
          <w:sz w:val="22"/>
          <w:szCs w:val="22"/>
        </w:rPr>
        <w:t xml:space="preserve">Considerations: </w:t>
      </w:r>
      <w:r w:rsidRPr="00367824">
        <w:rPr>
          <w:rFonts w:ascii="Calibri" w:eastAsia="Calibri" w:hAnsi="Calibri" w:cs="Calibri"/>
          <w:color w:val="000000" w:themeColor="text1"/>
          <w:sz w:val="22"/>
          <w:szCs w:val="22"/>
        </w:rPr>
        <w:t>150 g is equivalent to approximately 2.5 discretionary serves. The large number of discretionary servings is reflective of these products typically being consumed as part of a meal. Median amounts consumed: fish (151 g), beef (96 g), pork (125 g), lamb (65</w:t>
      </w:r>
      <w:r w:rsidR="00916C86" w:rsidRPr="00367824">
        <w:rPr>
          <w:rFonts w:ascii="Calibri" w:eastAsia="Calibri" w:hAnsi="Calibri" w:cs="Calibri"/>
          <w:color w:val="000000" w:themeColor="text1"/>
          <w:sz w:val="22"/>
          <w:szCs w:val="22"/>
        </w:rPr>
        <w:t> </w:t>
      </w:r>
      <w:r w:rsidRPr="00367824">
        <w:rPr>
          <w:rFonts w:ascii="Calibri" w:eastAsia="Calibri" w:hAnsi="Calibri" w:cs="Calibri"/>
          <w:color w:val="000000" w:themeColor="text1"/>
          <w:sz w:val="22"/>
          <w:szCs w:val="22"/>
        </w:rPr>
        <w:t>g), chicken (125 g) as crumbed, patty or meatloaf or just the crumbed protein</w:t>
      </w:r>
      <w:r w:rsidRPr="00367824">
        <w:rPr>
          <w:rFonts w:ascii="Calibri" w:eastAsia="Calibri" w:hAnsi="Calibri" w:cs="Calibri"/>
          <w:color w:val="000000" w:themeColor="text1"/>
          <w:sz w:val="22"/>
          <w:szCs w:val="22"/>
          <w:vertAlign w:val="superscript"/>
        </w:rPr>
        <w:t>12</w:t>
      </w:r>
      <w:r w:rsidRPr="00367824">
        <w:rPr>
          <w:rFonts w:ascii="Calibri" w:eastAsia="Calibri" w:hAnsi="Calibri" w:cs="Calibri"/>
          <w:color w:val="000000" w:themeColor="text1"/>
          <w:sz w:val="22"/>
          <w:szCs w:val="22"/>
        </w:rPr>
        <w:t xml:space="preserve">. </w:t>
      </w:r>
    </w:p>
    <w:p w14:paraId="1382CA13" w14:textId="5C13F70E" w:rsidR="00C97C2E" w:rsidRPr="00367824" w:rsidRDefault="00C97C2E" w:rsidP="0050147F">
      <w:pPr>
        <w:pStyle w:val="paragraph"/>
        <w:numPr>
          <w:ilvl w:val="0"/>
          <w:numId w:val="65"/>
        </w:numPr>
        <w:spacing w:before="0" w:beforeAutospacing="0" w:after="120" w:afterAutospacing="0"/>
        <w:rPr>
          <w:rFonts w:asciiTheme="minorHAnsi" w:eastAsiaTheme="minorEastAsia" w:hAnsiTheme="minorHAnsi" w:cstheme="minorBidi"/>
          <w:color w:val="000000" w:themeColor="text1"/>
          <w:sz w:val="22"/>
          <w:szCs w:val="22"/>
        </w:rPr>
      </w:pPr>
      <w:r w:rsidRPr="00367824">
        <w:rPr>
          <w:rFonts w:ascii="Calibri" w:eastAsia="Calibri" w:hAnsi="Calibri" w:cs="Calibri"/>
          <w:b/>
          <w:bCs/>
          <w:color w:val="000000" w:themeColor="text1"/>
          <w:sz w:val="22"/>
          <w:szCs w:val="22"/>
        </w:rPr>
        <w:t xml:space="preserve">Alignment with other guidance: </w:t>
      </w:r>
      <w:r w:rsidRPr="00367824">
        <w:rPr>
          <w:rFonts w:ascii="Calibri" w:eastAsia="Calibri" w:hAnsi="Calibri" w:cs="Calibri"/>
          <w:color w:val="000000" w:themeColor="text1"/>
          <w:sz w:val="22"/>
          <w:szCs w:val="22"/>
        </w:rPr>
        <w:t>Alignment with jurisdictional guidance – Victorian Government Guidelines (150 g or less)</w:t>
      </w:r>
      <w:r w:rsidRPr="00367824">
        <w:rPr>
          <w:rFonts w:ascii="Calibri" w:eastAsia="Calibri" w:hAnsi="Calibri" w:cs="Calibri"/>
          <w:color w:val="000000" w:themeColor="text1"/>
          <w:sz w:val="22"/>
          <w:szCs w:val="22"/>
          <w:vertAlign w:val="superscript"/>
        </w:rPr>
        <w:t>7</w:t>
      </w:r>
      <w:r w:rsidRPr="00367824">
        <w:rPr>
          <w:rFonts w:ascii="Calibri" w:eastAsia="Calibri" w:hAnsi="Calibri" w:cs="Calibri"/>
          <w:color w:val="000000" w:themeColor="text1"/>
          <w:sz w:val="22"/>
          <w:szCs w:val="22"/>
        </w:rPr>
        <w:t xml:space="preserve"> and </w:t>
      </w:r>
      <w:r w:rsidRPr="00367824">
        <w:rPr>
          <w:rFonts w:ascii="Calibri" w:eastAsia="Calibri" w:hAnsi="Calibri" w:cs="Calibri"/>
          <w:sz w:val="22"/>
          <w:szCs w:val="22"/>
        </w:rPr>
        <w:t xml:space="preserve">New South Wales </w:t>
      </w:r>
      <w:r w:rsidRPr="00367824">
        <w:rPr>
          <w:rFonts w:ascii="Calibri" w:eastAsia="Calibri" w:hAnsi="Calibri" w:cs="Calibri"/>
          <w:sz w:val="22"/>
          <w:szCs w:val="22"/>
          <w:lang w:val="en-GB"/>
        </w:rPr>
        <w:t xml:space="preserve">Ministry of Health </w:t>
      </w:r>
      <w:r w:rsidRPr="00367824">
        <w:rPr>
          <w:rFonts w:ascii="Calibri" w:eastAsia="Calibri" w:hAnsi="Calibri" w:cs="Calibri"/>
          <w:i/>
          <w:iCs/>
          <w:sz w:val="22"/>
          <w:szCs w:val="22"/>
          <w:lang w:val="en-GB"/>
        </w:rPr>
        <w:t xml:space="preserve">Healthy Food and Drink in NSW Health Facilities for Staff and Visitors </w:t>
      </w:r>
      <w:r w:rsidRPr="00367824">
        <w:rPr>
          <w:rFonts w:ascii="Calibri" w:eastAsia="Calibri" w:hAnsi="Calibri" w:cs="Calibri"/>
          <w:i/>
          <w:iCs/>
          <w:sz w:val="22"/>
          <w:szCs w:val="22"/>
        </w:rPr>
        <w:t>Framework</w:t>
      </w:r>
      <w:r w:rsidRPr="00367824">
        <w:rPr>
          <w:rFonts w:ascii="Calibri" w:eastAsia="Calibri" w:hAnsi="Calibri" w:cs="Calibri"/>
          <w:sz w:val="22"/>
          <w:szCs w:val="22"/>
        </w:rPr>
        <w:t xml:space="preserve"> (140 g)</w:t>
      </w:r>
      <w:r w:rsidRPr="00367824">
        <w:rPr>
          <w:rFonts w:ascii="Calibri" w:eastAsia="Calibri" w:hAnsi="Calibri" w:cs="Calibri"/>
          <w:sz w:val="22"/>
          <w:szCs w:val="22"/>
          <w:vertAlign w:val="superscript"/>
        </w:rPr>
        <w:t>6</w:t>
      </w:r>
      <w:r w:rsidRPr="00367824">
        <w:rPr>
          <w:rFonts w:ascii="Calibri" w:eastAsia="Calibri" w:hAnsi="Calibri" w:cs="Calibri"/>
          <w:sz w:val="22"/>
          <w:szCs w:val="22"/>
        </w:rPr>
        <w:t>.</w:t>
      </w:r>
    </w:p>
    <w:p w14:paraId="1B8F03CF" w14:textId="04056732" w:rsidR="00C97C2E" w:rsidRPr="00367824" w:rsidRDefault="00C97C2E" w:rsidP="0050147F">
      <w:pPr>
        <w:pStyle w:val="paragraph"/>
        <w:numPr>
          <w:ilvl w:val="0"/>
          <w:numId w:val="65"/>
        </w:numPr>
        <w:spacing w:before="0" w:beforeAutospacing="0" w:after="120" w:afterAutospacing="0"/>
        <w:rPr>
          <w:rFonts w:asciiTheme="minorHAnsi" w:eastAsiaTheme="minorEastAsia" w:hAnsiTheme="minorHAnsi" w:cstheme="minorBidi"/>
          <w:color w:val="000000" w:themeColor="text1"/>
          <w:sz w:val="22"/>
          <w:szCs w:val="22"/>
        </w:rPr>
      </w:pPr>
      <w:r w:rsidRPr="00367824">
        <w:rPr>
          <w:rFonts w:ascii="Calibri" w:eastAsia="Calibri" w:hAnsi="Calibri" w:cs="Calibri"/>
          <w:b/>
          <w:bCs/>
          <w:color w:val="000000" w:themeColor="text1"/>
          <w:sz w:val="22"/>
          <w:szCs w:val="22"/>
        </w:rPr>
        <w:t xml:space="preserve">Feasibility: </w:t>
      </w:r>
      <w:r w:rsidRPr="00367824">
        <w:rPr>
          <w:rFonts w:ascii="Calibri" w:eastAsia="Calibri" w:hAnsi="Calibri" w:cs="Calibri"/>
          <w:color w:val="000000" w:themeColor="text1"/>
          <w:sz w:val="22"/>
          <w:szCs w:val="22"/>
        </w:rPr>
        <w:t>The recommended serving size is larger than the 66</w:t>
      </w:r>
      <w:r w:rsidRPr="00BD059E">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 due to rounding to a whole number for simplicity. The spread of serving sizes differs across protein types, however it was decided to align the serving sizes for ease of implementation.</w:t>
      </w:r>
    </w:p>
    <w:p w14:paraId="5891EBEC" w14:textId="77777777" w:rsidR="00C97C2E" w:rsidRPr="00367824" w:rsidRDefault="00C97C2E" w:rsidP="0050147F">
      <w:pPr>
        <w:pStyle w:val="paragraph"/>
        <w:numPr>
          <w:ilvl w:val="0"/>
          <w:numId w:val="65"/>
        </w:numPr>
        <w:spacing w:before="0" w:beforeAutospacing="0" w:after="120" w:afterAutospacing="0"/>
        <w:rPr>
          <w:rFonts w:asciiTheme="minorHAnsi" w:eastAsiaTheme="minorEastAsia" w:hAnsiTheme="minorHAnsi" w:cstheme="minorBidi"/>
          <w:color w:val="000000" w:themeColor="text1"/>
          <w:sz w:val="22"/>
          <w:szCs w:val="22"/>
        </w:rPr>
      </w:pPr>
      <w:r w:rsidRPr="00367824">
        <w:rPr>
          <w:rFonts w:ascii="Calibri" w:eastAsia="Calibri" w:hAnsi="Calibri" w:cs="Calibri"/>
          <w:b/>
          <w:bCs/>
          <w:color w:val="000000" w:themeColor="text1"/>
          <w:sz w:val="22"/>
          <w:szCs w:val="22"/>
        </w:rPr>
        <w:t xml:space="preserve">Industry and consumer acceptance: </w:t>
      </w:r>
      <w:r w:rsidRPr="00367824">
        <w:rPr>
          <w:rFonts w:ascii="Calibri" w:eastAsia="Calibri" w:hAnsi="Calibri" w:cs="Calibri"/>
          <w:color w:val="000000" w:themeColor="text1"/>
          <w:sz w:val="22"/>
          <w:szCs w:val="22"/>
        </w:rPr>
        <w:t>The proposed recommended serving size of 150 g will assist in reducing larger servings in the marketplace.</w:t>
      </w:r>
    </w:p>
    <w:p w14:paraId="7114A0C3" w14:textId="77777777" w:rsidR="00C97C2E" w:rsidRPr="00367824" w:rsidRDefault="00C97C2E" w:rsidP="0050147F">
      <w:pPr>
        <w:spacing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Other Considerations or Influences underpinning this Category target</w:t>
      </w:r>
    </w:p>
    <w:p w14:paraId="1E3E8E93" w14:textId="54666931" w:rsidR="00C97C2E" w:rsidRPr="00367824" w:rsidRDefault="00C97C2E" w:rsidP="00C97C2E">
      <w:pPr>
        <w:pStyle w:val="ListParagraph"/>
        <w:numPr>
          <w:ilvl w:val="0"/>
          <w:numId w:val="5"/>
        </w:numPr>
        <w:spacing w:after="120"/>
        <w:contextualSpacing w:val="0"/>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The Guide also recommends serving these products with half a plate of vegetables or salad to increase consumer acceptance.</w:t>
      </w:r>
    </w:p>
    <w:p w14:paraId="77DE537D" w14:textId="77777777" w:rsidR="00765227" w:rsidRPr="00367824" w:rsidRDefault="00765227" w:rsidP="00765227">
      <w:pPr>
        <w:spacing w:after="120"/>
        <w:ind w:left="360"/>
        <w:rPr>
          <w:rFonts w:ascii="Calibri" w:eastAsia="Calibri" w:hAnsi="Calibri" w:cs="Calibri"/>
          <w:color w:val="000000" w:themeColor="text1"/>
          <w:sz w:val="22"/>
          <w:szCs w:val="22"/>
        </w:rPr>
      </w:pPr>
    </w:p>
    <w:p w14:paraId="759A0997" w14:textId="77777777" w:rsidR="00826BFB" w:rsidRPr="0044145E" w:rsidRDefault="00826BFB" w:rsidP="002C4ACE">
      <w:pPr>
        <w:pStyle w:val="BodyText"/>
        <w:rPr>
          <w:b/>
          <w:bCs/>
          <w:sz w:val="28"/>
          <w:szCs w:val="28"/>
        </w:rPr>
      </w:pPr>
    </w:p>
    <w:p w14:paraId="06ECBA3B" w14:textId="77777777" w:rsidR="00826BFB" w:rsidRPr="0044145E" w:rsidRDefault="00826BFB" w:rsidP="002C4ACE">
      <w:pPr>
        <w:pStyle w:val="BodyText"/>
        <w:rPr>
          <w:b/>
          <w:bCs/>
          <w:sz w:val="28"/>
          <w:szCs w:val="28"/>
        </w:rPr>
      </w:pPr>
    </w:p>
    <w:p w14:paraId="209D7D96" w14:textId="77777777" w:rsidR="00826BFB" w:rsidRPr="0044145E" w:rsidRDefault="00826BFB" w:rsidP="002C4ACE">
      <w:pPr>
        <w:pStyle w:val="BodyText"/>
        <w:rPr>
          <w:b/>
          <w:bCs/>
          <w:sz w:val="28"/>
          <w:szCs w:val="28"/>
        </w:rPr>
      </w:pPr>
    </w:p>
    <w:p w14:paraId="5401D4FB" w14:textId="77777777" w:rsidR="00826BFB" w:rsidRPr="0044145E" w:rsidRDefault="00826BFB" w:rsidP="002C4ACE">
      <w:pPr>
        <w:pStyle w:val="BodyText"/>
        <w:rPr>
          <w:b/>
          <w:bCs/>
          <w:sz w:val="28"/>
          <w:szCs w:val="28"/>
        </w:rPr>
      </w:pPr>
    </w:p>
    <w:p w14:paraId="751485F1" w14:textId="77777777" w:rsidR="00826BFB" w:rsidRPr="0044145E" w:rsidRDefault="00826BFB" w:rsidP="002C4ACE">
      <w:pPr>
        <w:pStyle w:val="BodyText"/>
        <w:rPr>
          <w:b/>
          <w:bCs/>
          <w:sz w:val="28"/>
          <w:szCs w:val="28"/>
        </w:rPr>
      </w:pPr>
    </w:p>
    <w:p w14:paraId="15F88424" w14:textId="77777777" w:rsidR="00826BFB" w:rsidRPr="0044145E" w:rsidRDefault="00826BFB" w:rsidP="002C4ACE">
      <w:pPr>
        <w:pStyle w:val="BodyText"/>
        <w:rPr>
          <w:b/>
          <w:bCs/>
          <w:sz w:val="28"/>
          <w:szCs w:val="28"/>
        </w:rPr>
      </w:pPr>
    </w:p>
    <w:p w14:paraId="55CA15E7" w14:textId="77777777" w:rsidR="00826BFB" w:rsidRPr="0044145E" w:rsidRDefault="00826BFB" w:rsidP="002C4ACE">
      <w:pPr>
        <w:pStyle w:val="BodyText"/>
        <w:rPr>
          <w:b/>
          <w:bCs/>
          <w:sz w:val="28"/>
          <w:szCs w:val="28"/>
        </w:rPr>
      </w:pPr>
    </w:p>
    <w:p w14:paraId="4245B93B" w14:textId="77777777" w:rsidR="00826BFB" w:rsidRPr="0044145E" w:rsidRDefault="00826BFB" w:rsidP="002C4ACE">
      <w:pPr>
        <w:pStyle w:val="BodyText"/>
        <w:rPr>
          <w:b/>
          <w:bCs/>
          <w:sz w:val="28"/>
          <w:szCs w:val="28"/>
        </w:rPr>
      </w:pPr>
    </w:p>
    <w:p w14:paraId="6E7828CA" w14:textId="77777777" w:rsidR="00BC2D7E" w:rsidRDefault="00BC2D7E" w:rsidP="002C4ACE">
      <w:pPr>
        <w:pStyle w:val="BodyText"/>
        <w:rPr>
          <w:b/>
          <w:bCs/>
          <w:sz w:val="28"/>
          <w:szCs w:val="28"/>
        </w:rPr>
      </w:pPr>
    </w:p>
    <w:p w14:paraId="60F05FCA" w14:textId="65830588" w:rsidR="00C97C2E" w:rsidRPr="0044145E" w:rsidRDefault="00C97C2E" w:rsidP="002C4ACE">
      <w:pPr>
        <w:pStyle w:val="BodyText"/>
        <w:rPr>
          <w:b/>
          <w:bCs/>
          <w:sz w:val="28"/>
          <w:szCs w:val="28"/>
        </w:rPr>
      </w:pPr>
      <w:r w:rsidRPr="0044145E">
        <w:rPr>
          <w:b/>
          <w:bCs/>
          <w:sz w:val="28"/>
          <w:szCs w:val="28"/>
        </w:rPr>
        <w:lastRenderedPageBreak/>
        <w:t xml:space="preserve">Hot potato chips, </w:t>
      </w:r>
      <w:proofErr w:type="gramStart"/>
      <w:r w:rsidRPr="0044145E">
        <w:rPr>
          <w:b/>
          <w:bCs/>
          <w:sz w:val="28"/>
          <w:szCs w:val="28"/>
        </w:rPr>
        <w:t>fries</w:t>
      </w:r>
      <w:proofErr w:type="gramEnd"/>
      <w:r w:rsidRPr="0044145E">
        <w:rPr>
          <w:b/>
          <w:bCs/>
          <w:sz w:val="28"/>
          <w:szCs w:val="28"/>
        </w:rPr>
        <w:t xml:space="preserve"> and wedges</w:t>
      </w:r>
    </w:p>
    <w:tbl>
      <w:tblPr>
        <w:tblStyle w:val="TableGrid7"/>
        <w:tblW w:w="9492" w:type="dxa"/>
        <w:jc w:val="center"/>
        <w:tblLayout w:type="fixed"/>
        <w:tblLook w:val="04A0" w:firstRow="1" w:lastRow="0" w:firstColumn="1" w:lastColumn="0" w:noHBand="0" w:noVBand="1"/>
      </w:tblPr>
      <w:tblGrid>
        <w:gridCol w:w="1350"/>
        <w:gridCol w:w="2189"/>
        <w:gridCol w:w="2373"/>
        <w:gridCol w:w="1790"/>
        <w:gridCol w:w="1790"/>
      </w:tblGrid>
      <w:tr w:rsidR="00C97C2E" w:rsidRPr="0062083C" w14:paraId="0226C3BA" w14:textId="77777777" w:rsidTr="00BC2D7E">
        <w:trPr>
          <w:jc w:val="center"/>
        </w:trPr>
        <w:tc>
          <w:tcPr>
            <w:tcW w:w="1350" w:type="dxa"/>
          </w:tcPr>
          <w:p w14:paraId="53D57AC6"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b/>
                <w:bCs/>
                <w:color w:val="000000" w:themeColor="text1"/>
                <w:sz w:val="22"/>
                <w:szCs w:val="22"/>
              </w:rPr>
              <w:t>Setting</w:t>
            </w:r>
            <w:r w:rsidRPr="0062083C">
              <w:rPr>
                <w:rFonts w:ascii="Calibri" w:eastAsia="Calibri" w:hAnsi="Calibri" w:cs="Calibri"/>
                <w:color w:val="000000" w:themeColor="text1"/>
                <w:sz w:val="22"/>
                <w:szCs w:val="22"/>
              </w:rPr>
              <w:t> </w:t>
            </w:r>
          </w:p>
        </w:tc>
        <w:tc>
          <w:tcPr>
            <w:tcW w:w="2189" w:type="dxa"/>
          </w:tcPr>
          <w:p w14:paraId="3FD3F059"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b/>
                <w:bCs/>
                <w:color w:val="000000" w:themeColor="text1"/>
                <w:sz w:val="22"/>
                <w:szCs w:val="22"/>
              </w:rPr>
              <w:t xml:space="preserve">Current serving sizes </w:t>
            </w:r>
          </w:p>
          <w:p w14:paraId="40B85349"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b/>
                <w:bCs/>
                <w:color w:val="000000" w:themeColor="text1"/>
                <w:sz w:val="22"/>
                <w:szCs w:val="22"/>
              </w:rPr>
              <w:t>(66</w:t>
            </w:r>
            <w:r w:rsidRPr="0062083C">
              <w:rPr>
                <w:rFonts w:ascii="Calibri" w:eastAsia="Calibri" w:hAnsi="Calibri" w:cs="Calibri"/>
                <w:b/>
                <w:bCs/>
                <w:color w:val="000000" w:themeColor="text1"/>
                <w:sz w:val="22"/>
                <w:szCs w:val="22"/>
                <w:vertAlign w:val="superscript"/>
              </w:rPr>
              <w:t>th</w:t>
            </w:r>
            <w:r w:rsidRPr="0062083C">
              <w:rPr>
                <w:rFonts w:ascii="Calibri" w:eastAsia="Calibri" w:hAnsi="Calibri" w:cs="Calibri"/>
                <w:b/>
                <w:bCs/>
                <w:color w:val="000000" w:themeColor="text1"/>
                <w:sz w:val="22"/>
                <w:szCs w:val="22"/>
              </w:rPr>
              <w:t xml:space="preserve"> percentile (unless otherwise stated))</w:t>
            </w:r>
            <w:r w:rsidRPr="0062083C">
              <w:rPr>
                <w:rFonts w:ascii="Calibri" w:eastAsia="Calibri" w:hAnsi="Calibri" w:cs="Calibri"/>
                <w:b/>
                <w:bCs/>
                <w:color w:val="000000" w:themeColor="text1"/>
                <w:sz w:val="22"/>
                <w:szCs w:val="22"/>
                <w:vertAlign w:val="superscript"/>
              </w:rPr>
              <w:t>1</w:t>
            </w:r>
          </w:p>
        </w:tc>
        <w:tc>
          <w:tcPr>
            <w:tcW w:w="2373" w:type="dxa"/>
          </w:tcPr>
          <w:p w14:paraId="7A5FDFE6"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b/>
                <w:bCs/>
                <w:color w:val="000000" w:themeColor="text1"/>
                <w:sz w:val="22"/>
                <w:szCs w:val="22"/>
              </w:rPr>
              <w:t>Recommended maximum serving size (g)</w:t>
            </w:r>
          </w:p>
          <w:p w14:paraId="4B1D663A" w14:textId="77777777" w:rsidR="00C97C2E" w:rsidRPr="0062083C" w:rsidRDefault="00C97C2E" w:rsidP="008C396B">
            <w:pPr>
              <w:rPr>
                <w:rFonts w:ascii="Calibri" w:eastAsia="Calibri" w:hAnsi="Calibri" w:cs="Calibri"/>
                <w:color w:val="000000" w:themeColor="text1"/>
                <w:sz w:val="22"/>
                <w:szCs w:val="22"/>
              </w:rPr>
            </w:pPr>
          </w:p>
        </w:tc>
        <w:tc>
          <w:tcPr>
            <w:tcW w:w="1790" w:type="dxa"/>
          </w:tcPr>
          <w:p w14:paraId="41E799A9"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b/>
                <w:bCs/>
                <w:color w:val="000000" w:themeColor="text1"/>
                <w:sz w:val="22"/>
                <w:szCs w:val="22"/>
              </w:rPr>
              <w:t>Energy per recommended serving size (kJ)</w:t>
            </w:r>
            <w:r w:rsidRPr="0062083C">
              <w:rPr>
                <w:rFonts w:ascii="Calibri" w:eastAsia="Calibri" w:hAnsi="Calibri" w:cs="Calibri"/>
                <w:color w:val="000000" w:themeColor="text1"/>
                <w:sz w:val="22"/>
                <w:szCs w:val="22"/>
                <w:vertAlign w:val="superscript"/>
              </w:rPr>
              <w:t>3</w:t>
            </w:r>
          </w:p>
        </w:tc>
        <w:tc>
          <w:tcPr>
            <w:tcW w:w="1790" w:type="dxa"/>
          </w:tcPr>
          <w:p w14:paraId="6CFEB305" w14:textId="6D934C58"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b/>
                <w:bCs/>
                <w:color w:val="000000" w:themeColor="text1"/>
                <w:sz w:val="22"/>
                <w:szCs w:val="22"/>
              </w:rPr>
              <w:t>Discretionary Serve 600</w:t>
            </w:r>
            <w:r w:rsidR="002C4ACE" w:rsidRPr="0062083C">
              <w:rPr>
                <w:rFonts w:ascii="Calibri" w:eastAsia="Calibri" w:hAnsi="Calibri" w:cs="Calibri"/>
                <w:b/>
                <w:bCs/>
                <w:color w:val="000000" w:themeColor="text1"/>
                <w:sz w:val="22"/>
                <w:szCs w:val="22"/>
              </w:rPr>
              <w:t xml:space="preserve"> </w:t>
            </w:r>
            <w:r w:rsidRPr="0062083C">
              <w:rPr>
                <w:rFonts w:ascii="Calibri" w:eastAsia="Calibri" w:hAnsi="Calibri" w:cs="Calibri"/>
                <w:b/>
                <w:bCs/>
                <w:color w:val="000000" w:themeColor="text1"/>
                <w:sz w:val="22"/>
                <w:szCs w:val="22"/>
              </w:rPr>
              <w:t>kJ equivalent</w:t>
            </w:r>
            <w:r w:rsidRPr="0062083C">
              <w:rPr>
                <w:rFonts w:ascii="Calibri" w:eastAsia="Calibri" w:hAnsi="Calibri" w:cs="Calibri"/>
                <w:b/>
                <w:bCs/>
                <w:color w:val="000000" w:themeColor="text1"/>
                <w:sz w:val="22"/>
                <w:szCs w:val="22"/>
                <w:vertAlign w:val="superscript"/>
              </w:rPr>
              <w:t>4</w:t>
            </w:r>
          </w:p>
        </w:tc>
      </w:tr>
      <w:tr w:rsidR="00C97C2E" w:rsidRPr="0062083C" w14:paraId="71DD0DD8" w14:textId="77777777" w:rsidTr="00BC2D7E">
        <w:trPr>
          <w:jc w:val="center"/>
        </w:trPr>
        <w:tc>
          <w:tcPr>
            <w:tcW w:w="1350" w:type="dxa"/>
          </w:tcPr>
          <w:p w14:paraId="242F6241"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 xml:space="preserve">Out of home </w:t>
            </w:r>
          </w:p>
        </w:tc>
        <w:tc>
          <w:tcPr>
            <w:tcW w:w="2189" w:type="dxa"/>
          </w:tcPr>
          <w:p w14:paraId="48D92D7C"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All sizes: 275 g</w:t>
            </w:r>
          </w:p>
          <w:p w14:paraId="4EB2BEAB" w14:textId="77777777" w:rsidR="00C97C2E" w:rsidRPr="0062083C" w:rsidRDefault="00C97C2E" w:rsidP="008C396B">
            <w:pPr>
              <w:rPr>
                <w:rFonts w:ascii="Calibri" w:eastAsia="Calibri" w:hAnsi="Calibri" w:cs="Calibri"/>
                <w:color w:val="000000" w:themeColor="text1"/>
                <w:sz w:val="22"/>
                <w:szCs w:val="22"/>
              </w:rPr>
            </w:pPr>
          </w:p>
          <w:p w14:paraId="3A49910B"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Small: 162 g</w:t>
            </w:r>
          </w:p>
          <w:p w14:paraId="334E348E" w14:textId="77777777" w:rsidR="00C97C2E" w:rsidRPr="0062083C" w:rsidRDefault="00C97C2E" w:rsidP="008C396B">
            <w:pPr>
              <w:rPr>
                <w:rFonts w:ascii="Calibri" w:eastAsia="Calibri" w:hAnsi="Calibri" w:cs="Calibri"/>
                <w:color w:val="000000" w:themeColor="text1"/>
                <w:sz w:val="22"/>
                <w:szCs w:val="22"/>
              </w:rPr>
            </w:pPr>
          </w:p>
          <w:p w14:paraId="5A42F218"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Medium: 211 g</w:t>
            </w:r>
          </w:p>
          <w:p w14:paraId="554E59A2" w14:textId="77777777" w:rsidR="00C97C2E" w:rsidRPr="0062083C" w:rsidRDefault="00C97C2E" w:rsidP="008C396B">
            <w:pPr>
              <w:rPr>
                <w:rFonts w:ascii="Calibri" w:eastAsia="Calibri" w:hAnsi="Calibri" w:cs="Calibri"/>
                <w:color w:val="000000" w:themeColor="text1"/>
                <w:sz w:val="22"/>
                <w:szCs w:val="22"/>
              </w:rPr>
            </w:pPr>
          </w:p>
          <w:p w14:paraId="39D190AA"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Large: 322 g</w:t>
            </w:r>
          </w:p>
          <w:p w14:paraId="37A7AA6B" w14:textId="77777777" w:rsidR="00C97C2E" w:rsidRPr="0062083C" w:rsidRDefault="00C97C2E" w:rsidP="008C396B">
            <w:pPr>
              <w:rPr>
                <w:rFonts w:ascii="Calibri" w:eastAsia="Calibri" w:hAnsi="Calibri" w:cs="Calibri"/>
                <w:color w:val="000000" w:themeColor="text1"/>
                <w:sz w:val="22"/>
                <w:szCs w:val="22"/>
              </w:rPr>
            </w:pPr>
          </w:p>
          <w:p w14:paraId="36418A7C" w14:textId="77777777" w:rsidR="00C97C2E" w:rsidRPr="0062083C" w:rsidRDefault="00C97C2E" w:rsidP="008C396B">
            <w:pPr>
              <w:rPr>
                <w:rFonts w:ascii="Calibri" w:eastAsia="Calibri" w:hAnsi="Calibri" w:cs="Calibri"/>
                <w:color w:val="000000" w:themeColor="text1"/>
                <w:sz w:val="22"/>
                <w:szCs w:val="22"/>
              </w:rPr>
            </w:pPr>
          </w:p>
        </w:tc>
        <w:tc>
          <w:tcPr>
            <w:tcW w:w="2373" w:type="dxa"/>
          </w:tcPr>
          <w:p w14:paraId="0B6A990E" w14:textId="45DD11BF"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150 g</w:t>
            </w:r>
          </w:p>
          <w:p w14:paraId="137E780B"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w:t>
            </w:r>
            <w:proofErr w:type="gramStart"/>
            <w:r w:rsidRPr="0062083C">
              <w:rPr>
                <w:rFonts w:ascii="Calibri" w:eastAsia="Calibri" w:hAnsi="Calibri" w:cs="Calibri"/>
                <w:color w:val="000000" w:themeColor="text1"/>
                <w:sz w:val="22"/>
                <w:szCs w:val="22"/>
              </w:rPr>
              <w:t>individual</w:t>
            </w:r>
            <w:proofErr w:type="gramEnd"/>
            <w:r w:rsidRPr="0062083C">
              <w:rPr>
                <w:rFonts w:ascii="Calibri" w:eastAsia="Calibri" w:hAnsi="Calibri" w:cs="Calibri"/>
                <w:color w:val="000000" w:themeColor="text1"/>
                <w:sz w:val="22"/>
                <w:szCs w:val="22"/>
              </w:rPr>
              <w:t xml:space="preserve"> serving)</w:t>
            </w:r>
          </w:p>
          <w:p w14:paraId="75CFFC2F" w14:textId="77777777" w:rsidR="00C97C2E" w:rsidRPr="0062083C" w:rsidRDefault="00C97C2E" w:rsidP="008C396B">
            <w:pPr>
              <w:rPr>
                <w:rFonts w:ascii="Calibri" w:eastAsia="Calibri" w:hAnsi="Calibri" w:cs="Calibri"/>
                <w:color w:val="000000" w:themeColor="text1"/>
                <w:sz w:val="22"/>
                <w:szCs w:val="22"/>
              </w:rPr>
            </w:pPr>
          </w:p>
          <w:p w14:paraId="470A8E23" w14:textId="4C25B57E" w:rsidR="00B74906" w:rsidRPr="0062083C" w:rsidRDefault="00C97C2E" w:rsidP="00BC2D7E">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Additional guidance: small serving no more than 150 g, medium serving no more than 200 g and large serving no more than 300 g</w:t>
            </w:r>
          </w:p>
        </w:tc>
        <w:tc>
          <w:tcPr>
            <w:tcW w:w="1790" w:type="dxa"/>
          </w:tcPr>
          <w:p w14:paraId="7AFBA050"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~1,200</w:t>
            </w:r>
          </w:p>
        </w:tc>
        <w:tc>
          <w:tcPr>
            <w:tcW w:w="1790" w:type="dxa"/>
          </w:tcPr>
          <w:p w14:paraId="224227D5" w14:textId="77777777" w:rsidR="00C97C2E" w:rsidRPr="0062083C" w:rsidRDefault="00C97C2E" w:rsidP="008C396B">
            <w:pPr>
              <w:rPr>
                <w:rFonts w:ascii="Calibri" w:eastAsia="Calibri" w:hAnsi="Calibri" w:cs="Calibri"/>
                <w:color w:val="000000" w:themeColor="text1"/>
                <w:sz w:val="22"/>
                <w:szCs w:val="22"/>
              </w:rPr>
            </w:pPr>
            <w:r w:rsidRPr="0062083C">
              <w:rPr>
                <w:rFonts w:ascii="Calibri" w:eastAsia="Calibri" w:hAnsi="Calibri" w:cs="Calibri"/>
                <w:color w:val="000000" w:themeColor="text1"/>
                <w:sz w:val="22"/>
                <w:szCs w:val="22"/>
              </w:rPr>
              <w:t>~2</w:t>
            </w:r>
          </w:p>
          <w:p w14:paraId="5EFED923" w14:textId="77777777" w:rsidR="00C97C2E" w:rsidRPr="0062083C" w:rsidRDefault="00C97C2E" w:rsidP="008C396B">
            <w:pPr>
              <w:rPr>
                <w:rFonts w:ascii="Calibri" w:eastAsia="Calibri" w:hAnsi="Calibri" w:cs="Calibri"/>
                <w:color w:val="000000" w:themeColor="text1"/>
                <w:sz w:val="22"/>
                <w:szCs w:val="22"/>
              </w:rPr>
            </w:pPr>
          </w:p>
        </w:tc>
      </w:tr>
    </w:tbl>
    <w:p w14:paraId="6528918B" w14:textId="77777777" w:rsidR="00765227" w:rsidRDefault="00765227" w:rsidP="0050147F">
      <w:pPr>
        <w:pStyle w:val="paragraph"/>
        <w:spacing w:before="0" w:beforeAutospacing="0" w:after="120" w:afterAutospacing="0"/>
        <w:rPr>
          <w:rFonts w:ascii="Calibri" w:eastAsia="Calibri" w:hAnsi="Calibri" w:cs="Calibri"/>
          <w:b/>
          <w:bCs/>
          <w:color w:val="000000" w:themeColor="text1"/>
        </w:rPr>
      </w:pPr>
    </w:p>
    <w:p w14:paraId="48691A85" w14:textId="280F11BF" w:rsidR="00C97C2E" w:rsidRPr="00367824" w:rsidRDefault="00C97C2E" w:rsidP="00BA6EA5">
      <w:pPr>
        <w:pStyle w:val="paragraph"/>
        <w:spacing w:before="0" w:beforeAutospacing="0" w:after="120" w:afterAutospacing="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Decisions against agreed Methodology (see section </w:t>
      </w:r>
      <w:r w:rsidR="0050147F" w:rsidRPr="00367824">
        <w:rPr>
          <w:rFonts w:ascii="Calibri" w:eastAsia="Calibri" w:hAnsi="Calibri" w:cs="Calibri"/>
          <w:b/>
          <w:bCs/>
          <w:color w:val="000000" w:themeColor="text1"/>
          <w:sz w:val="22"/>
          <w:szCs w:val="22"/>
        </w:rPr>
        <w:t>6</w:t>
      </w:r>
      <w:r w:rsidRPr="00367824">
        <w:rPr>
          <w:rFonts w:ascii="Calibri" w:eastAsia="Calibri" w:hAnsi="Calibri" w:cs="Calibri"/>
          <w:b/>
          <w:bCs/>
          <w:color w:val="000000" w:themeColor="text1"/>
          <w:sz w:val="22"/>
          <w:szCs w:val="22"/>
        </w:rPr>
        <w:t>.2)</w:t>
      </w:r>
    </w:p>
    <w:p w14:paraId="032B2E52" w14:textId="77777777" w:rsidR="00C97C2E" w:rsidRPr="00367824" w:rsidRDefault="00C97C2E" w:rsidP="0062083C">
      <w:pPr>
        <w:pStyle w:val="ListParagraph"/>
        <w:numPr>
          <w:ilvl w:val="0"/>
          <w:numId w:val="14"/>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Context and setting: </w:t>
      </w:r>
      <w:r w:rsidRPr="00367824">
        <w:rPr>
          <w:rFonts w:ascii="Calibri" w:eastAsia="Calibri" w:hAnsi="Calibri" w:cs="Calibri"/>
          <w:color w:val="000000" w:themeColor="text1"/>
          <w:sz w:val="22"/>
          <w:szCs w:val="22"/>
        </w:rPr>
        <w:t>Out of home settings. Considered different eating occasions: can be eaten as a meal, as part of meal or as a snack.</w:t>
      </w:r>
    </w:p>
    <w:p w14:paraId="2A9CB6A3" w14:textId="21EB4218" w:rsidR="00C97C2E" w:rsidRPr="00367824" w:rsidRDefault="00C97C2E" w:rsidP="0062083C">
      <w:pPr>
        <w:pStyle w:val="ListParagraph"/>
        <w:numPr>
          <w:ilvl w:val="0"/>
          <w:numId w:val="14"/>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Considerations: </w:t>
      </w:r>
      <w:r w:rsidRPr="00367824">
        <w:rPr>
          <w:rFonts w:ascii="Calibri" w:eastAsia="Calibri" w:hAnsi="Calibri" w:cs="Calibri"/>
          <w:color w:val="000000" w:themeColor="text1"/>
          <w:sz w:val="22"/>
          <w:szCs w:val="22"/>
        </w:rPr>
        <w:t>150 g serving size aligns with about 2 discretionary serves.</w:t>
      </w:r>
      <w:r w:rsidRPr="00367824">
        <w:rPr>
          <w:rFonts w:ascii="Calibri" w:eastAsia="Calibri" w:hAnsi="Calibri" w:cs="Calibri"/>
          <w:b/>
          <w:bCs/>
          <w:color w:val="000000" w:themeColor="text1"/>
          <w:sz w:val="22"/>
          <w:szCs w:val="22"/>
        </w:rPr>
        <w:t xml:space="preserve"> </w:t>
      </w:r>
      <w:proofErr w:type="spellStart"/>
      <w:r w:rsidRPr="00367824">
        <w:rPr>
          <w:rFonts w:ascii="Calibri" w:eastAsia="Calibri" w:hAnsi="Calibri" w:cs="Calibri"/>
          <w:color w:val="000000" w:themeColor="text1"/>
          <w:sz w:val="22"/>
          <w:szCs w:val="22"/>
        </w:rPr>
        <w:t>iFed</w:t>
      </w:r>
      <w:proofErr w:type="spellEnd"/>
      <w:r w:rsidRPr="00367824">
        <w:rPr>
          <w:rFonts w:ascii="Calibri" w:eastAsia="Calibri" w:hAnsi="Calibri" w:cs="Calibri"/>
          <w:color w:val="000000" w:themeColor="text1"/>
          <w:sz w:val="22"/>
          <w:szCs w:val="22"/>
        </w:rPr>
        <w:t xml:space="preserve"> data 66</w:t>
      </w:r>
      <w:r w:rsidRPr="00367824">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 275 g (all sizes)</w:t>
      </w:r>
      <w:r w:rsidRPr="00367824">
        <w:rPr>
          <w:rFonts w:ascii="Calibri" w:eastAsia="Calibri" w:hAnsi="Calibri" w:cs="Calibri"/>
          <w:color w:val="000000" w:themeColor="text1"/>
          <w:sz w:val="22"/>
          <w:szCs w:val="22"/>
          <w:vertAlign w:val="superscript"/>
        </w:rPr>
        <w:t>1</w:t>
      </w:r>
      <w:r w:rsidRPr="00367824">
        <w:rPr>
          <w:rFonts w:ascii="Calibri" w:eastAsia="Calibri" w:hAnsi="Calibri" w:cs="Calibri"/>
          <w:color w:val="000000" w:themeColor="text1"/>
          <w:sz w:val="22"/>
          <w:szCs w:val="22"/>
        </w:rPr>
        <w:t xml:space="preserve">. </w:t>
      </w:r>
      <w:r w:rsidR="00916C86" w:rsidRPr="00367824">
        <w:rPr>
          <w:rFonts w:ascii="Calibri" w:eastAsia="Calibri" w:hAnsi="Calibri" w:cs="Calibri"/>
          <w:color w:val="000000" w:themeColor="text1"/>
          <w:sz w:val="22"/>
          <w:szCs w:val="22"/>
        </w:rPr>
        <w:t xml:space="preserve">The </w:t>
      </w:r>
      <w:r w:rsidRPr="00367824">
        <w:rPr>
          <w:rFonts w:ascii="Calibri" w:eastAsia="Calibri" w:hAnsi="Calibri" w:cs="Calibri"/>
          <w:color w:val="000000" w:themeColor="text1"/>
          <w:sz w:val="22"/>
          <w:szCs w:val="22"/>
        </w:rPr>
        <w:t>66</w:t>
      </w:r>
      <w:r w:rsidRPr="00367824">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percentile for an individual serving is 162 g</w:t>
      </w:r>
      <w:r w:rsidRPr="00367824">
        <w:rPr>
          <w:rFonts w:ascii="Calibri" w:eastAsia="Calibri" w:hAnsi="Calibri" w:cs="Calibri"/>
          <w:color w:val="000000" w:themeColor="text1"/>
          <w:sz w:val="22"/>
          <w:szCs w:val="22"/>
          <w:vertAlign w:val="superscript"/>
        </w:rPr>
        <w:t>1</w:t>
      </w:r>
      <w:r w:rsidRPr="00367824">
        <w:rPr>
          <w:rFonts w:ascii="Calibri" w:eastAsia="Calibri" w:hAnsi="Calibri" w:cs="Calibri"/>
          <w:color w:val="000000" w:themeColor="text1"/>
          <w:sz w:val="22"/>
          <w:szCs w:val="22"/>
        </w:rPr>
        <w:t>.</w:t>
      </w:r>
    </w:p>
    <w:p w14:paraId="5917638E" w14:textId="77777777" w:rsidR="00C97C2E" w:rsidRPr="00367824" w:rsidRDefault="00C97C2E" w:rsidP="0062083C">
      <w:pPr>
        <w:pStyle w:val="ListParagraph"/>
        <w:numPr>
          <w:ilvl w:val="0"/>
          <w:numId w:val="14"/>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Alignment with other guidance: </w:t>
      </w:r>
      <w:r w:rsidRPr="00367824">
        <w:rPr>
          <w:rFonts w:ascii="Calibri" w:eastAsia="Calibri" w:hAnsi="Calibri" w:cs="Calibri"/>
          <w:color w:val="000000" w:themeColor="text1"/>
          <w:sz w:val="22"/>
          <w:szCs w:val="22"/>
        </w:rPr>
        <w:t xml:space="preserve">Does not align with the </w:t>
      </w:r>
      <w:r w:rsidRPr="00367824">
        <w:rPr>
          <w:rFonts w:ascii="Calibri" w:eastAsia="Calibri" w:hAnsi="Calibri" w:cs="Calibri"/>
          <w:sz w:val="22"/>
          <w:szCs w:val="22"/>
        </w:rPr>
        <w:t xml:space="preserve">NSW </w:t>
      </w:r>
      <w:r w:rsidRPr="00367824">
        <w:rPr>
          <w:rFonts w:ascii="Calibri" w:eastAsia="Calibri" w:hAnsi="Calibri" w:cs="Calibri"/>
          <w:sz w:val="22"/>
          <w:szCs w:val="22"/>
          <w:lang w:val="en-GB"/>
        </w:rPr>
        <w:t xml:space="preserve">Ministry of Health </w:t>
      </w:r>
      <w:r w:rsidRPr="00367824">
        <w:rPr>
          <w:rFonts w:ascii="Calibri" w:eastAsia="Calibri" w:hAnsi="Calibri" w:cs="Calibri"/>
          <w:i/>
          <w:iCs/>
          <w:sz w:val="22"/>
          <w:szCs w:val="22"/>
          <w:lang w:val="en-GB"/>
        </w:rPr>
        <w:t xml:space="preserve">Healthy Food and Drink in NSW Health Facilities for Staff and Visitors </w:t>
      </w:r>
      <w:r w:rsidRPr="00367824">
        <w:rPr>
          <w:rFonts w:ascii="Calibri" w:eastAsia="Calibri" w:hAnsi="Calibri" w:cs="Calibri"/>
          <w:i/>
          <w:iCs/>
          <w:sz w:val="22"/>
          <w:szCs w:val="22"/>
        </w:rPr>
        <w:t>Framework</w:t>
      </w:r>
      <w:r w:rsidRPr="00367824">
        <w:rPr>
          <w:rFonts w:ascii="Calibri" w:eastAsia="Calibri" w:hAnsi="Calibri" w:cs="Calibri"/>
          <w:sz w:val="22"/>
          <w:szCs w:val="22"/>
        </w:rPr>
        <w:t xml:space="preserve"> </w:t>
      </w:r>
      <w:r w:rsidRPr="00367824">
        <w:rPr>
          <w:rFonts w:ascii="Calibri" w:eastAsia="Calibri" w:hAnsi="Calibri" w:cs="Calibri"/>
          <w:color w:val="000000" w:themeColor="text1"/>
          <w:sz w:val="22"/>
          <w:szCs w:val="22"/>
        </w:rPr>
        <w:t>(100</w:t>
      </w:r>
      <w:r w:rsidRPr="00367824">
        <w:rPr>
          <w:sz w:val="22"/>
          <w:szCs w:val="22"/>
        </w:rPr>
        <w:t xml:space="preserve"> </w:t>
      </w:r>
      <w:r w:rsidRPr="00367824">
        <w:rPr>
          <w:rFonts w:ascii="Calibri" w:eastAsia="Calibri" w:hAnsi="Calibri" w:cs="Calibri"/>
          <w:color w:val="000000" w:themeColor="text1"/>
          <w:sz w:val="22"/>
          <w:szCs w:val="22"/>
        </w:rPr>
        <w:t>g)</w:t>
      </w:r>
      <w:r w:rsidRPr="00367824">
        <w:rPr>
          <w:rFonts w:ascii="Calibri" w:eastAsia="Calibri" w:hAnsi="Calibri" w:cs="Calibri"/>
          <w:color w:val="000000" w:themeColor="text1"/>
          <w:sz w:val="22"/>
          <w:szCs w:val="22"/>
          <w:vertAlign w:val="superscript"/>
        </w:rPr>
        <w:t>6</w:t>
      </w:r>
      <w:r w:rsidRPr="00367824">
        <w:rPr>
          <w:rFonts w:ascii="Calibri" w:eastAsia="Calibri" w:hAnsi="Calibri" w:cs="Calibri"/>
          <w:color w:val="000000" w:themeColor="text1"/>
          <w:sz w:val="22"/>
          <w:szCs w:val="22"/>
        </w:rPr>
        <w:t>. A serving size of 100 g is unlikely to be meet consumer expectation. Under the Victorian Government Guidelines, potato products are classified as red (products to be limited) and a serving size recommendation is not provided</w:t>
      </w:r>
      <w:r w:rsidRPr="00367824">
        <w:rPr>
          <w:rFonts w:ascii="Calibri" w:eastAsia="Calibri" w:hAnsi="Calibri" w:cs="Calibri"/>
          <w:color w:val="000000" w:themeColor="text1"/>
          <w:sz w:val="22"/>
          <w:szCs w:val="22"/>
          <w:vertAlign w:val="superscript"/>
        </w:rPr>
        <w:t>7</w:t>
      </w:r>
      <w:r w:rsidRPr="00367824">
        <w:rPr>
          <w:rFonts w:ascii="Calibri" w:eastAsia="Calibri" w:hAnsi="Calibri" w:cs="Calibri"/>
          <w:color w:val="000000" w:themeColor="text1"/>
          <w:sz w:val="22"/>
          <w:szCs w:val="22"/>
        </w:rPr>
        <w:t xml:space="preserve">. </w:t>
      </w:r>
    </w:p>
    <w:p w14:paraId="71533558" w14:textId="77777777" w:rsidR="00C97C2E" w:rsidRPr="00367824" w:rsidRDefault="00C97C2E" w:rsidP="0062083C">
      <w:pPr>
        <w:pStyle w:val="ListParagraph"/>
        <w:numPr>
          <w:ilvl w:val="0"/>
          <w:numId w:val="14"/>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Feasibility:</w:t>
      </w:r>
      <w:r w:rsidRPr="00367824">
        <w:rPr>
          <w:rFonts w:cstheme="minorBidi"/>
          <w:color w:val="000000" w:themeColor="text1"/>
          <w:sz w:val="22"/>
          <w:szCs w:val="22"/>
        </w:rPr>
        <w:t xml:space="preserve"> Considered feasible as a significant proportion of small serves of chips are under the recommendation (mean: 144 g)</w:t>
      </w:r>
      <w:r w:rsidRPr="00367824">
        <w:rPr>
          <w:rFonts w:cstheme="minorBidi"/>
          <w:color w:val="000000" w:themeColor="text1"/>
          <w:sz w:val="22"/>
          <w:szCs w:val="22"/>
          <w:vertAlign w:val="superscript"/>
        </w:rPr>
        <w:t>1</w:t>
      </w:r>
      <w:r w:rsidRPr="00367824">
        <w:rPr>
          <w:rFonts w:cstheme="minorBidi"/>
          <w:color w:val="000000" w:themeColor="text1"/>
          <w:sz w:val="22"/>
          <w:szCs w:val="22"/>
        </w:rPr>
        <w:t>.</w:t>
      </w:r>
    </w:p>
    <w:p w14:paraId="4999DD40" w14:textId="759D3947" w:rsidR="00C97C2E" w:rsidRPr="00367824" w:rsidRDefault="00C97C2E" w:rsidP="0062083C">
      <w:pPr>
        <w:pStyle w:val="ListParagraph"/>
        <w:numPr>
          <w:ilvl w:val="0"/>
          <w:numId w:val="14"/>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Industry and consumer acceptance: </w:t>
      </w:r>
      <w:r w:rsidRPr="00367824">
        <w:rPr>
          <w:rFonts w:ascii="Calibri" w:eastAsia="Calibri" w:hAnsi="Calibri" w:cs="Calibri"/>
          <w:color w:val="000000" w:themeColor="text1"/>
          <w:sz w:val="22"/>
          <w:szCs w:val="22"/>
        </w:rPr>
        <w:t>Consumer acceptance was considered and influenced the final recommendation of 150 g. Given the 66</w:t>
      </w:r>
      <w:r w:rsidRPr="00367824">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 for individual servings is 162 g, consumer acceptance of a 150 g serving is likely.</w:t>
      </w:r>
    </w:p>
    <w:p w14:paraId="2EC9CC00" w14:textId="77777777" w:rsidR="00C97C2E" w:rsidRPr="00367824" w:rsidRDefault="00C97C2E" w:rsidP="0062083C">
      <w:pPr>
        <w:spacing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Other Considerations or Influences underpinning this Category target</w:t>
      </w:r>
    </w:p>
    <w:p w14:paraId="0EA3D71F" w14:textId="77777777" w:rsidR="00C97C2E" w:rsidRPr="00367824" w:rsidRDefault="00C97C2E" w:rsidP="0062083C">
      <w:pPr>
        <w:pStyle w:val="ListParagraph"/>
        <w:numPr>
          <w:ilvl w:val="0"/>
          <w:numId w:val="9"/>
        </w:numPr>
        <w:spacing w:after="120"/>
        <w:ind w:left="360"/>
        <w:contextualSpacing w:val="0"/>
        <w:rPr>
          <w:color w:val="000000" w:themeColor="text1"/>
          <w:sz w:val="22"/>
          <w:szCs w:val="22"/>
        </w:rPr>
      </w:pPr>
      <w:r w:rsidRPr="00367824">
        <w:rPr>
          <w:rFonts w:ascii="Calibri" w:eastAsia="Calibri" w:hAnsi="Calibri" w:cs="Calibri"/>
          <w:color w:val="000000" w:themeColor="text1"/>
          <w:sz w:val="22"/>
          <w:szCs w:val="22"/>
        </w:rPr>
        <w:t>Lack of consistency with portion descriptors – therefore standardised guidance is recommended.</w:t>
      </w:r>
    </w:p>
    <w:p w14:paraId="3E807FCD" w14:textId="77777777" w:rsidR="00C97C2E" w:rsidRPr="00367824" w:rsidRDefault="00C97C2E" w:rsidP="0062083C">
      <w:pPr>
        <w:pStyle w:val="ListParagraph"/>
        <w:numPr>
          <w:ilvl w:val="0"/>
          <w:numId w:val="9"/>
        </w:numPr>
        <w:spacing w:after="120"/>
        <w:ind w:left="360"/>
        <w:contextualSpacing w:val="0"/>
        <w:rPr>
          <w:color w:val="000000" w:themeColor="text1"/>
          <w:sz w:val="22"/>
          <w:szCs w:val="22"/>
        </w:rPr>
      </w:pPr>
      <w:r w:rsidRPr="00367824">
        <w:rPr>
          <w:rFonts w:ascii="Calibri" w:eastAsia="Calibri" w:hAnsi="Calibri" w:cs="Calibri"/>
          <w:color w:val="000000" w:themeColor="text1"/>
          <w:sz w:val="22"/>
          <w:szCs w:val="22"/>
        </w:rPr>
        <w:t xml:space="preserve">Practical to have small, </w:t>
      </w:r>
      <w:proofErr w:type="gramStart"/>
      <w:r w:rsidRPr="00367824">
        <w:rPr>
          <w:rFonts w:ascii="Calibri" w:eastAsia="Calibri" w:hAnsi="Calibri" w:cs="Calibri"/>
          <w:color w:val="000000" w:themeColor="text1"/>
          <w:sz w:val="22"/>
          <w:szCs w:val="22"/>
        </w:rPr>
        <w:t>medium</w:t>
      </w:r>
      <w:proofErr w:type="gramEnd"/>
      <w:r w:rsidRPr="00367824">
        <w:rPr>
          <w:rFonts w:ascii="Calibri" w:eastAsia="Calibri" w:hAnsi="Calibri" w:cs="Calibri"/>
          <w:color w:val="000000" w:themeColor="text1"/>
          <w:sz w:val="22"/>
          <w:szCs w:val="22"/>
        </w:rPr>
        <w:t xml:space="preserve"> and large serving size together with descriptor standardisation.</w:t>
      </w:r>
    </w:p>
    <w:p w14:paraId="62B3B682" w14:textId="77777777" w:rsidR="00C97C2E" w:rsidRDefault="00C97C2E" w:rsidP="00C97C2E"/>
    <w:p w14:paraId="337ADE23" w14:textId="77777777" w:rsidR="00826BFB" w:rsidRPr="0044145E" w:rsidRDefault="00826BFB" w:rsidP="002C4ACE">
      <w:pPr>
        <w:pStyle w:val="BodyText"/>
        <w:rPr>
          <w:b/>
          <w:bCs/>
          <w:sz w:val="28"/>
          <w:szCs w:val="28"/>
        </w:rPr>
      </w:pPr>
    </w:p>
    <w:p w14:paraId="2F0221E1" w14:textId="77777777" w:rsidR="00367824" w:rsidRDefault="00367824" w:rsidP="002C4ACE">
      <w:pPr>
        <w:pStyle w:val="BodyText"/>
        <w:rPr>
          <w:b/>
          <w:bCs/>
          <w:sz w:val="28"/>
          <w:szCs w:val="28"/>
        </w:rPr>
      </w:pPr>
    </w:p>
    <w:p w14:paraId="4819759B" w14:textId="77777777" w:rsidR="0062083C" w:rsidRDefault="0062083C" w:rsidP="002C4ACE">
      <w:pPr>
        <w:pStyle w:val="BodyText"/>
        <w:rPr>
          <w:b/>
          <w:bCs/>
          <w:sz w:val="28"/>
          <w:szCs w:val="28"/>
        </w:rPr>
      </w:pPr>
    </w:p>
    <w:p w14:paraId="021100AC" w14:textId="77777777" w:rsidR="0062083C" w:rsidRDefault="0062083C" w:rsidP="002C4ACE">
      <w:pPr>
        <w:pStyle w:val="BodyText"/>
        <w:rPr>
          <w:b/>
          <w:bCs/>
          <w:sz w:val="28"/>
          <w:szCs w:val="28"/>
        </w:rPr>
      </w:pPr>
    </w:p>
    <w:p w14:paraId="566467CF" w14:textId="77777777" w:rsidR="00BC2D7E" w:rsidRDefault="00BC2D7E" w:rsidP="002C4ACE">
      <w:pPr>
        <w:pStyle w:val="BodyText"/>
        <w:rPr>
          <w:b/>
          <w:bCs/>
          <w:sz w:val="28"/>
          <w:szCs w:val="28"/>
        </w:rPr>
      </w:pPr>
    </w:p>
    <w:p w14:paraId="4E39CDCD" w14:textId="77777777" w:rsidR="00BC2D7E" w:rsidRDefault="00BC2D7E" w:rsidP="002C4ACE">
      <w:pPr>
        <w:pStyle w:val="BodyText"/>
        <w:rPr>
          <w:b/>
          <w:bCs/>
          <w:sz w:val="28"/>
          <w:szCs w:val="28"/>
        </w:rPr>
      </w:pPr>
    </w:p>
    <w:p w14:paraId="3CE096F0" w14:textId="64EF5FC4" w:rsidR="00C97C2E" w:rsidRPr="0044145E" w:rsidRDefault="00C97C2E" w:rsidP="002C4ACE">
      <w:pPr>
        <w:pStyle w:val="BodyText"/>
        <w:rPr>
          <w:b/>
          <w:bCs/>
          <w:sz w:val="28"/>
          <w:szCs w:val="28"/>
        </w:rPr>
      </w:pPr>
      <w:r w:rsidRPr="0044145E">
        <w:rPr>
          <w:b/>
          <w:bCs/>
          <w:sz w:val="28"/>
          <w:szCs w:val="28"/>
        </w:rPr>
        <w:lastRenderedPageBreak/>
        <w:t>Ice-cream, ice-cream confections and frozen desserts</w:t>
      </w:r>
    </w:p>
    <w:tbl>
      <w:tblPr>
        <w:tblStyle w:val="TableGrid"/>
        <w:tblW w:w="9492" w:type="dxa"/>
        <w:jc w:val="center"/>
        <w:tblLayout w:type="fixed"/>
        <w:tblLook w:val="04A0" w:firstRow="1" w:lastRow="0" w:firstColumn="1" w:lastColumn="0" w:noHBand="0" w:noVBand="1"/>
      </w:tblPr>
      <w:tblGrid>
        <w:gridCol w:w="1220"/>
        <w:gridCol w:w="2603"/>
        <w:gridCol w:w="1861"/>
        <w:gridCol w:w="1904"/>
        <w:gridCol w:w="1904"/>
      </w:tblGrid>
      <w:tr w:rsidR="00C97C2E" w:rsidRPr="00367824" w14:paraId="3567463F" w14:textId="77777777" w:rsidTr="0062083C">
        <w:trPr>
          <w:jc w:val="center"/>
        </w:trPr>
        <w:tc>
          <w:tcPr>
            <w:tcW w:w="1220" w:type="dxa"/>
          </w:tcPr>
          <w:p w14:paraId="0F0B4969" w14:textId="77777777" w:rsidR="00C97C2E" w:rsidRPr="00367824" w:rsidRDefault="00C97C2E" w:rsidP="008C396B">
            <w:pPr>
              <w:rPr>
                <w:rFonts w:ascii="Calibri" w:eastAsia="Calibri" w:hAnsi="Calibri" w:cs="Calibri"/>
                <w:b/>
                <w:color w:val="000000" w:themeColor="text1"/>
                <w:sz w:val="22"/>
                <w:szCs w:val="22"/>
              </w:rPr>
            </w:pPr>
            <w:r w:rsidRPr="00367824">
              <w:rPr>
                <w:rFonts w:ascii="Calibri" w:eastAsia="Calibri" w:hAnsi="Calibri" w:cs="Calibri"/>
                <w:b/>
                <w:color w:val="000000" w:themeColor="text1"/>
                <w:sz w:val="22"/>
                <w:szCs w:val="22"/>
              </w:rPr>
              <w:t>Setting</w:t>
            </w:r>
          </w:p>
        </w:tc>
        <w:tc>
          <w:tcPr>
            <w:tcW w:w="2603" w:type="dxa"/>
          </w:tcPr>
          <w:p w14:paraId="3F0BFAEA"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Current serving sizes </w:t>
            </w:r>
          </w:p>
          <w:p w14:paraId="49A5BE92"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(66</w:t>
            </w:r>
            <w:r w:rsidRPr="00367824">
              <w:rPr>
                <w:rFonts w:ascii="Calibri" w:eastAsia="Calibri" w:hAnsi="Calibri" w:cs="Calibri"/>
                <w:b/>
                <w:bCs/>
                <w:color w:val="000000" w:themeColor="text1"/>
                <w:sz w:val="22"/>
                <w:szCs w:val="22"/>
                <w:vertAlign w:val="superscript"/>
              </w:rPr>
              <w:t>th</w:t>
            </w:r>
            <w:r w:rsidRPr="00367824">
              <w:rPr>
                <w:rFonts w:ascii="Calibri" w:eastAsia="Calibri" w:hAnsi="Calibri" w:cs="Calibri"/>
                <w:b/>
                <w:bCs/>
                <w:color w:val="000000" w:themeColor="text1"/>
                <w:sz w:val="22"/>
                <w:szCs w:val="22"/>
              </w:rPr>
              <w:t xml:space="preserve"> percentile (unless otherwise stated))</w:t>
            </w:r>
            <w:r w:rsidRPr="00367824">
              <w:rPr>
                <w:rFonts w:ascii="Calibri" w:eastAsia="Calibri" w:hAnsi="Calibri" w:cs="Calibri"/>
                <w:b/>
                <w:bCs/>
                <w:color w:val="000000" w:themeColor="text1"/>
                <w:sz w:val="22"/>
                <w:szCs w:val="22"/>
                <w:vertAlign w:val="superscript"/>
              </w:rPr>
              <w:t>1</w:t>
            </w:r>
          </w:p>
          <w:p w14:paraId="768CBF87" w14:textId="77777777" w:rsidR="00C97C2E" w:rsidRPr="00367824" w:rsidRDefault="00C97C2E" w:rsidP="008C396B">
            <w:pPr>
              <w:rPr>
                <w:rFonts w:ascii="Calibri" w:eastAsia="Calibri" w:hAnsi="Calibri" w:cs="Calibri"/>
                <w:color w:val="000000" w:themeColor="text1"/>
                <w:sz w:val="22"/>
                <w:szCs w:val="22"/>
                <w:lang w:val="en-US"/>
              </w:rPr>
            </w:pPr>
          </w:p>
        </w:tc>
        <w:tc>
          <w:tcPr>
            <w:tcW w:w="1861" w:type="dxa"/>
          </w:tcPr>
          <w:p w14:paraId="109C8BBE"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Recommended maximum serving size (g)</w:t>
            </w:r>
          </w:p>
          <w:p w14:paraId="60A9A880" w14:textId="77777777" w:rsidR="00C97C2E" w:rsidRPr="00367824" w:rsidRDefault="00C97C2E" w:rsidP="008C396B">
            <w:pPr>
              <w:rPr>
                <w:rFonts w:ascii="Calibri" w:eastAsia="Calibri" w:hAnsi="Calibri" w:cs="Calibri"/>
                <w:color w:val="000000" w:themeColor="text1"/>
                <w:sz w:val="22"/>
                <w:szCs w:val="22"/>
              </w:rPr>
            </w:pPr>
          </w:p>
        </w:tc>
        <w:tc>
          <w:tcPr>
            <w:tcW w:w="1904" w:type="dxa"/>
          </w:tcPr>
          <w:p w14:paraId="67B22458"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Energy per recommended serving size (kJ)</w:t>
            </w:r>
            <w:r w:rsidRPr="00367824">
              <w:rPr>
                <w:rFonts w:ascii="Calibri" w:eastAsia="Calibri" w:hAnsi="Calibri" w:cs="Calibri"/>
                <w:color w:val="000000" w:themeColor="text1"/>
                <w:sz w:val="22"/>
                <w:szCs w:val="22"/>
                <w:vertAlign w:val="superscript"/>
              </w:rPr>
              <w:t>3</w:t>
            </w:r>
          </w:p>
          <w:p w14:paraId="382928C0" w14:textId="77777777" w:rsidR="00C97C2E" w:rsidRPr="00367824" w:rsidRDefault="00C97C2E" w:rsidP="008C396B">
            <w:pPr>
              <w:rPr>
                <w:rFonts w:ascii="Calibri" w:eastAsia="Calibri" w:hAnsi="Calibri" w:cs="Calibri"/>
                <w:color w:val="000000" w:themeColor="text1"/>
                <w:sz w:val="22"/>
                <w:szCs w:val="22"/>
              </w:rPr>
            </w:pPr>
          </w:p>
        </w:tc>
        <w:tc>
          <w:tcPr>
            <w:tcW w:w="1904" w:type="dxa"/>
          </w:tcPr>
          <w:p w14:paraId="1E0D0CFE" w14:textId="46E4B64B"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Discretionary Serve 600</w:t>
            </w:r>
            <w:r w:rsidR="002C4ACE" w:rsidRPr="00367824">
              <w:rPr>
                <w:rFonts w:ascii="Calibri" w:eastAsia="Calibri" w:hAnsi="Calibri" w:cs="Calibri"/>
                <w:b/>
                <w:bCs/>
                <w:color w:val="000000" w:themeColor="text1"/>
                <w:sz w:val="22"/>
                <w:szCs w:val="22"/>
              </w:rPr>
              <w:t xml:space="preserve"> </w:t>
            </w:r>
            <w:r w:rsidRPr="00367824">
              <w:rPr>
                <w:rFonts w:ascii="Calibri" w:eastAsia="Calibri" w:hAnsi="Calibri" w:cs="Calibri"/>
                <w:b/>
                <w:bCs/>
                <w:color w:val="000000" w:themeColor="text1"/>
                <w:sz w:val="22"/>
                <w:szCs w:val="22"/>
              </w:rPr>
              <w:t>kJ equivalent</w:t>
            </w:r>
            <w:r w:rsidRPr="00367824">
              <w:rPr>
                <w:rFonts w:ascii="Calibri" w:eastAsia="Calibri" w:hAnsi="Calibri" w:cs="Calibri"/>
                <w:b/>
                <w:bCs/>
                <w:color w:val="000000" w:themeColor="text1"/>
                <w:sz w:val="22"/>
                <w:szCs w:val="22"/>
                <w:vertAlign w:val="superscript"/>
              </w:rPr>
              <w:t>4</w:t>
            </w:r>
          </w:p>
          <w:p w14:paraId="75B82B6F" w14:textId="77777777" w:rsidR="00C97C2E" w:rsidRPr="00367824" w:rsidRDefault="00C97C2E" w:rsidP="008C396B">
            <w:pPr>
              <w:rPr>
                <w:rFonts w:ascii="Calibri" w:eastAsia="Calibri" w:hAnsi="Calibri" w:cs="Calibri"/>
                <w:color w:val="000000" w:themeColor="text1"/>
                <w:sz w:val="22"/>
                <w:szCs w:val="22"/>
              </w:rPr>
            </w:pPr>
          </w:p>
        </w:tc>
      </w:tr>
      <w:tr w:rsidR="00C97C2E" w:rsidRPr="00367824" w14:paraId="7EA5D24D" w14:textId="77777777" w:rsidTr="0062083C">
        <w:trPr>
          <w:jc w:val="center"/>
        </w:trPr>
        <w:tc>
          <w:tcPr>
            <w:tcW w:w="1220" w:type="dxa"/>
          </w:tcPr>
          <w:p w14:paraId="55FEC1B7"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Retail</w:t>
            </w:r>
          </w:p>
        </w:tc>
        <w:tc>
          <w:tcPr>
            <w:tcW w:w="2603" w:type="dxa"/>
          </w:tcPr>
          <w:p w14:paraId="295A79BA" w14:textId="68031089"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Sticks/single servings: 74</w:t>
            </w:r>
            <w:r w:rsidR="0062083C">
              <w:rPr>
                <w:rFonts w:ascii="Calibri" w:eastAsia="Calibri" w:hAnsi="Calibri" w:cs="Calibri"/>
                <w:color w:val="000000" w:themeColor="text1"/>
                <w:sz w:val="22"/>
                <w:szCs w:val="22"/>
              </w:rPr>
              <w:t> </w:t>
            </w:r>
            <w:r w:rsidRPr="00367824">
              <w:rPr>
                <w:rFonts w:ascii="Calibri" w:eastAsia="Calibri" w:hAnsi="Calibri" w:cs="Calibri"/>
                <w:color w:val="000000" w:themeColor="text1"/>
                <w:sz w:val="22"/>
                <w:szCs w:val="22"/>
              </w:rPr>
              <w:t>g</w:t>
            </w:r>
          </w:p>
          <w:p w14:paraId="0EFC8BCC"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Tubs: 50 g</w:t>
            </w:r>
          </w:p>
        </w:tc>
        <w:tc>
          <w:tcPr>
            <w:tcW w:w="1861" w:type="dxa"/>
          </w:tcPr>
          <w:p w14:paraId="098BBF92"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75 g sticks/single </w:t>
            </w:r>
            <w:proofErr w:type="gramStart"/>
            <w:r w:rsidRPr="00367824">
              <w:rPr>
                <w:rFonts w:ascii="Calibri" w:eastAsia="Calibri" w:hAnsi="Calibri" w:cs="Calibri"/>
                <w:color w:val="000000" w:themeColor="text1"/>
                <w:sz w:val="22"/>
                <w:szCs w:val="22"/>
              </w:rPr>
              <w:t>servings;</w:t>
            </w:r>
            <w:proofErr w:type="gramEnd"/>
          </w:p>
          <w:p w14:paraId="6A2644F1" w14:textId="3254E3B3"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50 g tubs</w:t>
            </w:r>
          </w:p>
        </w:tc>
        <w:tc>
          <w:tcPr>
            <w:tcW w:w="1904" w:type="dxa"/>
          </w:tcPr>
          <w:p w14:paraId="592FC96F"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75 g: 900</w:t>
            </w:r>
          </w:p>
          <w:p w14:paraId="194F9925" w14:textId="77777777" w:rsidR="00C97C2E" w:rsidRPr="00367824" w:rsidRDefault="00C97C2E" w:rsidP="008C396B">
            <w:pPr>
              <w:rPr>
                <w:rFonts w:ascii="Calibri" w:eastAsia="Calibri" w:hAnsi="Calibri" w:cs="Calibri"/>
                <w:color w:val="000000" w:themeColor="text1"/>
                <w:sz w:val="22"/>
                <w:szCs w:val="22"/>
              </w:rPr>
            </w:pPr>
          </w:p>
          <w:p w14:paraId="0786BB16"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50 g: 400</w:t>
            </w:r>
          </w:p>
          <w:p w14:paraId="1DB2D08C" w14:textId="6DD4607E" w:rsidR="00B74906" w:rsidRPr="00367824" w:rsidRDefault="00B74906" w:rsidP="008C396B">
            <w:pPr>
              <w:rPr>
                <w:rFonts w:ascii="Calibri" w:eastAsia="Calibri" w:hAnsi="Calibri" w:cs="Calibri"/>
                <w:color w:val="000000" w:themeColor="text1"/>
                <w:sz w:val="22"/>
                <w:szCs w:val="22"/>
              </w:rPr>
            </w:pPr>
          </w:p>
        </w:tc>
        <w:tc>
          <w:tcPr>
            <w:tcW w:w="1904" w:type="dxa"/>
          </w:tcPr>
          <w:p w14:paraId="6FF755DC"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~1.5</w:t>
            </w:r>
          </w:p>
        </w:tc>
      </w:tr>
    </w:tbl>
    <w:p w14:paraId="3A81DE11" w14:textId="77777777" w:rsidR="00C97C2E" w:rsidRPr="00367824" w:rsidRDefault="00C97C2E" w:rsidP="00C97C2E">
      <w:pPr>
        <w:rPr>
          <w:sz w:val="22"/>
          <w:szCs w:val="22"/>
        </w:rPr>
      </w:pPr>
    </w:p>
    <w:p w14:paraId="23310307" w14:textId="366A7EE4" w:rsidR="00C97C2E" w:rsidRPr="00367824" w:rsidRDefault="00C97C2E" w:rsidP="00BA6EA5">
      <w:pPr>
        <w:spacing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Decisions against agreed Methodology (see section </w:t>
      </w:r>
      <w:r w:rsidR="00994436" w:rsidRPr="00367824">
        <w:rPr>
          <w:rFonts w:ascii="Calibri" w:eastAsia="Calibri" w:hAnsi="Calibri" w:cs="Calibri"/>
          <w:b/>
          <w:bCs/>
          <w:color w:val="000000" w:themeColor="text1"/>
          <w:sz w:val="22"/>
          <w:szCs w:val="22"/>
        </w:rPr>
        <w:t>6</w:t>
      </w:r>
      <w:r w:rsidRPr="00367824">
        <w:rPr>
          <w:rFonts w:ascii="Calibri" w:eastAsia="Calibri" w:hAnsi="Calibri" w:cs="Calibri"/>
          <w:b/>
          <w:bCs/>
          <w:color w:val="000000" w:themeColor="text1"/>
          <w:sz w:val="22"/>
          <w:szCs w:val="22"/>
        </w:rPr>
        <w:t>.2)</w:t>
      </w:r>
    </w:p>
    <w:p w14:paraId="2A4DD6A5" w14:textId="77777777" w:rsidR="00C97C2E" w:rsidRPr="00367824" w:rsidRDefault="00C97C2E" w:rsidP="0062083C">
      <w:pPr>
        <w:pStyle w:val="ListParagraph"/>
        <w:numPr>
          <w:ilvl w:val="0"/>
          <w:numId w:val="20"/>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Setting and context: </w:t>
      </w:r>
      <w:r w:rsidRPr="00367824">
        <w:rPr>
          <w:rFonts w:ascii="Calibri" w:eastAsia="Calibri" w:hAnsi="Calibri" w:cs="Calibri"/>
          <w:color w:val="000000" w:themeColor="text1"/>
          <w:sz w:val="22"/>
          <w:szCs w:val="22"/>
        </w:rPr>
        <w:t>Retail settings. Intended to be consumed as a snack or dessert.</w:t>
      </w:r>
    </w:p>
    <w:p w14:paraId="07304D23" w14:textId="77777777" w:rsidR="00C97C2E" w:rsidRPr="00367824" w:rsidRDefault="00C97C2E" w:rsidP="0062083C">
      <w:pPr>
        <w:pStyle w:val="ListParagraph"/>
        <w:numPr>
          <w:ilvl w:val="0"/>
          <w:numId w:val="20"/>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Considerations: </w:t>
      </w:r>
      <w:r w:rsidRPr="00367824">
        <w:rPr>
          <w:rFonts w:ascii="Calibri" w:eastAsia="Calibri" w:hAnsi="Calibri" w:cs="Calibri"/>
          <w:color w:val="000000" w:themeColor="text1"/>
          <w:sz w:val="22"/>
          <w:szCs w:val="22"/>
        </w:rPr>
        <w:t xml:space="preserve">Aligns with one discretionary serve of ice-cream as outlined in the </w:t>
      </w:r>
      <w:r w:rsidRPr="00BD059E">
        <w:rPr>
          <w:rFonts w:ascii="Calibri" w:eastAsia="Calibri" w:hAnsi="Calibri" w:cs="Calibri"/>
          <w:i/>
          <w:iCs/>
          <w:color w:val="000000" w:themeColor="text1"/>
          <w:sz w:val="22"/>
          <w:szCs w:val="22"/>
        </w:rPr>
        <w:t>Eat for Health Educator Guide</w:t>
      </w:r>
      <w:r w:rsidRPr="00BD059E">
        <w:rPr>
          <w:rFonts w:ascii="Calibri" w:eastAsia="Calibri" w:hAnsi="Calibri" w:cs="Calibri"/>
          <w:i/>
          <w:iCs/>
          <w:color w:val="000000" w:themeColor="text1"/>
          <w:sz w:val="22"/>
          <w:szCs w:val="22"/>
          <w:vertAlign w:val="superscript"/>
        </w:rPr>
        <w:t>4</w:t>
      </w:r>
      <w:r w:rsidRPr="00367824">
        <w:rPr>
          <w:rFonts w:ascii="Calibri" w:eastAsia="Calibri" w:hAnsi="Calibri" w:cs="Calibri"/>
          <w:color w:val="000000" w:themeColor="text1"/>
          <w:sz w:val="22"/>
          <w:szCs w:val="22"/>
        </w:rPr>
        <w:t>. Median amount consumed – 83 g for tub ice-cream and sticks</w:t>
      </w:r>
      <w:r w:rsidRPr="00367824">
        <w:rPr>
          <w:rFonts w:ascii="Calibri" w:eastAsia="Calibri" w:hAnsi="Calibri" w:cs="Calibri"/>
          <w:color w:val="000000" w:themeColor="text1"/>
          <w:sz w:val="22"/>
          <w:szCs w:val="22"/>
          <w:vertAlign w:val="superscript"/>
        </w:rPr>
        <w:t>12</w:t>
      </w:r>
      <w:r w:rsidRPr="00367824">
        <w:rPr>
          <w:rFonts w:ascii="Calibri" w:eastAsia="Calibri" w:hAnsi="Calibri" w:cs="Calibri"/>
          <w:color w:val="000000" w:themeColor="text1"/>
          <w:sz w:val="22"/>
          <w:szCs w:val="22"/>
        </w:rPr>
        <w:t>. Product data shows the 66</w:t>
      </w:r>
      <w:r w:rsidRPr="00367824">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 of frozen desserts is 74 g (966 kJ)</w:t>
      </w:r>
      <w:r w:rsidRPr="00367824">
        <w:rPr>
          <w:rFonts w:ascii="Calibri" w:eastAsia="Calibri" w:hAnsi="Calibri" w:cs="Calibri"/>
          <w:color w:val="000000" w:themeColor="text1"/>
          <w:sz w:val="22"/>
          <w:szCs w:val="22"/>
          <w:vertAlign w:val="superscript"/>
        </w:rPr>
        <w:t>1</w:t>
      </w:r>
      <w:r w:rsidRPr="00367824">
        <w:rPr>
          <w:rFonts w:ascii="Calibri" w:eastAsia="Calibri" w:hAnsi="Calibri" w:cs="Calibri"/>
          <w:color w:val="000000" w:themeColor="text1"/>
          <w:sz w:val="22"/>
          <w:szCs w:val="22"/>
        </w:rPr>
        <w:t>.</w:t>
      </w:r>
    </w:p>
    <w:p w14:paraId="630BFF58" w14:textId="77777777" w:rsidR="00C97C2E" w:rsidRPr="00367824" w:rsidRDefault="00C97C2E" w:rsidP="0062083C">
      <w:pPr>
        <w:pStyle w:val="ListParagraph"/>
        <w:numPr>
          <w:ilvl w:val="0"/>
          <w:numId w:val="20"/>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Alignment with other guidance: </w:t>
      </w:r>
      <w:r w:rsidRPr="00367824">
        <w:rPr>
          <w:rFonts w:ascii="Calibri" w:eastAsia="Calibri" w:hAnsi="Calibri" w:cs="Calibri"/>
          <w:color w:val="000000" w:themeColor="text1"/>
          <w:sz w:val="22"/>
          <w:szCs w:val="22"/>
        </w:rPr>
        <w:t xml:space="preserve">Alignment with jurisdictional guidance (Victorian Government </w:t>
      </w:r>
      <w:r w:rsidRPr="00367824">
        <w:rPr>
          <w:rFonts w:eastAsia="Calibri"/>
          <w:i/>
          <w:iCs/>
          <w:color w:val="000000" w:themeColor="text1"/>
          <w:sz w:val="22"/>
          <w:szCs w:val="22"/>
        </w:rPr>
        <w:t>Healthy choices: food and drink classification guide</w:t>
      </w:r>
      <w:r w:rsidRPr="00367824">
        <w:rPr>
          <w:rFonts w:ascii="Calibri" w:eastAsia="Calibri" w:hAnsi="Calibri" w:cs="Calibri"/>
          <w:color w:val="000000" w:themeColor="text1"/>
          <w:sz w:val="22"/>
          <w:szCs w:val="22"/>
        </w:rPr>
        <w:t xml:space="preserve"> – 75 g (600 kJ)</w:t>
      </w:r>
      <w:r w:rsidRPr="00367824">
        <w:rPr>
          <w:rFonts w:ascii="Calibri" w:eastAsia="Calibri" w:hAnsi="Calibri" w:cs="Calibri"/>
          <w:color w:val="000000" w:themeColor="text1"/>
          <w:sz w:val="22"/>
          <w:szCs w:val="22"/>
          <w:vertAlign w:val="superscript"/>
        </w:rPr>
        <w:t>7</w:t>
      </w:r>
      <w:r w:rsidRPr="00367824">
        <w:rPr>
          <w:rFonts w:ascii="Calibri" w:eastAsia="Calibri" w:hAnsi="Calibri" w:cs="Calibri"/>
          <w:color w:val="000000" w:themeColor="text1"/>
          <w:sz w:val="22"/>
          <w:szCs w:val="22"/>
        </w:rPr>
        <w:t>;</w:t>
      </w:r>
      <w:r w:rsidRPr="00367824">
        <w:rPr>
          <w:rFonts w:ascii="Calibri" w:eastAsia="Calibri" w:hAnsi="Calibri" w:cs="Calibri"/>
          <w:color w:val="FF0000"/>
          <w:sz w:val="22"/>
          <w:szCs w:val="22"/>
        </w:rPr>
        <w:t xml:space="preserve"> </w:t>
      </w:r>
      <w:r w:rsidRPr="00367824">
        <w:rPr>
          <w:rFonts w:ascii="Calibri" w:eastAsia="Calibri" w:hAnsi="Calibri" w:cs="Calibri"/>
          <w:sz w:val="22"/>
          <w:szCs w:val="22"/>
        </w:rPr>
        <w:t xml:space="preserve">NSW </w:t>
      </w:r>
      <w:r w:rsidRPr="00367824">
        <w:rPr>
          <w:rFonts w:ascii="Calibri" w:eastAsia="Calibri" w:hAnsi="Calibri" w:cs="Calibri"/>
          <w:sz w:val="22"/>
          <w:szCs w:val="22"/>
          <w:lang w:val="en-GB"/>
        </w:rPr>
        <w:t xml:space="preserve">Ministry of Health </w:t>
      </w:r>
      <w:r w:rsidRPr="00367824">
        <w:rPr>
          <w:rFonts w:ascii="Calibri" w:eastAsia="Calibri" w:hAnsi="Calibri" w:cs="Calibri"/>
          <w:i/>
          <w:iCs/>
          <w:sz w:val="22"/>
          <w:szCs w:val="22"/>
          <w:lang w:val="en-GB"/>
        </w:rPr>
        <w:t xml:space="preserve">Healthy Food and Drink in NSW Health Facilities for Staff and Visitors </w:t>
      </w:r>
      <w:r w:rsidRPr="00367824">
        <w:rPr>
          <w:rFonts w:ascii="Calibri" w:eastAsia="Calibri" w:hAnsi="Calibri" w:cs="Calibri"/>
          <w:i/>
          <w:iCs/>
          <w:sz w:val="22"/>
          <w:szCs w:val="22"/>
        </w:rPr>
        <w:t>Framework</w:t>
      </w:r>
      <w:r w:rsidRPr="00367824">
        <w:rPr>
          <w:rFonts w:ascii="Calibri" w:eastAsia="Calibri" w:hAnsi="Calibri" w:cs="Calibri"/>
          <w:sz w:val="22"/>
          <w:szCs w:val="22"/>
        </w:rPr>
        <w:t xml:space="preserve"> (</w:t>
      </w:r>
      <w:r w:rsidRPr="00367824">
        <w:rPr>
          <w:rFonts w:ascii="Calibri" w:eastAsia="Calibri" w:hAnsi="Calibri" w:cs="Calibri"/>
          <w:color w:val="000000" w:themeColor="text1"/>
          <w:sz w:val="22"/>
          <w:szCs w:val="22"/>
        </w:rPr>
        <w:t>85ml (671 kJ)</w:t>
      </w:r>
      <w:r w:rsidRPr="00367824">
        <w:rPr>
          <w:rFonts w:ascii="Calibri" w:eastAsia="Calibri" w:hAnsi="Calibri" w:cs="Calibri"/>
          <w:color w:val="000000" w:themeColor="text1"/>
          <w:sz w:val="22"/>
          <w:szCs w:val="22"/>
          <w:vertAlign w:val="superscript"/>
        </w:rPr>
        <w:t xml:space="preserve"> 6</w:t>
      </w:r>
      <w:r w:rsidRPr="00367824">
        <w:rPr>
          <w:rFonts w:ascii="Calibri" w:eastAsia="Calibri" w:hAnsi="Calibri" w:cs="Calibri"/>
          <w:color w:val="000000" w:themeColor="text1"/>
          <w:sz w:val="22"/>
          <w:szCs w:val="22"/>
        </w:rPr>
        <w:t xml:space="preserve">; doesn’t exceed the </w:t>
      </w:r>
      <w:r w:rsidRPr="00312E62">
        <w:rPr>
          <w:rFonts w:ascii="Calibri" w:eastAsia="Calibri" w:hAnsi="Calibri" w:cs="Calibri"/>
          <w:color w:val="000000" w:themeColor="text1"/>
          <w:sz w:val="22"/>
          <w:szCs w:val="22"/>
        </w:rPr>
        <w:t>PHE energy target of 920 kJ</w:t>
      </w:r>
      <w:r w:rsidRPr="00312E62">
        <w:rPr>
          <w:rFonts w:ascii="Calibri" w:eastAsia="Calibri" w:hAnsi="Calibri" w:cs="Calibri"/>
          <w:color w:val="000000" w:themeColor="text1"/>
          <w:sz w:val="22"/>
          <w:szCs w:val="22"/>
          <w:vertAlign w:val="superscript"/>
        </w:rPr>
        <w:t>10</w:t>
      </w:r>
      <w:r w:rsidRPr="00312E62">
        <w:rPr>
          <w:rFonts w:ascii="Calibri" w:eastAsia="Calibri" w:hAnsi="Calibri" w:cs="Calibri"/>
          <w:color w:val="000000" w:themeColor="text1"/>
          <w:sz w:val="22"/>
          <w:szCs w:val="22"/>
        </w:rPr>
        <w:t>;</w:t>
      </w:r>
      <w:r w:rsidRPr="00367824">
        <w:rPr>
          <w:rFonts w:ascii="Calibri" w:eastAsia="Calibri" w:hAnsi="Calibri" w:cs="Calibri"/>
          <w:color w:val="000000" w:themeColor="text1"/>
          <w:sz w:val="22"/>
          <w:szCs w:val="22"/>
        </w:rPr>
        <w:t xml:space="preserve"> and US RACC - 2/3 cup (165 ml)</w:t>
      </w:r>
      <w:r w:rsidRPr="00367824">
        <w:rPr>
          <w:rFonts w:ascii="Calibri" w:eastAsia="Calibri" w:hAnsi="Calibri" w:cs="Calibri"/>
          <w:color w:val="000000" w:themeColor="text1"/>
          <w:sz w:val="22"/>
          <w:szCs w:val="22"/>
          <w:vertAlign w:val="superscript"/>
        </w:rPr>
        <w:t>8</w:t>
      </w:r>
      <w:r w:rsidRPr="00367824">
        <w:rPr>
          <w:rFonts w:ascii="Calibri" w:eastAsia="Calibri" w:hAnsi="Calibri" w:cs="Calibri"/>
          <w:color w:val="000000" w:themeColor="text1"/>
          <w:sz w:val="22"/>
          <w:szCs w:val="22"/>
        </w:rPr>
        <w:t>.</w:t>
      </w:r>
    </w:p>
    <w:p w14:paraId="5E4FC5AF" w14:textId="7E44F792" w:rsidR="00C97C2E" w:rsidRPr="00367824" w:rsidRDefault="00C97C2E" w:rsidP="0062083C">
      <w:pPr>
        <w:pStyle w:val="ListParagraph"/>
        <w:numPr>
          <w:ilvl w:val="0"/>
          <w:numId w:val="20"/>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Feasibility: </w:t>
      </w:r>
      <w:r w:rsidRPr="00367824">
        <w:rPr>
          <w:rFonts w:ascii="Calibri" w:eastAsia="Calibri" w:hAnsi="Calibri" w:cs="Calibri"/>
          <w:color w:val="000000" w:themeColor="text1"/>
          <w:sz w:val="22"/>
          <w:szCs w:val="22"/>
        </w:rPr>
        <w:t>Industry have noted that the recommended serving size is achievable for most products, however</w:t>
      </w:r>
      <w:r w:rsidR="00AC26B2" w:rsidRPr="00367824">
        <w:rPr>
          <w:rFonts w:ascii="Calibri" w:eastAsia="Calibri" w:hAnsi="Calibri" w:cs="Calibri"/>
          <w:color w:val="000000" w:themeColor="text1"/>
          <w:sz w:val="22"/>
          <w:szCs w:val="22"/>
        </w:rPr>
        <w:t>,</w:t>
      </w:r>
      <w:r w:rsidRPr="00367824">
        <w:rPr>
          <w:rFonts w:ascii="Calibri" w:eastAsia="Calibri" w:hAnsi="Calibri" w:cs="Calibri"/>
          <w:color w:val="000000" w:themeColor="text1"/>
          <w:sz w:val="22"/>
          <w:szCs w:val="22"/>
        </w:rPr>
        <w:t xml:space="preserve"> for some indulgent products the serving size will not be achievable due to product architecture (</w:t>
      </w:r>
      <w:proofErr w:type="gramStart"/>
      <w:r w:rsidRPr="00367824">
        <w:rPr>
          <w:rFonts w:ascii="Calibri" w:eastAsia="Calibri" w:hAnsi="Calibri" w:cs="Calibri"/>
          <w:color w:val="000000" w:themeColor="text1"/>
          <w:sz w:val="22"/>
          <w:szCs w:val="22"/>
        </w:rPr>
        <w:t>e.g.</w:t>
      </w:r>
      <w:proofErr w:type="gramEnd"/>
      <w:r w:rsidRPr="00367824">
        <w:rPr>
          <w:rFonts w:ascii="Calibri" w:eastAsia="Calibri" w:hAnsi="Calibri" w:cs="Calibri"/>
          <w:color w:val="000000" w:themeColor="text1"/>
          <w:sz w:val="22"/>
          <w:szCs w:val="22"/>
        </w:rPr>
        <w:t xml:space="preserve"> inclusions which are denser than regular ice-cream).</w:t>
      </w:r>
    </w:p>
    <w:p w14:paraId="355FA7F0" w14:textId="77777777" w:rsidR="00C97C2E" w:rsidRPr="00367824" w:rsidRDefault="00C97C2E" w:rsidP="0062083C">
      <w:pPr>
        <w:pStyle w:val="ListParagraph"/>
        <w:numPr>
          <w:ilvl w:val="0"/>
          <w:numId w:val="20"/>
        </w:numPr>
        <w:spacing w:after="120"/>
        <w:ind w:left="360"/>
        <w:contextualSpacing w:val="0"/>
        <w:rPr>
          <w:rFonts w:cstheme="minorBidi"/>
          <w:sz w:val="22"/>
          <w:szCs w:val="22"/>
        </w:rPr>
      </w:pPr>
      <w:r w:rsidRPr="00367824">
        <w:rPr>
          <w:rFonts w:ascii="Calibri" w:eastAsia="Calibri" w:hAnsi="Calibri" w:cs="Calibri"/>
          <w:b/>
          <w:bCs/>
          <w:color w:val="000000" w:themeColor="text1"/>
          <w:sz w:val="22"/>
          <w:szCs w:val="22"/>
        </w:rPr>
        <w:t xml:space="preserve">Industry and consumer acceptance:  </w:t>
      </w:r>
      <w:r w:rsidRPr="00367824">
        <w:rPr>
          <w:rFonts w:ascii="Calibri" w:eastAsia="Calibri" w:hAnsi="Calibri" w:cs="Calibri"/>
          <w:color w:val="000000" w:themeColor="text1"/>
          <w:sz w:val="22"/>
          <w:szCs w:val="22"/>
        </w:rPr>
        <w:t>Significant, sudden serving size reductions are likely to be met with consumer complaints. A gradual change may be more acceptable for consumers but presents technical challenges to industry due to the need for machinery to be changed. As the 66</w:t>
      </w:r>
      <w:r w:rsidRPr="00367824">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 is within the maximum recommendation, the IBPGWG expects the recommendation to be achievable for many products, if not all. </w:t>
      </w:r>
      <w:r w:rsidRPr="00367824">
        <w:rPr>
          <w:rFonts w:eastAsia="Calibri"/>
          <w:sz w:val="22"/>
          <w:szCs w:val="22"/>
        </w:rPr>
        <w:t>The IBPGWG acknowledges that where there are larger offerings of a product, there are sometimes smaller offerings of the same product which meet the recommended serving size.</w:t>
      </w:r>
    </w:p>
    <w:p w14:paraId="31BA621A" w14:textId="77777777" w:rsidR="00C97C2E" w:rsidRPr="00367824" w:rsidRDefault="00C97C2E" w:rsidP="0062083C">
      <w:pPr>
        <w:spacing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Other Considerations or Influences underpinning this Category target</w:t>
      </w:r>
    </w:p>
    <w:p w14:paraId="565256F6" w14:textId="77777777" w:rsidR="00C97C2E" w:rsidRPr="00367824" w:rsidRDefault="00C97C2E" w:rsidP="0062083C">
      <w:pPr>
        <w:pStyle w:val="ListParagraph"/>
        <w:numPr>
          <w:ilvl w:val="0"/>
          <w:numId w:val="79"/>
        </w:numPr>
        <w:spacing w:after="120"/>
        <w:ind w:left="360"/>
        <w:contextualSpacing w:val="0"/>
        <w:rPr>
          <w:rFonts w:cstheme="minorBidi"/>
          <w:color w:val="000000" w:themeColor="text1"/>
          <w:sz w:val="22"/>
          <w:szCs w:val="22"/>
        </w:rPr>
      </w:pPr>
      <w:bookmarkStart w:id="40" w:name="_Hlk109287054"/>
      <w:r w:rsidRPr="00367824">
        <w:rPr>
          <w:rFonts w:ascii="Calibri" w:eastAsia="Calibri" w:hAnsi="Calibri" w:cs="Calibri"/>
          <w:color w:val="000000" w:themeColor="text1"/>
          <w:sz w:val="22"/>
          <w:szCs w:val="22"/>
        </w:rPr>
        <w:t xml:space="preserve">The following data sources were also considered: </w:t>
      </w:r>
      <w:proofErr w:type="spellStart"/>
      <w:r w:rsidRPr="00367824">
        <w:rPr>
          <w:rFonts w:ascii="Calibri" w:eastAsia="Calibri" w:hAnsi="Calibri" w:cs="Calibri"/>
          <w:color w:val="000000" w:themeColor="text1"/>
          <w:sz w:val="22"/>
          <w:szCs w:val="22"/>
        </w:rPr>
        <w:t>FoodTrack</w:t>
      </w:r>
      <w:proofErr w:type="spellEnd"/>
      <w:r w:rsidRPr="00367824">
        <w:rPr>
          <w:rFonts w:ascii="Calibri" w:eastAsia="Calibri" w:hAnsi="Calibri" w:cs="Calibri"/>
          <w:color w:val="000000" w:themeColor="text1"/>
          <w:sz w:val="22"/>
          <w:szCs w:val="22"/>
        </w:rPr>
        <w:t xml:space="preserve"> data</w:t>
      </w:r>
      <w:r w:rsidRPr="00367824">
        <w:rPr>
          <w:rFonts w:ascii="Calibri" w:eastAsia="Calibri" w:hAnsi="Calibri" w:cs="Calibri"/>
          <w:color w:val="000000" w:themeColor="text1"/>
          <w:sz w:val="22"/>
          <w:szCs w:val="22"/>
          <w:vertAlign w:val="superscript"/>
        </w:rPr>
        <w:t>1</w:t>
      </w:r>
      <w:r w:rsidRPr="00367824">
        <w:rPr>
          <w:rFonts w:ascii="Calibri" w:eastAsia="Calibri" w:hAnsi="Calibri" w:cs="Calibri"/>
          <w:color w:val="000000" w:themeColor="text1"/>
          <w:sz w:val="22"/>
          <w:szCs w:val="22"/>
        </w:rPr>
        <w:t xml:space="preserve"> and The George Institute (TGI) data</w:t>
      </w:r>
      <w:r w:rsidRPr="00367824">
        <w:rPr>
          <w:rFonts w:ascii="Calibri" w:eastAsia="Calibri" w:hAnsi="Calibri" w:cs="Calibri"/>
          <w:color w:val="000000" w:themeColor="text1"/>
          <w:sz w:val="22"/>
          <w:szCs w:val="22"/>
          <w:vertAlign w:val="superscript"/>
        </w:rPr>
        <w:t>13</w:t>
      </w:r>
      <w:r w:rsidRPr="00367824">
        <w:rPr>
          <w:rFonts w:ascii="Calibri" w:eastAsia="Calibri" w:hAnsi="Calibri" w:cs="Calibri"/>
          <w:color w:val="000000" w:themeColor="text1"/>
          <w:sz w:val="22"/>
          <w:szCs w:val="22"/>
        </w:rPr>
        <w:t>.</w:t>
      </w:r>
    </w:p>
    <w:bookmarkEnd w:id="40"/>
    <w:p w14:paraId="3385AFF0" w14:textId="77777777" w:rsidR="00C97C2E" w:rsidRPr="00367824" w:rsidRDefault="00C97C2E" w:rsidP="0062083C">
      <w:pPr>
        <w:pStyle w:val="ListParagraph"/>
        <w:numPr>
          <w:ilvl w:val="0"/>
          <w:numId w:val="79"/>
        </w:numPr>
        <w:spacing w:after="120"/>
        <w:ind w:left="360"/>
        <w:contextualSpacing w:val="0"/>
        <w:rPr>
          <w:rFonts w:cstheme="minorBidi"/>
          <w:color w:val="000000" w:themeColor="text1"/>
          <w:sz w:val="22"/>
          <w:szCs w:val="22"/>
        </w:rPr>
      </w:pPr>
      <w:r w:rsidRPr="00367824">
        <w:rPr>
          <w:rFonts w:ascii="Calibri" w:eastAsia="Calibri" w:hAnsi="Calibri" w:cs="Calibri"/>
          <w:color w:val="000000" w:themeColor="text1"/>
          <w:sz w:val="22"/>
          <w:szCs w:val="22"/>
        </w:rPr>
        <w:t>Energy density variance between fat/non-fat ingredient content was considered, however, it was agreed that a single category with the same serving size, regardless of energy density, was most appropriate.</w:t>
      </w:r>
    </w:p>
    <w:p w14:paraId="1857B995" w14:textId="31E82FFC" w:rsidR="00C97C2E" w:rsidRPr="00367824" w:rsidRDefault="00C97C2E" w:rsidP="0062083C">
      <w:pPr>
        <w:pStyle w:val="ListParagraph"/>
        <w:numPr>
          <w:ilvl w:val="0"/>
          <w:numId w:val="79"/>
        </w:numPr>
        <w:spacing w:after="120"/>
        <w:ind w:left="360"/>
        <w:contextualSpacing w:val="0"/>
        <w:rPr>
          <w:rFonts w:cstheme="minorBidi"/>
          <w:color w:val="000000" w:themeColor="text1"/>
          <w:sz w:val="22"/>
          <w:szCs w:val="22"/>
        </w:rPr>
      </w:pPr>
      <w:r w:rsidRPr="00367824">
        <w:rPr>
          <w:rFonts w:ascii="Calibri" w:eastAsia="Calibri" w:hAnsi="Calibri" w:cs="Calibri"/>
          <w:sz w:val="22"/>
          <w:szCs w:val="22"/>
        </w:rPr>
        <w:t>A draft recommendation of 80 g for all ice-creams (single serves and tubs) was published for public consultation in 2021. Following feedback that the recommendation should be reduced, the IBPWG decided to divide the category into two sub-categories.</w:t>
      </w:r>
    </w:p>
    <w:p w14:paraId="78774BBD" w14:textId="77777777" w:rsidR="00C97C2E" w:rsidRDefault="00C97C2E" w:rsidP="00C97C2E">
      <w:pPr>
        <w:rPr>
          <w:rFonts w:ascii="Calibri" w:eastAsia="Calibri" w:hAnsi="Calibri" w:cs="Calibri"/>
          <w:sz w:val="20"/>
          <w:szCs w:val="20"/>
        </w:rPr>
      </w:pPr>
    </w:p>
    <w:p w14:paraId="62C2E958" w14:textId="77777777" w:rsidR="00826BFB" w:rsidRPr="0044145E" w:rsidRDefault="00826BFB" w:rsidP="002C4ACE">
      <w:pPr>
        <w:pStyle w:val="BodyText"/>
        <w:rPr>
          <w:b/>
          <w:bCs/>
          <w:sz w:val="28"/>
          <w:szCs w:val="28"/>
        </w:rPr>
      </w:pPr>
    </w:p>
    <w:p w14:paraId="1B21748F" w14:textId="77777777" w:rsidR="00826BFB" w:rsidRPr="0044145E" w:rsidRDefault="00826BFB" w:rsidP="002C4ACE">
      <w:pPr>
        <w:pStyle w:val="BodyText"/>
        <w:rPr>
          <w:b/>
          <w:bCs/>
          <w:sz w:val="28"/>
          <w:szCs w:val="28"/>
        </w:rPr>
      </w:pPr>
    </w:p>
    <w:p w14:paraId="7626FE3D" w14:textId="77777777" w:rsidR="00367824" w:rsidRPr="00BD059E" w:rsidRDefault="00367824" w:rsidP="002C4ACE">
      <w:pPr>
        <w:pStyle w:val="BodyText"/>
        <w:rPr>
          <w:b/>
          <w:bCs/>
          <w:sz w:val="28"/>
          <w:szCs w:val="28"/>
        </w:rPr>
      </w:pPr>
    </w:p>
    <w:p w14:paraId="50A19DD9" w14:textId="77777777" w:rsidR="0062083C" w:rsidRPr="00BD059E" w:rsidRDefault="0062083C" w:rsidP="002C4ACE">
      <w:pPr>
        <w:pStyle w:val="BodyText"/>
        <w:rPr>
          <w:b/>
          <w:bCs/>
          <w:sz w:val="28"/>
          <w:szCs w:val="28"/>
        </w:rPr>
      </w:pPr>
    </w:p>
    <w:p w14:paraId="13A17DDC" w14:textId="59D4B7F2" w:rsidR="00C97C2E" w:rsidRPr="002C4ACE" w:rsidRDefault="00C97C2E" w:rsidP="002C4ACE">
      <w:pPr>
        <w:pStyle w:val="BodyText"/>
        <w:rPr>
          <w:b/>
          <w:bCs/>
          <w:sz w:val="28"/>
          <w:szCs w:val="28"/>
          <w:lang w:val="fr"/>
        </w:rPr>
      </w:pPr>
      <w:r w:rsidRPr="002C4ACE">
        <w:rPr>
          <w:b/>
          <w:bCs/>
          <w:sz w:val="28"/>
          <w:szCs w:val="28"/>
          <w:lang w:val="fr"/>
        </w:rPr>
        <w:lastRenderedPageBreak/>
        <w:t>Pizza </w:t>
      </w:r>
    </w:p>
    <w:tbl>
      <w:tblPr>
        <w:tblStyle w:val="TableGrid8"/>
        <w:tblW w:w="9492" w:type="dxa"/>
        <w:jc w:val="center"/>
        <w:tblLayout w:type="fixed"/>
        <w:tblLook w:val="04A0" w:firstRow="1" w:lastRow="0" w:firstColumn="1" w:lastColumn="0" w:noHBand="0" w:noVBand="1"/>
      </w:tblPr>
      <w:tblGrid>
        <w:gridCol w:w="1331"/>
        <w:gridCol w:w="2832"/>
        <w:gridCol w:w="1776"/>
        <w:gridCol w:w="1776"/>
        <w:gridCol w:w="1777"/>
      </w:tblGrid>
      <w:tr w:rsidR="00C97C2E" w:rsidRPr="00367824" w14:paraId="082B5670" w14:textId="77777777" w:rsidTr="0062083C">
        <w:trPr>
          <w:jc w:val="center"/>
        </w:trPr>
        <w:tc>
          <w:tcPr>
            <w:tcW w:w="1442" w:type="dxa"/>
          </w:tcPr>
          <w:p w14:paraId="35661F7D"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Setting</w:t>
            </w:r>
            <w:r w:rsidRPr="00367824">
              <w:rPr>
                <w:rFonts w:ascii="Calibri" w:eastAsia="Calibri" w:hAnsi="Calibri" w:cs="Calibri"/>
                <w:color w:val="000000" w:themeColor="text1"/>
                <w:sz w:val="22"/>
                <w:szCs w:val="22"/>
              </w:rPr>
              <w:t> </w:t>
            </w:r>
          </w:p>
        </w:tc>
        <w:tc>
          <w:tcPr>
            <w:tcW w:w="3097" w:type="dxa"/>
          </w:tcPr>
          <w:p w14:paraId="29D2CB97"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Current serving sizes </w:t>
            </w:r>
          </w:p>
          <w:p w14:paraId="16D916C8" w14:textId="77777777" w:rsidR="00C97C2E" w:rsidRPr="00367824" w:rsidRDefault="00C97C2E" w:rsidP="008C396B">
            <w:pPr>
              <w:rPr>
                <w:rFonts w:ascii="Calibri" w:eastAsia="Calibri" w:hAnsi="Calibri" w:cs="Calibri"/>
                <w:b/>
                <w:bCs/>
                <w:color w:val="000000" w:themeColor="text1"/>
                <w:sz w:val="22"/>
                <w:szCs w:val="22"/>
              </w:rPr>
            </w:pPr>
            <w:r w:rsidRPr="00367824">
              <w:rPr>
                <w:rFonts w:ascii="Calibri" w:eastAsia="Calibri" w:hAnsi="Calibri" w:cs="Calibri"/>
                <w:b/>
                <w:bCs/>
                <w:color w:val="000000" w:themeColor="text1"/>
                <w:sz w:val="22"/>
                <w:szCs w:val="22"/>
              </w:rPr>
              <w:t>(66</w:t>
            </w:r>
            <w:r w:rsidRPr="00367824">
              <w:rPr>
                <w:rFonts w:ascii="Calibri" w:eastAsia="Calibri" w:hAnsi="Calibri" w:cs="Calibri"/>
                <w:b/>
                <w:bCs/>
                <w:color w:val="000000" w:themeColor="text1"/>
                <w:sz w:val="22"/>
                <w:szCs w:val="22"/>
                <w:vertAlign w:val="superscript"/>
              </w:rPr>
              <w:t>th</w:t>
            </w:r>
            <w:r w:rsidRPr="00367824">
              <w:rPr>
                <w:rFonts w:ascii="Calibri" w:eastAsia="Calibri" w:hAnsi="Calibri" w:cs="Calibri"/>
                <w:b/>
                <w:bCs/>
                <w:color w:val="000000" w:themeColor="text1"/>
                <w:sz w:val="22"/>
                <w:szCs w:val="22"/>
              </w:rPr>
              <w:t xml:space="preserve"> percentile (unless otherwise stated))</w:t>
            </w:r>
            <w:r w:rsidRPr="00367824">
              <w:rPr>
                <w:rFonts w:ascii="Calibri" w:eastAsia="Calibri" w:hAnsi="Calibri" w:cs="Calibri"/>
                <w:b/>
                <w:bCs/>
                <w:color w:val="000000" w:themeColor="text1"/>
                <w:sz w:val="22"/>
                <w:szCs w:val="22"/>
                <w:vertAlign w:val="superscript"/>
              </w:rPr>
              <w:t>1</w:t>
            </w:r>
          </w:p>
        </w:tc>
        <w:tc>
          <w:tcPr>
            <w:tcW w:w="1934" w:type="dxa"/>
          </w:tcPr>
          <w:p w14:paraId="214BAF9B"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Recommended maximum serving size (g)</w:t>
            </w:r>
          </w:p>
          <w:p w14:paraId="6F9C8294" w14:textId="77777777" w:rsidR="00C97C2E" w:rsidRPr="00367824" w:rsidRDefault="00C97C2E" w:rsidP="008C396B">
            <w:pPr>
              <w:rPr>
                <w:rFonts w:ascii="Calibri" w:eastAsia="Calibri" w:hAnsi="Calibri" w:cs="Calibri"/>
                <w:color w:val="000000" w:themeColor="text1"/>
                <w:sz w:val="22"/>
                <w:szCs w:val="22"/>
              </w:rPr>
            </w:pPr>
          </w:p>
        </w:tc>
        <w:tc>
          <w:tcPr>
            <w:tcW w:w="1934" w:type="dxa"/>
          </w:tcPr>
          <w:p w14:paraId="624A6D96"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Energy per recommended serving size (kJ)</w:t>
            </w:r>
            <w:r w:rsidRPr="00367824">
              <w:rPr>
                <w:rFonts w:ascii="Calibri" w:eastAsia="Calibri" w:hAnsi="Calibri" w:cs="Calibri"/>
                <w:color w:val="000000" w:themeColor="text1"/>
                <w:sz w:val="22"/>
                <w:szCs w:val="22"/>
                <w:vertAlign w:val="superscript"/>
              </w:rPr>
              <w:t>3</w:t>
            </w:r>
          </w:p>
          <w:p w14:paraId="5C5AFD37" w14:textId="77777777" w:rsidR="00C97C2E" w:rsidRPr="00367824" w:rsidRDefault="00C97C2E" w:rsidP="008C396B">
            <w:pPr>
              <w:rPr>
                <w:rFonts w:ascii="Calibri" w:eastAsia="Calibri" w:hAnsi="Calibri" w:cs="Calibri"/>
                <w:color w:val="000000" w:themeColor="text1"/>
                <w:sz w:val="22"/>
                <w:szCs w:val="22"/>
              </w:rPr>
            </w:pPr>
          </w:p>
        </w:tc>
        <w:tc>
          <w:tcPr>
            <w:tcW w:w="1935" w:type="dxa"/>
          </w:tcPr>
          <w:p w14:paraId="29B10C23" w14:textId="2D9E26EF"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Discretionary Serve 600</w:t>
            </w:r>
            <w:r w:rsidR="002C4ACE" w:rsidRPr="00367824">
              <w:rPr>
                <w:rFonts w:ascii="Calibri" w:eastAsia="Calibri" w:hAnsi="Calibri" w:cs="Calibri"/>
                <w:b/>
                <w:bCs/>
                <w:color w:val="000000" w:themeColor="text1"/>
                <w:sz w:val="22"/>
                <w:szCs w:val="22"/>
              </w:rPr>
              <w:t xml:space="preserve"> </w:t>
            </w:r>
            <w:r w:rsidRPr="00367824">
              <w:rPr>
                <w:rFonts w:ascii="Calibri" w:eastAsia="Calibri" w:hAnsi="Calibri" w:cs="Calibri"/>
                <w:b/>
                <w:bCs/>
                <w:color w:val="000000" w:themeColor="text1"/>
                <w:sz w:val="22"/>
                <w:szCs w:val="22"/>
              </w:rPr>
              <w:t>kJ equivalent</w:t>
            </w:r>
            <w:r w:rsidRPr="00367824">
              <w:rPr>
                <w:rFonts w:ascii="Calibri" w:eastAsia="Calibri" w:hAnsi="Calibri" w:cs="Calibri"/>
                <w:b/>
                <w:bCs/>
                <w:color w:val="000000" w:themeColor="text1"/>
                <w:sz w:val="22"/>
                <w:szCs w:val="22"/>
                <w:vertAlign w:val="superscript"/>
              </w:rPr>
              <w:t>4</w:t>
            </w:r>
            <w:r w:rsidRPr="00367824">
              <w:rPr>
                <w:rFonts w:ascii="Calibri" w:eastAsia="Calibri" w:hAnsi="Calibri" w:cs="Calibri"/>
                <w:b/>
                <w:bCs/>
                <w:color w:val="000000" w:themeColor="text1"/>
                <w:sz w:val="22"/>
                <w:szCs w:val="22"/>
              </w:rPr>
              <w:t xml:space="preserve"> </w:t>
            </w:r>
          </w:p>
        </w:tc>
      </w:tr>
      <w:tr w:rsidR="00C97C2E" w:rsidRPr="00367824" w14:paraId="06D163CD" w14:textId="77777777" w:rsidTr="0062083C">
        <w:trPr>
          <w:jc w:val="center"/>
        </w:trPr>
        <w:tc>
          <w:tcPr>
            <w:tcW w:w="1442" w:type="dxa"/>
          </w:tcPr>
          <w:p w14:paraId="019FB140"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Out of home </w:t>
            </w:r>
          </w:p>
        </w:tc>
        <w:tc>
          <w:tcPr>
            <w:tcW w:w="3097" w:type="dxa"/>
          </w:tcPr>
          <w:p w14:paraId="665F9E51" w14:textId="77777777" w:rsidR="00C97C2E" w:rsidRPr="00BC2D7E" w:rsidRDefault="00C97C2E" w:rsidP="008C396B">
            <w:pPr>
              <w:rPr>
                <w:rFonts w:ascii="Calibri" w:eastAsia="Calibri" w:hAnsi="Calibri" w:cs="Calibri"/>
                <w:color w:val="000000" w:themeColor="text1"/>
                <w:sz w:val="22"/>
                <w:szCs w:val="22"/>
              </w:rPr>
            </w:pPr>
            <w:r w:rsidRPr="00BC2D7E">
              <w:rPr>
                <w:rFonts w:ascii="Calibri" w:eastAsia="Calibri" w:hAnsi="Calibri" w:cs="Calibri"/>
                <w:color w:val="000000" w:themeColor="text1"/>
                <w:sz w:val="22"/>
                <w:szCs w:val="22"/>
              </w:rPr>
              <w:t>Pizza (overall)</w:t>
            </w:r>
          </w:p>
          <w:p w14:paraId="7D4980DC" w14:textId="77777777" w:rsidR="00C97C2E" w:rsidRPr="00BC2D7E" w:rsidRDefault="00C97C2E" w:rsidP="008C396B">
            <w:pPr>
              <w:rPr>
                <w:rFonts w:ascii="Calibri" w:eastAsia="Calibri" w:hAnsi="Calibri" w:cs="Calibri"/>
                <w:color w:val="000000" w:themeColor="text1"/>
                <w:sz w:val="22"/>
                <w:szCs w:val="22"/>
              </w:rPr>
            </w:pPr>
            <w:r w:rsidRPr="00BC2D7E">
              <w:rPr>
                <w:rFonts w:ascii="Calibri" w:eastAsia="Calibri" w:hAnsi="Calibri" w:cs="Calibri"/>
                <w:color w:val="000000" w:themeColor="text1"/>
                <w:sz w:val="22"/>
                <w:szCs w:val="22"/>
                <w:lang w:val="en-US"/>
              </w:rPr>
              <w:t>98 g</w:t>
            </w:r>
          </w:p>
          <w:p w14:paraId="07E171C2" w14:textId="77777777" w:rsidR="00C97C2E" w:rsidRPr="00BC2D7E" w:rsidRDefault="00C97C2E" w:rsidP="008C396B">
            <w:pPr>
              <w:rPr>
                <w:rFonts w:ascii="Calibri" w:eastAsia="Calibri" w:hAnsi="Calibri" w:cs="Calibri"/>
                <w:color w:val="000000" w:themeColor="text1"/>
                <w:sz w:val="22"/>
                <w:szCs w:val="22"/>
              </w:rPr>
            </w:pPr>
          </w:p>
          <w:p w14:paraId="6ED5E070" w14:textId="77777777" w:rsidR="00C97C2E" w:rsidRPr="00BC2D7E" w:rsidRDefault="00C97C2E" w:rsidP="008C396B">
            <w:pPr>
              <w:rPr>
                <w:rFonts w:ascii="Calibri" w:eastAsia="Calibri" w:hAnsi="Calibri" w:cs="Calibri"/>
                <w:color w:val="000000" w:themeColor="text1"/>
                <w:sz w:val="22"/>
                <w:szCs w:val="22"/>
              </w:rPr>
            </w:pPr>
            <w:r w:rsidRPr="00BC2D7E">
              <w:rPr>
                <w:rFonts w:ascii="Calibri" w:eastAsia="Calibri" w:hAnsi="Calibri" w:cs="Calibri"/>
                <w:color w:val="000000" w:themeColor="text1"/>
                <w:sz w:val="22"/>
                <w:szCs w:val="22"/>
              </w:rPr>
              <w:t>Medium pizza</w:t>
            </w:r>
          </w:p>
          <w:p w14:paraId="1E101509" w14:textId="77777777" w:rsidR="00C97C2E" w:rsidRPr="00BC2D7E" w:rsidRDefault="00C97C2E" w:rsidP="008C396B">
            <w:pPr>
              <w:rPr>
                <w:rFonts w:ascii="Calibri" w:eastAsia="Calibri" w:hAnsi="Calibri" w:cs="Calibri"/>
                <w:color w:val="000000" w:themeColor="text1"/>
                <w:sz w:val="22"/>
                <w:szCs w:val="22"/>
              </w:rPr>
            </w:pPr>
            <w:r w:rsidRPr="00BC2D7E">
              <w:rPr>
                <w:rFonts w:ascii="Calibri" w:eastAsia="Calibri" w:hAnsi="Calibri" w:cs="Calibri"/>
                <w:color w:val="000000" w:themeColor="text1"/>
                <w:sz w:val="22"/>
                <w:szCs w:val="22"/>
                <w:lang w:val="en-US"/>
              </w:rPr>
              <w:t>240 g</w:t>
            </w:r>
          </w:p>
          <w:p w14:paraId="6A03C6EB" w14:textId="77777777" w:rsidR="00C97C2E" w:rsidRPr="00BC2D7E" w:rsidRDefault="00C97C2E" w:rsidP="008C396B">
            <w:pPr>
              <w:rPr>
                <w:rFonts w:ascii="Calibri" w:eastAsia="Calibri" w:hAnsi="Calibri" w:cs="Calibri"/>
                <w:color w:val="000000" w:themeColor="text1"/>
                <w:sz w:val="22"/>
                <w:szCs w:val="22"/>
              </w:rPr>
            </w:pPr>
          </w:p>
          <w:p w14:paraId="2DF31E9B" w14:textId="77777777" w:rsidR="00C97C2E" w:rsidRPr="00BC2D7E" w:rsidRDefault="00C97C2E" w:rsidP="008C396B">
            <w:pPr>
              <w:rPr>
                <w:rFonts w:ascii="Calibri" w:eastAsia="Calibri" w:hAnsi="Calibri" w:cs="Calibri"/>
                <w:color w:val="000000" w:themeColor="text1"/>
                <w:sz w:val="22"/>
                <w:szCs w:val="22"/>
              </w:rPr>
            </w:pPr>
            <w:r w:rsidRPr="00BC2D7E">
              <w:rPr>
                <w:rFonts w:ascii="Calibri" w:eastAsia="Calibri" w:hAnsi="Calibri" w:cs="Calibri"/>
                <w:color w:val="000000" w:themeColor="text1"/>
                <w:sz w:val="22"/>
                <w:szCs w:val="22"/>
              </w:rPr>
              <w:t>Large pizza</w:t>
            </w:r>
          </w:p>
          <w:p w14:paraId="62E9F61A" w14:textId="7B625898" w:rsidR="00B74906" w:rsidRPr="00367824" w:rsidRDefault="00C97C2E" w:rsidP="00BC2D7E">
            <w:pPr>
              <w:rPr>
                <w:rFonts w:ascii="Calibri" w:eastAsia="Calibri" w:hAnsi="Calibri" w:cs="Calibri"/>
                <w:color w:val="000000" w:themeColor="text1"/>
                <w:sz w:val="22"/>
                <w:szCs w:val="22"/>
              </w:rPr>
            </w:pPr>
            <w:r w:rsidRPr="00BC2D7E">
              <w:rPr>
                <w:rFonts w:ascii="Calibri" w:eastAsia="Calibri" w:hAnsi="Calibri" w:cs="Calibri"/>
                <w:color w:val="000000" w:themeColor="text1"/>
                <w:sz w:val="22"/>
                <w:szCs w:val="22"/>
                <w:lang w:val="en-US"/>
              </w:rPr>
              <w:t>268 g</w:t>
            </w:r>
          </w:p>
        </w:tc>
        <w:tc>
          <w:tcPr>
            <w:tcW w:w="1934" w:type="dxa"/>
          </w:tcPr>
          <w:p w14:paraId="44931C76"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200 g </w:t>
            </w:r>
          </w:p>
        </w:tc>
        <w:tc>
          <w:tcPr>
            <w:tcW w:w="1934" w:type="dxa"/>
          </w:tcPr>
          <w:p w14:paraId="5AB7AC9D"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~2,000 kJ  </w:t>
            </w:r>
          </w:p>
        </w:tc>
        <w:tc>
          <w:tcPr>
            <w:tcW w:w="1935" w:type="dxa"/>
          </w:tcPr>
          <w:p w14:paraId="5365E364"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~3 –3.5</w:t>
            </w:r>
          </w:p>
        </w:tc>
      </w:tr>
    </w:tbl>
    <w:p w14:paraId="64DE7EB3" w14:textId="77777777" w:rsidR="00765227" w:rsidRPr="00367824" w:rsidRDefault="00765227" w:rsidP="0050147F">
      <w:pPr>
        <w:pStyle w:val="paragraph"/>
        <w:spacing w:before="0" w:beforeAutospacing="0" w:after="120" w:afterAutospacing="0"/>
        <w:rPr>
          <w:rFonts w:ascii="Calibri" w:eastAsia="Calibri" w:hAnsi="Calibri" w:cs="Calibri"/>
          <w:b/>
          <w:bCs/>
          <w:color w:val="000000" w:themeColor="text1"/>
          <w:sz w:val="22"/>
          <w:szCs w:val="22"/>
        </w:rPr>
      </w:pPr>
    </w:p>
    <w:p w14:paraId="29EE553D" w14:textId="2BAB4764" w:rsidR="00C97C2E" w:rsidRPr="00367824" w:rsidRDefault="00C97C2E" w:rsidP="00BA6EA5">
      <w:pPr>
        <w:pStyle w:val="paragraph"/>
        <w:spacing w:before="0" w:beforeAutospacing="0" w:after="120" w:afterAutospacing="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Decisions against agreed Methodology (see section </w:t>
      </w:r>
      <w:r w:rsidR="00994436" w:rsidRPr="00367824">
        <w:rPr>
          <w:rFonts w:ascii="Calibri" w:eastAsia="Calibri" w:hAnsi="Calibri" w:cs="Calibri"/>
          <w:b/>
          <w:bCs/>
          <w:color w:val="000000" w:themeColor="text1"/>
          <w:sz w:val="22"/>
          <w:szCs w:val="22"/>
        </w:rPr>
        <w:t>6</w:t>
      </w:r>
      <w:r w:rsidRPr="00367824">
        <w:rPr>
          <w:rFonts w:ascii="Calibri" w:eastAsia="Calibri" w:hAnsi="Calibri" w:cs="Calibri"/>
          <w:b/>
          <w:bCs/>
          <w:color w:val="000000" w:themeColor="text1"/>
          <w:sz w:val="22"/>
          <w:szCs w:val="22"/>
        </w:rPr>
        <w:t>.2)</w:t>
      </w:r>
    </w:p>
    <w:p w14:paraId="3748CD9E" w14:textId="77777777" w:rsidR="00C97C2E" w:rsidRPr="00367824" w:rsidRDefault="00C97C2E" w:rsidP="0062083C">
      <w:pPr>
        <w:pStyle w:val="ListParagraph"/>
        <w:numPr>
          <w:ilvl w:val="0"/>
          <w:numId w:val="11"/>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Setting and context: </w:t>
      </w:r>
      <w:r w:rsidRPr="00367824">
        <w:rPr>
          <w:rFonts w:ascii="Calibri" w:eastAsia="Calibri" w:hAnsi="Calibri" w:cs="Calibri"/>
          <w:color w:val="000000" w:themeColor="text1"/>
          <w:sz w:val="22"/>
          <w:szCs w:val="22"/>
        </w:rPr>
        <w:t>Out of home settings. Generally consumed as a meal, or sometimes as a snack.</w:t>
      </w:r>
    </w:p>
    <w:p w14:paraId="7F04F2AC" w14:textId="77777777" w:rsidR="00C97C2E" w:rsidRPr="00367824" w:rsidRDefault="00C97C2E" w:rsidP="0062083C">
      <w:pPr>
        <w:pStyle w:val="ListParagraph"/>
        <w:numPr>
          <w:ilvl w:val="0"/>
          <w:numId w:val="11"/>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Considerations: </w:t>
      </w:r>
      <w:r w:rsidRPr="00367824">
        <w:rPr>
          <w:rFonts w:ascii="Calibri" w:eastAsia="Calibri" w:hAnsi="Calibri" w:cs="Calibri"/>
          <w:color w:val="000000" w:themeColor="text1"/>
          <w:sz w:val="22"/>
          <w:szCs w:val="22"/>
        </w:rPr>
        <w:t>200 g is equivalent to approximately 3 – 3.5 discretionary serves. The larger number of discretionary servings is reflective of these products typically being consumed as a meal. Median amount consumed: 207-213 g (depending on variety)</w:t>
      </w:r>
      <w:r w:rsidRPr="00367824">
        <w:rPr>
          <w:rFonts w:ascii="Calibri" w:eastAsia="Calibri" w:hAnsi="Calibri" w:cs="Calibri"/>
          <w:color w:val="000000" w:themeColor="text1"/>
          <w:sz w:val="22"/>
          <w:szCs w:val="22"/>
          <w:vertAlign w:val="superscript"/>
        </w:rPr>
        <w:t>12</w:t>
      </w:r>
      <w:r w:rsidRPr="00367824">
        <w:rPr>
          <w:rFonts w:ascii="Calibri" w:eastAsia="Calibri" w:hAnsi="Calibri" w:cs="Calibri"/>
          <w:color w:val="000000" w:themeColor="text1"/>
          <w:sz w:val="22"/>
          <w:szCs w:val="22"/>
        </w:rPr>
        <w:t>.  Consideration of existing serving size: data on the out of home sector shows the average serving size is between 230-256 g (medium to large pizza sizes) and 109 g (all pizza sizes)</w:t>
      </w:r>
      <w:r w:rsidRPr="00367824">
        <w:rPr>
          <w:rFonts w:ascii="Calibri" w:eastAsia="Calibri" w:hAnsi="Calibri" w:cs="Calibri"/>
          <w:color w:val="000000" w:themeColor="text1"/>
          <w:sz w:val="22"/>
          <w:szCs w:val="22"/>
          <w:vertAlign w:val="superscript"/>
        </w:rPr>
        <w:t>1</w:t>
      </w:r>
      <w:r w:rsidRPr="00367824">
        <w:rPr>
          <w:rFonts w:ascii="Calibri" w:eastAsia="Calibri" w:hAnsi="Calibri" w:cs="Calibri"/>
          <w:color w:val="000000" w:themeColor="text1"/>
          <w:sz w:val="22"/>
          <w:szCs w:val="22"/>
        </w:rPr>
        <w:t>. The 66</w:t>
      </w:r>
      <w:r w:rsidRPr="00367824">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 for medium pizza is 240 g (2,348 kJ) and large pizza is 268 g (2,814 kJ). </w:t>
      </w:r>
      <w:bookmarkStart w:id="41" w:name="_Hlk109287068"/>
      <w:r w:rsidRPr="00367824">
        <w:rPr>
          <w:rFonts w:ascii="Calibri" w:eastAsia="Calibri" w:hAnsi="Calibri" w:cs="Calibri"/>
          <w:color w:val="000000" w:themeColor="text1"/>
          <w:sz w:val="22"/>
          <w:szCs w:val="22"/>
        </w:rPr>
        <w:t xml:space="preserve">This is supported by the George Institute for Global Health </w:t>
      </w:r>
      <w:r w:rsidRPr="00367824">
        <w:rPr>
          <w:rFonts w:ascii="Calibri" w:eastAsia="Calibri" w:hAnsi="Calibri" w:cs="Calibri"/>
          <w:i/>
          <w:iCs/>
          <w:color w:val="000000" w:themeColor="text1"/>
          <w:sz w:val="22"/>
          <w:szCs w:val="22"/>
        </w:rPr>
        <w:t>State of the Food Supply</w:t>
      </w:r>
      <w:r w:rsidRPr="00367824">
        <w:rPr>
          <w:rFonts w:ascii="Calibri" w:eastAsia="Calibri" w:hAnsi="Calibri" w:cs="Calibri"/>
          <w:color w:val="000000" w:themeColor="text1"/>
          <w:sz w:val="22"/>
          <w:szCs w:val="22"/>
        </w:rPr>
        <w:t xml:space="preserve"> report</w:t>
      </w:r>
      <w:r w:rsidRPr="00367824">
        <w:rPr>
          <w:rFonts w:ascii="Calibri" w:eastAsia="Calibri" w:hAnsi="Calibri" w:cs="Calibri"/>
          <w:color w:val="000000" w:themeColor="text1"/>
          <w:sz w:val="22"/>
          <w:szCs w:val="22"/>
          <w:vertAlign w:val="superscript"/>
        </w:rPr>
        <w:t xml:space="preserve"> </w:t>
      </w:r>
      <w:r w:rsidRPr="00367824">
        <w:rPr>
          <w:rFonts w:ascii="Calibri" w:eastAsia="Calibri" w:hAnsi="Calibri" w:cs="Calibri"/>
          <w:color w:val="000000" w:themeColor="text1"/>
          <w:sz w:val="22"/>
          <w:szCs w:val="22"/>
        </w:rPr>
        <w:t>which found the range of serving sizes from three major pizza chains was 96 g – 246 g</w:t>
      </w:r>
      <w:r w:rsidRPr="00367824">
        <w:rPr>
          <w:rFonts w:ascii="Calibri" w:eastAsia="Calibri" w:hAnsi="Calibri" w:cs="Calibri"/>
          <w:color w:val="000000" w:themeColor="text1"/>
          <w:sz w:val="22"/>
          <w:szCs w:val="22"/>
          <w:vertAlign w:val="superscript"/>
        </w:rPr>
        <w:t>13</w:t>
      </w:r>
      <w:r w:rsidRPr="00367824">
        <w:rPr>
          <w:rFonts w:ascii="Calibri" w:eastAsia="Calibri" w:hAnsi="Calibri" w:cs="Calibri"/>
          <w:color w:val="000000" w:themeColor="text1"/>
          <w:sz w:val="22"/>
          <w:szCs w:val="22"/>
        </w:rPr>
        <w:t>.</w:t>
      </w:r>
      <w:bookmarkEnd w:id="41"/>
    </w:p>
    <w:p w14:paraId="7BDEAD3D" w14:textId="3942D3E2" w:rsidR="00C97C2E" w:rsidRPr="00367824" w:rsidRDefault="00C97C2E" w:rsidP="0062083C">
      <w:pPr>
        <w:pStyle w:val="ListParagraph"/>
        <w:numPr>
          <w:ilvl w:val="0"/>
          <w:numId w:val="11"/>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Alignment with other guidance: </w:t>
      </w:r>
      <w:r w:rsidRPr="00367824">
        <w:rPr>
          <w:rFonts w:ascii="Calibri" w:eastAsia="Calibri" w:hAnsi="Calibri" w:cs="Calibri"/>
          <w:color w:val="000000" w:themeColor="text1"/>
          <w:sz w:val="22"/>
          <w:szCs w:val="22"/>
        </w:rPr>
        <w:t>Aligns with jurisdictional guidance – Victorian Government Guidelines (200 g)</w:t>
      </w:r>
      <w:r w:rsidRPr="00367824">
        <w:rPr>
          <w:rFonts w:ascii="Calibri" w:eastAsia="Calibri" w:hAnsi="Calibri" w:cs="Calibri"/>
          <w:color w:val="000000" w:themeColor="text1"/>
          <w:sz w:val="22"/>
          <w:szCs w:val="22"/>
          <w:vertAlign w:val="superscript"/>
        </w:rPr>
        <w:t>7</w:t>
      </w:r>
      <w:r w:rsidRPr="00367824">
        <w:rPr>
          <w:rFonts w:ascii="Calibri" w:eastAsia="Calibri" w:hAnsi="Calibri" w:cs="Calibri"/>
          <w:color w:val="000000" w:themeColor="text1"/>
          <w:sz w:val="22"/>
          <w:szCs w:val="22"/>
        </w:rPr>
        <w:t xml:space="preserve"> and international guidance (Canadian RA: 200 g)</w:t>
      </w:r>
      <w:r w:rsidRPr="00367824">
        <w:rPr>
          <w:rFonts w:ascii="Calibri" w:eastAsia="Calibri" w:hAnsi="Calibri" w:cs="Calibri"/>
          <w:color w:val="000000" w:themeColor="text1"/>
          <w:sz w:val="22"/>
          <w:szCs w:val="22"/>
          <w:vertAlign w:val="superscript"/>
        </w:rPr>
        <w:t>9</w:t>
      </w:r>
      <w:r w:rsidRPr="00367824">
        <w:rPr>
          <w:rFonts w:ascii="Calibri" w:eastAsia="Calibri" w:hAnsi="Calibri" w:cs="Calibri"/>
          <w:color w:val="000000" w:themeColor="text1"/>
          <w:sz w:val="22"/>
          <w:szCs w:val="22"/>
        </w:rPr>
        <w:t>. Also considered the PHE recommendation to reduce energy by 20% in this category, which equates to a serving size of 184-205 g</w:t>
      </w:r>
      <w:r w:rsidRPr="00312E62">
        <w:rPr>
          <w:rFonts w:ascii="Calibri" w:eastAsia="Calibri" w:hAnsi="Calibri" w:cs="Calibri"/>
          <w:color w:val="000000" w:themeColor="text1"/>
          <w:sz w:val="22"/>
          <w:szCs w:val="22"/>
          <w:vertAlign w:val="superscript"/>
        </w:rPr>
        <w:t>1</w:t>
      </w:r>
      <w:r w:rsidR="00312E62">
        <w:rPr>
          <w:rFonts w:ascii="Calibri" w:eastAsia="Calibri" w:hAnsi="Calibri" w:cs="Calibri"/>
          <w:color w:val="000000" w:themeColor="text1"/>
          <w:sz w:val="22"/>
          <w:szCs w:val="22"/>
          <w:vertAlign w:val="superscript"/>
        </w:rPr>
        <w:t>8</w:t>
      </w:r>
      <w:r w:rsidRPr="00367824">
        <w:rPr>
          <w:rFonts w:ascii="Calibri" w:eastAsia="Calibri" w:hAnsi="Calibri" w:cs="Calibri"/>
          <w:color w:val="000000" w:themeColor="text1"/>
          <w:sz w:val="22"/>
          <w:szCs w:val="22"/>
        </w:rPr>
        <w:t>.</w:t>
      </w:r>
    </w:p>
    <w:p w14:paraId="28A8E7A3" w14:textId="77777777" w:rsidR="00C97C2E" w:rsidRPr="00367824" w:rsidRDefault="00C97C2E" w:rsidP="0062083C">
      <w:pPr>
        <w:pStyle w:val="ListParagraph"/>
        <w:numPr>
          <w:ilvl w:val="0"/>
          <w:numId w:val="11"/>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Feasibility: </w:t>
      </w:r>
      <w:r w:rsidRPr="00367824">
        <w:rPr>
          <w:rFonts w:ascii="Calibri" w:eastAsia="Calibri" w:hAnsi="Calibri" w:cs="Calibri"/>
          <w:color w:val="000000" w:themeColor="text1"/>
          <w:sz w:val="22"/>
          <w:szCs w:val="22"/>
        </w:rPr>
        <w:t>Considered feasible given the median amount consumed is 207-212 g</w:t>
      </w:r>
      <w:r w:rsidRPr="00367824">
        <w:rPr>
          <w:rFonts w:ascii="Calibri" w:eastAsia="Calibri" w:hAnsi="Calibri" w:cs="Calibri"/>
          <w:color w:val="000000" w:themeColor="text1"/>
          <w:sz w:val="22"/>
          <w:szCs w:val="22"/>
          <w:vertAlign w:val="superscript"/>
        </w:rPr>
        <w:t>12</w:t>
      </w:r>
      <w:r w:rsidRPr="00367824">
        <w:rPr>
          <w:rFonts w:ascii="Calibri" w:eastAsia="Calibri" w:hAnsi="Calibri" w:cs="Calibri"/>
          <w:color w:val="000000" w:themeColor="text1"/>
          <w:sz w:val="22"/>
          <w:szCs w:val="22"/>
        </w:rPr>
        <w:t>.</w:t>
      </w:r>
    </w:p>
    <w:p w14:paraId="72CB1009" w14:textId="77777777" w:rsidR="00C97C2E" w:rsidRPr="00367824" w:rsidRDefault="00C97C2E" w:rsidP="0062083C">
      <w:pPr>
        <w:pStyle w:val="ListParagraph"/>
        <w:numPr>
          <w:ilvl w:val="0"/>
          <w:numId w:val="11"/>
        </w:numPr>
        <w:spacing w:after="120"/>
        <w:ind w:left="36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Industry and consumer acceptance: </w:t>
      </w:r>
      <w:r w:rsidRPr="00367824">
        <w:rPr>
          <w:rFonts w:ascii="Calibri" w:eastAsia="Calibri" w:hAnsi="Calibri" w:cs="Calibri"/>
          <w:color w:val="000000" w:themeColor="text1"/>
          <w:sz w:val="22"/>
          <w:szCs w:val="22"/>
        </w:rPr>
        <w:t>Consumer acceptance may require support by education.</w:t>
      </w:r>
    </w:p>
    <w:p w14:paraId="08E56582" w14:textId="77777777" w:rsidR="00C97C2E" w:rsidRPr="00367824" w:rsidRDefault="00C97C2E" w:rsidP="0062083C">
      <w:pPr>
        <w:spacing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Other Considerations or Influences underpinning this Category target</w:t>
      </w:r>
    </w:p>
    <w:p w14:paraId="38620BDF" w14:textId="1F655D0F" w:rsidR="000C2BC1" w:rsidRPr="00367824" w:rsidRDefault="00C97C2E" w:rsidP="0062083C">
      <w:pPr>
        <w:pStyle w:val="ListParagraph"/>
        <w:numPr>
          <w:ilvl w:val="0"/>
          <w:numId w:val="84"/>
        </w:numPr>
        <w:spacing w:after="120"/>
        <w:ind w:left="360"/>
        <w:contextualSpacing w:val="0"/>
        <w:rPr>
          <w:rFonts w:cstheme="minorHAnsi"/>
          <w:color w:val="000000" w:themeColor="text1"/>
          <w:sz w:val="22"/>
          <w:szCs w:val="22"/>
        </w:rPr>
      </w:pPr>
      <w:r w:rsidRPr="00367824">
        <w:rPr>
          <w:rFonts w:eastAsia="Calibri" w:cstheme="minorHAnsi"/>
          <w:color w:val="000000" w:themeColor="text1"/>
          <w:sz w:val="22"/>
          <w:szCs w:val="22"/>
        </w:rPr>
        <w:t>Based on data collected from websites of major Quick Service Restaurant pizza chains, the mean serving size of 75 g (one slice) provides 750 kJ; 2 slices = 150 g (1,500 kJ); and 3 slices = 225 g (2,250 kJ).</w:t>
      </w:r>
    </w:p>
    <w:p w14:paraId="209614B4" w14:textId="77777777" w:rsidR="002B2E51" w:rsidRPr="002B2E51" w:rsidRDefault="002B2E51" w:rsidP="002B2E51">
      <w:pPr>
        <w:spacing w:after="120"/>
        <w:rPr>
          <w:rFonts w:cstheme="minorHAnsi"/>
          <w:color w:val="000000" w:themeColor="text1"/>
        </w:rPr>
      </w:pPr>
    </w:p>
    <w:p w14:paraId="17E043C4" w14:textId="77777777" w:rsidR="00826BFB" w:rsidRPr="0044145E" w:rsidRDefault="00826BFB" w:rsidP="002C4ACE">
      <w:pPr>
        <w:pStyle w:val="BodyText"/>
        <w:rPr>
          <w:b/>
          <w:bCs/>
          <w:sz w:val="28"/>
          <w:szCs w:val="28"/>
        </w:rPr>
      </w:pPr>
    </w:p>
    <w:p w14:paraId="07CEF10E" w14:textId="77777777" w:rsidR="00826BFB" w:rsidRPr="0044145E" w:rsidRDefault="00826BFB" w:rsidP="002C4ACE">
      <w:pPr>
        <w:pStyle w:val="BodyText"/>
        <w:rPr>
          <w:b/>
          <w:bCs/>
          <w:sz w:val="28"/>
          <w:szCs w:val="28"/>
        </w:rPr>
      </w:pPr>
    </w:p>
    <w:p w14:paraId="5C4962EE" w14:textId="77777777" w:rsidR="00826BFB" w:rsidRPr="0044145E" w:rsidRDefault="00826BFB" w:rsidP="002C4ACE">
      <w:pPr>
        <w:pStyle w:val="BodyText"/>
        <w:rPr>
          <w:b/>
          <w:bCs/>
          <w:sz w:val="28"/>
          <w:szCs w:val="28"/>
        </w:rPr>
      </w:pPr>
    </w:p>
    <w:p w14:paraId="280A4E2E" w14:textId="77777777" w:rsidR="00367824" w:rsidRDefault="00367824" w:rsidP="002C4ACE">
      <w:pPr>
        <w:pStyle w:val="BodyText"/>
        <w:rPr>
          <w:b/>
          <w:bCs/>
          <w:sz w:val="28"/>
          <w:szCs w:val="28"/>
        </w:rPr>
      </w:pPr>
    </w:p>
    <w:p w14:paraId="7A2F19F9" w14:textId="77777777" w:rsidR="0062083C" w:rsidRDefault="0062083C" w:rsidP="002C4ACE">
      <w:pPr>
        <w:pStyle w:val="BodyText"/>
        <w:rPr>
          <w:b/>
          <w:bCs/>
          <w:sz w:val="28"/>
          <w:szCs w:val="28"/>
        </w:rPr>
      </w:pPr>
    </w:p>
    <w:p w14:paraId="601BD5C4" w14:textId="63316CFD" w:rsidR="00C97C2E" w:rsidRPr="0044145E" w:rsidRDefault="00C97C2E" w:rsidP="002C4ACE">
      <w:pPr>
        <w:pStyle w:val="BodyText"/>
        <w:rPr>
          <w:b/>
          <w:bCs/>
          <w:sz w:val="28"/>
          <w:szCs w:val="28"/>
        </w:rPr>
      </w:pPr>
      <w:r w:rsidRPr="0044145E">
        <w:rPr>
          <w:b/>
          <w:bCs/>
          <w:sz w:val="28"/>
          <w:szCs w:val="28"/>
        </w:rPr>
        <w:lastRenderedPageBreak/>
        <w:t xml:space="preserve">Savoury pastry products - pies, </w:t>
      </w:r>
      <w:proofErr w:type="gramStart"/>
      <w:r w:rsidRPr="0044145E">
        <w:rPr>
          <w:b/>
          <w:bCs/>
          <w:sz w:val="28"/>
          <w:szCs w:val="28"/>
        </w:rPr>
        <w:t>rolls</w:t>
      </w:r>
      <w:proofErr w:type="gramEnd"/>
      <w:r w:rsidRPr="0044145E">
        <w:rPr>
          <w:b/>
          <w:bCs/>
          <w:sz w:val="28"/>
          <w:szCs w:val="28"/>
        </w:rPr>
        <w:t xml:space="preserve"> and filled pastries </w:t>
      </w:r>
    </w:p>
    <w:tbl>
      <w:tblPr>
        <w:tblStyle w:val="TableGrid9"/>
        <w:tblW w:w="9492" w:type="dxa"/>
        <w:jc w:val="center"/>
        <w:tblLayout w:type="fixed"/>
        <w:tblLook w:val="04A0" w:firstRow="1" w:lastRow="0" w:firstColumn="1" w:lastColumn="0" w:noHBand="0" w:noVBand="1"/>
      </w:tblPr>
      <w:tblGrid>
        <w:gridCol w:w="1332"/>
        <w:gridCol w:w="2831"/>
        <w:gridCol w:w="1776"/>
        <w:gridCol w:w="1776"/>
        <w:gridCol w:w="1777"/>
      </w:tblGrid>
      <w:tr w:rsidR="00C97C2E" w:rsidRPr="00367824" w14:paraId="37230A3D" w14:textId="77777777" w:rsidTr="0062083C">
        <w:trPr>
          <w:jc w:val="center"/>
        </w:trPr>
        <w:tc>
          <w:tcPr>
            <w:tcW w:w="1469" w:type="dxa"/>
          </w:tcPr>
          <w:p w14:paraId="26E4A6C8" w14:textId="77777777" w:rsidR="00C97C2E" w:rsidRPr="00367824" w:rsidRDefault="00C97C2E" w:rsidP="00CF28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Setting</w:t>
            </w:r>
            <w:r w:rsidRPr="00367824">
              <w:rPr>
                <w:rFonts w:ascii="Calibri" w:eastAsia="Calibri" w:hAnsi="Calibri" w:cs="Calibri"/>
                <w:color w:val="000000" w:themeColor="text1"/>
                <w:sz w:val="22"/>
                <w:szCs w:val="22"/>
              </w:rPr>
              <w:t> </w:t>
            </w:r>
          </w:p>
        </w:tc>
        <w:tc>
          <w:tcPr>
            <w:tcW w:w="3158" w:type="dxa"/>
          </w:tcPr>
          <w:p w14:paraId="2CDF13AF" w14:textId="77777777" w:rsidR="00C97C2E" w:rsidRPr="00367824" w:rsidRDefault="00C97C2E" w:rsidP="00CF28E4">
            <w:pPr>
              <w:jc w:val="cente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Current serving sizes </w:t>
            </w:r>
          </w:p>
          <w:p w14:paraId="0502EFED" w14:textId="77777777" w:rsidR="00C97C2E" w:rsidRPr="00367824" w:rsidRDefault="00C97C2E" w:rsidP="00CF28E4">
            <w:pPr>
              <w:jc w:val="cente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(66</w:t>
            </w:r>
            <w:r w:rsidRPr="00367824">
              <w:rPr>
                <w:rFonts w:ascii="Calibri" w:eastAsia="Calibri" w:hAnsi="Calibri" w:cs="Calibri"/>
                <w:b/>
                <w:bCs/>
                <w:color w:val="000000" w:themeColor="text1"/>
                <w:sz w:val="22"/>
                <w:szCs w:val="22"/>
                <w:vertAlign w:val="superscript"/>
              </w:rPr>
              <w:t>th</w:t>
            </w:r>
            <w:r w:rsidRPr="00367824">
              <w:rPr>
                <w:rFonts w:ascii="Calibri" w:eastAsia="Calibri" w:hAnsi="Calibri" w:cs="Calibri"/>
                <w:b/>
                <w:bCs/>
                <w:color w:val="000000" w:themeColor="text1"/>
                <w:sz w:val="22"/>
                <w:szCs w:val="22"/>
              </w:rPr>
              <w:t xml:space="preserve"> percentile (unless otherwise stated))</w:t>
            </w:r>
            <w:r w:rsidRPr="00367824">
              <w:rPr>
                <w:rFonts w:ascii="Calibri" w:eastAsia="Calibri" w:hAnsi="Calibri" w:cs="Calibri"/>
                <w:b/>
                <w:bCs/>
                <w:color w:val="000000" w:themeColor="text1"/>
                <w:sz w:val="22"/>
                <w:szCs w:val="22"/>
                <w:vertAlign w:val="superscript"/>
              </w:rPr>
              <w:t>1</w:t>
            </w:r>
          </w:p>
        </w:tc>
        <w:tc>
          <w:tcPr>
            <w:tcW w:w="1970" w:type="dxa"/>
          </w:tcPr>
          <w:p w14:paraId="5CBB1849" w14:textId="77777777" w:rsidR="00C97C2E" w:rsidRPr="00367824" w:rsidRDefault="00C97C2E" w:rsidP="00CF28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Recommended maximum serving size (g)</w:t>
            </w:r>
          </w:p>
          <w:p w14:paraId="109F8369" w14:textId="77777777" w:rsidR="00C97C2E" w:rsidRPr="00367824" w:rsidRDefault="00C97C2E" w:rsidP="00CF28E4">
            <w:pPr>
              <w:jc w:val="center"/>
              <w:rPr>
                <w:rFonts w:ascii="Calibri" w:eastAsia="Calibri" w:hAnsi="Calibri" w:cs="Calibri"/>
                <w:color w:val="000000" w:themeColor="text1"/>
                <w:sz w:val="22"/>
                <w:szCs w:val="22"/>
              </w:rPr>
            </w:pPr>
          </w:p>
        </w:tc>
        <w:tc>
          <w:tcPr>
            <w:tcW w:w="1970" w:type="dxa"/>
          </w:tcPr>
          <w:p w14:paraId="52811348" w14:textId="77777777" w:rsidR="00C97C2E" w:rsidRPr="00367824" w:rsidRDefault="00C97C2E" w:rsidP="00CF28E4">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Energy per recommended serving size (kJ)</w:t>
            </w:r>
            <w:r w:rsidRPr="00367824">
              <w:rPr>
                <w:rFonts w:ascii="Calibri" w:eastAsia="Calibri" w:hAnsi="Calibri" w:cs="Calibri"/>
                <w:color w:val="000000" w:themeColor="text1"/>
                <w:sz w:val="22"/>
                <w:szCs w:val="22"/>
                <w:vertAlign w:val="superscript"/>
              </w:rPr>
              <w:t xml:space="preserve">13 </w:t>
            </w:r>
          </w:p>
        </w:tc>
        <w:tc>
          <w:tcPr>
            <w:tcW w:w="1971" w:type="dxa"/>
          </w:tcPr>
          <w:p w14:paraId="3CCD9D94" w14:textId="5F7E7174" w:rsidR="00C97C2E" w:rsidRPr="00367824" w:rsidRDefault="00C97C2E" w:rsidP="00CF28E4">
            <w:pPr>
              <w:jc w:val="cente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Discretionary Serve 600</w:t>
            </w:r>
            <w:r w:rsidR="002C4ACE" w:rsidRPr="00367824">
              <w:rPr>
                <w:rFonts w:ascii="Calibri" w:eastAsia="Calibri" w:hAnsi="Calibri" w:cs="Calibri"/>
                <w:b/>
                <w:bCs/>
                <w:color w:val="000000" w:themeColor="text1"/>
                <w:sz w:val="22"/>
                <w:szCs w:val="22"/>
              </w:rPr>
              <w:t xml:space="preserve"> </w:t>
            </w:r>
            <w:r w:rsidRPr="00367824">
              <w:rPr>
                <w:rFonts w:ascii="Calibri" w:eastAsia="Calibri" w:hAnsi="Calibri" w:cs="Calibri"/>
                <w:b/>
                <w:bCs/>
                <w:color w:val="000000" w:themeColor="text1"/>
                <w:sz w:val="22"/>
                <w:szCs w:val="22"/>
              </w:rPr>
              <w:t>kJ equivalent</w:t>
            </w:r>
            <w:r w:rsidRPr="00367824">
              <w:rPr>
                <w:rFonts w:ascii="Calibri" w:eastAsia="Calibri" w:hAnsi="Calibri" w:cs="Calibri"/>
                <w:b/>
                <w:bCs/>
                <w:color w:val="000000" w:themeColor="text1"/>
                <w:sz w:val="22"/>
                <w:szCs w:val="22"/>
                <w:vertAlign w:val="superscript"/>
              </w:rPr>
              <w:t>4</w:t>
            </w:r>
            <w:r w:rsidRPr="00367824">
              <w:rPr>
                <w:rFonts w:ascii="Calibri" w:eastAsia="Calibri" w:hAnsi="Calibri" w:cs="Calibri"/>
                <w:b/>
                <w:bCs/>
                <w:color w:val="000000" w:themeColor="text1"/>
                <w:sz w:val="22"/>
                <w:szCs w:val="22"/>
              </w:rPr>
              <w:t xml:space="preserve"> </w:t>
            </w:r>
          </w:p>
        </w:tc>
      </w:tr>
      <w:tr w:rsidR="00C97C2E" w:rsidRPr="00367824" w14:paraId="5260CA54" w14:textId="77777777" w:rsidTr="0062083C">
        <w:trPr>
          <w:jc w:val="center"/>
        </w:trPr>
        <w:tc>
          <w:tcPr>
            <w:tcW w:w="1469" w:type="dxa"/>
          </w:tcPr>
          <w:p w14:paraId="4B232C0E" w14:textId="77777777" w:rsidR="00C97C2E" w:rsidRPr="00367824" w:rsidRDefault="00C97C2E" w:rsidP="00CF28E4">
            <w:pPr>
              <w:jc w:val="cente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Retail and out of home </w:t>
            </w:r>
          </w:p>
          <w:p w14:paraId="564C86F9" w14:textId="1B41ECB9" w:rsidR="00B74906" w:rsidRPr="00367824" w:rsidRDefault="00B74906" w:rsidP="00CF28E4">
            <w:pPr>
              <w:jc w:val="center"/>
              <w:rPr>
                <w:rFonts w:ascii="Calibri" w:eastAsia="Calibri" w:hAnsi="Calibri" w:cs="Calibri"/>
                <w:color w:val="000000" w:themeColor="text1"/>
                <w:sz w:val="22"/>
                <w:szCs w:val="22"/>
              </w:rPr>
            </w:pPr>
          </w:p>
        </w:tc>
        <w:tc>
          <w:tcPr>
            <w:tcW w:w="3158" w:type="dxa"/>
          </w:tcPr>
          <w:p w14:paraId="50E2DCDE" w14:textId="77777777" w:rsidR="00C97C2E" w:rsidRPr="00367824" w:rsidRDefault="00C97C2E" w:rsidP="00CF28E4">
            <w:pPr>
              <w:jc w:val="cente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200 g</w:t>
            </w:r>
          </w:p>
        </w:tc>
        <w:tc>
          <w:tcPr>
            <w:tcW w:w="1970" w:type="dxa"/>
          </w:tcPr>
          <w:p w14:paraId="2A400565" w14:textId="77777777" w:rsidR="00C97C2E" w:rsidRPr="00367824" w:rsidRDefault="00C97C2E" w:rsidP="00CF28E4">
            <w:pPr>
              <w:jc w:val="cente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200 g</w:t>
            </w:r>
          </w:p>
        </w:tc>
        <w:tc>
          <w:tcPr>
            <w:tcW w:w="1970" w:type="dxa"/>
          </w:tcPr>
          <w:p w14:paraId="751BB7E0" w14:textId="77777777" w:rsidR="00C97C2E" w:rsidRPr="00367824" w:rsidRDefault="00C97C2E" w:rsidP="00CF28E4">
            <w:pPr>
              <w:jc w:val="cente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~2,000</w:t>
            </w:r>
          </w:p>
        </w:tc>
        <w:tc>
          <w:tcPr>
            <w:tcW w:w="1971" w:type="dxa"/>
          </w:tcPr>
          <w:p w14:paraId="4369F174" w14:textId="77777777" w:rsidR="00C97C2E" w:rsidRPr="00367824" w:rsidRDefault="00C97C2E" w:rsidP="00CF28E4">
            <w:pPr>
              <w:jc w:val="cente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~3-3.5</w:t>
            </w:r>
          </w:p>
        </w:tc>
      </w:tr>
    </w:tbl>
    <w:p w14:paraId="251C915E" w14:textId="77777777" w:rsidR="000C2BC1" w:rsidRPr="00367824" w:rsidRDefault="000C2BC1" w:rsidP="00C97C2E">
      <w:pPr>
        <w:pStyle w:val="paragraph"/>
        <w:spacing w:before="0" w:beforeAutospacing="0" w:after="120" w:afterAutospacing="0"/>
        <w:rPr>
          <w:rFonts w:ascii="Calibri" w:eastAsia="Calibri" w:hAnsi="Calibri" w:cs="Calibri"/>
          <w:b/>
          <w:bCs/>
          <w:color w:val="000000" w:themeColor="text1"/>
          <w:sz w:val="22"/>
          <w:szCs w:val="22"/>
        </w:rPr>
      </w:pPr>
    </w:p>
    <w:p w14:paraId="663ED487" w14:textId="54964D33" w:rsidR="00C97C2E" w:rsidRPr="00367824" w:rsidRDefault="00C97C2E" w:rsidP="00C97C2E">
      <w:pPr>
        <w:pStyle w:val="paragraph"/>
        <w:spacing w:before="0" w:beforeAutospacing="0" w:after="120" w:afterAutospacing="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Decisions against agreed Methodology (see section </w:t>
      </w:r>
      <w:r w:rsidR="00994436" w:rsidRPr="00367824">
        <w:rPr>
          <w:rFonts w:ascii="Calibri" w:eastAsia="Calibri" w:hAnsi="Calibri" w:cs="Calibri"/>
          <w:b/>
          <w:bCs/>
          <w:color w:val="000000" w:themeColor="text1"/>
          <w:sz w:val="22"/>
          <w:szCs w:val="22"/>
        </w:rPr>
        <w:t>6</w:t>
      </w:r>
      <w:r w:rsidRPr="00367824">
        <w:rPr>
          <w:rFonts w:ascii="Calibri" w:eastAsia="Calibri" w:hAnsi="Calibri" w:cs="Calibri"/>
          <w:b/>
          <w:bCs/>
          <w:color w:val="000000" w:themeColor="text1"/>
          <w:sz w:val="22"/>
          <w:szCs w:val="22"/>
        </w:rPr>
        <w:t>.2)</w:t>
      </w:r>
    </w:p>
    <w:p w14:paraId="136C1AFC" w14:textId="77777777" w:rsidR="00C97C2E" w:rsidRPr="00367824" w:rsidRDefault="00C97C2E" w:rsidP="00C97C2E">
      <w:pPr>
        <w:pStyle w:val="ListParagraph"/>
        <w:numPr>
          <w:ilvl w:val="0"/>
          <w:numId w:val="13"/>
        </w:numPr>
        <w:spacing w:after="12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Setting and context: </w:t>
      </w:r>
      <w:r w:rsidRPr="00367824">
        <w:rPr>
          <w:rFonts w:ascii="Calibri" w:eastAsia="Calibri" w:hAnsi="Calibri" w:cs="Calibri"/>
          <w:color w:val="000000" w:themeColor="text1"/>
          <w:sz w:val="22"/>
          <w:szCs w:val="22"/>
        </w:rPr>
        <w:t>Retail and out of home settings. Considered different eating occasions and typical consumers. Can be consumed as a meal or as a snack.</w:t>
      </w:r>
    </w:p>
    <w:p w14:paraId="3553E427" w14:textId="36DAA037" w:rsidR="00C97C2E" w:rsidRPr="00367824" w:rsidRDefault="00C97C2E" w:rsidP="00C97C2E">
      <w:pPr>
        <w:pStyle w:val="ListParagraph"/>
        <w:numPr>
          <w:ilvl w:val="0"/>
          <w:numId w:val="13"/>
        </w:numPr>
        <w:spacing w:after="12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Considerations: </w:t>
      </w:r>
      <w:r w:rsidRPr="00367824">
        <w:rPr>
          <w:rFonts w:ascii="Calibri" w:eastAsia="Calibri" w:hAnsi="Calibri" w:cs="Calibri"/>
          <w:color w:val="000000" w:themeColor="text1"/>
          <w:sz w:val="22"/>
          <w:szCs w:val="22"/>
        </w:rPr>
        <w:t>A 200 g serving is equivalent to 3-3.5 discretionary serves. This is larger than most other categories, however</w:t>
      </w:r>
      <w:r w:rsidR="00AC26B2" w:rsidRPr="00367824">
        <w:rPr>
          <w:rFonts w:ascii="Calibri" w:eastAsia="Calibri" w:hAnsi="Calibri" w:cs="Calibri"/>
          <w:color w:val="000000" w:themeColor="text1"/>
          <w:sz w:val="22"/>
          <w:szCs w:val="22"/>
        </w:rPr>
        <w:t>,</w:t>
      </w:r>
      <w:r w:rsidRPr="00367824">
        <w:rPr>
          <w:rFonts w:ascii="Calibri" w:eastAsia="Calibri" w:hAnsi="Calibri" w:cs="Calibri"/>
          <w:color w:val="000000" w:themeColor="text1"/>
          <w:sz w:val="22"/>
          <w:szCs w:val="22"/>
        </w:rPr>
        <w:t xml:space="preserve"> these items are frequently consumed as a meal. Median amount consumed – 175 g for savoury pastries, pies and filled pastries</w:t>
      </w:r>
      <w:r w:rsidRPr="00367824">
        <w:rPr>
          <w:rFonts w:ascii="Calibri" w:eastAsia="Calibri" w:hAnsi="Calibri" w:cs="Calibri"/>
          <w:color w:val="000000" w:themeColor="text1"/>
          <w:sz w:val="22"/>
          <w:szCs w:val="22"/>
          <w:vertAlign w:val="superscript"/>
        </w:rPr>
        <w:t>12</w:t>
      </w:r>
      <w:r w:rsidRPr="00367824">
        <w:rPr>
          <w:rFonts w:ascii="Calibri" w:eastAsia="Calibri" w:hAnsi="Calibri" w:cs="Calibri"/>
          <w:color w:val="000000" w:themeColor="text1"/>
          <w:sz w:val="22"/>
          <w:szCs w:val="22"/>
        </w:rPr>
        <w:t>.</w:t>
      </w:r>
    </w:p>
    <w:p w14:paraId="6E648541" w14:textId="77777777" w:rsidR="00C97C2E" w:rsidRPr="00367824" w:rsidRDefault="00C97C2E" w:rsidP="00C97C2E">
      <w:pPr>
        <w:pStyle w:val="ListParagraph"/>
        <w:numPr>
          <w:ilvl w:val="0"/>
          <w:numId w:val="13"/>
        </w:numPr>
        <w:spacing w:after="12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Alignment with other guidance: </w:t>
      </w:r>
      <w:r w:rsidRPr="00367824">
        <w:rPr>
          <w:rFonts w:ascii="Calibri" w:eastAsia="Calibri" w:hAnsi="Calibri" w:cs="Calibri"/>
          <w:color w:val="000000" w:themeColor="text1"/>
          <w:sz w:val="22"/>
          <w:szCs w:val="22"/>
        </w:rPr>
        <w:t xml:space="preserve">The maximum serving size recommendation aligns with existing jurisdictional </w:t>
      </w:r>
      <w:r w:rsidRPr="00367824">
        <w:rPr>
          <w:rFonts w:ascii="Calibri" w:eastAsia="Calibri" w:hAnsi="Calibri" w:cs="Calibri"/>
          <w:sz w:val="22"/>
          <w:szCs w:val="22"/>
        </w:rPr>
        <w:t xml:space="preserve">guidance - NSW </w:t>
      </w:r>
      <w:r w:rsidRPr="00367824">
        <w:rPr>
          <w:rFonts w:ascii="Calibri" w:eastAsia="Calibri" w:hAnsi="Calibri" w:cs="Calibri"/>
          <w:sz w:val="22"/>
          <w:szCs w:val="22"/>
          <w:lang w:val="en-GB"/>
        </w:rPr>
        <w:t xml:space="preserve">Ministry of Health </w:t>
      </w:r>
      <w:r w:rsidRPr="00367824">
        <w:rPr>
          <w:rFonts w:ascii="Calibri" w:eastAsia="Calibri" w:hAnsi="Calibri" w:cs="Calibri"/>
          <w:i/>
          <w:iCs/>
          <w:sz w:val="22"/>
          <w:szCs w:val="22"/>
          <w:lang w:val="en-GB"/>
        </w:rPr>
        <w:t xml:space="preserve">Healthy Food and Drink in NSW Health Facilities for Staff and Visitors </w:t>
      </w:r>
      <w:r w:rsidRPr="00367824">
        <w:rPr>
          <w:rFonts w:ascii="Calibri" w:eastAsia="Calibri" w:hAnsi="Calibri" w:cs="Calibri"/>
          <w:i/>
          <w:iCs/>
          <w:sz w:val="22"/>
          <w:szCs w:val="22"/>
        </w:rPr>
        <w:t>Framework</w:t>
      </w:r>
      <w:r w:rsidRPr="00367824">
        <w:rPr>
          <w:rFonts w:ascii="Calibri" w:eastAsia="Calibri" w:hAnsi="Calibri" w:cs="Calibri"/>
          <w:sz w:val="22"/>
          <w:szCs w:val="22"/>
        </w:rPr>
        <w:t xml:space="preserve"> </w:t>
      </w:r>
      <w:r w:rsidRPr="00367824">
        <w:rPr>
          <w:rFonts w:ascii="Calibri" w:eastAsia="Calibri" w:hAnsi="Calibri" w:cs="Calibri"/>
          <w:color w:val="000000" w:themeColor="text1"/>
          <w:sz w:val="22"/>
          <w:szCs w:val="22"/>
        </w:rPr>
        <w:t>(180 g)</w:t>
      </w:r>
      <w:r w:rsidRPr="00367824">
        <w:rPr>
          <w:rFonts w:ascii="Calibri" w:eastAsia="Calibri" w:hAnsi="Calibri" w:cs="Calibri"/>
          <w:color w:val="000000" w:themeColor="text1"/>
          <w:sz w:val="22"/>
          <w:szCs w:val="22"/>
          <w:vertAlign w:val="superscript"/>
        </w:rPr>
        <w:t>6</w:t>
      </w:r>
      <w:r w:rsidRPr="00367824">
        <w:rPr>
          <w:rFonts w:ascii="Calibri" w:eastAsia="Calibri" w:hAnsi="Calibri" w:cs="Calibri"/>
          <w:color w:val="000000" w:themeColor="text1"/>
          <w:sz w:val="22"/>
          <w:szCs w:val="22"/>
        </w:rPr>
        <w:t>; Victorian Government Guidelines – (200 g)</w:t>
      </w:r>
      <w:r w:rsidRPr="00367824">
        <w:rPr>
          <w:rFonts w:ascii="Calibri" w:eastAsia="Calibri" w:hAnsi="Calibri" w:cs="Calibri"/>
          <w:color w:val="000000" w:themeColor="text1"/>
          <w:sz w:val="22"/>
          <w:szCs w:val="22"/>
          <w:vertAlign w:val="superscript"/>
        </w:rPr>
        <w:t>7</w:t>
      </w:r>
      <w:r w:rsidRPr="00367824">
        <w:rPr>
          <w:rFonts w:ascii="Calibri" w:eastAsia="Calibri" w:hAnsi="Calibri" w:cs="Calibri"/>
          <w:color w:val="000000" w:themeColor="text1"/>
          <w:sz w:val="22"/>
          <w:szCs w:val="22"/>
        </w:rPr>
        <w:t xml:space="preserve"> and recognises how savoury pastry products are usually consumed (as whole individual products or servings).  </w:t>
      </w:r>
    </w:p>
    <w:p w14:paraId="21590DB2" w14:textId="77777777" w:rsidR="00C97C2E" w:rsidRPr="00367824" w:rsidRDefault="00C97C2E" w:rsidP="00C97C2E">
      <w:pPr>
        <w:pStyle w:val="ListParagraph"/>
        <w:numPr>
          <w:ilvl w:val="0"/>
          <w:numId w:val="13"/>
        </w:numPr>
        <w:spacing w:after="12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Feasibility: </w:t>
      </w:r>
      <w:r w:rsidRPr="00367824">
        <w:rPr>
          <w:rFonts w:ascii="Calibri" w:eastAsia="Calibri" w:hAnsi="Calibri" w:cs="Calibri"/>
          <w:color w:val="000000" w:themeColor="text1"/>
          <w:sz w:val="22"/>
          <w:szCs w:val="22"/>
        </w:rPr>
        <w:t xml:space="preserve">An analysis of available data found a range of serving sizes on the market, including smaller 'party' size products and larger individual and multiple portion size products. The recommended maximum serving size includes all small and most regular size savoury pastry products on the market, as well as the recommended serving sizes on multiple portion products. </w:t>
      </w:r>
    </w:p>
    <w:p w14:paraId="706F1B89" w14:textId="77777777" w:rsidR="00C97C2E" w:rsidRPr="00367824" w:rsidRDefault="00C97C2E" w:rsidP="0062083C">
      <w:pPr>
        <w:pStyle w:val="ListParagraph"/>
        <w:numPr>
          <w:ilvl w:val="0"/>
          <w:numId w:val="13"/>
        </w:numPr>
        <w:spacing w:after="120"/>
        <w:contextualSpacing w:val="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Industry and consumer acceptance: </w:t>
      </w:r>
      <w:r w:rsidRPr="00367824">
        <w:rPr>
          <w:rFonts w:ascii="Calibri" w:eastAsia="Calibri" w:hAnsi="Calibri" w:cs="Calibri"/>
          <w:color w:val="000000" w:themeColor="text1"/>
          <w:sz w:val="22"/>
          <w:szCs w:val="22"/>
        </w:rPr>
        <w:t>Consumer acceptance was considered likely given the number of existing products in smaller servings. Consumer education regarding appropriate frequency would complement this recommendation.</w:t>
      </w:r>
    </w:p>
    <w:p w14:paraId="7180479C" w14:textId="77777777" w:rsidR="00C97C2E" w:rsidRPr="00367824" w:rsidRDefault="00C97C2E" w:rsidP="0062083C">
      <w:pPr>
        <w:spacing w:after="120"/>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Other Considerations or Influences underpinning this Category target</w:t>
      </w:r>
    </w:p>
    <w:p w14:paraId="61481ACA" w14:textId="69A8EBC2" w:rsidR="00C97C2E" w:rsidRPr="0062083C" w:rsidRDefault="00C97C2E" w:rsidP="0062083C">
      <w:pPr>
        <w:pStyle w:val="ListParagraph"/>
        <w:numPr>
          <w:ilvl w:val="0"/>
          <w:numId w:val="84"/>
        </w:numPr>
        <w:spacing w:after="120"/>
        <w:ind w:left="360"/>
        <w:contextualSpacing w:val="0"/>
        <w:rPr>
          <w:rFonts w:eastAsia="Calibri" w:cstheme="minorHAnsi"/>
          <w:color w:val="000000" w:themeColor="text1"/>
          <w:sz w:val="22"/>
          <w:szCs w:val="22"/>
        </w:rPr>
      </w:pPr>
      <w:r w:rsidRPr="0062083C">
        <w:rPr>
          <w:rFonts w:eastAsia="Calibri" w:cstheme="minorHAnsi"/>
          <w:color w:val="000000" w:themeColor="text1"/>
          <w:sz w:val="22"/>
          <w:szCs w:val="22"/>
        </w:rPr>
        <w:t>The recommended maximum serving size encourages fewer larger size individual products representing greater than 3.5 discretionary serves.</w:t>
      </w:r>
    </w:p>
    <w:p w14:paraId="26389F9C" w14:textId="77777777" w:rsidR="00C97C2E" w:rsidRPr="00367824" w:rsidRDefault="00C97C2E" w:rsidP="00C97C2E">
      <w:pPr>
        <w:rPr>
          <w:rFonts w:ascii="Calibri" w:eastAsia="Calibri" w:hAnsi="Calibri" w:cs="Calibri"/>
          <w:color w:val="000000" w:themeColor="text1"/>
          <w:sz w:val="22"/>
          <w:szCs w:val="22"/>
        </w:rPr>
      </w:pPr>
    </w:p>
    <w:p w14:paraId="7053C120" w14:textId="77777777" w:rsidR="00826BFB" w:rsidRPr="0044145E" w:rsidRDefault="00826BFB" w:rsidP="002C4ACE">
      <w:pPr>
        <w:pStyle w:val="BodyText"/>
        <w:rPr>
          <w:b/>
          <w:bCs/>
          <w:sz w:val="28"/>
          <w:szCs w:val="28"/>
        </w:rPr>
      </w:pPr>
    </w:p>
    <w:p w14:paraId="187B3BFE" w14:textId="77777777" w:rsidR="00826BFB" w:rsidRPr="0044145E" w:rsidRDefault="00826BFB" w:rsidP="002C4ACE">
      <w:pPr>
        <w:pStyle w:val="BodyText"/>
        <w:rPr>
          <w:b/>
          <w:bCs/>
          <w:sz w:val="28"/>
          <w:szCs w:val="28"/>
        </w:rPr>
      </w:pPr>
    </w:p>
    <w:p w14:paraId="406F03CE" w14:textId="77777777" w:rsidR="00826BFB" w:rsidRPr="0044145E" w:rsidRDefault="00826BFB" w:rsidP="002C4ACE">
      <w:pPr>
        <w:pStyle w:val="BodyText"/>
        <w:rPr>
          <w:b/>
          <w:bCs/>
          <w:sz w:val="28"/>
          <w:szCs w:val="28"/>
        </w:rPr>
      </w:pPr>
    </w:p>
    <w:p w14:paraId="42F4F7C9" w14:textId="77777777" w:rsidR="00826BFB" w:rsidRPr="0044145E" w:rsidRDefault="00826BFB" w:rsidP="002C4ACE">
      <w:pPr>
        <w:pStyle w:val="BodyText"/>
        <w:rPr>
          <w:b/>
          <w:bCs/>
          <w:sz w:val="28"/>
          <w:szCs w:val="28"/>
        </w:rPr>
      </w:pPr>
    </w:p>
    <w:p w14:paraId="0E11AA34" w14:textId="77777777" w:rsidR="00826BFB" w:rsidRPr="0044145E" w:rsidRDefault="00826BFB" w:rsidP="002C4ACE">
      <w:pPr>
        <w:pStyle w:val="BodyText"/>
        <w:rPr>
          <w:b/>
          <w:bCs/>
          <w:sz w:val="28"/>
          <w:szCs w:val="28"/>
        </w:rPr>
      </w:pPr>
    </w:p>
    <w:p w14:paraId="6A1C96BF" w14:textId="77777777" w:rsidR="00826BFB" w:rsidRPr="0044145E" w:rsidRDefault="00826BFB" w:rsidP="002C4ACE">
      <w:pPr>
        <w:pStyle w:val="BodyText"/>
        <w:rPr>
          <w:b/>
          <w:bCs/>
          <w:sz w:val="28"/>
          <w:szCs w:val="28"/>
        </w:rPr>
      </w:pPr>
    </w:p>
    <w:p w14:paraId="7AF24833" w14:textId="77777777" w:rsidR="00826BFB" w:rsidRPr="0044145E" w:rsidRDefault="00826BFB" w:rsidP="002C4ACE">
      <w:pPr>
        <w:pStyle w:val="BodyText"/>
        <w:rPr>
          <w:b/>
          <w:bCs/>
          <w:sz w:val="28"/>
          <w:szCs w:val="28"/>
        </w:rPr>
      </w:pPr>
    </w:p>
    <w:p w14:paraId="2CD2C4AE" w14:textId="77777777" w:rsidR="00367824" w:rsidRPr="00BD059E" w:rsidRDefault="00367824" w:rsidP="002C4ACE">
      <w:pPr>
        <w:pStyle w:val="BodyText"/>
        <w:rPr>
          <w:b/>
          <w:bCs/>
          <w:sz w:val="28"/>
          <w:szCs w:val="28"/>
        </w:rPr>
      </w:pPr>
    </w:p>
    <w:p w14:paraId="654FF08C" w14:textId="0A5E76C8" w:rsidR="00C97C2E" w:rsidRPr="002C4ACE" w:rsidRDefault="00C97C2E" w:rsidP="002C4ACE">
      <w:pPr>
        <w:pStyle w:val="BodyText"/>
        <w:rPr>
          <w:b/>
          <w:bCs/>
          <w:sz w:val="28"/>
          <w:szCs w:val="28"/>
          <w:lang w:val="fr"/>
        </w:rPr>
      </w:pPr>
      <w:r w:rsidRPr="002C4ACE">
        <w:rPr>
          <w:b/>
          <w:bCs/>
          <w:sz w:val="28"/>
          <w:szCs w:val="28"/>
          <w:lang w:val="fr"/>
        </w:rPr>
        <w:lastRenderedPageBreak/>
        <w:t>Sweet biscuits  </w:t>
      </w:r>
    </w:p>
    <w:tbl>
      <w:tblPr>
        <w:tblStyle w:val="TableGrid"/>
        <w:tblW w:w="9498" w:type="dxa"/>
        <w:jc w:val="center"/>
        <w:tblLayout w:type="fixed"/>
        <w:tblLook w:val="04A0" w:firstRow="1" w:lastRow="0" w:firstColumn="1" w:lastColumn="0" w:noHBand="0" w:noVBand="1"/>
      </w:tblPr>
      <w:tblGrid>
        <w:gridCol w:w="1899"/>
        <w:gridCol w:w="1899"/>
        <w:gridCol w:w="1900"/>
        <w:gridCol w:w="1900"/>
        <w:gridCol w:w="1900"/>
      </w:tblGrid>
      <w:tr w:rsidR="00C97C2E" w:rsidRPr="00367824" w14:paraId="2C0370DD" w14:textId="77777777" w:rsidTr="00763F30">
        <w:trPr>
          <w:jc w:val="center"/>
        </w:trPr>
        <w:tc>
          <w:tcPr>
            <w:tcW w:w="9492" w:type="dxa"/>
          </w:tcPr>
          <w:p w14:paraId="46CC12A3"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Setting</w:t>
            </w:r>
            <w:r w:rsidRPr="00367824">
              <w:rPr>
                <w:rFonts w:ascii="Calibri" w:eastAsia="Calibri" w:hAnsi="Calibri" w:cs="Calibri"/>
                <w:color w:val="000000" w:themeColor="text1"/>
                <w:sz w:val="22"/>
                <w:szCs w:val="22"/>
              </w:rPr>
              <w:t> </w:t>
            </w:r>
          </w:p>
        </w:tc>
        <w:tc>
          <w:tcPr>
            <w:tcW w:w="9492" w:type="dxa"/>
          </w:tcPr>
          <w:p w14:paraId="1DF3C0A6"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 xml:space="preserve">Current serving sizes </w:t>
            </w:r>
          </w:p>
          <w:p w14:paraId="2B325415"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(66</w:t>
            </w:r>
            <w:r w:rsidRPr="00367824">
              <w:rPr>
                <w:rFonts w:ascii="Calibri" w:eastAsia="Calibri" w:hAnsi="Calibri" w:cs="Calibri"/>
                <w:b/>
                <w:bCs/>
                <w:color w:val="000000" w:themeColor="text1"/>
                <w:sz w:val="22"/>
                <w:szCs w:val="22"/>
                <w:vertAlign w:val="superscript"/>
              </w:rPr>
              <w:t>th</w:t>
            </w:r>
            <w:r w:rsidRPr="00367824">
              <w:rPr>
                <w:rFonts w:ascii="Calibri" w:eastAsia="Calibri" w:hAnsi="Calibri" w:cs="Calibri"/>
                <w:b/>
                <w:bCs/>
                <w:color w:val="000000" w:themeColor="text1"/>
                <w:sz w:val="22"/>
                <w:szCs w:val="22"/>
              </w:rPr>
              <w:t xml:space="preserve"> percentile (unless otherwise stated))</w:t>
            </w:r>
            <w:r w:rsidRPr="00367824">
              <w:rPr>
                <w:rFonts w:ascii="Calibri" w:eastAsia="Calibri" w:hAnsi="Calibri" w:cs="Calibri"/>
                <w:b/>
                <w:bCs/>
                <w:color w:val="000000" w:themeColor="text1"/>
                <w:sz w:val="22"/>
                <w:szCs w:val="22"/>
                <w:vertAlign w:val="superscript"/>
              </w:rPr>
              <w:t>1</w:t>
            </w:r>
          </w:p>
        </w:tc>
        <w:tc>
          <w:tcPr>
            <w:tcW w:w="9492" w:type="dxa"/>
          </w:tcPr>
          <w:p w14:paraId="44D070D0"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Recommended maximum serving size (g)</w:t>
            </w:r>
          </w:p>
          <w:p w14:paraId="0B84A479" w14:textId="77777777" w:rsidR="00C97C2E" w:rsidRPr="00367824" w:rsidRDefault="00C97C2E" w:rsidP="008C396B">
            <w:pPr>
              <w:rPr>
                <w:rFonts w:ascii="Calibri" w:eastAsia="Calibri" w:hAnsi="Calibri" w:cs="Calibri"/>
                <w:color w:val="000000" w:themeColor="text1"/>
                <w:sz w:val="22"/>
                <w:szCs w:val="22"/>
              </w:rPr>
            </w:pPr>
          </w:p>
        </w:tc>
        <w:tc>
          <w:tcPr>
            <w:tcW w:w="9492" w:type="dxa"/>
          </w:tcPr>
          <w:p w14:paraId="7AA65F50"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Energy per recommended serving size (kJ)</w:t>
            </w:r>
            <w:r w:rsidRPr="00367824">
              <w:rPr>
                <w:rFonts w:ascii="Calibri" w:eastAsia="Calibri" w:hAnsi="Calibri" w:cs="Calibri"/>
                <w:color w:val="000000" w:themeColor="text1"/>
                <w:sz w:val="22"/>
                <w:szCs w:val="22"/>
                <w:vertAlign w:val="superscript"/>
              </w:rPr>
              <w:t>3</w:t>
            </w:r>
          </w:p>
        </w:tc>
        <w:tc>
          <w:tcPr>
            <w:tcW w:w="9492" w:type="dxa"/>
          </w:tcPr>
          <w:p w14:paraId="5BA38A74" w14:textId="10D36A40"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b/>
                <w:bCs/>
                <w:color w:val="000000" w:themeColor="text1"/>
                <w:sz w:val="22"/>
                <w:szCs w:val="22"/>
              </w:rPr>
              <w:t>Discretionary Serve 600</w:t>
            </w:r>
            <w:r w:rsidR="002C4ACE" w:rsidRPr="00367824">
              <w:rPr>
                <w:rFonts w:ascii="Calibri" w:eastAsia="Calibri" w:hAnsi="Calibri" w:cs="Calibri"/>
                <w:b/>
                <w:bCs/>
                <w:color w:val="000000" w:themeColor="text1"/>
                <w:sz w:val="22"/>
                <w:szCs w:val="22"/>
              </w:rPr>
              <w:t xml:space="preserve"> </w:t>
            </w:r>
            <w:r w:rsidRPr="00367824">
              <w:rPr>
                <w:rFonts w:ascii="Calibri" w:eastAsia="Calibri" w:hAnsi="Calibri" w:cs="Calibri"/>
                <w:b/>
                <w:bCs/>
                <w:color w:val="000000" w:themeColor="text1"/>
                <w:sz w:val="22"/>
                <w:szCs w:val="22"/>
              </w:rPr>
              <w:t>kJ equivalent</w:t>
            </w:r>
            <w:r w:rsidRPr="00367824">
              <w:rPr>
                <w:rFonts w:ascii="Calibri" w:eastAsia="Calibri" w:hAnsi="Calibri" w:cs="Calibri"/>
                <w:b/>
                <w:bCs/>
                <w:color w:val="000000" w:themeColor="text1"/>
                <w:sz w:val="22"/>
                <w:szCs w:val="22"/>
                <w:vertAlign w:val="superscript"/>
              </w:rPr>
              <w:t>4</w:t>
            </w:r>
            <w:r w:rsidRPr="00367824">
              <w:rPr>
                <w:rFonts w:ascii="Calibri" w:eastAsia="Calibri" w:hAnsi="Calibri" w:cs="Calibri"/>
                <w:b/>
                <w:bCs/>
                <w:color w:val="000000" w:themeColor="text1"/>
                <w:sz w:val="22"/>
                <w:szCs w:val="22"/>
              </w:rPr>
              <w:t xml:space="preserve"> </w:t>
            </w:r>
          </w:p>
        </w:tc>
      </w:tr>
      <w:tr w:rsidR="00C97C2E" w:rsidRPr="00367824" w14:paraId="002CBC35" w14:textId="77777777" w:rsidTr="00763F30">
        <w:trPr>
          <w:jc w:val="center"/>
        </w:trPr>
        <w:tc>
          <w:tcPr>
            <w:tcW w:w="9492" w:type="dxa"/>
          </w:tcPr>
          <w:p w14:paraId="1B0D9745"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Retail </w:t>
            </w:r>
          </w:p>
          <w:p w14:paraId="7370E264" w14:textId="77777777" w:rsidR="00C97C2E" w:rsidRPr="00367824" w:rsidRDefault="00C97C2E" w:rsidP="008C396B">
            <w:pPr>
              <w:rPr>
                <w:rFonts w:ascii="Times New Roman" w:eastAsia="Times New Roman" w:hAnsi="Times New Roman"/>
                <w:color w:val="000000" w:themeColor="text1"/>
                <w:sz w:val="22"/>
                <w:szCs w:val="22"/>
              </w:rPr>
            </w:pPr>
          </w:p>
        </w:tc>
        <w:tc>
          <w:tcPr>
            <w:tcW w:w="9492" w:type="dxa"/>
          </w:tcPr>
          <w:p w14:paraId="4CAA1C99"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25 g</w:t>
            </w:r>
          </w:p>
        </w:tc>
        <w:tc>
          <w:tcPr>
            <w:tcW w:w="9492" w:type="dxa"/>
          </w:tcPr>
          <w:p w14:paraId="3518069B"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30 g</w:t>
            </w:r>
          </w:p>
          <w:p w14:paraId="75C226CC" w14:textId="77777777" w:rsidR="00C97C2E" w:rsidRPr="00367824" w:rsidRDefault="00C97C2E" w:rsidP="008C396B">
            <w:pPr>
              <w:rPr>
                <w:rFonts w:ascii="Calibri" w:eastAsia="Calibri" w:hAnsi="Calibri" w:cs="Calibri"/>
                <w:color w:val="000000" w:themeColor="text1"/>
                <w:sz w:val="22"/>
                <w:szCs w:val="22"/>
              </w:rPr>
            </w:pPr>
          </w:p>
        </w:tc>
        <w:tc>
          <w:tcPr>
            <w:tcW w:w="9492" w:type="dxa"/>
          </w:tcPr>
          <w:p w14:paraId="34574CAE"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~600</w:t>
            </w:r>
          </w:p>
        </w:tc>
        <w:tc>
          <w:tcPr>
            <w:tcW w:w="9492" w:type="dxa"/>
          </w:tcPr>
          <w:p w14:paraId="142590B2"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~1</w:t>
            </w:r>
          </w:p>
        </w:tc>
      </w:tr>
      <w:tr w:rsidR="00C97C2E" w:rsidRPr="00367824" w14:paraId="0190E574" w14:textId="77777777" w:rsidTr="00763F30">
        <w:trPr>
          <w:jc w:val="center"/>
        </w:trPr>
        <w:tc>
          <w:tcPr>
            <w:tcW w:w="9492" w:type="dxa"/>
          </w:tcPr>
          <w:p w14:paraId="17F4A5B0" w14:textId="77777777" w:rsidR="00B74906"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Out of home </w:t>
            </w:r>
          </w:p>
          <w:p w14:paraId="4F3CF1EE" w14:textId="1E9A13C1" w:rsidR="00826BFB" w:rsidRPr="00367824" w:rsidRDefault="00826BFB" w:rsidP="008C396B">
            <w:pPr>
              <w:rPr>
                <w:rFonts w:ascii="Calibri" w:eastAsia="Calibri" w:hAnsi="Calibri" w:cs="Calibri"/>
                <w:color w:val="000000" w:themeColor="text1"/>
                <w:sz w:val="22"/>
                <w:szCs w:val="22"/>
              </w:rPr>
            </w:pPr>
          </w:p>
        </w:tc>
        <w:tc>
          <w:tcPr>
            <w:tcW w:w="9492" w:type="dxa"/>
          </w:tcPr>
          <w:p w14:paraId="701A0589"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64 g</w:t>
            </w:r>
          </w:p>
        </w:tc>
        <w:tc>
          <w:tcPr>
            <w:tcW w:w="9492" w:type="dxa"/>
          </w:tcPr>
          <w:p w14:paraId="31534B56"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60 g</w:t>
            </w:r>
          </w:p>
        </w:tc>
        <w:tc>
          <w:tcPr>
            <w:tcW w:w="9492" w:type="dxa"/>
          </w:tcPr>
          <w:p w14:paraId="637DF1BD"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~1200</w:t>
            </w:r>
          </w:p>
        </w:tc>
        <w:tc>
          <w:tcPr>
            <w:tcW w:w="9492" w:type="dxa"/>
          </w:tcPr>
          <w:p w14:paraId="71AFD525" w14:textId="77777777" w:rsidR="00C97C2E" w:rsidRPr="00367824" w:rsidRDefault="00C97C2E" w:rsidP="008C396B">
            <w:pPr>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~2</w:t>
            </w:r>
          </w:p>
        </w:tc>
      </w:tr>
    </w:tbl>
    <w:p w14:paraId="5BE233BD" w14:textId="77777777" w:rsidR="000C2BC1" w:rsidRPr="00367824" w:rsidRDefault="000C2BC1" w:rsidP="00C97C2E">
      <w:pPr>
        <w:pStyle w:val="paragraph"/>
        <w:spacing w:before="0" w:beforeAutospacing="0" w:after="120" w:afterAutospacing="0"/>
        <w:rPr>
          <w:rFonts w:ascii="Calibri" w:eastAsia="Calibri" w:hAnsi="Calibri" w:cs="Calibri"/>
          <w:b/>
          <w:bCs/>
          <w:color w:val="000000" w:themeColor="text1"/>
          <w:sz w:val="22"/>
          <w:szCs w:val="22"/>
        </w:rPr>
      </w:pPr>
    </w:p>
    <w:p w14:paraId="2EBF541B" w14:textId="540195F1" w:rsidR="00C97C2E" w:rsidRPr="00367824" w:rsidRDefault="00C97C2E" w:rsidP="00C97C2E">
      <w:pPr>
        <w:pStyle w:val="paragraph"/>
        <w:spacing w:before="0" w:beforeAutospacing="0" w:after="120" w:afterAutospacing="0"/>
        <w:rPr>
          <w:rFonts w:ascii="Calibri" w:eastAsia="Calibri" w:hAnsi="Calibri" w:cs="Calibri"/>
          <w:b/>
          <w:bCs/>
          <w:color w:val="000000" w:themeColor="text1"/>
          <w:sz w:val="22"/>
          <w:szCs w:val="22"/>
        </w:rPr>
      </w:pPr>
      <w:r w:rsidRPr="00367824">
        <w:rPr>
          <w:rFonts w:ascii="Calibri" w:eastAsia="Calibri" w:hAnsi="Calibri" w:cs="Calibri"/>
          <w:b/>
          <w:bCs/>
          <w:color w:val="000000" w:themeColor="text1"/>
          <w:sz w:val="22"/>
          <w:szCs w:val="22"/>
        </w:rPr>
        <w:t xml:space="preserve">Decisions against agreed Methodology (see section </w:t>
      </w:r>
      <w:r w:rsidR="00994436" w:rsidRPr="00367824">
        <w:rPr>
          <w:rFonts w:ascii="Calibri" w:eastAsia="Calibri" w:hAnsi="Calibri" w:cs="Calibri"/>
          <w:b/>
          <w:bCs/>
          <w:color w:val="000000" w:themeColor="text1"/>
          <w:sz w:val="22"/>
          <w:szCs w:val="22"/>
        </w:rPr>
        <w:t>6</w:t>
      </w:r>
      <w:r w:rsidRPr="00367824">
        <w:rPr>
          <w:rFonts w:ascii="Calibri" w:eastAsia="Calibri" w:hAnsi="Calibri" w:cs="Calibri"/>
          <w:b/>
          <w:bCs/>
          <w:color w:val="000000" w:themeColor="text1"/>
          <w:sz w:val="22"/>
          <w:szCs w:val="22"/>
        </w:rPr>
        <w:t>.2)</w:t>
      </w:r>
    </w:p>
    <w:p w14:paraId="7D0A55CA" w14:textId="77777777" w:rsidR="00C97C2E" w:rsidRPr="00367824" w:rsidRDefault="00C97C2E" w:rsidP="0062083C">
      <w:pPr>
        <w:pStyle w:val="paragraph"/>
        <w:numPr>
          <w:ilvl w:val="0"/>
          <w:numId w:val="60"/>
        </w:numPr>
        <w:spacing w:before="0" w:beforeAutospacing="0" w:after="120" w:afterAutospacing="0"/>
        <w:ind w:left="36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Setting and context: </w:t>
      </w:r>
      <w:r w:rsidRPr="00367824">
        <w:rPr>
          <w:rFonts w:ascii="Calibri" w:eastAsia="Calibri" w:hAnsi="Calibri" w:cs="Calibri"/>
          <w:color w:val="000000" w:themeColor="text1"/>
          <w:sz w:val="22"/>
          <w:szCs w:val="22"/>
        </w:rPr>
        <w:t>Retail and out of home settings.</w:t>
      </w:r>
      <w:r w:rsidRPr="00367824">
        <w:rPr>
          <w:rFonts w:ascii="Calibri" w:eastAsia="Calibri" w:hAnsi="Calibri" w:cs="Calibri"/>
          <w:b/>
          <w:bCs/>
          <w:color w:val="000000" w:themeColor="text1"/>
          <w:sz w:val="22"/>
          <w:szCs w:val="22"/>
        </w:rPr>
        <w:t xml:space="preserve"> </w:t>
      </w:r>
      <w:r w:rsidRPr="00367824">
        <w:rPr>
          <w:rFonts w:ascii="Calibri" w:eastAsia="Calibri" w:hAnsi="Calibri" w:cs="Calibri"/>
          <w:color w:val="000000" w:themeColor="text1"/>
          <w:sz w:val="22"/>
          <w:szCs w:val="22"/>
        </w:rPr>
        <w:t xml:space="preserve">Intended to be consumed as a snack. Based on the descriptive analysis there are distinct differences between the retail and out of home settings. </w:t>
      </w:r>
    </w:p>
    <w:p w14:paraId="108A24C1" w14:textId="5A98CF24" w:rsidR="00C97C2E" w:rsidRPr="00367824" w:rsidRDefault="00C97C2E" w:rsidP="0062083C">
      <w:pPr>
        <w:pStyle w:val="paragraph"/>
        <w:numPr>
          <w:ilvl w:val="0"/>
          <w:numId w:val="60"/>
        </w:numPr>
        <w:spacing w:before="0" w:beforeAutospacing="0" w:after="120" w:afterAutospacing="0"/>
        <w:ind w:left="36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Considerations: </w:t>
      </w:r>
      <w:r w:rsidRPr="00367824">
        <w:rPr>
          <w:rFonts w:ascii="Calibri" w:eastAsia="Calibri" w:hAnsi="Calibri" w:cs="Calibri"/>
          <w:color w:val="000000" w:themeColor="text1"/>
          <w:sz w:val="22"/>
          <w:szCs w:val="22"/>
        </w:rPr>
        <w:t>Separate targets are proposed for retail and out of home settings due to the significant differences and in consideration of the existing jurisdiction targets which cover both settings. Retail serving size aligns with one discretionary serve. Median amount consumed</w:t>
      </w:r>
      <w:r w:rsidR="00312E62">
        <w:rPr>
          <w:rFonts w:ascii="Calibri" w:eastAsia="Calibri" w:hAnsi="Calibri" w:cs="Calibri"/>
          <w:color w:val="000000" w:themeColor="text1"/>
          <w:sz w:val="22"/>
          <w:szCs w:val="22"/>
        </w:rPr>
        <w:t>:</w:t>
      </w:r>
      <w:r w:rsidRPr="00367824">
        <w:rPr>
          <w:rFonts w:ascii="Calibri" w:eastAsia="Calibri" w:hAnsi="Calibri" w:cs="Calibri"/>
          <w:color w:val="000000" w:themeColor="text1"/>
          <w:sz w:val="22"/>
          <w:szCs w:val="22"/>
        </w:rPr>
        <w:t xml:space="preserve"> 26 g (ranging from 18 g for plain biscuits to 36 g for chocolate varieties)</w:t>
      </w:r>
      <w:r w:rsidRPr="00367824">
        <w:rPr>
          <w:rFonts w:ascii="Calibri" w:eastAsia="Calibri" w:hAnsi="Calibri" w:cs="Calibri"/>
          <w:color w:val="000000" w:themeColor="text1"/>
          <w:sz w:val="22"/>
          <w:szCs w:val="22"/>
          <w:vertAlign w:val="superscript"/>
        </w:rPr>
        <w:t>12</w:t>
      </w:r>
      <w:r w:rsidRPr="00367824">
        <w:rPr>
          <w:rFonts w:ascii="Calibri" w:eastAsia="Calibri" w:hAnsi="Calibri" w:cs="Calibri"/>
          <w:color w:val="000000" w:themeColor="text1"/>
          <w:sz w:val="22"/>
          <w:szCs w:val="22"/>
        </w:rPr>
        <w:t xml:space="preserve">. The retail category recommendation aligns with a discretionary serve of sweet biscuits as outlined in the </w:t>
      </w:r>
      <w:r w:rsidRPr="00312E62">
        <w:rPr>
          <w:rFonts w:ascii="Calibri" w:eastAsia="Calibri" w:hAnsi="Calibri" w:cs="Calibri"/>
          <w:i/>
          <w:iCs/>
          <w:color w:val="000000" w:themeColor="text1"/>
          <w:sz w:val="22"/>
          <w:szCs w:val="22"/>
        </w:rPr>
        <w:t>Eat for Health Educator Guide</w:t>
      </w:r>
      <w:r w:rsidRPr="00367824">
        <w:rPr>
          <w:rFonts w:ascii="Calibri" w:eastAsia="Calibri" w:hAnsi="Calibri" w:cs="Calibri"/>
          <w:color w:val="000000" w:themeColor="text1"/>
          <w:sz w:val="22"/>
          <w:szCs w:val="22"/>
        </w:rPr>
        <w:t>, and the recommendation is intended to prevent an increase in serving size. Out of home serving sizes are typically twice that of retail with a broader range of offerings from traditional, home-style biscuits (</w:t>
      </w:r>
      <w:proofErr w:type="gramStart"/>
      <w:r w:rsidRPr="00367824">
        <w:rPr>
          <w:rFonts w:ascii="Calibri" w:eastAsia="Calibri" w:hAnsi="Calibri" w:cs="Calibri"/>
          <w:color w:val="000000" w:themeColor="text1"/>
          <w:sz w:val="22"/>
          <w:szCs w:val="22"/>
        </w:rPr>
        <w:t>e.g.</w:t>
      </w:r>
      <w:proofErr w:type="gramEnd"/>
      <w:r w:rsidRPr="00367824">
        <w:rPr>
          <w:rFonts w:ascii="Calibri" w:eastAsia="Calibri" w:hAnsi="Calibri" w:cs="Calibri"/>
          <w:color w:val="000000" w:themeColor="text1"/>
          <w:sz w:val="22"/>
          <w:szCs w:val="22"/>
        </w:rPr>
        <w:t> shortbread) to jumbo sized cookies with inclusions, such as chocolate chunks. Consideration of existing serving size for retail and out of home settings</w:t>
      </w:r>
      <w:r w:rsidR="00312E62">
        <w:rPr>
          <w:rFonts w:ascii="Calibri" w:eastAsia="Calibri" w:hAnsi="Calibri" w:cs="Calibri"/>
          <w:color w:val="000000" w:themeColor="text1"/>
          <w:sz w:val="22"/>
          <w:szCs w:val="22"/>
        </w:rPr>
        <w:t xml:space="preserve">: </w:t>
      </w:r>
      <w:r w:rsidRPr="00367824">
        <w:rPr>
          <w:rFonts w:ascii="Calibri" w:eastAsia="Calibri" w:hAnsi="Calibri" w:cs="Calibri"/>
          <w:color w:val="000000" w:themeColor="text1"/>
          <w:sz w:val="22"/>
          <w:szCs w:val="22"/>
        </w:rPr>
        <w:t>retail 66</w:t>
      </w:r>
      <w:r w:rsidRPr="00F826E2">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w:t>
      </w:r>
      <w:r w:rsidR="00312E62">
        <w:rPr>
          <w:rFonts w:ascii="Calibri" w:eastAsia="Calibri" w:hAnsi="Calibri" w:cs="Calibri"/>
          <w:color w:val="000000" w:themeColor="text1"/>
          <w:sz w:val="22"/>
          <w:szCs w:val="22"/>
        </w:rPr>
        <w:t xml:space="preserve">: </w:t>
      </w:r>
      <w:r w:rsidRPr="00367824">
        <w:rPr>
          <w:rFonts w:ascii="Calibri" w:eastAsia="Calibri" w:hAnsi="Calibri" w:cs="Calibri"/>
          <w:color w:val="000000" w:themeColor="text1"/>
          <w:sz w:val="22"/>
          <w:szCs w:val="22"/>
        </w:rPr>
        <w:t>25 g (509 kJ); out of home 66</w:t>
      </w:r>
      <w:r w:rsidRPr="00BD059E">
        <w:rPr>
          <w:rFonts w:ascii="Calibri" w:eastAsia="Calibri" w:hAnsi="Calibri" w:cs="Calibri"/>
          <w:color w:val="000000" w:themeColor="text1"/>
          <w:sz w:val="22"/>
          <w:szCs w:val="22"/>
          <w:vertAlign w:val="superscript"/>
        </w:rPr>
        <w:t>th</w:t>
      </w:r>
      <w:r w:rsidRPr="00367824">
        <w:rPr>
          <w:rFonts w:ascii="Calibri" w:eastAsia="Calibri" w:hAnsi="Calibri" w:cs="Calibri"/>
          <w:color w:val="000000" w:themeColor="text1"/>
          <w:sz w:val="22"/>
          <w:szCs w:val="22"/>
        </w:rPr>
        <w:t xml:space="preserve"> percentile</w:t>
      </w:r>
      <w:r w:rsidR="00312E62">
        <w:rPr>
          <w:rFonts w:ascii="Calibri" w:eastAsia="Calibri" w:hAnsi="Calibri" w:cs="Calibri"/>
          <w:color w:val="000000" w:themeColor="text1"/>
          <w:sz w:val="22"/>
          <w:szCs w:val="22"/>
        </w:rPr>
        <w:t>:</w:t>
      </w:r>
      <w:r w:rsidRPr="00367824">
        <w:rPr>
          <w:rFonts w:ascii="Calibri" w:eastAsia="Calibri" w:hAnsi="Calibri" w:cs="Calibri"/>
          <w:color w:val="000000" w:themeColor="text1"/>
          <w:sz w:val="22"/>
          <w:szCs w:val="22"/>
        </w:rPr>
        <w:t xml:space="preserve"> 64 g (1,278 kJ)</w:t>
      </w:r>
      <w:r w:rsidRPr="00367824">
        <w:rPr>
          <w:rFonts w:ascii="Calibri" w:eastAsia="Calibri" w:hAnsi="Calibri" w:cs="Calibri"/>
          <w:color w:val="000000" w:themeColor="text1"/>
          <w:sz w:val="22"/>
          <w:szCs w:val="22"/>
          <w:vertAlign w:val="superscript"/>
        </w:rPr>
        <w:t>1</w:t>
      </w:r>
      <w:r w:rsidRPr="00367824">
        <w:rPr>
          <w:rFonts w:ascii="Calibri" w:eastAsia="Calibri" w:hAnsi="Calibri" w:cs="Calibri"/>
          <w:color w:val="000000" w:themeColor="text1"/>
          <w:sz w:val="22"/>
          <w:szCs w:val="22"/>
        </w:rPr>
        <w:t>.</w:t>
      </w:r>
    </w:p>
    <w:p w14:paraId="1EB0AD72" w14:textId="77777777" w:rsidR="00C97C2E" w:rsidRPr="00367824" w:rsidRDefault="00C97C2E" w:rsidP="0062083C">
      <w:pPr>
        <w:pStyle w:val="paragraph"/>
        <w:numPr>
          <w:ilvl w:val="0"/>
          <w:numId w:val="60"/>
        </w:numPr>
        <w:spacing w:before="0" w:beforeAutospacing="0" w:after="120" w:afterAutospacing="0"/>
        <w:ind w:left="360"/>
        <w:rPr>
          <w:rFonts w:asciiTheme="minorHAnsi" w:eastAsiaTheme="minorEastAsia" w:hAnsiTheme="minorHAnsi" w:cstheme="minorBidi"/>
          <w:color w:val="000000" w:themeColor="text1"/>
          <w:sz w:val="22"/>
          <w:szCs w:val="22"/>
        </w:rPr>
      </w:pPr>
      <w:r w:rsidRPr="00367824">
        <w:rPr>
          <w:rFonts w:ascii="Calibri" w:eastAsia="Calibri" w:hAnsi="Calibri" w:cs="Calibri"/>
          <w:b/>
          <w:bCs/>
          <w:color w:val="000000" w:themeColor="text1"/>
          <w:sz w:val="22"/>
          <w:szCs w:val="22"/>
        </w:rPr>
        <w:t xml:space="preserve">Alignment with other guidance: </w:t>
      </w:r>
      <w:r w:rsidRPr="00367824">
        <w:rPr>
          <w:rFonts w:ascii="Calibri" w:eastAsia="Calibri" w:hAnsi="Calibri" w:cs="Calibri"/>
          <w:color w:val="000000" w:themeColor="text1"/>
          <w:sz w:val="22"/>
          <w:szCs w:val="22"/>
        </w:rPr>
        <w:t xml:space="preserve">Recommended serving size of 60 g for out of home settings is larger than the </w:t>
      </w:r>
      <w:r w:rsidRPr="00367824">
        <w:rPr>
          <w:rFonts w:ascii="Calibri" w:eastAsia="Calibri" w:hAnsi="Calibri" w:cs="Calibri"/>
          <w:sz w:val="22"/>
          <w:szCs w:val="22"/>
        </w:rPr>
        <w:t xml:space="preserve">NSW </w:t>
      </w:r>
      <w:r w:rsidRPr="00367824">
        <w:rPr>
          <w:rFonts w:ascii="Calibri" w:eastAsia="Calibri" w:hAnsi="Calibri" w:cs="Calibri"/>
          <w:sz w:val="22"/>
          <w:szCs w:val="22"/>
          <w:lang w:val="en-GB"/>
        </w:rPr>
        <w:t xml:space="preserve">Ministry of Health </w:t>
      </w:r>
      <w:r w:rsidRPr="00367824">
        <w:rPr>
          <w:rFonts w:ascii="Calibri" w:eastAsia="Calibri" w:hAnsi="Calibri" w:cs="Calibri"/>
          <w:i/>
          <w:iCs/>
          <w:sz w:val="22"/>
          <w:szCs w:val="22"/>
          <w:lang w:val="en-GB"/>
        </w:rPr>
        <w:t xml:space="preserve">Healthy Food and Drink in NSW Health Facilities for Staff and Visitors </w:t>
      </w:r>
      <w:r w:rsidRPr="00367824">
        <w:rPr>
          <w:rFonts w:ascii="Calibri" w:eastAsia="Calibri" w:hAnsi="Calibri" w:cs="Calibri"/>
          <w:i/>
          <w:iCs/>
          <w:sz w:val="22"/>
          <w:szCs w:val="22"/>
        </w:rPr>
        <w:t>Framework</w:t>
      </w:r>
      <w:r w:rsidRPr="00367824">
        <w:rPr>
          <w:rFonts w:ascii="Calibri" w:eastAsia="Calibri" w:hAnsi="Calibri" w:cs="Calibri"/>
          <w:sz w:val="22"/>
          <w:szCs w:val="22"/>
        </w:rPr>
        <w:t xml:space="preserve"> (</w:t>
      </w:r>
      <w:r w:rsidRPr="00367824">
        <w:rPr>
          <w:rFonts w:ascii="Calibri" w:eastAsia="Calibri" w:hAnsi="Calibri" w:cs="Calibri"/>
          <w:color w:val="000000" w:themeColor="text1"/>
          <w:sz w:val="22"/>
          <w:szCs w:val="22"/>
        </w:rPr>
        <w:t>50 g)</w:t>
      </w:r>
      <w:r w:rsidRPr="00367824">
        <w:rPr>
          <w:rFonts w:ascii="Calibri" w:eastAsia="Calibri" w:hAnsi="Calibri" w:cs="Calibri"/>
          <w:color w:val="000000" w:themeColor="text1"/>
          <w:sz w:val="22"/>
          <w:szCs w:val="22"/>
          <w:vertAlign w:val="superscript"/>
        </w:rPr>
        <w:t>6</w:t>
      </w:r>
      <w:r w:rsidRPr="00367824">
        <w:rPr>
          <w:rFonts w:ascii="Calibri" w:eastAsia="Calibri" w:hAnsi="Calibri" w:cs="Calibri"/>
          <w:color w:val="000000" w:themeColor="text1"/>
          <w:sz w:val="22"/>
          <w:szCs w:val="22"/>
        </w:rPr>
        <w:t xml:space="preserve"> recommendation and Victorian Government Guidelines at 40 g</w:t>
      </w:r>
      <w:r w:rsidRPr="00367824">
        <w:rPr>
          <w:rFonts w:ascii="Calibri" w:eastAsia="Calibri" w:hAnsi="Calibri" w:cs="Calibri"/>
          <w:color w:val="000000" w:themeColor="text1"/>
          <w:sz w:val="22"/>
          <w:szCs w:val="22"/>
          <w:vertAlign w:val="superscript"/>
        </w:rPr>
        <w:t>7</w:t>
      </w:r>
      <w:r w:rsidRPr="00367824">
        <w:rPr>
          <w:rFonts w:ascii="Calibri" w:eastAsia="Calibri" w:hAnsi="Calibri" w:cs="Calibri"/>
          <w:color w:val="000000" w:themeColor="text1"/>
          <w:sz w:val="22"/>
          <w:szCs w:val="22"/>
        </w:rPr>
        <w:t>. The guidance for out of home seeks to shift the offerings towards smaller and more appropriate serving sizes. In some cases, investigations showed only large, jumbo</w:t>
      </w:r>
      <w:r w:rsidRPr="00367824">
        <w:rPr>
          <w:rFonts w:ascii="Calibri" w:eastAsia="Calibri" w:hAnsi="Calibri" w:cs="Calibri"/>
          <w:color w:val="000000" w:themeColor="text1"/>
          <w:sz w:val="22"/>
          <w:szCs w:val="22"/>
        </w:rPr>
        <w:noBreakHyphen/>
        <w:t>sized cookies were on offer.</w:t>
      </w:r>
    </w:p>
    <w:p w14:paraId="7AFAC421" w14:textId="77777777" w:rsidR="00C97C2E" w:rsidRPr="00367824" w:rsidRDefault="00C97C2E" w:rsidP="0062083C">
      <w:pPr>
        <w:pStyle w:val="paragraph"/>
        <w:numPr>
          <w:ilvl w:val="0"/>
          <w:numId w:val="60"/>
        </w:numPr>
        <w:spacing w:before="0" w:beforeAutospacing="0" w:after="120" w:afterAutospacing="0"/>
        <w:ind w:left="36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Feasibility: </w:t>
      </w:r>
      <w:r w:rsidRPr="00367824">
        <w:rPr>
          <w:rFonts w:asciiTheme="minorHAnsi" w:hAnsiTheme="minorHAnsi" w:cstheme="minorBidi"/>
          <w:sz w:val="22"/>
          <w:szCs w:val="22"/>
        </w:rPr>
        <w:t>Data shows product offerings typically have very different serving sizes between the two sectors.</w:t>
      </w:r>
      <w:r w:rsidRPr="00367824">
        <w:rPr>
          <w:rFonts w:ascii="Calibri" w:eastAsia="Calibri" w:hAnsi="Calibri" w:cs="Calibri"/>
          <w:color w:val="000000" w:themeColor="text1"/>
          <w:sz w:val="22"/>
          <w:szCs w:val="22"/>
        </w:rPr>
        <w:t xml:space="preserve"> Based on the discretionary serve size of 600 kJ this category is not a significant concern and guidance is for future innovation.</w:t>
      </w:r>
      <w:r w:rsidRPr="00367824">
        <w:rPr>
          <w:rFonts w:ascii="Calibri" w:eastAsia="Calibri" w:hAnsi="Calibri" w:cs="Calibri"/>
          <w:b/>
          <w:bCs/>
          <w:color w:val="000000" w:themeColor="text1"/>
          <w:sz w:val="22"/>
          <w:szCs w:val="22"/>
        </w:rPr>
        <w:t xml:space="preserve"> </w:t>
      </w:r>
      <w:r w:rsidRPr="00367824">
        <w:rPr>
          <w:rFonts w:ascii="Calibri" w:eastAsia="Calibri" w:hAnsi="Calibri" w:cs="Calibri"/>
          <w:color w:val="000000" w:themeColor="text1"/>
          <w:sz w:val="22"/>
          <w:szCs w:val="22"/>
        </w:rPr>
        <w:t>The guidance for out of home settings is to shift the offerings towards including smaller serving sizes.</w:t>
      </w:r>
      <w:r w:rsidRPr="00367824">
        <w:rPr>
          <w:rFonts w:ascii="Calibri" w:eastAsia="Calibri" w:hAnsi="Calibri" w:cs="Calibri"/>
          <w:b/>
          <w:bCs/>
          <w:color w:val="000000" w:themeColor="text1"/>
          <w:sz w:val="22"/>
          <w:szCs w:val="22"/>
        </w:rPr>
        <w:t xml:space="preserve"> </w:t>
      </w:r>
    </w:p>
    <w:p w14:paraId="42685E61" w14:textId="77777777" w:rsidR="0062083C" w:rsidRPr="0062083C" w:rsidRDefault="00C97C2E" w:rsidP="0062083C">
      <w:pPr>
        <w:pStyle w:val="paragraph"/>
        <w:numPr>
          <w:ilvl w:val="0"/>
          <w:numId w:val="60"/>
        </w:numPr>
        <w:spacing w:before="0" w:beforeAutospacing="0" w:after="120" w:afterAutospacing="0"/>
        <w:ind w:left="360"/>
        <w:rPr>
          <w:rFonts w:cstheme="minorBidi"/>
          <w:color w:val="000000" w:themeColor="text1"/>
          <w:sz w:val="22"/>
          <w:szCs w:val="22"/>
        </w:rPr>
      </w:pPr>
      <w:r w:rsidRPr="00367824">
        <w:rPr>
          <w:rFonts w:ascii="Calibri" w:eastAsia="Calibri" w:hAnsi="Calibri" w:cs="Calibri"/>
          <w:b/>
          <w:bCs/>
          <w:color w:val="000000" w:themeColor="text1"/>
          <w:sz w:val="22"/>
          <w:szCs w:val="22"/>
        </w:rPr>
        <w:t xml:space="preserve">Consumer and industry acceptance: </w:t>
      </w:r>
      <w:r w:rsidRPr="00367824">
        <w:rPr>
          <w:rFonts w:ascii="Calibri" w:eastAsia="Calibri" w:hAnsi="Calibri" w:cs="Calibri"/>
          <w:color w:val="000000" w:themeColor="text1"/>
          <w:sz w:val="22"/>
          <w:szCs w:val="22"/>
        </w:rPr>
        <w:t>Consumer acceptance - may require support by consumer education. Consumer education will be important on appropriate serve size for biscuits, especially in out of home settings.</w:t>
      </w:r>
    </w:p>
    <w:p w14:paraId="0DB69198" w14:textId="57BE8104" w:rsidR="00C97C2E" w:rsidRPr="0062083C" w:rsidRDefault="00C97C2E" w:rsidP="0062083C">
      <w:pPr>
        <w:pStyle w:val="paragraph"/>
        <w:spacing w:before="0" w:beforeAutospacing="0" w:after="120" w:afterAutospacing="0"/>
        <w:rPr>
          <w:rFonts w:cstheme="minorBidi"/>
          <w:color w:val="000000" w:themeColor="text1"/>
          <w:sz w:val="22"/>
          <w:szCs w:val="22"/>
        </w:rPr>
      </w:pPr>
      <w:r w:rsidRPr="0062083C">
        <w:rPr>
          <w:rFonts w:ascii="Calibri" w:eastAsia="Calibri" w:hAnsi="Calibri" w:cs="Calibri"/>
          <w:b/>
          <w:bCs/>
          <w:color w:val="000000" w:themeColor="text1"/>
          <w:sz w:val="22"/>
          <w:szCs w:val="22"/>
        </w:rPr>
        <w:t>Other Considerations or Influences underpinning this Category target</w:t>
      </w:r>
    </w:p>
    <w:p w14:paraId="2FFC22DD" w14:textId="77777777" w:rsidR="00C97C2E" w:rsidRPr="00367824" w:rsidRDefault="00C97C2E" w:rsidP="0062083C">
      <w:pPr>
        <w:pStyle w:val="ListParagraph"/>
        <w:numPr>
          <w:ilvl w:val="0"/>
          <w:numId w:val="84"/>
        </w:numPr>
        <w:spacing w:after="120"/>
        <w:ind w:left="326"/>
        <w:contextualSpacing w:val="0"/>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Typical consumer – the very young and older people</w:t>
      </w:r>
      <w:r w:rsidRPr="00367824">
        <w:rPr>
          <w:rFonts w:ascii="Calibri" w:eastAsia="Calibri" w:hAnsi="Calibri" w:cs="Calibri"/>
          <w:color w:val="000000" w:themeColor="text1"/>
          <w:sz w:val="22"/>
          <w:szCs w:val="22"/>
          <w:vertAlign w:val="superscript"/>
        </w:rPr>
        <w:t xml:space="preserve">12 </w:t>
      </w:r>
    </w:p>
    <w:p w14:paraId="76D241AD" w14:textId="10DAE9AA" w:rsidR="00C97C2E" w:rsidRPr="00367824" w:rsidRDefault="00C97C2E" w:rsidP="0062083C">
      <w:pPr>
        <w:pStyle w:val="ListParagraph"/>
        <w:numPr>
          <w:ilvl w:val="0"/>
          <w:numId w:val="84"/>
        </w:numPr>
        <w:spacing w:after="120"/>
        <w:ind w:left="326"/>
        <w:contextualSpacing w:val="0"/>
        <w:rPr>
          <w:rFonts w:ascii="Calibri" w:eastAsia="Calibri" w:hAnsi="Calibri" w:cs="Calibri"/>
          <w:color w:val="000000" w:themeColor="text1"/>
          <w:sz w:val="22"/>
          <w:szCs w:val="22"/>
        </w:rPr>
      </w:pPr>
      <w:r w:rsidRPr="00367824">
        <w:rPr>
          <w:rFonts w:ascii="Calibri" w:eastAsia="Calibri" w:hAnsi="Calibri" w:cs="Calibri"/>
          <w:color w:val="000000" w:themeColor="text1"/>
          <w:sz w:val="22"/>
          <w:szCs w:val="22"/>
        </w:rPr>
        <w:t xml:space="preserve">In the retail setting there are reports (including IBIS Report on </w:t>
      </w:r>
      <w:r w:rsidRPr="00312E62">
        <w:rPr>
          <w:rFonts w:ascii="Calibri" w:eastAsia="Calibri" w:hAnsi="Calibri" w:cs="Calibri"/>
          <w:i/>
          <w:iCs/>
          <w:color w:val="000000" w:themeColor="text1"/>
          <w:sz w:val="22"/>
          <w:szCs w:val="22"/>
        </w:rPr>
        <w:t>Biscuit Manufacturing</w:t>
      </w:r>
      <w:r w:rsidRPr="00312E62">
        <w:rPr>
          <w:i/>
          <w:iCs/>
          <w:sz w:val="22"/>
          <w:szCs w:val="22"/>
        </w:rPr>
        <w:t xml:space="preserve"> in Australia</w:t>
      </w:r>
      <w:r w:rsidRPr="00312E62">
        <w:rPr>
          <w:rFonts w:ascii="Calibri" w:eastAsia="Calibri" w:hAnsi="Calibri" w:cs="Calibri"/>
          <w:i/>
          <w:iCs/>
          <w:color w:val="000000" w:themeColor="text1"/>
          <w:sz w:val="22"/>
          <w:szCs w:val="22"/>
        </w:rPr>
        <w:t xml:space="preserve"> trends</w:t>
      </w:r>
      <w:r w:rsidRPr="00367824">
        <w:rPr>
          <w:rFonts w:ascii="Calibri" w:eastAsia="Calibri" w:hAnsi="Calibri" w:cs="Calibri"/>
          <w:color w:val="000000" w:themeColor="text1"/>
          <w:sz w:val="22"/>
          <w:szCs w:val="22"/>
          <w:vertAlign w:val="superscript"/>
        </w:rPr>
        <w:t>1</w:t>
      </w:r>
      <w:r w:rsidR="00312E62">
        <w:rPr>
          <w:rFonts w:ascii="Calibri" w:eastAsia="Calibri" w:hAnsi="Calibri" w:cs="Calibri"/>
          <w:color w:val="000000" w:themeColor="text1"/>
          <w:sz w:val="22"/>
          <w:szCs w:val="22"/>
          <w:vertAlign w:val="superscript"/>
        </w:rPr>
        <w:t>9</w:t>
      </w:r>
      <w:r w:rsidRPr="00367824">
        <w:rPr>
          <w:rFonts w:ascii="Calibri" w:eastAsia="Calibri" w:hAnsi="Calibri" w:cs="Calibri"/>
          <w:color w:val="000000" w:themeColor="text1"/>
          <w:sz w:val="22"/>
          <w:szCs w:val="22"/>
        </w:rPr>
        <w:t xml:space="preserve">) of declining per capita consumption of biscuits. However, observations show that (larger) out of home style products are entering the retail market. </w:t>
      </w:r>
    </w:p>
    <w:p w14:paraId="09387A9A" w14:textId="60DC570E" w:rsidR="00994436" w:rsidRPr="00BC2D7E" w:rsidRDefault="00C97C2E" w:rsidP="000F0E72">
      <w:pPr>
        <w:pStyle w:val="ListParagraph"/>
        <w:numPr>
          <w:ilvl w:val="0"/>
          <w:numId w:val="9"/>
        </w:numPr>
        <w:spacing w:after="120"/>
        <w:ind w:left="326"/>
        <w:contextualSpacing w:val="0"/>
        <w:rPr>
          <w:rStyle w:val="normaltextrun"/>
          <w:rFonts w:ascii="Calibri" w:eastAsiaTheme="majorEastAsia" w:hAnsi="Calibri" w:cs="Calibri"/>
          <w:b/>
          <w:bCs/>
          <w:sz w:val="22"/>
          <w:szCs w:val="22"/>
          <w:u w:val="single"/>
        </w:rPr>
      </w:pPr>
      <w:r w:rsidRPr="00BC2D7E">
        <w:rPr>
          <w:rFonts w:ascii="Calibri" w:eastAsia="Calibri" w:hAnsi="Calibri" w:cs="Calibri"/>
          <w:color w:val="000000" w:themeColor="text1"/>
          <w:sz w:val="22"/>
          <w:szCs w:val="22"/>
        </w:rPr>
        <w:t>The intent of the retail guidance is to halt the creep of larger sized, café style biscuits into retail settings.</w:t>
      </w:r>
      <w:r w:rsidR="00994436" w:rsidRPr="00BC2D7E">
        <w:rPr>
          <w:rStyle w:val="normaltextrun"/>
          <w:rFonts w:ascii="Calibri" w:eastAsiaTheme="majorEastAsia" w:hAnsi="Calibri" w:cs="Calibri"/>
          <w:b/>
          <w:bCs/>
          <w:sz w:val="22"/>
          <w:szCs w:val="22"/>
          <w:u w:val="single"/>
        </w:rPr>
        <w:br w:type="page"/>
      </w:r>
    </w:p>
    <w:p w14:paraId="277FC276" w14:textId="1064EA47" w:rsidR="00F60361" w:rsidRPr="00F826E2" w:rsidRDefault="00F60361" w:rsidP="00F60361">
      <w:pPr>
        <w:pStyle w:val="paragraph"/>
        <w:keepNext/>
        <w:spacing w:before="0" w:beforeAutospacing="0" w:after="0" w:afterAutospacing="0"/>
        <w:textAlignment w:val="baseline"/>
        <w:rPr>
          <w:rStyle w:val="eop"/>
          <w:rFonts w:ascii="Calibri" w:hAnsi="Calibri" w:cs="Calibri"/>
          <w:b/>
          <w:bCs/>
          <w:sz w:val="28"/>
          <w:szCs w:val="28"/>
        </w:rPr>
      </w:pPr>
      <w:r w:rsidRPr="00F826E2">
        <w:rPr>
          <w:rStyle w:val="normaltextrun"/>
          <w:rFonts w:ascii="Calibri" w:eastAsiaTheme="majorEastAsia" w:hAnsi="Calibri" w:cs="Calibri"/>
          <w:b/>
          <w:bCs/>
          <w:sz w:val="28"/>
          <w:szCs w:val="28"/>
        </w:rPr>
        <w:lastRenderedPageBreak/>
        <w:t>References</w:t>
      </w:r>
      <w:r w:rsidRPr="00F826E2">
        <w:rPr>
          <w:rStyle w:val="eop"/>
          <w:rFonts w:ascii="Calibri" w:hAnsi="Calibri" w:cs="Calibri"/>
          <w:b/>
          <w:bCs/>
          <w:sz w:val="28"/>
          <w:szCs w:val="28"/>
        </w:rPr>
        <w:t> </w:t>
      </w:r>
      <w:r w:rsidR="00C97C2E" w:rsidRPr="00F826E2">
        <w:rPr>
          <w:rStyle w:val="eop"/>
          <w:rFonts w:ascii="Calibri" w:hAnsi="Calibri" w:cs="Calibri"/>
          <w:b/>
          <w:bCs/>
          <w:sz w:val="28"/>
          <w:szCs w:val="28"/>
        </w:rPr>
        <w:t>(Appendix A)</w:t>
      </w:r>
    </w:p>
    <w:p w14:paraId="0A7C688F" w14:textId="77777777" w:rsidR="008C396B" w:rsidRPr="008C396B" w:rsidRDefault="008C396B" w:rsidP="00F60361">
      <w:pPr>
        <w:pStyle w:val="paragraph"/>
        <w:keepNext/>
        <w:spacing w:before="0" w:beforeAutospacing="0" w:after="0" w:afterAutospacing="0"/>
        <w:textAlignment w:val="baseline"/>
        <w:rPr>
          <w:rFonts w:ascii="Segoe UI" w:hAnsi="Segoe UI" w:cs="Segoe UI"/>
          <w:sz w:val="22"/>
          <w:szCs w:val="22"/>
        </w:rPr>
      </w:pPr>
    </w:p>
    <w:p w14:paraId="6B53FCDC" w14:textId="772993DD" w:rsidR="00F60361" w:rsidRPr="00942D84" w:rsidRDefault="00F60361" w:rsidP="00CF30C0">
      <w:pPr>
        <w:pStyle w:val="paragraph"/>
        <w:numPr>
          <w:ilvl w:val="0"/>
          <w:numId w:val="72"/>
        </w:numPr>
        <w:spacing w:before="0" w:beforeAutospacing="0" w:after="120" w:afterAutospacing="0"/>
        <w:ind w:left="357"/>
        <w:textAlignment w:val="baseline"/>
        <w:rPr>
          <w:rStyle w:val="eop"/>
          <w:rFonts w:asciiTheme="minorHAnsi" w:hAnsiTheme="minorHAnsi" w:cstheme="minorHAnsi"/>
          <w:sz w:val="22"/>
          <w:szCs w:val="22"/>
        </w:rPr>
      </w:pPr>
      <w:r w:rsidRPr="00942D84">
        <w:rPr>
          <w:rStyle w:val="normaltextrun"/>
          <w:rFonts w:asciiTheme="minorHAnsi" w:eastAsiaTheme="majorEastAsia" w:hAnsiTheme="minorHAnsi" w:cstheme="minorHAnsi"/>
          <w:sz w:val="22"/>
          <w:szCs w:val="22"/>
        </w:rPr>
        <w:t>66</w:t>
      </w:r>
      <w:r w:rsidRPr="00942D84">
        <w:rPr>
          <w:rStyle w:val="normaltextrun"/>
          <w:rFonts w:asciiTheme="minorHAnsi" w:eastAsiaTheme="majorEastAsia" w:hAnsiTheme="minorHAnsi" w:cstheme="minorHAnsi"/>
          <w:sz w:val="22"/>
          <w:szCs w:val="22"/>
          <w:vertAlign w:val="superscript"/>
        </w:rPr>
        <w:t>th</w:t>
      </w:r>
      <w:r w:rsidRPr="00942D84">
        <w:rPr>
          <w:rStyle w:val="normaltextrun"/>
          <w:rFonts w:asciiTheme="minorHAnsi" w:eastAsiaTheme="majorEastAsia" w:hAnsiTheme="minorHAnsi" w:cstheme="minorHAnsi"/>
          <w:sz w:val="22"/>
          <w:szCs w:val="22"/>
        </w:rPr>
        <w:t> Percentile based on </w:t>
      </w:r>
      <w:proofErr w:type="spellStart"/>
      <w:r w:rsidRPr="00942D84">
        <w:rPr>
          <w:rStyle w:val="normaltextrun"/>
          <w:rFonts w:asciiTheme="minorHAnsi" w:eastAsiaTheme="majorEastAsia" w:hAnsiTheme="minorHAnsi" w:cstheme="minorHAnsi"/>
          <w:sz w:val="22"/>
          <w:szCs w:val="22"/>
        </w:rPr>
        <w:t>FoodTrack</w:t>
      </w:r>
      <w:proofErr w:type="spellEnd"/>
      <w:r w:rsidRPr="00942D84">
        <w:rPr>
          <w:rStyle w:val="normaltextrun"/>
          <w:rFonts w:asciiTheme="minorHAnsi" w:eastAsiaTheme="majorEastAsia" w:hAnsiTheme="minorHAnsi" w:cstheme="minorHAnsi"/>
          <w:sz w:val="22"/>
          <w:szCs w:val="22"/>
        </w:rPr>
        <w:t> Data supplied by Commonwealth Scientific and Industrial Research Organisation (CSIRO) (Retail) and </w:t>
      </w:r>
      <w:proofErr w:type="spellStart"/>
      <w:r w:rsidRPr="00942D84">
        <w:rPr>
          <w:rStyle w:val="normaltextrun"/>
          <w:rFonts w:asciiTheme="minorHAnsi" w:eastAsiaTheme="majorEastAsia" w:hAnsiTheme="minorHAnsi" w:cstheme="minorHAnsi"/>
          <w:sz w:val="22"/>
          <w:szCs w:val="22"/>
        </w:rPr>
        <w:t>iFed</w:t>
      </w:r>
      <w:proofErr w:type="spellEnd"/>
      <w:r w:rsidRPr="00942D84">
        <w:rPr>
          <w:rStyle w:val="normaltextrun"/>
          <w:rFonts w:asciiTheme="minorHAnsi" w:eastAsiaTheme="majorEastAsia" w:hAnsiTheme="minorHAnsi" w:cstheme="minorHAnsi"/>
          <w:sz w:val="22"/>
          <w:szCs w:val="22"/>
        </w:rPr>
        <w:t> Data supplied by SP Health (Out of home), unless otherwise specified. Data extracted June 2020.</w:t>
      </w:r>
      <w:r w:rsidRPr="00942D84">
        <w:rPr>
          <w:rStyle w:val="eop"/>
          <w:rFonts w:asciiTheme="minorHAnsi" w:hAnsiTheme="minorHAnsi" w:cstheme="minorHAnsi"/>
          <w:sz w:val="22"/>
          <w:szCs w:val="22"/>
        </w:rPr>
        <w:t> </w:t>
      </w:r>
    </w:p>
    <w:p w14:paraId="10187584" w14:textId="10732FF2" w:rsidR="00F60361" w:rsidRPr="00942D84" w:rsidRDefault="00F60361" w:rsidP="00CF30C0">
      <w:pPr>
        <w:pStyle w:val="paragraph"/>
        <w:numPr>
          <w:ilvl w:val="0"/>
          <w:numId w:val="72"/>
        </w:numPr>
        <w:spacing w:before="0" w:beforeAutospacing="0" w:after="120" w:afterAutospacing="0"/>
        <w:ind w:left="357"/>
        <w:rPr>
          <w:rStyle w:val="eop"/>
          <w:rFonts w:asciiTheme="minorHAnsi" w:hAnsiTheme="minorHAnsi" w:cstheme="minorHAnsi"/>
          <w:sz w:val="22"/>
          <w:szCs w:val="22"/>
          <w:lang w:val="en-GB"/>
        </w:rPr>
      </w:pPr>
      <w:r w:rsidRPr="00942D84">
        <w:rPr>
          <w:rStyle w:val="normaltextrun"/>
          <w:rFonts w:asciiTheme="minorHAnsi" w:eastAsiaTheme="majorEastAsia" w:hAnsiTheme="minorHAnsi" w:cstheme="minorHAnsi"/>
          <w:sz w:val="22"/>
          <w:szCs w:val="22"/>
          <w:lang w:val="en-GB"/>
        </w:rPr>
        <w:t xml:space="preserve">Liang S, Gemming L, </w:t>
      </w:r>
      <w:proofErr w:type="spellStart"/>
      <w:r w:rsidRPr="00942D84">
        <w:rPr>
          <w:rStyle w:val="normaltextrun"/>
          <w:rFonts w:asciiTheme="minorHAnsi" w:eastAsiaTheme="majorEastAsia" w:hAnsiTheme="minorHAnsi" w:cstheme="minorHAnsi"/>
          <w:sz w:val="22"/>
          <w:szCs w:val="22"/>
          <w:lang w:val="en-GB"/>
        </w:rPr>
        <w:t>Wellard</w:t>
      </w:r>
      <w:proofErr w:type="spellEnd"/>
      <w:r w:rsidRPr="00942D84">
        <w:rPr>
          <w:rStyle w:val="normaltextrun"/>
          <w:rFonts w:asciiTheme="minorHAnsi" w:eastAsiaTheme="majorEastAsia" w:hAnsiTheme="minorHAnsi" w:cstheme="minorHAnsi"/>
          <w:sz w:val="22"/>
          <w:szCs w:val="22"/>
          <w:lang w:val="en-GB"/>
        </w:rPr>
        <w:t xml:space="preserve">-Cole L and </w:t>
      </w:r>
      <w:proofErr w:type="spellStart"/>
      <w:r w:rsidRPr="00942D84">
        <w:rPr>
          <w:rStyle w:val="normaltextrun"/>
          <w:rFonts w:asciiTheme="minorHAnsi" w:eastAsiaTheme="majorEastAsia" w:hAnsiTheme="minorHAnsi" w:cstheme="minorHAnsi"/>
          <w:sz w:val="22"/>
          <w:szCs w:val="22"/>
          <w:lang w:val="en-GB"/>
        </w:rPr>
        <w:t>Rangan</w:t>
      </w:r>
      <w:proofErr w:type="spellEnd"/>
      <w:r w:rsidRPr="00942D84">
        <w:rPr>
          <w:rStyle w:val="normaltextrun"/>
          <w:rFonts w:asciiTheme="minorHAnsi" w:eastAsiaTheme="majorEastAsia" w:hAnsiTheme="minorHAnsi" w:cstheme="minorHAnsi"/>
          <w:sz w:val="22"/>
          <w:szCs w:val="22"/>
          <w:lang w:val="en-GB"/>
        </w:rPr>
        <w:t xml:space="preserve"> A. Comparison between serving sizes of cakes and muffins sold in Australian supermarkets and coffee shop chains. </w:t>
      </w:r>
      <w:proofErr w:type="spellStart"/>
      <w:r w:rsidR="00900D33" w:rsidRPr="00942D84">
        <w:rPr>
          <w:rStyle w:val="normaltextrun"/>
          <w:rFonts w:asciiTheme="minorHAnsi" w:eastAsiaTheme="majorEastAsia" w:hAnsiTheme="minorHAnsi" w:cstheme="minorHAnsi"/>
          <w:sz w:val="22"/>
          <w:szCs w:val="22"/>
          <w:lang w:val="en-GB"/>
        </w:rPr>
        <w:t>Nutr</w:t>
      </w:r>
      <w:proofErr w:type="spellEnd"/>
      <w:r w:rsidR="00900D33" w:rsidRPr="00942D84">
        <w:rPr>
          <w:rStyle w:val="normaltextrun"/>
          <w:rFonts w:asciiTheme="minorHAnsi" w:eastAsiaTheme="majorEastAsia" w:hAnsiTheme="minorHAnsi" w:cstheme="minorHAnsi"/>
          <w:sz w:val="22"/>
          <w:szCs w:val="22"/>
          <w:lang w:val="en-GB"/>
        </w:rPr>
        <w:t xml:space="preserve"> Diet. 2019;76(3):284-9. </w:t>
      </w:r>
      <w:proofErr w:type="spellStart"/>
      <w:r w:rsidR="00900D33" w:rsidRPr="00942D84">
        <w:rPr>
          <w:rStyle w:val="normaltextrun"/>
          <w:rFonts w:asciiTheme="minorHAnsi" w:eastAsiaTheme="majorEastAsia" w:hAnsiTheme="minorHAnsi" w:cstheme="minorHAnsi"/>
          <w:sz w:val="22"/>
          <w:szCs w:val="22"/>
          <w:lang w:val="en-GB"/>
        </w:rPr>
        <w:t>doi</w:t>
      </w:r>
      <w:proofErr w:type="spellEnd"/>
      <w:r w:rsidR="00900D33" w:rsidRPr="00942D84">
        <w:rPr>
          <w:rStyle w:val="normaltextrun"/>
          <w:rFonts w:asciiTheme="minorHAnsi" w:eastAsiaTheme="majorEastAsia" w:hAnsiTheme="minorHAnsi" w:cstheme="minorHAnsi"/>
          <w:sz w:val="22"/>
          <w:szCs w:val="22"/>
          <w:lang w:val="en-GB"/>
        </w:rPr>
        <w:t>: 10.1111/1747-0080.12544.</w:t>
      </w:r>
    </w:p>
    <w:p w14:paraId="15610A85" w14:textId="485A0D06" w:rsidR="00F60361" w:rsidRPr="00942D84" w:rsidRDefault="00F60361" w:rsidP="00CF30C0">
      <w:pPr>
        <w:pStyle w:val="paragraph"/>
        <w:numPr>
          <w:ilvl w:val="0"/>
          <w:numId w:val="72"/>
        </w:numPr>
        <w:spacing w:before="0" w:beforeAutospacing="0" w:after="120" w:afterAutospacing="0"/>
        <w:ind w:left="357"/>
        <w:textAlignment w:val="baseline"/>
        <w:rPr>
          <w:rStyle w:val="eop"/>
          <w:rFonts w:asciiTheme="minorHAnsi" w:hAnsiTheme="minorHAnsi" w:cstheme="minorHAnsi"/>
          <w:sz w:val="22"/>
          <w:szCs w:val="22"/>
        </w:rPr>
      </w:pPr>
      <w:r w:rsidRPr="00942D84">
        <w:rPr>
          <w:rStyle w:val="normaltextrun"/>
          <w:rFonts w:asciiTheme="minorHAnsi" w:eastAsiaTheme="majorEastAsia" w:hAnsiTheme="minorHAnsi" w:cstheme="minorHAnsi"/>
          <w:sz w:val="22"/>
          <w:szCs w:val="22"/>
        </w:rPr>
        <w:t>Energy per serving based on </w:t>
      </w:r>
      <w:proofErr w:type="spellStart"/>
      <w:r w:rsidRPr="00942D84">
        <w:rPr>
          <w:rStyle w:val="normaltextrun"/>
          <w:rFonts w:asciiTheme="minorHAnsi" w:eastAsiaTheme="majorEastAsia" w:hAnsiTheme="minorHAnsi" w:cstheme="minorHAnsi"/>
          <w:sz w:val="22"/>
          <w:szCs w:val="22"/>
        </w:rPr>
        <w:t>FoodTrack</w:t>
      </w:r>
      <w:proofErr w:type="spellEnd"/>
      <w:r w:rsidRPr="00942D84">
        <w:rPr>
          <w:rStyle w:val="normaltextrun"/>
          <w:rFonts w:asciiTheme="minorHAnsi" w:eastAsiaTheme="majorEastAsia" w:hAnsiTheme="minorHAnsi" w:cstheme="minorHAnsi"/>
          <w:sz w:val="22"/>
          <w:szCs w:val="22"/>
        </w:rPr>
        <w:t> Data supplied by Commonwealth Scientific and Industrial Research Organisation (CSIRO) (Retail) and </w:t>
      </w:r>
      <w:proofErr w:type="spellStart"/>
      <w:r w:rsidRPr="00942D84">
        <w:rPr>
          <w:rStyle w:val="normaltextrun"/>
          <w:rFonts w:asciiTheme="minorHAnsi" w:eastAsiaTheme="majorEastAsia" w:hAnsiTheme="minorHAnsi" w:cstheme="minorHAnsi"/>
          <w:sz w:val="22"/>
          <w:szCs w:val="22"/>
        </w:rPr>
        <w:t>iFed</w:t>
      </w:r>
      <w:proofErr w:type="spellEnd"/>
      <w:r w:rsidRPr="00942D84">
        <w:rPr>
          <w:rStyle w:val="normaltextrun"/>
          <w:rFonts w:asciiTheme="minorHAnsi" w:eastAsiaTheme="majorEastAsia" w:hAnsiTheme="minorHAnsi" w:cstheme="minorHAnsi"/>
          <w:sz w:val="22"/>
          <w:szCs w:val="22"/>
        </w:rPr>
        <w:t> Data supplied by SP Health (Out of home), unless otherwise specified. Data extracted June 2020.</w:t>
      </w:r>
      <w:r w:rsidRPr="00942D84">
        <w:rPr>
          <w:rStyle w:val="eop"/>
          <w:rFonts w:asciiTheme="minorHAnsi" w:hAnsiTheme="minorHAnsi" w:cstheme="minorHAnsi"/>
          <w:sz w:val="22"/>
          <w:szCs w:val="22"/>
        </w:rPr>
        <w:t> </w:t>
      </w:r>
    </w:p>
    <w:p w14:paraId="41B26A8F" w14:textId="136CEEF9" w:rsidR="00512F9D" w:rsidRPr="00942D84" w:rsidRDefault="00512F9D" w:rsidP="00CF30C0">
      <w:pPr>
        <w:pStyle w:val="paragraph"/>
        <w:numPr>
          <w:ilvl w:val="0"/>
          <w:numId w:val="72"/>
        </w:numPr>
        <w:spacing w:before="0" w:beforeAutospacing="0" w:after="120" w:afterAutospacing="0"/>
        <w:ind w:left="357"/>
        <w:textAlignment w:val="baseline"/>
        <w:rPr>
          <w:rFonts w:asciiTheme="minorHAnsi" w:hAnsiTheme="minorHAnsi" w:cstheme="minorHAnsi"/>
          <w:sz w:val="22"/>
          <w:szCs w:val="22"/>
        </w:rPr>
      </w:pPr>
      <w:r w:rsidRPr="00942D84">
        <w:rPr>
          <w:rFonts w:asciiTheme="minorHAnsi" w:hAnsiTheme="minorHAnsi" w:cstheme="minorHAnsi"/>
          <w:sz w:val="22"/>
          <w:szCs w:val="22"/>
        </w:rPr>
        <w:t>National Health and Medical Research Council (NHMRC). Eat for Health Educator Guide. Canberra: NHMRC. 2013.</w:t>
      </w:r>
    </w:p>
    <w:p w14:paraId="5518742A" w14:textId="169B2D32" w:rsidR="00713E74" w:rsidRPr="00942D84" w:rsidRDefault="00713E74" w:rsidP="00CF30C0">
      <w:pPr>
        <w:pStyle w:val="paragraph"/>
        <w:numPr>
          <w:ilvl w:val="0"/>
          <w:numId w:val="72"/>
        </w:numPr>
        <w:spacing w:before="0" w:beforeAutospacing="0" w:after="120" w:afterAutospacing="0"/>
        <w:ind w:left="357"/>
        <w:rPr>
          <w:rFonts w:asciiTheme="minorHAnsi" w:eastAsiaTheme="minorEastAsia" w:hAnsiTheme="minorHAnsi" w:cstheme="minorHAnsi"/>
          <w:sz w:val="22"/>
          <w:szCs w:val="22"/>
        </w:rPr>
      </w:pPr>
      <w:r w:rsidRPr="00942D84">
        <w:rPr>
          <w:rFonts w:asciiTheme="minorHAnsi" w:eastAsia="Helvetica" w:hAnsiTheme="minorHAnsi" w:cstheme="minorHAnsi"/>
          <w:color w:val="000000" w:themeColor="text1"/>
          <w:sz w:val="22"/>
          <w:szCs w:val="22"/>
        </w:rPr>
        <w:t xml:space="preserve">Zheng </w:t>
      </w:r>
      <w:r w:rsidR="00F5726F" w:rsidRPr="00942D84">
        <w:rPr>
          <w:rFonts w:asciiTheme="minorHAnsi" w:eastAsia="Helvetica" w:hAnsiTheme="minorHAnsi" w:cstheme="minorHAnsi"/>
          <w:color w:val="000000" w:themeColor="text1"/>
          <w:sz w:val="22"/>
          <w:szCs w:val="22"/>
        </w:rPr>
        <w:t xml:space="preserve">M, </w:t>
      </w:r>
      <w:proofErr w:type="spellStart"/>
      <w:r w:rsidR="00F5726F" w:rsidRPr="00942D84">
        <w:rPr>
          <w:rFonts w:asciiTheme="minorHAnsi" w:eastAsia="Helvetica" w:hAnsiTheme="minorHAnsi" w:cstheme="minorHAnsi"/>
          <w:color w:val="000000" w:themeColor="text1"/>
          <w:sz w:val="22"/>
          <w:szCs w:val="22"/>
        </w:rPr>
        <w:t>Rangan</w:t>
      </w:r>
      <w:proofErr w:type="spellEnd"/>
      <w:r w:rsidR="00F5726F" w:rsidRPr="00942D84">
        <w:rPr>
          <w:rFonts w:asciiTheme="minorHAnsi" w:eastAsia="Helvetica" w:hAnsiTheme="minorHAnsi" w:cstheme="minorHAnsi"/>
          <w:color w:val="000000" w:themeColor="text1"/>
          <w:sz w:val="22"/>
          <w:szCs w:val="22"/>
        </w:rPr>
        <w:t xml:space="preserve"> A, </w:t>
      </w:r>
      <w:proofErr w:type="spellStart"/>
      <w:r w:rsidR="00F5726F" w:rsidRPr="00942D84">
        <w:rPr>
          <w:rFonts w:asciiTheme="minorHAnsi" w:eastAsia="Helvetica" w:hAnsiTheme="minorHAnsi" w:cstheme="minorHAnsi"/>
          <w:color w:val="000000" w:themeColor="text1"/>
          <w:sz w:val="22"/>
          <w:szCs w:val="22"/>
        </w:rPr>
        <w:t>Meertens</w:t>
      </w:r>
      <w:proofErr w:type="spellEnd"/>
      <w:r w:rsidR="00F5726F" w:rsidRPr="00942D84">
        <w:rPr>
          <w:rFonts w:asciiTheme="minorHAnsi" w:eastAsia="Helvetica" w:hAnsiTheme="minorHAnsi" w:cstheme="minorHAnsi"/>
          <w:color w:val="000000" w:themeColor="text1"/>
          <w:sz w:val="22"/>
          <w:szCs w:val="22"/>
        </w:rPr>
        <w:t xml:space="preserve"> B, Wu J</w:t>
      </w:r>
      <w:r w:rsidRPr="00942D84">
        <w:rPr>
          <w:rFonts w:asciiTheme="minorHAnsi" w:eastAsia="Helvetica" w:hAnsiTheme="minorHAnsi" w:cstheme="minorHAnsi"/>
          <w:color w:val="000000" w:themeColor="text1"/>
          <w:sz w:val="22"/>
          <w:szCs w:val="22"/>
        </w:rPr>
        <w:t xml:space="preserve">. Changes in </w:t>
      </w:r>
      <w:r w:rsidR="00F5726F" w:rsidRPr="00942D84">
        <w:rPr>
          <w:rFonts w:asciiTheme="minorHAnsi" w:eastAsia="Helvetica" w:hAnsiTheme="minorHAnsi" w:cstheme="minorHAnsi"/>
          <w:color w:val="000000" w:themeColor="text1"/>
          <w:sz w:val="22"/>
          <w:szCs w:val="22"/>
        </w:rPr>
        <w:t>t</w:t>
      </w:r>
      <w:r w:rsidRPr="00942D84">
        <w:rPr>
          <w:rFonts w:asciiTheme="minorHAnsi" w:eastAsia="Helvetica" w:hAnsiTheme="minorHAnsi" w:cstheme="minorHAnsi"/>
          <w:color w:val="000000" w:themeColor="text1"/>
          <w:sz w:val="22"/>
          <w:szCs w:val="22"/>
        </w:rPr>
        <w:t xml:space="preserve">ypical </w:t>
      </w:r>
      <w:r w:rsidR="00F5726F" w:rsidRPr="00942D84">
        <w:rPr>
          <w:rFonts w:asciiTheme="minorHAnsi" w:eastAsia="Helvetica" w:hAnsiTheme="minorHAnsi" w:cstheme="minorHAnsi"/>
          <w:color w:val="000000" w:themeColor="text1"/>
          <w:sz w:val="22"/>
          <w:szCs w:val="22"/>
        </w:rPr>
        <w:t>p</w:t>
      </w:r>
      <w:r w:rsidRPr="00942D84">
        <w:rPr>
          <w:rFonts w:asciiTheme="minorHAnsi" w:eastAsia="Helvetica" w:hAnsiTheme="minorHAnsi" w:cstheme="minorHAnsi"/>
          <w:color w:val="000000" w:themeColor="text1"/>
          <w:sz w:val="22"/>
          <w:szCs w:val="22"/>
        </w:rPr>
        <w:t xml:space="preserve">ortion </w:t>
      </w:r>
      <w:r w:rsidR="00F5726F" w:rsidRPr="00942D84">
        <w:rPr>
          <w:rFonts w:asciiTheme="minorHAnsi" w:eastAsia="Helvetica" w:hAnsiTheme="minorHAnsi" w:cstheme="minorHAnsi"/>
          <w:color w:val="000000" w:themeColor="text1"/>
          <w:sz w:val="22"/>
          <w:szCs w:val="22"/>
        </w:rPr>
        <w:t>s</w:t>
      </w:r>
      <w:r w:rsidRPr="00942D84">
        <w:rPr>
          <w:rFonts w:asciiTheme="minorHAnsi" w:eastAsia="Helvetica" w:hAnsiTheme="minorHAnsi" w:cstheme="minorHAnsi"/>
          <w:color w:val="000000" w:themeColor="text1"/>
          <w:sz w:val="22"/>
          <w:szCs w:val="22"/>
        </w:rPr>
        <w:t xml:space="preserve">izes of </w:t>
      </w:r>
      <w:r w:rsidR="00F5726F" w:rsidRPr="00942D84">
        <w:rPr>
          <w:rFonts w:asciiTheme="minorHAnsi" w:eastAsia="Helvetica" w:hAnsiTheme="minorHAnsi" w:cstheme="minorHAnsi"/>
          <w:color w:val="000000" w:themeColor="text1"/>
          <w:sz w:val="22"/>
          <w:szCs w:val="22"/>
        </w:rPr>
        <w:t>c</w:t>
      </w:r>
      <w:r w:rsidRPr="00942D84">
        <w:rPr>
          <w:rFonts w:asciiTheme="minorHAnsi" w:eastAsia="Helvetica" w:hAnsiTheme="minorHAnsi" w:cstheme="minorHAnsi"/>
          <w:color w:val="000000" w:themeColor="text1"/>
          <w:sz w:val="22"/>
          <w:szCs w:val="22"/>
        </w:rPr>
        <w:t xml:space="preserve">ommonly </w:t>
      </w:r>
      <w:r w:rsidR="00F5726F" w:rsidRPr="00942D84">
        <w:rPr>
          <w:rFonts w:asciiTheme="minorHAnsi" w:eastAsia="Helvetica" w:hAnsiTheme="minorHAnsi" w:cstheme="minorHAnsi"/>
          <w:color w:val="000000" w:themeColor="text1"/>
          <w:sz w:val="22"/>
          <w:szCs w:val="22"/>
        </w:rPr>
        <w:t>c</w:t>
      </w:r>
      <w:r w:rsidRPr="00942D84">
        <w:rPr>
          <w:rFonts w:asciiTheme="minorHAnsi" w:eastAsia="Helvetica" w:hAnsiTheme="minorHAnsi" w:cstheme="minorHAnsi"/>
          <w:color w:val="000000" w:themeColor="text1"/>
          <w:sz w:val="22"/>
          <w:szCs w:val="22"/>
        </w:rPr>
        <w:t xml:space="preserve">onsumed </w:t>
      </w:r>
      <w:r w:rsidR="00F5726F" w:rsidRPr="00942D84">
        <w:rPr>
          <w:rFonts w:asciiTheme="minorHAnsi" w:eastAsia="Helvetica" w:hAnsiTheme="minorHAnsi" w:cstheme="minorHAnsi"/>
          <w:color w:val="000000" w:themeColor="text1"/>
          <w:sz w:val="22"/>
          <w:szCs w:val="22"/>
        </w:rPr>
        <w:t>d</w:t>
      </w:r>
      <w:r w:rsidRPr="00942D84">
        <w:rPr>
          <w:rFonts w:asciiTheme="minorHAnsi" w:eastAsia="Helvetica" w:hAnsiTheme="minorHAnsi" w:cstheme="minorHAnsi"/>
          <w:color w:val="000000" w:themeColor="text1"/>
          <w:sz w:val="22"/>
          <w:szCs w:val="22"/>
        </w:rPr>
        <w:t xml:space="preserve">iscretionary </w:t>
      </w:r>
      <w:r w:rsidR="00F5726F" w:rsidRPr="00942D84">
        <w:rPr>
          <w:rFonts w:asciiTheme="minorHAnsi" w:eastAsia="Helvetica" w:hAnsiTheme="minorHAnsi" w:cstheme="minorHAnsi"/>
          <w:color w:val="000000" w:themeColor="text1"/>
          <w:sz w:val="22"/>
          <w:szCs w:val="22"/>
        </w:rPr>
        <w:t>f</w:t>
      </w:r>
      <w:r w:rsidRPr="00942D84">
        <w:rPr>
          <w:rFonts w:asciiTheme="minorHAnsi" w:eastAsia="Helvetica" w:hAnsiTheme="minorHAnsi" w:cstheme="minorHAnsi"/>
          <w:color w:val="000000" w:themeColor="text1"/>
          <w:sz w:val="22"/>
          <w:szCs w:val="22"/>
        </w:rPr>
        <w:t xml:space="preserve">oods among Australian </w:t>
      </w:r>
      <w:r w:rsidR="00F5726F" w:rsidRPr="00942D84">
        <w:rPr>
          <w:rFonts w:asciiTheme="minorHAnsi" w:eastAsia="Helvetica" w:hAnsiTheme="minorHAnsi" w:cstheme="minorHAnsi"/>
          <w:color w:val="000000" w:themeColor="text1"/>
          <w:sz w:val="22"/>
          <w:szCs w:val="22"/>
        </w:rPr>
        <w:t>a</w:t>
      </w:r>
      <w:r w:rsidRPr="00942D84">
        <w:rPr>
          <w:rFonts w:asciiTheme="minorHAnsi" w:eastAsia="Helvetica" w:hAnsiTheme="minorHAnsi" w:cstheme="minorHAnsi"/>
          <w:color w:val="000000" w:themeColor="text1"/>
          <w:sz w:val="22"/>
          <w:szCs w:val="22"/>
        </w:rPr>
        <w:t>dults from 1995 to 2011</w:t>
      </w:r>
      <w:r w:rsidR="00EB2E43">
        <w:rPr>
          <w:rFonts w:asciiTheme="minorHAnsi" w:eastAsia="Helvetica" w:hAnsiTheme="minorHAnsi" w:cstheme="minorHAnsi"/>
          <w:color w:val="000000" w:themeColor="text1"/>
          <w:sz w:val="22"/>
          <w:szCs w:val="22"/>
        </w:rPr>
        <w:t>–</w:t>
      </w:r>
      <w:r w:rsidRPr="00942D84">
        <w:rPr>
          <w:rFonts w:asciiTheme="minorHAnsi" w:eastAsia="Helvetica" w:hAnsiTheme="minorHAnsi" w:cstheme="minorHAnsi"/>
          <w:color w:val="000000" w:themeColor="text1"/>
          <w:sz w:val="22"/>
          <w:szCs w:val="22"/>
        </w:rPr>
        <w:t>2012. Nutrients. 2017</w:t>
      </w:r>
      <w:r w:rsidR="006C17C1" w:rsidRPr="00942D84">
        <w:rPr>
          <w:rFonts w:asciiTheme="minorHAnsi" w:eastAsia="Helvetica" w:hAnsiTheme="minorHAnsi" w:cstheme="minorHAnsi"/>
          <w:color w:val="000000" w:themeColor="text1"/>
          <w:sz w:val="22"/>
          <w:szCs w:val="22"/>
        </w:rPr>
        <w:t xml:space="preserve"> Jun 6</w:t>
      </w:r>
      <w:r w:rsidRPr="00942D84">
        <w:rPr>
          <w:rFonts w:asciiTheme="minorHAnsi" w:eastAsia="Helvetica" w:hAnsiTheme="minorHAnsi" w:cstheme="minorHAnsi"/>
          <w:color w:val="000000" w:themeColor="text1"/>
          <w:sz w:val="22"/>
          <w:szCs w:val="22"/>
        </w:rPr>
        <w:t>; 9(6):577.</w:t>
      </w:r>
      <w:r w:rsidR="00F5726F" w:rsidRPr="00942D84">
        <w:rPr>
          <w:rFonts w:asciiTheme="minorHAnsi" w:eastAsia="Helvetica" w:hAnsiTheme="minorHAnsi" w:cstheme="minorHAnsi"/>
          <w:color w:val="000000" w:themeColor="text1"/>
          <w:sz w:val="22"/>
          <w:szCs w:val="22"/>
        </w:rPr>
        <w:t xml:space="preserve"> </w:t>
      </w:r>
      <w:proofErr w:type="spellStart"/>
      <w:r w:rsidR="00F5726F" w:rsidRPr="00942D84">
        <w:rPr>
          <w:rFonts w:asciiTheme="minorHAnsi" w:eastAsia="Helvetica" w:hAnsiTheme="minorHAnsi" w:cstheme="minorHAnsi"/>
          <w:color w:val="000000" w:themeColor="text1"/>
          <w:sz w:val="22"/>
          <w:szCs w:val="22"/>
        </w:rPr>
        <w:t>doi</w:t>
      </w:r>
      <w:proofErr w:type="spellEnd"/>
      <w:r w:rsidR="00F5726F" w:rsidRPr="00942D84">
        <w:rPr>
          <w:rFonts w:asciiTheme="minorHAnsi" w:eastAsia="Helvetica" w:hAnsiTheme="minorHAnsi" w:cstheme="minorHAnsi"/>
          <w:color w:val="000000" w:themeColor="text1"/>
          <w:sz w:val="22"/>
          <w:szCs w:val="22"/>
        </w:rPr>
        <w:t>:</w:t>
      </w:r>
      <w:r w:rsidR="006C17C1" w:rsidRPr="00942D84">
        <w:rPr>
          <w:rFonts w:asciiTheme="minorHAnsi" w:eastAsia="Helvetica" w:hAnsiTheme="minorHAnsi" w:cstheme="minorHAnsi"/>
          <w:color w:val="000000" w:themeColor="text1"/>
          <w:sz w:val="22"/>
          <w:szCs w:val="22"/>
        </w:rPr>
        <w:t xml:space="preserve"> </w:t>
      </w:r>
      <w:r w:rsidR="00F5726F" w:rsidRPr="00942D84">
        <w:rPr>
          <w:rFonts w:asciiTheme="minorHAnsi" w:eastAsia="Helvetica" w:hAnsiTheme="minorHAnsi" w:cstheme="minorHAnsi"/>
          <w:color w:val="000000" w:themeColor="text1"/>
          <w:sz w:val="22"/>
          <w:szCs w:val="22"/>
        </w:rPr>
        <w:t>10.3390/nu9060577</w:t>
      </w:r>
      <w:r w:rsidR="006C17C1" w:rsidRPr="00942D84">
        <w:rPr>
          <w:rFonts w:asciiTheme="minorHAnsi" w:eastAsia="Helvetica" w:hAnsiTheme="minorHAnsi" w:cstheme="minorHAnsi"/>
          <w:color w:val="000000" w:themeColor="text1"/>
          <w:sz w:val="22"/>
          <w:szCs w:val="22"/>
        </w:rPr>
        <w:t xml:space="preserve">. </w:t>
      </w:r>
    </w:p>
    <w:p w14:paraId="311FB8B0" w14:textId="25254294" w:rsidR="00F60361" w:rsidRPr="00942D84" w:rsidRDefault="00F60361" w:rsidP="00CF30C0">
      <w:pPr>
        <w:pStyle w:val="paragraph"/>
        <w:numPr>
          <w:ilvl w:val="0"/>
          <w:numId w:val="72"/>
        </w:numPr>
        <w:spacing w:before="0" w:beforeAutospacing="0" w:after="120" w:afterAutospacing="0"/>
        <w:ind w:left="357"/>
        <w:textAlignment w:val="baseline"/>
        <w:rPr>
          <w:rStyle w:val="normaltextrun"/>
          <w:rFonts w:asciiTheme="minorHAnsi" w:eastAsiaTheme="majorEastAsia" w:hAnsiTheme="minorHAnsi" w:cstheme="minorHAnsi"/>
          <w:sz w:val="22"/>
          <w:szCs w:val="22"/>
        </w:rPr>
      </w:pPr>
      <w:r w:rsidRPr="00942D84">
        <w:rPr>
          <w:rStyle w:val="normaltextrun"/>
          <w:rFonts w:asciiTheme="minorHAnsi" w:eastAsiaTheme="majorEastAsia" w:hAnsiTheme="minorHAnsi" w:cstheme="minorHAnsi"/>
          <w:sz w:val="22"/>
          <w:szCs w:val="22"/>
        </w:rPr>
        <w:t xml:space="preserve">New South Wales Ministry of Health. Healthy food and drink in NSW Health facilities for staff and </w:t>
      </w:r>
      <w:proofErr w:type="gramStart"/>
      <w:r w:rsidRPr="00942D84">
        <w:rPr>
          <w:rStyle w:val="normaltextrun"/>
          <w:rFonts w:asciiTheme="minorHAnsi" w:eastAsiaTheme="majorEastAsia" w:hAnsiTheme="minorHAnsi" w:cstheme="minorHAnsi"/>
          <w:sz w:val="22"/>
          <w:szCs w:val="22"/>
        </w:rPr>
        <w:t>visitors</w:t>
      </w:r>
      <w:proofErr w:type="gramEnd"/>
      <w:r w:rsidRPr="00942D84">
        <w:rPr>
          <w:rStyle w:val="normaltextrun"/>
          <w:rFonts w:asciiTheme="minorHAnsi" w:eastAsiaTheme="majorEastAsia" w:hAnsiTheme="minorHAnsi" w:cstheme="minorHAnsi"/>
          <w:sz w:val="22"/>
          <w:szCs w:val="22"/>
        </w:rPr>
        <w:t xml:space="preserve"> framework. North Sydney, NSW: NSW Ministry of Health</w:t>
      </w:r>
      <w:r w:rsidR="005D707C" w:rsidRPr="00942D84">
        <w:rPr>
          <w:rStyle w:val="normaltextrun"/>
          <w:rFonts w:asciiTheme="minorHAnsi" w:eastAsiaTheme="majorEastAsia" w:hAnsiTheme="minorHAnsi" w:cstheme="minorHAnsi"/>
          <w:sz w:val="22"/>
          <w:szCs w:val="22"/>
        </w:rPr>
        <w:t>;</w:t>
      </w:r>
      <w:r w:rsidRPr="00942D84">
        <w:rPr>
          <w:rStyle w:val="normaltextrun"/>
          <w:rFonts w:asciiTheme="minorHAnsi" w:eastAsiaTheme="majorEastAsia" w:hAnsiTheme="minorHAnsi" w:cstheme="minorHAnsi"/>
          <w:sz w:val="22"/>
          <w:szCs w:val="22"/>
        </w:rPr>
        <w:t xml:space="preserve"> 2017</w:t>
      </w:r>
      <w:r w:rsidR="005D707C" w:rsidRPr="00942D84">
        <w:rPr>
          <w:rStyle w:val="normaltextrun"/>
          <w:rFonts w:asciiTheme="minorHAnsi" w:eastAsiaTheme="majorEastAsia" w:hAnsiTheme="minorHAnsi" w:cstheme="minorHAnsi"/>
          <w:sz w:val="22"/>
          <w:szCs w:val="22"/>
        </w:rPr>
        <w:t xml:space="preserve">. </w:t>
      </w:r>
    </w:p>
    <w:p w14:paraId="54FBC8AD" w14:textId="0E028821" w:rsidR="00713E74" w:rsidRPr="00942D84" w:rsidRDefault="00713E74" w:rsidP="00CF30C0">
      <w:pPr>
        <w:pStyle w:val="CommentText"/>
        <w:numPr>
          <w:ilvl w:val="0"/>
          <w:numId w:val="72"/>
        </w:numPr>
        <w:spacing w:after="120"/>
        <w:ind w:left="357"/>
        <w:rPr>
          <w:rStyle w:val="normaltextrun"/>
          <w:rFonts w:eastAsia="Helvetica" w:cstheme="minorHAnsi"/>
          <w:color w:val="000000" w:themeColor="text1"/>
          <w:sz w:val="22"/>
          <w:szCs w:val="22"/>
        </w:rPr>
      </w:pPr>
      <w:r w:rsidRPr="00942D84">
        <w:rPr>
          <w:rFonts w:eastAsia="Helvetica" w:cstheme="minorHAnsi"/>
          <w:color w:val="000000" w:themeColor="text1"/>
          <w:sz w:val="22"/>
          <w:szCs w:val="22"/>
        </w:rPr>
        <w:t>Department of Health and Human Services. Healthy choices: food and drink classification guide. Melbourne, Victoria: Victorian Government</w:t>
      </w:r>
      <w:r w:rsidR="005A3EF1" w:rsidRPr="00942D84">
        <w:rPr>
          <w:rFonts w:eastAsia="Helvetica" w:cstheme="minorHAnsi"/>
          <w:color w:val="000000" w:themeColor="text1"/>
          <w:sz w:val="22"/>
          <w:szCs w:val="22"/>
        </w:rPr>
        <w:t>;</w:t>
      </w:r>
      <w:r w:rsidRPr="00942D84">
        <w:rPr>
          <w:rFonts w:eastAsia="Helvetica" w:cstheme="minorHAnsi"/>
          <w:color w:val="000000" w:themeColor="text1"/>
          <w:sz w:val="22"/>
          <w:szCs w:val="22"/>
        </w:rPr>
        <w:t xml:space="preserve"> 2020. Available </w:t>
      </w:r>
      <w:r w:rsidR="005A3EF1" w:rsidRPr="00942D84">
        <w:rPr>
          <w:rFonts w:eastAsia="Helvetica" w:cstheme="minorHAnsi"/>
          <w:color w:val="000000" w:themeColor="text1"/>
          <w:sz w:val="22"/>
          <w:szCs w:val="22"/>
        </w:rPr>
        <w:t>from</w:t>
      </w:r>
      <w:r w:rsidRPr="00942D84">
        <w:rPr>
          <w:rFonts w:eastAsia="Helvetica" w:cstheme="minorHAnsi"/>
          <w:color w:val="000000" w:themeColor="text1"/>
          <w:sz w:val="22"/>
          <w:szCs w:val="22"/>
        </w:rPr>
        <w:t xml:space="preserve">: </w:t>
      </w:r>
      <w:hyperlink r:id="rId25" w:history="1">
        <w:r w:rsidR="005A3EF1" w:rsidRPr="00942D84">
          <w:rPr>
            <w:rStyle w:val="Hyperlink"/>
            <w:rFonts w:eastAsia="Helvetica" w:cstheme="minorHAnsi"/>
            <w:sz w:val="22"/>
            <w:szCs w:val="22"/>
          </w:rPr>
          <w:t>https://content.health.vic.gov.au/sites/default/files/migrated/files/collections/policies-and-guidelines/h/healthy-choices-food-and-drink-classification-guide-2020.pdf</w:t>
        </w:r>
      </w:hyperlink>
      <w:r w:rsidR="005A3EF1" w:rsidRPr="00942D84">
        <w:rPr>
          <w:rFonts w:eastAsia="Helvetica" w:cstheme="minorHAnsi"/>
          <w:color w:val="000000" w:themeColor="text1"/>
          <w:sz w:val="22"/>
          <w:szCs w:val="22"/>
        </w:rPr>
        <w:t xml:space="preserve">. </w:t>
      </w:r>
    </w:p>
    <w:p w14:paraId="28FCFFDF" w14:textId="07714AAF" w:rsidR="00F60361" w:rsidRPr="00942D84" w:rsidRDefault="007427F9" w:rsidP="00CF30C0">
      <w:pPr>
        <w:pStyle w:val="paragraph"/>
        <w:numPr>
          <w:ilvl w:val="0"/>
          <w:numId w:val="72"/>
        </w:numPr>
        <w:spacing w:before="0" w:beforeAutospacing="0" w:after="120" w:afterAutospacing="0"/>
        <w:ind w:left="357"/>
        <w:textAlignment w:val="baseline"/>
        <w:rPr>
          <w:rFonts w:asciiTheme="minorHAnsi" w:hAnsiTheme="minorHAnsi" w:cstheme="minorHAnsi"/>
          <w:sz w:val="22"/>
          <w:szCs w:val="22"/>
        </w:rPr>
      </w:pPr>
      <w:r w:rsidRPr="00942D84">
        <w:rPr>
          <w:rStyle w:val="eop"/>
          <w:rFonts w:asciiTheme="minorHAnsi" w:hAnsiTheme="minorHAnsi" w:cstheme="minorHAnsi"/>
          <w:sz w:val="22"/>
          <w:szCs w:val="22"/>
        </w:rPr>
        <w:t xml:space="preserve">United States Food and Drug Administration (FDA). Reference amounts customarily consumed: list of products for each product category: guidance for industry. Maryland, US: FDA; 2018. Available from: </w:t>
      </w:r>
      <w:hyperlink r:id="rId26" w:history="1">
        <w:r w:rsidR="0072567D" w:rsidRPr="00942D84">
          <w:rPr>
            <w:rStyle w:val="Hyperlink"/>
            <w:rFonts w:asciiTheme="minorHAnsi" w:hAnsiTheme="minorHAnsi" w:cstheme="minorHAnsi"/>
            <w:sz w:val="22"/>
            <w:szCs w:val="22"/>
          </w:rPr>
          <w:t>https://www.fda.gov/media/102587/download</w:t>
        </w:r>
      </w:hyperlink>
      <w:r w:rsidR="0072567D" w:rsidRPr="00942D84">
        <w:rPr>
          <w:rStyle w:val="eop"/>
          <w:rFonts w:asciiTheme="minorHAnsi" w:hAnsiTheme="minorHAnsi" w:cstheme="minorHAnsi"/>
          <w:sz w:val="22"/>
          <w:szCs w:val="22"/>
        </w:rPr>
        <w:t xml:space="preserve">. </w:t>
      </w:r>
    </w:p>
    <w:p w14:paraId="0CF0CFE1" w14:textId="0D9C1227" w:rsidR="00F60361" w:rsidRPr="00942D84" w:rsidRDefault="0072567D" w:rsidP="00CF30C0">
      <w:pPr>
        <w:pStyle w:val="paragraph"/>
        <w:keepNext/>
        <w:numPr>
          <w:ilvl w:val="0"/>
          <w:numId w:val="72"/>
        </w:numPr>
        <w:spacing w:before="0" w:beforeAutospacing="0" w:after="120" w:afterAutospacing="0"/>
        <w:ind w:left="357"/>
        <w:textAlignment w:val="baseline"/>
        <w:rPr>
          <w:rStyle w:val="normaltextrun"/>
          <w:rFonts w:asciiTheme="minorHAnsi" w:hAnsiTheme="minorHAnsi" w:cstheme="minorHAnsi"/>
          <w:sz w:val="22"/>
          <w:szCs w:val="22"/>
        </w:rPr>
      </w:pPr>
      <w:r w:rsidRPr="00942D84">
        <w:rPr>
          <w:rStyle w:val="normaltextrun"/>
          <w:rFonts w:asciiTheme="minorHAnsi" w:eastAsiaTheme="majorEastAsia" w:hAnsiTheme="minorHAnsi" w:cstheme="minorHAnsi"/>
          <w:sz w:val="22"/>
          <w:szCs w:val="22"/>
          <w:shd w:val="clear" w:color="auto" w:fill="FFFFFF"/>
        </w:rPr>
        <w:t>Health Canada. Nutrition labelling: table of reference amounts for food. Ottawa</w:t>
      </w:r>
      <w:r w:rsidR="00BC2EE2">
        <w:rPr>
          <w:rStyle w:val="normaltextrun"/>
          <w:rFonts w:asciiTheme="minorHAnsi" w:eastAsiaTheme="majorEastAsia" w:hAnsiTheme="minorHAnsi" w:cstheme="minorHAnsi"/>
          <w:sz w:val="22"/>
          <w:szCs w:val="22"/>
          <w:shd w:val="clear" w:color="auto" w:fill="FFFFFF"/>
        </w:rPr>
        <w:t>, ON</w:t>
      </w:r>
      <w:r w:rsidRPr="00942D84">
        <w:rPr>
          <w:rStyle w:val="normaltextrun"/>
          <w:rFonts w:asciiTheme="minorHAnsi" w:eastAsiaTheme="majorEastAsia" w:hAnsiTheme="minorHAnsi" w:cstheme="minorHAnsi"/>
          <w:sz w:val="22"/>
          <w:szCs w:val="22"/>
          <w:shd w:val="clear" w:color="auto" w:fill="FFFFFF"/>
        </w:rPr>
        <w:t xml:space="preserve">: Health Canada; 2016. Available from: </w:t>
      </w:r>
      <w:hyperlink r:id="rId27" w:history="1">
        <w:r w:rsidRPr="00942D84">
          <w:rPr>
            <w:rStyle w:val="Hyperlink"/>
            <w:rFonts w:asciiTheme="minorHAnsi" w:eastAsiaTheme="majorEastAsia" w:hAnsiTheme="minorHAnsi" w:cstheme="minorHAnsi"/>
            <w:sz w:val="22"/>
            <w:szCs w:val="22"/>
            <w:shd w:val="clear" w:color="auto" w:fill="FFFFFF"/>
          </w:rPr>
          <w:t>https://www.canada.ca/en/health-canada/services/technical-documents-labelling-requirements/table-reference-amounts-food.html</w:t>
        </w:r>
      </w:hyperlink>
      <w:r w:rsidRPr="00942D84">
        <w:rPr>
          <w:rStyle w:val="normaltextrun"/>
          <w:rFonts w:asciiTheme="minorHAnsi" w:eastAsiaTheme="majorEastAsia" w:hAnsiTheme="minorHAnsi" w:cstheme="minorHAnsi"/>
          <w:sz w:val="22"/>
          <w:szCs w:val="22"/>
          <w:shd w:val="clear" w:color="auto" w:fill="FFFFFF"/>
        </w:rPr>
        <w:t xml:space="preserve">. </w:t>
      </w:r>
    </w:p>
    <w:p w14:paraId="0D639141" w14:textId="49209DAC" w:rsidR="00F60361" w:rsidRPr="00942D84" w:rsidRDefault="00F60361" w:rsidP="00CF30C0">
      <w:pPr>
        <w:pStyle w:val="paragraph"/>
        <w:keepNext/>
        <w:numPr>
          <w:ilvl w:val="0"/>
          <w:numId w:val="72"/>
        </w:numPr>
        <w:spacing w:before="0" w:beforeAutospacing="0" w:after="120" w:afterAutospacing="0"/>
        <w:ind w:left="357"/>
        <w:textAlignment w:val="baseline"/>
        <w:rPr>
          <w:rStyle w:val="normaltextrun"/>
          <w:rFonts w:asciiTheme="minorHAnsi" w:hAnsiTheme="minorHAnsi" w:cstheme="minorHAnsi"/>
          <w:sz w:val="22"/>
          <w:szCs w:val="22"/>
        </w:rPr>
      </w:pPr>
      <w:r w:rsidRPr="00942D84">
        <w:rPr>
          <w:rStyle w:val="normaltextrun"/>
          <w:rFonts w:asciiTheme="minorHAnsi" w:eastAsiaTheme="majorEastAsia" w:hAnsiTheme="minorHAnsi" w:cstheme="minorHAnsi"/>
          <w:sz w:val="22"/>
          <w:szCs w:val="22"/>
        </w:rPr>
        <w:t xml:space="preserve">Public Health England. Sugar Reduction: Achieving the 20%. A technical report outlining progress to date, guidelines for industry, 2015 baseline levels in key foods and next steps. London: Public Health England; 2017. Available from: </w:t>
      </w:r>
      <w:hyperlink r:id="rId28">
        <w:r w:rsidRPr="002400B8">
          <w:rPr>
            <w:rStyle w:val="normaltextrun"/>
            <w:rFonts w:asciiTheme="minorHAnsi" w:eastAsiaTheme="majorEastAsia" w:hAnsiTheme="minorHAnsi" w:cstheme="minorHAnsi"/>
            <w:sz w:val="22"/>
            <w:szCs w:val="22"/>
          </w:rPr>
          <w:t>https://assets.publishing.service.gov.uk/government/uploads/system/uploads/attachment_data/file/604336/Sugar_reduction_achieving_the_20_.pdf</w:t>
        </w:r>
      </w:hyperlink>
      <w:r w:rsidR="00EC7D51" w:rsidRPr="00942D84">
        <w:rPr>
          <w:rStyle w:val="normaltextrun"/>
          <w:rFonts w:asciiTheme="minorHAnsi" w:eastAsiaTheme="majorEastAsia" w:hAnsiTheme="minorHAnsi" w:cstheme="minorHAnsi"/>
          <w:sz w:val="22"/>
          <w:szCs w:val="22"/>
          <w:u w:val="single"/>
        </w:rPr>
        <w:t xml:space="preserve"> </w:t>
      </w:r>
    </w:p>
    <w:p w14:paraId="2D3E1C50" w14:textId="29919DA3" w:rsidR="00713E74" w:rsidRPr="00942D84" w:rsidRDefault="0040507C" w:rsidP="00CF30C0">
      <w:pPr>
        <w:pStyle w:val="paragraph"/>
        <w:numPr>
          <w:ilvl w:val="0"/>
          <w:numId w:val="72"/>
        </w:numPr>
        <w:spacing w:before="0" w:beforeAutospacing="0" w:after="120" w:afterAutospacing="0"/>
        <w:ind w:left="357"/>
        <w:rPr>
          <w:rStyle w:val="normaltextrun"/>
          <w:rFonts w:asciiTheme="minorHAnsi" w:eastAsiaTheme="majorEastAsia" w:hAnsiTheme="minorHAnsi" w:cstheme="minorHAnsi"/>
          <w:sz w:val="22"/>
          <w:szCs w:val="22"/>
          <w:lang w:val="en-GB"/>
        </w:rPr>
      </w:pPr>
      <w:r w:rsidRPr="00942D84">
        <w:rPr>
          <w:rStyle w:val="normaltextrun"/>
          <w:rFonts w:asciiTheme="minorHAnsi" w:eastAsiaTheme="majorEastAsia" w:hAnsiTheme="minorHAnsi" w:cstheme="minorHAnsi"/>
          <w:sz w:val="22"/>
          <w:szCs w:val="22"/>
          <w:lang w:val="en-GB"/>
        </w:rPr>
        <w:t>Institute of Grocery Distribution (IGD). Can one size fit all</w:t>
      </w:r>
      <w:r w:rsidR="00942D84" w:rsidRPr="00942D84">
        <w:rPr>
          <w:rStyle w:val="normaltextrun"/>
          <w:rFonts w:asciiTheme="minorHAnsi" w:eastAsiaTheme="majorEastAsia" w:hAnsiTheme="minorHAnsi" w:cstheme="minorHAnsi"/>
          <w:sz w:val="22"/>
          <w:szCs w:val="22"/>
          <w:lang w:val="en-GB"/>
        </w:rPr>
        <w:t>? Qualitative consumer research into portion size reduction.</w:t>
      </w:r>
      <w:r w:rsidRPr="00942D84">
        <w:rPr>
          <w:rStyle w:val="normaltextrun"/>
          <w:rFonts w:asciiTheme="minorHAnsi" w:eastAsiaTheme="majorEastAsia" w:hAnsiTheme="minorHAnsi" w:cstheme="minorHAnsi"/>
          <w:sz w:val="22"/>
          <w:szCs w:val="22"/>
          <w:lang w:val="en-GB"/>
        </w:rPr>
        <w:t xml:space="preserve"> Watford: IGD; 2019 [cited 2022 February 18]. Available from: </w:t>
      </w:r>
      <w:hyperlink r:id="rId29">
        <w:r w:rsidRPr="00942D84">
          <w:rPr>
            <w:rStyle w:val="normaltextrun"/>
            <w:rFonts w:asciiTheme="minorHAnsi" w:eastAsiaTheme="majorEastAsia" w:hAnsiTheme="minorHAnsi" w:cstheme="minorHAnsi"/>
            <w:sz w:val="22"/>
            <w:szCs w:val="22"/>
            <w:lang w:val="en-GB"/>
          </w:rPr>
          <w:t>https://www.igd.com/Portals/0/Downloads/Charitable%20Impact/Portion%20size/can-one-size-fit-all.pdf</w:t>
        </w:r>
      </w:hyperlink>
    </w:p>
    <w:p w14:paraId="4A5463DB" w14:textId="77777777" w:rsidR="00382272" w:rsidRDefault="0040507C" w:rsidP="00382272">
      <w:pPr>
        <w:pStyle w:val="paragraph"/>
        <w:numPr>
          <w:ilvl w:val="0"/>
          <w:numId w:val="72"/>
        </w:numPr>
        <w:spacing w:before="0" w:beforeAutospacing="0" w:after="120" w:afterAutospacing="0"/>
        <w:ind w:left="357"/>
        <w:textAlignment w:val="baseline"/>
        <w:rPr>
          <w:rStyle w:val="eop"/>
          <w:rFonts w:asciiTheme="minorHAnsi" w:hAnsiTheme="minorHAnsi" w:cstheme="minorHAnsi"/>
          <w:sz w:val="22"/>
          <w:szCs w:val="22"/>
        </w:rPr>
      </w:pPr>
      <w:r w:rsidRPr="00942D84">
        <w:rPr>
          <w:rStyle w:val="normaltextrun"/>
          <w:rFonts w:asciiTheme="minorHAnsi" w:eastAsiaTheme="majorEastAsia" w:hAnsiTheme="minorHAnsi" w:cstheme="minorHAnsi"/>
          <w:sz w:val="22"/>
          <w:szCs w:val="22"/>
        </w:rPr>
        <w:t xml:space="preserve">Australian Bureau of Statistics </w:t>
      </w:r>
      <w:r w:rsidR="008D055D" w:rsidRPr="00942D84">
        <w:rPr>
          <w:rStyle w:val="normaltextrun"/>
          <w:rFonts w:asciiTheme="minorHAnsi" w:eastAsiaTheme="majorEastAsia" w:hAnsiTheme="minorHAnsi" w:cstheme="minorHAnsi"/>
          <w:sz w:val="22"/>
          <w:szCs w:val="22"/>
        </w:rPr>
        <w:t xml:space="preserve">(ABS). Australian Health Survey: Nutrition First Results - Foods and Nutrients, 2012-12. Canberra: ABS; </w:t>
      </w:r>
      <w:r w:rsidRPr="00942D84">
        <w:rPr>
          <w:rStyle w:val="normaltextrun"/>
          <w:rFonts w:asciiTheme="minorHAnsi" w:eastAsiaTheme="majorEastAsia" w:hAnsiTheme="minorHAnsi" w:cstheme="minorHAnsi"/>
          <w:sz w:val="22"/>
          <w:szCs w:val="22"/>
        </w:rPr>
        <w:t>2014.</w:t>
      </w:r>
      <w:r w:rsidR="008D055D" w:rsidRPr="00942D84">
        <w:rPr>
          <w:rStyle w:val="normaltextrun"/>
          <w:rFonts w:asciiTheme="minorHAnsi" w:eastAsiaTheme="majorEastAsia" w:hAnsiTheme="minorHAnsi" w:cstheme="minorHAnsi"/>
          <w:sz w:val="22"/>
          <w:szCs w:val="22"/>
        </w:rPr>
        <w:t xml:space="preserve"> ABS Cat. No.: 4364.0.55.007</w:t>
      </w:r>
      <w:r w:rsidRPr="00942D84">
        <w:rPr>
          <w:rStyle w:val="normaltextrun"/>
          <w:rFonts w:asciiTheme="minorHAnsi" w:eastAsiaTheme="majorEastAsia" w:hAnsiTheme="minorHAnsi" w:cstheme="minorHAnsi"/>
          <w:sz w:val="22"/>
          <w:szCs w:val="22"/>
        </w:rPr>
        <w:t> </w:t>
      </w:r>
    </w:p>
    <w:p w14:paraId="07032311" w14:textId="3458B63F" w:rsidR="0040507C" w:rsidRPr="00382272" w:rsidRDefault="00C747A7" w:rsidP="00382272">
      <w:pPr>
        <w:pStyle w:val="paragraph"/>
        <w:numPr>
          <w:ilvl w:val="0"/>
          <w:numId w:val="72"/>
        </w:numPr>
        <w:spacing w:before="0" w:beforeAutospacing="0" w:after="120" w:afterAutospacing="0"/>
        <w:ind w:left="357"/>
        <w:textAlignment w:val="baseline"/>
        <w:rPr>
          <w:rStyle w:val="eop"/>
          <w:rFonts w:asciiTheme="minorHAnsi" w:hAnsiTheme="minorHAnsi" w:cstheme="minorHAnsi"/>
          <w:sz w:val="22"/>
          <w:szCs w:val="22"/>
        </w:rPr>
      </w:pPr>
      <w:r w:rsidRPr="00382272">
        <w:rPr>
          <w:rStyle w:val="normaltextrun"/>
          <w:rFonts w:asciiTheme="minorHAnsi" w:eastAsiaTheme="majorEastAsia" w:hAnsiTheme="minorHAnsi" w:cstheme="minorHAnsi"/>
          <w:sz w:val="22"/>
          <w:szCs w:val="22"/>
        </w:rPr>
        <w:t xml:space="preserve">Howes K, Shahid M, Jones A, Taylor F, Dunford E, Sacks G, et al. </w:t>
      </w:r>
      <w:proofErr w:type="spellStart"/>
      <w:r w:rsidRPr="00382272">
        <w:rPr>
          <w:rStyle w:val="normaltextrun"/>
          <w:rFonts w:asciiTheme="minorHAnsi" w:eastAsiaTheme="majorEastAsia" w:hAnsiTheme="minorHAnsi" w:cstheme="minorHAnsi"/>
          <w:sz w:val="22"/>
          <w:szCs w:val="22"/>
        </w:rPr>
        <w:t>FoodSwitch</w:t>
      </w:r>
      <w:proofErr w:type="spellEnd"/>
      <w:r w:rsidRPr="00382272">
        <w:rPr>
          <w:rStyle w:val="normaltextrun"/>
          <w:rFonts w:asciiTheme="minorHAnsi" w:eastAsiaTheme="majorEastAsia" w:hAnsiTheme="minorHAnsi" w:cstheme="minorHAnsi"/>
          <w:sz w:val="22"/>
          <w:szCs w:val="22"/>
        </w:rPr>
        <w:t xml:space="preserve">: State of the </w:t>
      </w:r>
      <w:proofErr w:type="gramStart"/>
      <w:r w:rsidRPr="00382272">
        <w:rPr>
          <w:rStyle w:val="normaltextrun"/>
          <w:rFonts w:asciiTheme="minorHAnsi" w:eastAsiaTheme="majorEastAsia" w:hAnsiTheme="minorHAnsi" w:cstheme="minorHAnsi"/>
          <w:sz w:val="22"/>
          <w:szCs w:val="22"/>
        </w:rPr>
        <w:t>Fast Food</w:t>
      </w:r>
      <w:proofErr w:type="gramEnd"/>
      <w:r w:rsidRPr="00382272">
        <w:rPr>
          <w:rStyle w:val="normaltextrun"/>
          <w:rFonts w:asciiTheme="minorHAnsi" w:eastAsiaTheme="majorEastAsia" w:hAnsiTheme="minorHAnsi" w:cstheme="minorHAnsi"/>
          <w:sz w:val="22"/>
          <w:szCs w:val="22"/>
        </w:rPr>
        <w:t xml:space="preserve"> Supply May 2020 [Internet]. Sydney: The George Institute for Global Health; 2020. Available online: https://www.georgeinstitute.org/sites/default/files/2020-05/state-of-food-supply-2020-report.pdf</w:t>
      </w:r>
    </w:p>
    <w:p w14:paraId="7EE15AF6" w14:textId="0732B0CD" w:rsidR="0040507C" w:rsidRPr="00942D84" w:rsidRDefault="0040507C" w:rsidP="00CF30C0">
      <w:pPr>
        <w:pStyle w:val="paragraph"/>
        <w:numPr>
          <w:ilvl w:val="0"/>
          <w:numId w:val="72"/>
        </w:numPr>
        <w:spacing w:before="0" w:beforeAutospacing="0" w:after="120" w:afterAutospacing="0"/>
        <w:ind w:left="357"/>
        <w:rPr>
          <w:rStyle w:val="normaltextrun"/>
          <w:rFonts w:asciiTheme="minorHAnsi" w:eastAsia="Helvetica" w:hAnsiTheme="minorHAnsi" w:cstheme="minorHAnsi"/>
          <w:color w:val="000000" w:themeColor="text1"/>
          <w:sz w:val="22"/>
          <w:szCs w:val="22"/>
        </w:rPr>
      </w:pPr>
      <w:r w:rsidRPr="00942D84">
        <w:rPr>
          <w:rFonts w:asciiTheme="minorHAnsi" w:eastAsia="Helvetica" w:hAnsiTheme="minorHAnsi" w:cstheme="minorHAnsi"/>
          <w:color w:val="000000" w:themeColor="text1"/>
          <w:sz w:val="22"/>
          <w:szCs w:val="22"/>
        </w:rPr>
        <w:t xml:space="preserve">Euromonitor International. Soft drinks in Australia (February 2021). Purchased from </w:t>
      </w:r>
      <w:hyperlink r:id="rId30">
        <w:r w:rsidRPr="002400B8">
          <w:rPr>
            <w:rStyle w:val="Hyperlink"/>
            <w:rFonts w:asciiTheme="minorHAnsi" w:eastAsia="Helvetica" w:hAnsiTheme="minorHAnsi" w:cstheme="minorHAnsi"/>
            <w:color w:val="auto"/>
            <w:sz w:val="22"/>
            <w:szCs w:val="22"/>
            <w:u w:val="none"/>
          </w:rPr>
          <w:t>https://www.euromonitor.com/soft-drinks-in-australia/report</w:t>
        </w:r>
      </w:hyperlink>
      <w:r w:rsidRPr="00942D84">
        <w:rPr>
          <w:rFonts w:asciiTheme="minorHAnsi" w:eastAsia="Helvetica" w:hAnsiTheme="minorHAnsi" w:cstheme="minorHAnsi"/>
          <w:sz w:val="22"/>
          <w:szCs w:val="22"/>
        </w:rPr>
        <w:t xml:space="preserve"> </w:t>
      </w:r>
    </w:p>
    <w:p w14:paraId="62393AAB" w14:textId="7C19BE18" w:rsidR="0040507C" w:rsidRPr="00942D84" w:rsidRDefault="00087357" w:rsidP="00CF30C0">
      <w:pPr>
        <w:pStyle w:val="paragraph"/>
        <w:numPr>
          <w:ilvl w:val="0"/>
          <w:numId w:val="72"/>
        </w:numPr>
        <w:spacing w:before="0" w:beforeAutospacing="0" w:after="120" w:afterAutospacing="0"/>
        <w:ind w:left="357"/>
        <w:textAlignment w:val="baseline"/>
        <w:rPr>
          <w:rFonts w:asciiTheme="minorHAnsi" w:eastAsiaTheme="minorEastAsia" w:hAnsiTheme="minorHAnsi" w:cstheme="minorHAnsi"/>
          <w:color w:val="000000"/>
          <w:sz w:val="22"/>
          <w:szCs w:val="22"/>
          <w:lang w:eastAsia="en-US"/>
        </w:rPr>
      </w:pPr>
      <w:r w:rsidRPr="00942D84">
        <w:rPr>
          <w:rStyle w:val="normaltextrun"/>
          <w:rFonts w:asciiTheme="minorHAnsi" w:eastAsiaTheme="majorEastAsia" w:hAnsiTheme="minorHAnsi" w:cstheme="minorHAnsi"/>
          <w:sz w:val="22"/>
          <w:szCs w:val="22"/>
        </w:rPr>
        <w:lastRenderedPageBreak/>
        <w:t>Nielson Grocery &amp; Convenience Bar data. Moving Annual Total 6.9.30 and Moving Annual Total 2.8.20.</w:t>
      </w:r>
    </w:p>
    <w:p w14:paraId="27AAC5B9" w14:textId="77777777" w:rsidR="00BC2D7E" w:rsidRDefault="0040507C" w:rsidP="00F21ACF">
      <w:pPr>
        <w:pStyle w:val="paragraph"/>
        <w:numPr>
          <w:ilvl w:val="0"/>
          <w:numId w:val="72"/>
        </w:numPr>
        <w:spacing w:before="0" w:beforeAutospacing="0" w:after="120" w:afterAutospacing="0"/>
        <w:ind w:left="357"/>
        <w:textAlignment w:val="baseline"/>
        <w:rPr>
          <w:rFonts w:asciiTheme="minorHAnsi" w:eastAsiaTheme="minorEastAsia" w:hAnsiTheme="minorHAnsi" w:cstheme="minorHAnsi"/>
          <w:color w:val="000000"/>
          <w:sz w:val="22"/>
          <w:szCs w:val="22"/>
          <w:lang w:eastAsia="en-US"/>
        </w:rPr>
      </w:pPr>
      <w:r w:rsidRPr="00942D84">
        <w:rPr>
          <w:rFonts w:asciiTheme="minorHAnsi" w:eastAsiaTheme="minorEastAsia" w:hAnsiTheme="minorHAnsi" w:cstheme="minorHAnsi"/>
          <w:color w:val="000000"/>
          <w:sz w:val="22"/>
          <w:szCs w:val="22"/>
          <w:lang w:eastAsia="en-US"/>
        </w:rPr>
        <w:t xml:space="preserve">Ai Group. Be </w:t>
      </w:r>
      <w:proofErr w:type="spellStart"/>
      <w:r w:rsidRPr="00942D84">
        <w:rPr>
          <w:rFonts w:asciiTheme="minorHAnsi" w:eastAsiaTheme="minorEastAsia" w:hAnsiTheme="minorHAnsi" w:cstheme="minorHAnsi"/>
          <w:color w:val="000000"/>
          <w:sz w:val="22"/>
          <w:szCs w:val="22"/>
          <w:lang w:eastAsia="en-US"/>
        </w:rPr>
        <w:t>treatwise</w:t>
      </w:r>
      <w:proofErr w:type="spellEnd"/>
      <w:r w:rsidRPr="00942D84">
        <w:rPr>
          <w:rFonts w:asciiTheme="minorHAnsi" w:eastAsiaTheme="minorEastAsia" w:hAnsiTheme="minorHAnsi" w:cstheme="minorHAnsi"/>
          <w:color w:val="000000"/>
          <w:sz w:val="22"/>
          <w:szCs w:val="22"/>
          <w:lang w:eastAsia="en-US"/>
        </w:rPr>
        <w:t xml:space="preserve">® [Internet] [cited 22 February 2022] Available from: </w:t>
      </w:r>
      <w:hyperlink r:id="rId31" w:history="1">
        <w:r w:rsidRPr="00942D84">
          <w:rPr>
            <w:rStyle w:val="Hyperlink"/>
            <w:rFonts w:asciiTheme="minorHAnsi" w:eastAsiaTheme="minorEastAsia" w:hAnsiTheme="minorHAnsi" w:cstheme="minorHAnsi"/>
            <w:sz w:val="22"/>
            <w:szCs w:val="22"/>
            <w:lang w:eastAsia="en-US"/>
          </w:rPr>
          <w:t>www.betreatwise.info</w:t>
        </w:r>
      </w:hyperlink>
      <w:r w:rsidRPr="00942D84">
        <w:rPr>
          <w:rFonts w:asciiTheme="minorHAnsi" w:eastAsiaTheme="minorEastAsia" w:hAnsiTheme="minorHAnsi" w:cstheme="minorHAnsi"/>
          <w:color w:val="000000"/>
          <w:sz w:val="22"/>
          <w:szCs w:val="22"/>
          <w:lang w:eastAsia="en-US"/>
        </w:rPr>
        <w:t xml:space="preserve">. </w:t>
      </w:r>
    </w:p>
    <w:p w14:paraId="057CE629" w14:textId="77777777" w:rsidR="00312E62" w:rsidRPr="00312E62" w:rsidRDefault="00312E62" w:rsidP="00312E62">
      <w:pPr>
        <w:pStyle w:val="paragraph"/>
        <w:numPr>
          <w:ilvl w:val="0"/>
          <w:numId w:val="72"/>
        </w:numPr>
        <w:spacing w:before="0" w:beforeAutospacing="0" w:after="120" w:afterAutospacing="0"/>
        <w:ind w:left="357"/>
        <w:rPr>
          <w:rFonts w:asciiTheme="minorHAnsi" w:eastAsia="Helvetica" w:hAnsiTheme="minorHAnsi" w:cstheme="minorHAnsi"/>
          <w:color w:val="000000" w:themeColor="text1"/>
          <w:sz w:val="22"/>
          <w:szCs w:val="22"/>
        </w:rPr>
      </w:pPr>
      <w:r w:rsidRPr="00312E62">
        <w:rPr>
          <w:rFonts w:asciiTheme="minorHAnsi" w:eastAsia="Helvetica" w:hAnsiTheme="minorHAnsi" w:cstheme="minorHAnsi"/>
          <w:color w:val="000000" w:themeColor="text1"/>
          <w:sz w:val="22"/>
          <w:szCs w:val="22"/>
        </w:rPr>
        <w:t>Data provided by the Grains and Legumes Nutrition Council</w:t>
      </w:r>
    </w:p>
    <w:p w14:paraId="234E8E4D" w14:textId="49AA7CDD" w:rsidR="0040507C" w:rsidRPr="00942D84" w:rsidRDefault="0040507C" w:rsidP="00CF30C0">
      <w:pPr>
        <w:pStyle w:val="paragraph"/>
        <w:numPr>
          <w:ilvl w:val="0"/>
          <w:numId w:val="72"/>
        </w:numPr>
        <w:spacing w:before="0" w:beforeAutospacing="0" w:after="120" w:afterAutospacing="0"/>
        <w:ind w:left="357"/>
        <w:rPr>
          <w:rFonts w:asciiTheme="minorHAnsi" w:eastAsia="Helvetica" w:hAnsiTheme="minorHAnsi" w:cstheme="minorHAnsi"/>
          <w:color w:val="000000" w:themeColor="text1"/>
          <w:sz w:val="22"/>
          <w:szCs w:val="22"/>
        </w:rPr>
      </w:pPr>
      <w:r w:rsidRPr="00942D84">
        <w:rPr>
          <w:rFonts w:asciiTheme="minorHAnsi" w:eastAsia="Helvetica" w:hAnsiTheme="minorHAnsi" w:cstheme="minorHAnsi"/>
          <w:sz w:val="22"/>
          <w:szCs w:val="22"/>
        </w:rPr>
        <w:t>Public Health England. Calorie Reduction. Technical report: guidelines for industry. 2017 baseline calorie levels and next steps. London: Public Health England 2020. Available from:</w:t>
      </w:r>
      <w:r>
        <w:rPr>
          <w:rFonts w:asciiTheme="minorHAnsi" w:eastAsia="Helvetica" w:hAnsiTheme="minorHAnsi" w:cs="Helvetica"/>
          <w:sz w:val="22"/>
          <w:szCs w:val="22"/>
        </w:rPr>
        <w:t xml:space="preserve"> </w:t>
      </w:r>
      <w:r w:rsidRPr="00942D84">
        <w:rPr>
          <w:rFonts w:asciiTheme="minorHAnsi" w:eastAsia="Helvetica" w:hAnsiTheme="minorHAnsi" w:cstheme="minorHAnsi"/>
          <w:sz w:val="22"/>
          <w:szCs w:val="22"/>
        </w:rPr>
        <w:t>https://assets.publishing.service.gov.uk/government/uploads/system/uploads/attachment_data/file/915367/Calorie_reduction_guidelines-Technical_report_070920-FINAL.pdf</w:t>
      </w:r>
    </w:p>
    <w:p w14:paraId="212B193B" w14:textId="2BA17336" w:rsidR="00F60361" w:rsidRPr="0050147F" w:rsidRDefault="00F60361" w:rsidP="00CF30C0">
      <w:pPr>
        <w:pStyle w:val="paragraph"/>
        <w:numPr>
          <w:ilvl w:val="0"/>
          <w:numId w:val="72"/>
        </w:numPr>
        <w:spacing w:before="0" w:beforeAutospacing="0" w:after="120" w:afterAutospacing="0"/>
        <w:ind w:left="357"/>
        <w:rPr>
          <w:rStyle w:val="Hyperlink"/>
          <w:rFonts w:asciiTheme="minorHAnsi" w:eastAsia="Helvetica" w:hAnsiTheme="minorHAnsi" w:cstheme="minorHAnsi"/>
          <w:color w:val="000000" w:themeColor="text1"/>
          <w:sz w:val="22"/>
          <w:szCs w:val="22"/>
          <w:u w:val="none"/>
        </w:rPr>
      </w:pPr>
      <w:r w:rsidRPr="00942D84">
        <w:rPr>
          <w:rFonts w:asciiTheme="minorHAnsi" w:eastAsia="Helvetica" w:hAnsiTheme="minorHAnsi" w:cstheme="minorHAnsi"/>
          <w:color w:val="000000" w:themeColor="text1"/>
          <w:sz w:val="22"/>
          <w:szCs w:val="22"/>
        </w:rPr>
        <w:t xml:space="preserve">IBIS World. Biscuit manufacturing in Australia trends (2016-2021). Purchased from </w:t>
      </w:r>
      <w:hyperlink r:id="rId32" w:history="1">
        <w:r w:rsidR="002400B8" w:rsidRPr="003F5539">
          <w:rPr>
            <w:rStyle w:val="Hyperlink"/>
            <w:rFonts w:asciiTheme="minorHAnsi" w:eastAsia="Helvetica" w:hAnsiTheme="minorHAnsi" w:cstheme="minorHAnsi"/>
            <w:sz w:val="22"/>
            <w:szCs w:val="22"/>
          </w:rPr>
          <w:t>https://www.ibisworld.com/au/industry/biscuit-manufacturing/107/</w:t>
        </w:r>
      </w:hyperlink>
    </w:p>
    <w:p w14:paraId="15EEA6B5" w14:textId="77777777" w:rsidR="00F60361" w:rsidRPr="00942D84" w:rsidRDefault="00F60361" w:rsidP="00F60361">
      <w:pPr>
        <w:pStyle w:val="paragraph"/>
        <w:spacing w:before="0" w:beforeAutospacing="0" w:after="0" w:afterAutospacing="0"/>
        <w:textAlignment w:val="baseline"/>
        <w:rPr>
          <w:rFonts w:asciiTheme="minorHAnsi" w:hAnsiTheme="minorHAnsi" w:cstheme="minorHAnsi"/>
          <w:sz w:val="22"/>
          <w:szCs w:val="22"/>
        </w:rPr>
      </w:pPr>
      <w:r w:rsidRPr="00942D84">
        <w:rPr>
          <w:rStyle w:val="eop"/>
          <w:rFonts w:asciiTheme="minorHAnsi" w:hAnsiTheme="minorHAnsi" w:cstheme="minorHAnsi"/>
          <w:sz w:val="22"/>
          <w:szCs w:val="22"/>
        </w:rPr>
        <w:t> </w:t>
      </w:r>
    </w:p>
    <w:p w14:paraId="5F9D101B" w14:textId="77777777" w:rsidR="00F60361" w:rsidRDefault="00F60361" w:rsidP="00D94CB9">
      <w:pPr>
        <w:pStyle w:val="paragraph"/>
        <w:keepNext/>
        <w:spacing w:before="0" w:beforeAutospacing="0" w:after="0" w:afterAutospacing="0"/>
        <w:textAlignment w:val="baseline"/>
        <w:rPr>
          <w:rStyle w:val="normaltextrun"/>
          <w:rFonts w:ascii="Calibri" w:eastAsiaTheme="majorEastAsia" w:hAnsi="Calibri" w:cs="Calibri"/>
          <w:b/>
          <w:bCs/>
          <w:sz w:val="22"/>
          <w:szCs w:val="22"/>
          <w:u w:val="single"/>
        </w:rPr>
      </w:pPr>
    </w:p>
    <w:bookmarkEnd w:id="36"/>
    <w:p w14:paraId="61E53C2E" w14:textId="5599B528" w:rsidR="0060519E" w:rsidRPr="002B2E51" w:rsidRDefault="0060519E" w:rsidP="002B2E51">
      <w:pPr>
        <w:pStyle w:val="paragraph"/>
        <w:spacing w:before="0" w:beforeAutospacing="0" w:after="0" w:afterAutospacing="0"/>
        <w:textAlignment w:val="baseline"/>
        <w:rPr>
          <w:rFonts w:ascii="Segoe UI" w:hAnsi="Segoe UI" w:cs="Segoe UI"/>
          <w:sz w:val="18"/>
          <w:szCs w:val="18"/>
        </w:rPr>
      </w:pPr>
      <w:r w:rsidRPr="002B2E51">
        <w:rPr>
          <w:b/>
          <w:i/>
        </w:rPr>
        <w:br w:type="page"/>
      </w:r>
    </w:p>
    <w:p w14:paraId="72B8A627" w14:textId="472615FC" w:rsidR="00275BE9" w:rsidRDefault="001531CE" w:rsidP="00916C86">
      <w:pPr>
        <w:pStyle w:val="Heading1"/>
        <w:spacing w:before="0"/>
        <w:rPr>
          <w:rFonts w:asciiTheme="minorHAnsi" w:hAnsiTheme="minorHAnsi" w:cstheme="minorHAnsi"/>
        </w:rPr>
      </w:pPr>
      <w:bookmarkStart w:id="42" w:name="_Appendix_B_-"/>
      <w:bookmarkStart w:id="43" w:name="_Toc109294253"/>
      <w:bookmarkEnd w:id="42"/>
      <w:r w:rsidRPr="0078360F">
        <w:rPr>
          <w:rFonts w:asciiTheme="minorHAnsi" w:hAnsiTheme="minorHAnsi" w:cstheme="minorHAnsi"/>
        </w:rPr>
        <w:lastRenderedPageBreak/>
        <w:t>A</w:t>
      </w:r>
      <w:r w:rsidR="008B3E3D">
        <w:rPr>
          <w:rFonts w:asciiTheme="minorHAnsi" w:hAnsiTheme="minorHAnsi" w:cstheme="minorHAnsi"/>
        </w:rPr>
        <w:t>ppendix</w:t>
      </w:r>
      <w:r w:rsidRPr="0078360F">
        <w:rPr>
          <w:rFonts w:asciiTheme="minorHAnsi" w:hAnsiTheme="minorHAnsi" w:cstheme="minorHAnsi"/>
        </w:rPr>
        <w:t xml:space="preserve"> B</w:t>
      </w:r>
      <w:r w:rsidR="00275BE9" w:rsidRPr="0078360F">
        <w:rPr>
          <w:rFonts w:asciiTheme="minorHAnsi" w:hAnsiTheme="minorHAnsi" w:cstheme="minorHAnsi"/>
        </w:rPr>
        <w:t xml:space="preserve"> - Category definitions, </w:t>
      </w:r>
      <w:r w:rsidR="733B0ECF" w:rsidRPr="0078360F">
        <w:rPr>
          <w:rFonts w:asciiTheme="minorHAnsi" w:hAnsiTheme="minorHAnsi" w:cstheme="minorHAnsi"/>
        </w:rPr>
        <w:t>inclusions,</w:t>
      </w:r>
      <w:r w:rsidR="00275BE9" w:rsidRPr="0078360F">
        <w:rPr>
          <w:rFonts w:asciiTheme="minorHAnsi" w:hAnsiTheme="minorHAnsi" w:cstheme="minorHAnsi"/>
        </w:rPr>
        <w:t xml:space="preserve"> and exclusions</w:t>
      </w:r>
      <w:bookmarkEnd w:id="43"/>
    </w:p>
    <w:p w14:paraId="1B263F23" w14:textId="77777777" w:rsidR="00CF28E4" w:rsidRPr="00CF28E4" w:rsidRDefault="00CF28E4" w:rsidP="00CF28E4"/>
    <w:p w14:paraId="10C25ED8" w14:textId="22F1CB71" w:rsidR="00912146" w:rsidRPr="00CF28E4" w:rsidRDefault="00912146" w:rsidP="00CF28E4">
      <w:pPr>
        <w:rPr>
          <w:rFonts w:eastAsiaTheme="majorEastAsia" w:cstheme="minorHAnsi"/>
          <w:b/>
          <w:bCs/>
          <w:color w:val="007A00"/>
          <w:kern w:val="32"/>
          <w:sz w:val="32"/>
          <w:szCs w:val="32"/>
        </w:rPr>
      </w:pPr>
      <w:r w:rsidRPr="00CF28E4">
        <w:rPr>
          <w:rFonts w:eastAsiaTheme="majorEastAsia" w:cstheme="minorHAnsi"/>
          <w:b/>
          <w:bCs/>
          <w:color w:val="007A00"/>
          <w:kern w:val="32"/>
          <w:sz w:val="32"/>
          <w:szCs w:val="32"/>
        </w:rPr>
        <w:t xml:space="preserve">Summary of category definitions </w:t>
      </w:r>
    </w:p>
    <w:p w14:paraId="31167F80" w14:textId="77777777" w:rsidR="00CF28E4" w:rsidRPr="00AA0B5A" w:rsidRDefault="00CF28E4" w:rsidP="00CF28E4">
      <w:pPr>
        <w:rPr>
          <w:b/>
          <w:bCs/>
          <w:szCs w:val="36"/>
        </w:rPr>
      </w:pPr>
    </w:p>
    <w:p w14:paraId="0BBD2FC8" w14:textId="77777777" w:rsidR="00912146" w:rsidRPr="000246FD" w:rsidRDefault="00912146" w:rsidP="00912146">
      <w:r>
        <w:rPr>
          <w:rFonts w:cstheme="minorHAnsi"/>
          <w:b/>
          <w:bCs/>
          <w:sz w:val="20"/>
          <w:szCs w:val="20"/>
        </w:rPr>
        <w:t>Table 1: Summary of food category definitions</w:t>
      </w:r>
    </w:p>
    <w:tbl>
      <w:tblPr>
        <w:tblStyle w:val="TableGrid"/>
        <w:tblW w:w="9634" w:type="dxa"/>
        <w:tblLook w:val="04A0" w:firstRow="1" w:lastRow="0" w:firstColumn="1" w:lastColumn="0" w:noHBand="0" w:noVBand="1"/>
      </w:tblPr>
      <w:tblGrid>
        <w:gridCol w:w="3114"/>
        <w:gridCol w:w="6520"/>
      </w:tblGrid>
      <w:tr w:rsidR="00912146" w:rsidRPr="00C61B7D" w14:paraId="718C3D39" w14:textId="77777777" w:rsidTr="00916C86">
        <w:tc>
          <w:tcPr>
            <w:tcW w:w="3114" w:type="dxa"/>
          </w:tcPr>
          <w:p w14:paraId="73DEBEAE" w14:textId="77777777" w:rsidR="00912146" w:rsidRPr="00C61B7D" w:rsidRDefault="00912146" w:rsidP="00AE496B">
            <w:pPr>
              <w:rPr>
                <w:rFonts w:cstheme="minorHAnsi"/>
                <w:b/>
                <w:sz w:val="22"/>
                <w:szCs w:val="22"/>
              </w:rPr>
            </w:pPr>
            <w:r w:rsidRPr="00C61B7D">
              <w:rPr>
                <w:rFonts w:cstheme="minorHAnsi"/>
                <w:b/>
                <w:sz w:val="22"/>
                <w:szCs w:val="22"/>
              </w:rPr>
              <w:t>Food Category</w:t>
            </w:r>
          </w:p>
        </w:tc>
        <w:tc>
          <w:tcPr>
            <w:tcW w:w="6520" w:type="dxa"/>
          </w:tcPr>
          <w:p w14:paraId="43460DCD" w14:textId="77777777" w:rsidR="00912146" w:rsidRPr="00C61B7D" w:rsidRDefault="00912146" w:rsidP="00AE496B">
            <w:pPr>
              <w:rPr>
                <w:rFonts w:cstheme="minorHAnsi"/>
                <w:b/>
                <w:sz w:val="22"/>
                <w:szCs w:val="22"/>
              </w:rPr>
            </w:pPr>
            <w:r w:rsidRPr="00C61B7D">
              <w:rPr>
                <w:rFonts w:cstheme="minorHAnsi"/>
                <w:b/>
                <w:sz w:val="22"/>
                <w:szCs w:val="22"/>
              </w:rPr>
              <w:t>Category Definition</w:t>
            </w:r>
          </w:p>
        </w:tc>
      </w:tr>
      <w:tr w:rsidR="00912146" w:rsidRPr="00C61B7D" w14:paraId="5F6BEC0F" w14:textId="77777777" w:rsidTr="00916C86">
        <w:tc>
          <w:tcPr>
            <w:tcW w:w="3114" w:type="dxa"/>
          </w:tcPr>
          <w:p w14:paraId="2C15A60D" w14:textId="4E8B67A8" w:rsidR="00912146" w:rsidRPr="00C61B7D" w:rsidRDefault="00912146" w:rsidP="00AE496B">
            <w:pPr>
              <w:pStyle w:val="Default"/>
              <w:rPr>
                <w:rFonts w:asciiTheme="minorHAnsi" w:hAnsiTheme="minorHAnsi" w:cstheme="minorBidi"/>
                <w:color w:val="auto"/>
                <w:sz w:val="22"/>
                <w:szCs w:val="22"/>
              </w:rPr>
            </w:pPr>
            <w:r w:rsidRPr="009264D2">
              <w:rPr>
                <w:rFonts w:asciiTheme="minorHAnsi" w:hAnsiTheme="minorHAnsi" w:cstheme="minorBidi"/>
                <w:sz w:val="22"/>
                <w:szCs w:val="22"/>
              </w:rPr>
              <w:t xml:space="preserve">Cakes, </w:t>
            </w:r>
            <w:proofErr w:type="gramStart"/>
            <w:r w:rsidRPr="009264D2">
              <w:rPr>
                <w:rFonts w:asciiTheme="minorHAnsi" w:hAnsiTheme="minorHAnsi" w:cstheme="minorBidi"/>
                <w:sz w:val="22"/>
                <w:szCs w:val="22"/>
              </w:rPr>
              <w:t>muffins</w:t>
            </w:r>
            <w:proofErr w:type="gramEnd"/>
            <w:r w:rsidRPr="009264D2">
              <w:rPr>
                <w:rFonts w:asciiTheme="minorHAnsi" w:hAnsiTheme="minorHAnsi" w:cstheme="minorBidi"/>
                <w:sz w:val="22"/>
                <w:szCs w:val="22"/>
              </w:rPr>
              <w:t xml:space="preserve"> and slices: Retail</w:t>
            </w:r>
          </w:p>
        </w:tc>
        <w:tc>
          <w:tcPr>
            <w:tcW w:w="6520" w:type="dxa"/>
          </w:tcPr>
          <w:p w14:paraId="558FFB64" w14:textId="77777777" w:rsidR="00912146" w:rsidRPr="00C61B7D" w:rsidRDefault="00912146" w:rsidP="00912146">
            <w:pPr>
              <w:pStyle w:val="Default"/>
              <w:numPr>
                <w:ilvl w:val="0"/>
                <w:numId w:val="61"/>
              </w:numPr>
              <w:rPr>
                <w:rFonts w:asciiTheme="minorHAnsi" w:hAnsiTheme="minorHAnsi" w:cstheme="minorBidi"/>
                <w:color w:val="auto"/>
                <w:sz w:val="22"/>
                <w:szCs w:val="22"/>
              </w:rPr>
            </w:pPr>
            <w:r w:rsidRPr="00C61B7D">
              <w:rPr>
                <w:rFonts w:asciiTheme="minorHAnsi" w:hAnsiTheme="minorHAnsi" w:cstheme="minorBidi"/>
                <w:color w:val="auto"/>
                <w:sz w:val="22"/>
                <w:szCs w:val="22"/>
              </w:rPr>
              <w:t xml:space="preserve">Freshly baked, </w:t>
            </w:r>
            <w:proofErr w:type="gramStart"/>
            <w:r w:rsidRPr="00C61B7D">
              <w:rPr>
                <w:rFonts w:asciiTheme="minorHAnsi" w:hAnsiTheme="minorHAnsi" w:cstheme="minorBidi"/>
                <w:color w:val="auto"/>
                <w:sz w:val="22"/>
                <w:szCs w:val="22"/>
              </w:rPr>
              <w:t>frozen</w:t>
            </w:r>
            <w:proofErr w:type="gramEnd"/>
            <w:r w:rsidRPr="00C61B7D">
              <w:rPr>
                <w:rFonts w:asciiTheme="minorHAnsi" w:hAnsiTheme="minorHAnsi" w:cstheme="minorBidi"/>
                <w:color w:val="auto"/>
                <w:sz w:val="22"/>
                <w:szCs w:val="22"/>
              </w:rPr>
              <w:t xml:space="preserve"> or shelf-stable cakes, muffins and slices sold in retail settings. Includes packet baking mixes. </w:t>
            </w:r>
          </w:p>
          <w:p w14:paraId="0FAC0DCA" w14:textId="7AFE46A0" w:rsidR="00912146" w:rsidRPr="00C61B7D" w:rsidRDefault="00B65A45" w:rsidP="00912146">
            <w:pPr>
              <w:pStyle w:val="Default"/>
              <w:numPr>
                <w:ilvl w:val="0"/>
                <w:numId w:val="61"/>
              </w:numPr>
              <w:rPr>
                <w:color w:val="auto"/>
                <w:sz w:val="22"/>
                <w:szCs w:val="22"/>
              </w:rPr>
            </w:pPr>
            <w:r>
              <w:rPr>
                <w:rFonts w:asciiTheme="minorHAnsi" w:hAnsiTheme="minorHAnsi" w:cstheme="minorBidi"/>
                <w:color w:val="auto"/>
                <w:sz w:val="22"/>
                <w:szCs w:val="22"/>
              </w:rPr>
              <w:t>Includes</w:t>
            </w:r>
            <w:r w:rsidRPr="3F923778">
              <w:rPr>
                <w:rFonts w:asciiTheme="minorHAnsi" w:hAnsiTheme="minorHAnsi" w:cstheme="minorBidi"/>
                <w:color w:val="auto"/>
                <w:sz w:val="22"/>
                <w:szCs w:val="22"/>
              </w:rPr>
              <w:t xml:space="preserve"> </w:t>
            </w:r>
            <w:r w:rsidR="00912146" w:rsidRPr="3F923778">
              <w:rPr>
                <w:rFonts w:asciiTheme="minorHAnsi" w:hAnsiTheme="minorHAnsi" w:cstheme="minorBidi"/>
                <w:color w:val="auto"/>
                <w:sz w:val="22"/>
                <w:szCs w:val="22"/>
              </w:rPr>
              <w:t xml:space="preserve">three sub-categories: </w:t>
            </w:r>
          </w:p>
          <w:p w14:paraId="5699A56B" w14:textId="77777777" w:rsidR="00912146" w:rsidRPr="00C61B7D" w:rsidRDefault="00912146" w:rsidP="00912146">
            <w:pPr>
              <w:pStyle w:val="Default"/>
              <w:numPr>
                <w:ilvl w:val="0"/>
                <w:numId w:val="61"/>
              </w:numPr>
              <w:rPr>
                <w:rFonts w:asciiTheme="minorHAnsi" w:hAnsiTheme="minorHAnsi" w:cstheme="minorBidi"/>
                <w:color w:val="auto"/>
                <w:sz w:val="22"/>
                <w:szCs w:val="22"/>
              </w:rPr>
            </w:pPr>
            <w:r w:rsidRPr="00C61B7D">
              <w:rPr>
                <w:rFonts w:asciiTheme="minorHAnsi" w:hAnsiTheme="minorHAnsi" w:cstheme="minorBidi"/>
                <w:color w:val="auto"/>
                <w:sz w:val="22"/>
                <w:szCs w:val="22"/>
              </w:rPr>
              <w:t>A. Cakes</w:t>
            </w:r>
            <w:r>
              <w:rPr>
                <w:rFonts w:asciiTheme="minorHAnsi" w:hAnsiTheme="minorHAnsi" w:cstheme="minorBidi"/>
                <w:color w:val="auto"/>
                <w:sz w:val="22"/>
                <w:szCs w:val="22"/>
              </w:rPr>
              <w:t xml:space="preserve">          </w:t>
            </w:r>
            <w:r w:rsidRPr="00C61B7D">
              <w:rPr>
                <w:rFonts w:asciiTheme="minorHAnsi" w:hAnsiTheme="minorHAnsi" w:cstheme="minorBidi"/>
                <w:color w:val="auto"/>
                <w:sz w:val="22"/>
                <w:szCs w:val="22"/>
              </w:rPr>
              <w:t>B. Muffins</w:t>
            </w:r>
            <w:r>
              <w:rPr>
                <w:rFonts w:asciiTheme="minorHAnsi" w:hAnsiTheme="minorHAnsi" w:cstheme="minorBidi"/>
                <w:color w:val="auto"/>
                <w:sz w:val="22"/>
                <w:szCs w:val="22"/>
              </w:rPr>
              <w:t xml:space="preserve">        </w:t>
            </w:r>
            <w:r w:rsidRPr="00C61B7D">
              <w:rPr>
                <w:rFonts w:asciiTheme="minorHAnsi" w:hAnsiTheme="minorHAnsi" w:cstheme="minorBidi"/>
                <w:color w:val="auto"/>
                <w:sz w:val="22"/>
                <w:szCs w:val="22"/>
              </w:rPr>
              <w:t xml:space="preserve">C. Slices </w:t>
            </w:r>
          </w:p>
        </w:tc>
      </w:tr>
      <w:tr w:rsidR="00912146" w:rsidRPr="00C61B7D" w14:paraId="60448737" w14:textId="77777777" w:rsidTr="00916C86">
        <w:tc>
          <w:tcPr>
            <w:tcW w:w="3114" w:type="dxa"/>
          </w:tcPr>
          <w:p w14:paraId="4A4BF4C2" w14:textId="0CE8639C" w:rsidR="00912146" w:rsidRPr="00C61B7D" w:rsidRDefault="00912146" w:rsidP="00AE496B">
            <w:pPr>
              <w:pStyle w:val="Default"/>
              <w:rPr>
                <w:rFonts w:asciiTheme="minorHAnsi" w:hAnsiTheme="minorHAnsi" w:cstheme="minorHAnsi"/>
                <w:color w:val="auto"/>
                <w:sz w:val="22"/>
                <w:szCs w:val="22"/>
              </w:rPr>
            </w:pPr>
            <w:r w:rsidRPr="009264D2">
              <w:rPr>
                <w:rFonts w:asciiTheme="minorHAnsi" w:hAnsiTheme="minorHAnsi" w:cstheme="minorHAnsi"/>
                <w:sz w:val="22"/>
                <w:szCs w:val="22"/>
              </w:rPr>
              <w:t xml:space="preserve">Cakes, </w:t>
            </w:r>
            <w:proofErr w:type="gramStart"/>
            <w:r w:rsidRPr="009264D2">
              <w:rPr>
                <w:rFonts w:asciiTheme="minorHAnsi" w:hAnsiTheme="minorHAnsi" w:cstheme="minorHAnsi"/>
                <w:sz w:val="22"/>
                <w:szCs w:val="22"/>
              </w:rPr>
              <w:t>muffins</w:t>
            </w:r>
            <w:proofErr w:type="gramEnd"/>
            <w:r w:rsidRPr="009264D2">
              <w:rPr>
                <w:rFonts w:asciiTheme="minorHAnsi" w:hAnsiTheme="minorHAnsi" w:cstheme="minorHAnsi"/>
                <w:sz w:val="22"/>
                <w:szCs w:val="22"/>
              </w:rPr>
              <w:t xml:space="preserve"> and slices: Out of home</w:t>
            </w:r>
            <w:r w:rsidRPr="00C61B7D">
              <w:rPr>
                <w:rFonts w:asciiTheme="minorHAnsi" w:hAnsiTheme="minorHAnsi" w:cstheme="minorHAnsi"/>
                <w:color w:val="auto"/>
                <w:sz w:val="22"/>
                <w:szCs w:val="22"/>
              </w:rPr>
              <w:t xml:space="preserve"> </w:t>
            </w:r>
          </w:p>
          <w:p w14:paraId="5EF9933C" w14:textId="77777777" w:rsidR="00912146" w:rsidRPr="00C61B7D" w:rsidRDefault="00912146" w:rsidP="00AE496B">
            <w:pPr>
              <w:rPr>
                <w:rFonts w:cstheme="minorHAnsi"/>
                <w:sz w:val="22"/>
                <w:szCs w:val="22"/>
              </w:rPr>
            </w:pPr>
          </w:p>
        </w:tc>
        <w:tc>
          <w:tcPr>
            <w:tcW w:w="6520" w:type="dxa"/>
          </w:tcPr>
          <w:p w14:paraId="2792600E" w14:textId="77777777" w:rsidR="00912146" w:rsidRPr="00C61B7D" w:rsidRDefault="00912146" w:rsidP="00AE496B">
            <w:pPr>
              <w:pStyle w:val="Default"/>
              <w:rPr>
                <w:rFonts w:asciiTheme="minorHAnsi" w:hAnsiTheme="minorHAnsi" w:cstheme="minorBidi"/>
                <w:color w:val="auto"/>
                <w:sz w:val="22"/>
                <w:szCs w:val="22"/>
              </w:rPr>
            </w:pPr>
            <w:r w:rsidRPr="00C61B7D">
              <w:rPr>
                <w:rFonts w:asciiTheme="minorHAnsi" w:hAnsiTheme="minorHAnsi" w:cstheme="minorBidi"/>
                <w:color w:val="auto"/>
                <w:sz w:val="22"/>
                <w:szCs w:val="22"/>
              </w:rPr>
              <w:t xml:space="preserve">Freshly baked, </w:t>
            </w:r>
            <w:proofErr w:type="gramStart"/>
            <w:r w:rsidRPr="00C61B7D">
              <w:rPr>
                <w:rFonts w:asciiTheme="minorHAnsi" w:hAnsiTheme="minorHAnsi" w:cstheme="minorBidi"/>
                <w:color w:val="auto"/>
                <w:sz w:val="22"/>
                <w:szCs w:val="22"/>
              </w:rPr>
              <w:t>frozen</w:t>
            </w:r>
            <w:proofErr w:type="gramEnd"/>
            <w:r w:rsidRPr="00C61B7D">
              <w:rPr>
                <w:rFonts w:asciiTheme="minorHAnsi" w:hAnsiTheme="minorHAnsi" w:cstheme="minorBidi"/>
                <w:color w:val="auto"/>
                <w:sz w:val="22"/>
                <w:szCs w:val="22"/>
              </w:rPr>
              <w:t xml:space="preserve"> or shelf-stable cakes, muffins and slices sold in the out of home sector. </w:t>
            </w:r>
          </w:p>
          <w:p w14:paraId="357BCB35" w14:textId="07E85779" w:rsidR="00912146" w:rsidRPr="00C61B7D" w:rsidRDefault="00912146" w:rsidP="4F4A73DF">
            <w:pPr>
              <w:pStyle w:val="Default"/>
              <w:rPr>
                <w:rFonts w:asciiTheme="minorHAnsi" w:hAnsiTheme="minorHAnsi" w:cstheme="minorBidi"/>
                <w:color w:val="auto"/>
                <w:sz w:val="22"/>
                <w:szCs w:val="22"/>
              </w:rPr>
            </w:pPr>
            <w:r w:rsidRPr="4F4A73DF">
              <w:rPr>
                <w:rFonts w:asciiTheme="minorHAnsi" w:hAnsiTheme="minorHAnsi" w:cstheme="minorBidi"/>
                <w:color w:val="auto"/>
                <w:sz w:val="22"/>
                <w:szCs w:val="22"/>
              </w:rPr>
              <w:t xml:space="preserve">Includes four sub-categories: </w:t>
            </w:r>
          </w:p>
          <w:p w14:paraId="692F8D16" w14:textId="77777777" w:rsidR="00912146" w:rsidRPr="00C61B7D" w:rsidRDefault="00912146" w:rsidP="00912146">
            <w:pPr>
              <w:pStyle w:val="Default"/>
              <w:numPr>
                <w:ilvl w:val="0"/>
                <w:numId w:val="62"/>
              </w:numPr>
              <w:rPr>
                <w:rFonts w:asciiTheme="minorHAnsi" w:hAnsiTheme="minorHAnsi" w:cstheme="minorHAnsi"/>
                <w:color w:val="auto"/>
                <w:sz w:val="22"/>
                <w:szCs w:val="22"/>
              </w:rPr>
            </w:pPr>
            <w:r w:rsidRPr="00C61B7D">
              <w:rPr>
                <w:rFonts w:asciiTheme="minorHAnsi" w:hAnsiTheme="minorHAnsi" w:cstheme="minorBidi"/>
                <w:color w:val="auto"/>
                <w:sz w:val="22"/>
                <w:szCs w:val="22"/>
              </w:rPr>
              <w:t xml:space="preserve">A. Cakes – heavy weight    B. Cakes – light-medium weight  </w:t>
            </w:r>
            <w:r>
              <w:rPr>
                <w:rFonts w:asciiTheme="minorHAnsi" w:hAnsiTheme="minorHAnsi" w:cstheme="minorBidi"/>
                <w:color w:val="auto"/>
                <w:sz w:val="22"/>
                <w:szCs w:val="22"/>
              </w:rPr>
              <w:t xml:space="preserve">  </w:t>
            </w:r>
            <w:r w:rsidRPr="00C61B7D">
              <w:rPr>
                <w:rFonts w:asciiTheme="minorHAnsi" w:hAnsiTheme="minorHAnsi" w:cstheme="minorHAnsi"/>
                <w:color w:val="auto"/>
                <w:sz w:val="22"/>
                <w:szCs w:val="22"/>
              </w:rPr>
              <w:t xml:space="preserve">C. Muffins </w:t>
            </w:r>
            <w:r>
              <w:rPr>
                <w:rFonts w:asciiTheme="minorHAnsi" w:hAnsiTheme="minorHAnsi" w:cstheme="minorHAnsi"/>
                <w:color w:val="auto"/>
                <w:sz w:val="22"/>
                <w:szCs w:val="22"/>
              </w:rPr>
              <w:t xml:space="preserve">  </w:t>
            </w:r>
            <w:r w:rsidRPr="00C61B7D">
              <w:rPr>
                <w:rFonts w:asciiTheme="minorHAnsi" w:hAnsiTheme="minorHAnsi" w:cstheme="minorHAnsi"/>
                <w:color w:val="auto"/>
                <w:sz w:val="22"/>
                <w:szCs w:val="22"/>
              </w:rPr>
              <w:t xml:space="preserve">D. Slices </w:t>
            </w:r>
          </w:p>
        </w:tc>
      </w:tr>
      <w:tr w:rsidR="00912146" w:rsidRPr="00C61B7D" w14:paraId="38D55B0D" w14:textId="77777777" w:rsidTr="00916C86">
        <w:tc>
          <w:tcPr>
            <w:tcW w:w="3114" w:type="dxa"/>
          </w:tcPr>
          <w:p w14:paraId="40043D58" w14:textId="6259667C" w:rsidR="00912146" w:rsidRPr="00C61B7D" w:rsidRDefault="00912146" w:rsidP="00AE496B">
            <w:pPr>
              <w:pStyle w:val="Default"/>
              <w:rPr>
                <w:rFonts w:asciiTheme="minorHAnsi" w:hAnsiTheme="minorHAnsi" w:cstheme="minorBidi"/>
                <w:color w:val="auto"/>
                <w:sz w:val="22"/>
                <w:szCs w:val="22"/>
              </w:rPr>
            </w:pPr>
            <w:r w:rsidRPr="009264D2">
              <w:rPr>
                <w:rFonts w:asciiTheme="minorHAnsi" w:hAnsiTheme="minorHAnsi" w:cstheme="minorHAnsi"/>
                <w:sz w:val="22"/>
                <w:szCs w:val="22"/>
              </w:rPr>
              <w:t>Chilled</w:t>
            </w:r>
            <w:r w:rsidRPr="009264D2">
              <w:rPr>
                <w:sz w:val="22"/>
                <w:szCs w:val="22"/>
              </w:rPr>
              <w:t xml:space="preserve"> </w:t>
            </w:r>
            <w:r w:rsidRPr="009264D2">
              <w:rPr>
                <w:rFonts w:asciiTheme="minorHAnsi" w:hAnsiTheme="minorHAnsi" w:cstheme="minorBidi"/>
                <w:sz w:val="22"/>
                <w:szCs w:val="22"/>
              </w:rPr>
              <w:t>beverages: Out of home</w:t>
            </w:r>
          </w:p>
        </w:tc>
        <w:tc>
          <w:tcPr>
            <w:tcW w:w="6520" w:type="dxa"/>
          </w:tcPr>
          <w:p w14:paraId="7DB2362D" w14:textId="2B1A3380" w:rsidR="00912146" w:rsidRPr="00C61B7D" w:rsidRDefault="00912146" w:rsidP="00AE496B">
            <w:pPr>
              <w:rPr>
                <w:rFonts w:cstheme="minorBidi"/>
                <w:sz w:val="22"/>
                <w:szCs w:val="22"/>
              </w:rPr>
            </w:pPr>
            <w:r w:rsidRPr="73B11A5A">
              <w:rPr>
                <w:rStyle w:val="normaltextrun"/>
                <w:rFonts w:eastAsiaTheme="majorEastAsia" w:cstheme="minorBidi"/>
                <w:sz w:val="22"/>
                <w:szCs w:val="22"/>
                <w:lang w:val="en-GB"/>
              </w:rPr>
              <w:t>Chilled beverages portioned on site and served cold in the </w:t>
            </w:r>
            <w:r w:rsidRPr="73B11A5A" w:rsidDel="05E084BD">
              <w:rPr>
                <w:rStyle w:val="normaltextrun"/>
                <w:rFonts w:eastAsiaTheme="majorEastAsia" w:cstheme="minorBidi"/>
                <w:sz w:val="22"/>
                <w:szCs w:val="22"/>
                <w:lang w:val="en-GB"/>
              </w:rPr>
              <w:t>out</w:t>
            </w:r>
            <w:r w:rsidRPr="73B11A5A">
              <w:rPr>
                <w:rStyle w:val="normaltextrun"/>
                <w:rFonts w:eastAsiaTheme="majorEastAsia" w:cstheme="minorBidi"/>
                <w:sz w:val="22"/>
                <w:szCs w:val="22"/>
                <w:lang w:val="en-GB"/>
              </w:rPr>
              <w:t xml:space="preserve"> of home sector. This includes beverages such as soft drinks, fruit drinks or energy drinks (defined in the Australian New Zealand Food Standards Code, </w:t>
            </w:r>
            <w:r w:rsidRPr="73B11A5A">
              <w:rPr>
                <w:rStyle w:val="normaltextrun"/>
                <w:rFonts w:eastAsiaTheme="majorEastAsia" w:cstheme="minorBidi"/>
                <w:sz w:val="22"/>
                <w:szCs w:val="22"/>
              </w:rPr>
              <w:t>Standard 2.6.2 Non-alcoholic beverages and brewed soft drinks and Standard 2.6.4 Formulated caffeinated beverages - energy drinks),</w:t>
            </w:r>
            <w:r w:rsidRPr="73B11A5A">
              <w:rPr>
                <w:rStyle w:val="normaltextrun"/>
                <w:rFonts w:eastAsiaTheme="majorEastAsia" w:cstheme="minorBidi"/>
                <w:sz w:val="22"/>
                <w:szCs w:val="22"/>
                <w:lang w:val="en-GB"/>
              </w:rPr>
              <w:t xml:space="preserve"> fruit juice</w:t>
            </w:r>
            <w:r w:rsidR="00C63847">
              <w:rPr>
                <w:rStyle w:val="normaltextrun"/>
                <w:rFonts w:eastAsiaTheme="majorEastAsia" w:cstheme="minorBidi"/>
                <w:sz w:val="22"/>
                <w:szCs w:val="22"/>
                <w:lang w:val="en-GB"/>
              </w:rPr>
              <w:t>,</w:t>
            </w:r>
            <w:r w:rsidRPr="73B11A5A">
              <w:rPr>
                <w:rStyle w:val="normaltextrun"/>
                <w:rFonts w:eastAsiaTheme="majorEastAsia" w:cstheme="minorBidi"/>
                <w:sz w:val="22"/>
                <w:szCs w:val="22"/>
                <w:lang w:val="en-GB"/>
              </w:rPr>
              <w:t xml:space="preserve"> and sweetened dairy-based drinks </w:t>
            </w:r>
            <w:r w:rsidRPr="00C61B7D">
              <w:rPr>
                <w:rStyle w:val="normaltextrun"/>
                <w:rFonts w:eastAsiaTheme="majorEastAsia"/>
                <w:sz w:val="22"/>
                <w:szCs w:val="22"/>
                <w:lang w:val="en-GB"/>
              </w:rPr>
              <w:t xml:space="preserve">(including </w:t>
            </w:r>
            <w:r w:rsidRPr="73B11A5A">
              <w:rPr>
                <w:rStyle w:val="normaltextrun"/>
                <w:rFonts w:eastAsiaTheme="majorEastAsia" w:cstheme="minorBidi"/>
                <w:sz w:val="22"/>
                <w:szCs w:val="22"/>
                <w:lang w:val="en-GB"/>
              </w:rPr>
              <w:t>plant-based alternatives</w:t>
            </w:r>
            <w:r w:rsidRPr="00C61B7D">
              <w:rPr>
                <w:rStyle w:val="normaltextrun"/>
                <w:rFonts w:eastAsiaTheme="majorEastAsia"/>
                <w:sz w:val="22"/>
                <w:szCs w:val="22"/>
                <w:lang w:val="en-GB"/>
              </w:rPr>
              <w:t>)</w:t>
            </w:r>
            <w:r w:rsidRPr="73B11A5A">
              <w:rPr>
                <w:rStyle w:val="normaltextrun"/>
                <w:rFonts w:eastAsiaTheme="majorEastAsia" w:cstheme="minorBidi"/>
                <w:sz w:val="22"/>
                <w:szCs w:val="22"/>
                <w:lang w:val="en-GB"/>
              </w:rPr>
              <w:t>. Includes non-nutritive</w:t>
            </w:r>
            <w:r w:rsidRPr="73B11A5A">
              <w:rPr>
                <w:rFonts w:cstheme="minorBidi"/>
                <w:b/>
                <w:sz w:val="22"/>
                <w:szCs w:val="22"/>
              </w:rPr>
              <w:t xml:space="preserve"> </w:t>
            </w:r>
            <w:r w:rsidRPr="73B11A5A">
              <w:rPr>
                <w:rStyle w:val="normaltextrun"/>
                <w:rFonts w:eastAsiaTheme="majorEastAsia" w:cstheme="minorBidi"/>
                <w:sz w:val="22"/>
                <w:szCs w:val="22"/>
                <w:lang w:val="en-GB"/>
              </w:rPr>
              <w:t>sweetened varieties. </w:t>
            </w:r>
            <w:r w:rsidRPr="73B11A5A">
              <w:rPr>
                <w:rStyle w:val="eop"/>
                <w:rFonts w:eastAsiaTheme="majorEastAsia" w:cstheme="minorBidi"/>
                <w:sz w:val="22"/>
                <w:szCs w:val="22"/>
              </w:rPr>
              <w:t> </w:t>
            </w:r>
          </w:p>
        </w:tc>
      </w:tr>
      <w:tr w:rsidR="00912146" w:rsidRPr="00C61B7D" w14:paraId="332D5857" w14:textId="77777777" w:rsidTr="00916C86">
        <w:tc>
          <w:tcPr>
            <w:tcW w:w="3114" w:type="dxa"/>
          </w:tcPr>
          <w:p w14:paraId="6C12E18E" w14:textId="26BF4902" w:rsidR="00912146" w:rsidRPr="00C61B7D" w:rsidRDefault="00912146" w:rsidP="00AE496B">
            <w:pPr>
              <w:pStyle w:val="Default"/>
              <w:rPr>
                <w:rFonts w:asciiTheme="minorHAnsi" w:hAnsiTheme="minorHAnsi" w:cstheme="minorBidi"/>
                <w:color w:val="auto"/>
                <w:sz w:val="22"/>
                <w:szCs w:val="22"/>
              </w:rPr>
            </w:pPr>
            <w:r w:rsidRPr="009264D2">
              <w:rPr>
                <w:rFonts w:asciiTheme="minorHAnsi" w:hAnsiTheme="minorHAnsi" w:cstheme="minorBidi"/>
                <w:sz w:val="22"/>
                <w:szCs w:val="22"/>
              </w:rPr>
              <w:t>Chocolate and chocolate-alternative based confectionery: Retail</w:t>
            </w:r>
          </w:p>
        </w:tc>
        <w:tc>
          <w:tcPr>
            <w:tcW w:w="6520" w:type="dxa"/>
          </w:tcPr>
          <w:p w14:paraId="2B63EAA4" w14:textId="77777777" w:rsidR="00912146" w:rsidRPr="00C61B7D" w:rsidRDefault="00912146" w:rsidP="00AE496B">
            <w:pPr>
              <w:spacing w:line="259" w:lineRule="auto"/>
              <w:rPr>
                <w:rFonts w:cstheme="minorBidi"/>
                <w:sz w:val="22"/>
                <w:szCs w:val="22"/>
              </w:rPr>
            </w:pPr>
            <w:r w:rsidRPr="00C61B7D">
              <w:rPr>
                <w:rFonts w:cstheme="minorBidi"/>
                <w:sz w:val="22"/>
                <w:szCs w:val="22"/>
              </w:rPr>
              <w:t xml:space="preserve">Plain chocolate, chocolate-based and chocolate-alternative-based confectionery, including all varieties (white, milk or dark chocolate) sold in the retail setting. </w:t>
            </w:r>
          </w:p>
        </w:tc>
      </w:tr>
      <w:tr w:rsidR="00912146" w:rsidRPr="00C61B7D" w14:paraId="367C8250" w14:textId="77777777" w:rsidTr="00916C86">
        <w:tc>
          <w:tcPr>
            <w:tcW w:w="3114" w:type="dxa"/>
          </w:tcPr>
          <w:p w14:paraId="6DA2D55F" w14:textId="7E3E0FDF" w:rsidR="00912146" w:rsidRPr="00C61B7D" w:rsidRDefault="00912146" w:rsidP="00AE496B">
            <w:pPr>
              <w:rPr>
                <w:rFonts w:cstheme="minorBidi"/>
                <w:sz w:val="22"/>
                <w:szCs w:val="22"/>
              </w:rPr>
            </w:pPr>
            <w:r w:rsidRPr="009264D2">
              <w:rPr>
                <w:rFonts w:cstheme="minorBidi"/>
                <w:sz w:val="22"/>
                <w:szCs w:val="22"/>
              </w:rPr>
              <w:t>Crumbed and battered proteins: Out of home</w:t>
            </w:r>
          </w:p>
        </w:tc>
        <w:tc>
          <w:tcPr>
            <w:tcW w:w="6520" w:type="dxa"/>
          </w:tcPr>
          <w:p w14:paraId="1AE0A090" w14:textId="77777777" w:rsidR="00912146" w:rsidRPr="00C61B7D" w:rsidRDefault="00912146" w:rsidP="00AE496B">
            <w:pPr>
              <w:rPr>
                <w:rFonts w:cstheme="minorBidi"/>
                <w:sz w:val="22"/>
                <w:szCs w:val="22"/>
              </w:rPr>
            </w:pPr>
            <w:r w:rsidRPr="00C61B7D">
              <w:rPr>
                <w:rFonts w:cstheme="minorBidi"/>
                <w:sz w:val="22"/>
                <w:szCs w:val="22"/>
              </w:rPr>
              <w:t xml:space="preserve">Meat, poultry, </w:t>
            </w:r>
            <w:proofErr w:type="gramStart"/>
            <w:r w:rsidRPr="00C61B7D">
              <w:rPr>
                <w:rFonts w:cstheme="minorBidi"/>
                <w:sz w:val="22"/>
                <w:szCs w:val="22"/>
              </w:rPr>
              <w:t>seafood</w:t>
            </w:r>
            <w:proofErr w:type="gramEnd"/>
            <w:r w:rsidRPr="00C61B7D">
              <w:rPr>
                <w:rFonts w:cstheme="minorBidi"/>
                <w:sz w:val="22"/>
                <w:szCs w:val="22"/>
              </w:rPr>
              <w:t xml:space="preserve"> and plant-based proteins which have been coated with a crumb or batter made from flour or flour-alternatives and sold in the out of home sector. Includes products prepared on-site or pre-prepared. </w:t>
            </w:r>
          </w:p>
        </w:tc>
      </w:tr>
      <w:tr w:rsidR="00912146" w:rsidRPr="00C61B7D" w14:paraId="2251213D" w14:textId="77777777" w:rsidTr="00916C86">
        <w:tc>
          <w:tcPr>
            <w:tcW w:w="3114" w:type="dxa"/>
          </w:tcPr>
          <w:p w14:paraId="61A01446" w14:textId="7E2DE67B" w:rsidR="00912146" w:rsidRPr="00C61B7D" w:rsidRDefault="00912146" w:rsidP="00AE496B">
            <w:pPr>
              <w:rPr>
                <w:rFonts w:cstheme="minorBidi"/>
                <w:sz w:val="22"/>
                <w:szCs w:val="22"/>
              </w:rPr>
            </w:pPr>
            <w:r w:rsidRPr="009264D2">
              <w:rPr>
                <w:rFonts w:cstheme="minorBidi"/>
                <w:sz w:val="22"/>
                <w:szCs w:val="22"/>
              </w:rPr>
              <w:t xml:space="preserve">Hot potato chips, </w:t>
            </w:r>
            <w:proofErr w:type="gramStart"/>
            <w:r w:rsidRPr="009264D2">
              <w:rPr>
                <w:rFonts w:cstheme="minorBidi"/>
                <w:sz w:val="22"/>
                <w:szCs w:val="22"/>
              </w:rPr>
              <w:t>fries</w:t>
            </w:r>
            <w:proofErr w:type="gramEnd"/>
            <w:r w:rsidRPr="009264D2">
              <w:rPr>
                <w:rFonts w:cstheme="minorBidi"/>
                <w:sz w:val="22"/>
                <w:szCs w:val="22"/>
              </w:rPr>
              <w:t xml:space="preserve"> </w:t>
            </w:r>
            <w:r w:rsidR="0075746B" w:rsidRPr="009264D2">
              <w:rPr>
                <w:rFonts w:cstheme="minorBidi"/>
                <w:sz w:val="22"/>
                <w:szCs w:val="22"/>
              </w:rPr>
              <w:t>and</w:t>
            </w:r>
            <w:r w:rsidRPr="009264D2">
              <w:rPr>
                <w:rFonts w:cstheme="minorBidi"/>
                <w:sz w:val="22"/>
                <w:szCs w:val="22"/>
              </w:rPr>
              <w:t xml:space="preserve"> wedges: Out of home</w:t>
            </w:r>
          </w:p>
          <w:p w14:paraId="553699C5" w14:textId="77777777" w:rsidR="00912146" w:rsidRPr="00C61B7D" w:rsidRDefault="00912146" w:rsidP="00AE496B">
            <w:pPr>
              <w:rPr>
                <w:rFonts w:cstheme="minorBidi"/>
                <w:sz w:val="22"/>
                <w:szCs w:val="22"/>
              </w:rPr>
            </w:pPr>
          </w:p>
        </w:tc>
        <w:tc>
          <w:tcPr>
            <w:tcW w:w="6520" w:type="dxa"/>
          </w:tcPr>
          <w:p w14:paraId="2AB5FA54" w14:textId="77777777" w:rsidR="00912146" w:rsidRPr="00C61B7D" w:rsidRDefault="00912146" w:rsidP="00AE496B">
            <w:pPr>
              <w:rPr>
                <w:rFonts w:cstheme="minorBidi"/>
                <w:sz w:val="22"/>
                <w:szCs w:val="22"/>
              </w:rPr>
            </w:pPr>
            <w:r w:rsidRPr="00C61B7D">
              <w:rPr>
                <w:rFonts w:cstheme="minorBidi"/>
                <w:sz w:val="22"/>
                <w:szCs w:val="22"/>
              </w:rPr>
              <w:t>Potato or sweet potato-based products designed to be consumed as a snack or side dish and sold in the out of home sector. Excludes potato-based meals or cold potato-based snack foods.</w:t>
            </w:r>
          </w:p>
        </w:tc>
      </w:tr>
      <w:tr w:rsidR="00912146" w:rsidRPr="00C61B7D" w14:paraId="40D925C1" w14:textId="77777777" w:rsidTr="00916C86">
        <w:tc>
          <w:tcPr>
            <w:tcW w:w="3114" w:type="dxa"/>
          </w:tcPr>
          <w:p w14:paraId="1D74E7E5" w14:textId="2FF8F473" w:rsidR="00912146" w:rsidRPr="00C61B7D" w:rsidRDefault="00912146" w:rsidP="00AE496B">
            <w:pPr>
              <w:rPr>
                <w:rFonts w:cstheme="minorBidi"/>
                <w:sz w:val="22"/>
                <w:szCs w:val="22"/>
              </w:rPr>
            </w:pPr>
            <w:r w:rsidRPr="009264D2">
              <w:rPr>
                <w:rFonts w:cstheme="minorBidi"/>
                <w:sz w:val="22"/>
                <w:szCs w:val="22"/>
              </w:rPr>
              <w:t xml:space="preserve">Ice-cream, ice-cream confections and </w:t>
            </w:r>
            <w:r w:rsidR="00EC1206" w:rsidRPr="009264D2">
              <w:rPr>
                <w:rFonts w:cstheme="minorBidi"/>
                <w:sz w:val="22"/>
                <w:szCs w:val="22"/>
              </w:rPr>
              <w:t xml:space="preserve">frozen </w:t>
            </w:r>
            <w:r w:rsidRPr="009264D2">
              <w:rPr>
                <w:rFonts w:cstheme="minorBidi"/>
                <w:sz w:val="22"/>
                <w:szCs w:val="22"/>
              </w:rPr>
              <w:t>desserts: Retail</w:t>
            </w:r>
          </w:p>
        </w:tc>
        <w:tc>
          <w:tcPr>
            <w:tcW w:w="6520" w:type="dxa"/>
          </w:tcPr>
          <w:p w14:paraId="28F101A7" w14:textId="1438BBD3" w:rsidR="00912146" w:rsidRPr="00C61B7D" w:rsidRDefault="00912146" w:rsidP="00AE496B">
            <w:pPr>
              <w:rPr>
                <w:rFonts w:cstheme="minorBidi"/>
                <w:sz w:val="22"/>
                <w:szCs w:val="22"/>
              </w:rPr>
            </w:pPr>
            <w:r w:rsidRPr="00C61B7D">
              <w:rPr>
                <w:rFonts w:cstheme="minorBidi"/>
                <w:sz w:val="22"/>
                <w:szCs w:val="22"/>
              </w:rPr>
              <w:t>Dairy or dairy-alternative-based ice-cream, ice-</w:t>
            </w:r>
            <w:r w:rsidRPr="001561C7">
              <w:rPr>
                <w:rFonts w:cstheme="minorBidi"/>
                <w:sz w:val="22"/>
                <w:szCs w:val="22"/>
              </w:rPr>
              <w:t xml:space="preserve">cream confections and </w:t>
            </w:r>
            <w:r w:rsidR="00EC1206" w:rsidRPr="001561C7">
              <w:rPr>
                <w:rFonts w:cstheme="minorBidi"/>
                <w:sz w:val="22"/>
                <w:szCs w:val="22"/>
              </w:rPr>
              <w:t xml:space="preserve">frozen </w:t>
            </w:r>
            <w:r w:rsidRPr="001561C7">
              <w:rPr>
                <w:rFonts w:cstheme="minorBidi"/>
                <w:sz w:val="22"/>
                <w:szCs w:val="22"/>
              </w:rPr>
              <w:t>desserts sold in retail settings. Includes shelf-stable products</w:t>
            </w:r>
            <w:r w:rsidR="00EC1206" w:rsidRPr="001561C7">
              <w:rPr>
                <w:rFonts w:cstheme="minorBidi"/>
                <w:sz w:val="22"/>
                <w:szCs w:val="22"/>
              </w:rPr>
              <w:t xml:space="preserve"> that are intended to be served frozen</w:t>
            </w:r>
            <w:r w:rsidRPr="001561C7">
              <w:rPr>
                <w:rFonts w:cstheme="minorBidi"/>
                <w:sz w:val="22"/>
                <w:szCs w:val="22"/>
              </w:rPr>
              <w:t>.</w:t>
            </w:r>
          </w:p>
        </w:tc>
      </w:tr>
      <w:tr w:rsidR="00912146" w:rsidRPr="00C61B7D" w14:paraId="071FAEDE" w14:textId="77777777" w:rsidTr="00916C86">
        <w:tc>
          <w:tcPr>
            <w:tcW w:w="3114" w:type="dxa"/>
          </w:tcPr>
          <w:p w14:paraId="658A3EE5" w14:textId="6DF9DD82" w:rsidR="00912146" w:rsidRPr="00C61B7D" w:rsidRDefault="00912146" w:rsidP="00AE496B">
            <w:pPr>
              <w:rPr>
                <w:rFonts w:cstheme="minorHAnsi"/>
                <w:sz w:val="22"/>
                <w:szCs w:val="22"/>
              </w:rPr>
            </w:pPr>
            <w:r w:rsidRPr="009264D2">
              <w:rPr>
                <w:rFonts w:cstheme="minorHAnsi"/>
                <w:sz w:val="22"/>
                <w:szCs w:val="22"/>
              </w:rPr>
              <w:t>Pizza: Out of home</w:t>
            </w:r>
          </w:p>
        </w:tc>
        <w:tc>
          <w:tcPr>
            <w:tcW w:w="6520" w:type="dxa"/>
          </w:tcPr>
          <w:p w14:paraId="039BB29C" w14:textId="77777777" w:rsidR="00912146" w:rsidRPr="00C61B7D" w:rsidRDefault="00912146" w:rsidP="00AE496B">
            <w:pPr>
              <w:rPr>
                <w:rFonts w:cstheme="minorBidi"/>
                <w:sz w:val="22"/>
                <w:szCs w:val="22"/>
              </w:rPr>
            </w:pPr>
            <w:r w:rsidRPr="00C61B7D">
              <w:rPr>
                <w:rFonts w:cstheme="minorBidi"/>
                <w:sz w:val="22"/>
                <w:szCs w:val="22"/>
              </w:rPr>
              <w:t>Pizza base, with toppings (</w:t>
            </w:r>
            <w:proofErr w:type="gramStart"/>
            <w:r w:rsidRPr="00C61B7D">
              <w:rPr>
                <w:rFonts w:cstheme="minorBidi"/>
                <w:sz w:val="22"/>
                <w:szCs w:val="22"/>
              </w:rPr>
              <w:t>e.g.</w:t>
            </w:r>
            <w:proofErr w:type="gramEnd"/>
            <w:r w:rsidRPr="00C61B7D">
              <w:rPr>
                <w:rFonts w:cstheme="minorBidi"/>
                <w:sz w:val="22"/>
                <w:szCs w:val="22"/>
              </w:rPr>
              <w:t xml:space="preserve"> vegetable, cheese, meat, fish or alternatives) sold in the out of home sector. </w:t>
            </w:r>
          </w:p>
        </w:tc>
      </w:tr>
      <w:tr w:rsidR="00912146" w:rsidRPr="00C61B7D" w14:paraId="26DBB8FB" w14:textId="77777777" w:rsidTr="00916C86">
        <w:tc>
          <w:tcPr>
            <w:tcW w:w="3114" w:type="dxa"/>
          </w:tcPr>
          <w:p w14:paraId="658423DB" w14:textId="7B8C4CD4" w:rsidR="00912146" w:rsidRPr="00C61B7D" w:rsidRDefault="00912146" w:rsidP="00AE496B">
            <w:pPr>
              <w:rPr>
                <w:rFonts w:cstheme="minorHAnsi"/>
                <w:sz w:val="22"/>
                <w:szCs w:val="22"/>
              </w:rPr>
            </w:pPr>
            <w:r w:rsidRPr="009264D2">
              <w:rPr>
                <w:rFonts w:cstheme="minorHAnsi"/>
                <w:sz w:val="22"/>
                <w:szCs w:val="22"/>
              </w:rPr>
              <w:t xml:space="preserve">Savoury pastry products - pies, </w:t>
            </w:r>
            <w:proofErr w:type="gramStart"/>
            <w:r w:rsidRPr="009264D2">
              <w:rPr>
                <w:rFonts w:cstheme="minorHAnsi"/>
                <w:sz w:val="22"/>
                <w:szCs w:val="22"/>
              </w:rPr>
              <w:t>rolls</w:t>
            </w:r>
            <w:proofErr w:type="gramEnd"/>
            <w:r w:rsidRPr="009264D2">
              <w:rPr>
                <w:rFonts w:cstheme="minorHAnsi"/>
                <w:sz w:val="22"/>
                <w:szCs w:val="22"/>
              </w:rPr>
              <w:t xml:space="preserve"> and filled pastries: Out of home and Retail</w:t>
            </w:r>
          </w:p>
        </w:tc>
        <w:tc>
          <w:tcPr>
            <w:tcW w:w="6520" w:type="dxa"/>
          </w:tcPr>
          <w:p w14:paraId="19608504" w14:textId="77777777" w:rsidR="00912146" w:rsidRPr="00C61B7D" w:rsidRDefault="00912146" w:rsidP="00AE496B">
            <w:pPr>
              <w:rPr>
                <w:rFonts w:cstheme="minorBidi"/>
                <w:sz w:val="22"/>
                <w:szCs w:val="22"/>
              </w:rPr>
            </w:pPr>
            <w:r w:rsidRPr="00C61B7D">
              <w:rPr>
                <w:rFonts w:cstheme="minorHAnsi"/>
                <w:sz w:val="22"/>
                <w:szCs w:val="22"/>
              </w:rPr>
              <w:t>Any savoury filling encased in a pastry and sold in the out of home and retail sectors. Includes open top products</w:t>
            </w:r>
            <w:r w:rsidRPr="00C61B7D">
              <w:rPr>
                <w:rFonts w:cstheme="minorBidi"/>
                <w:sz w:val="22"/>
                <w:szCs w:val="22"/>
              </w:rPr>
              <w:t>.</w:t>
            </w:r>
          </w:p>
        </w:tc>
      </w:tr>
      <w:tr w:rsidR="00912146" w:rsidRPr="00C61B7D" w14:paraId="25A05A73" w14:textId="77777777" w:rsidTr="00916C86">
        <w:tc>
          <w:tcPr>
            <w:tcW w:w="3114" w:type="dxa"/>
          </w:tcPr>
          <w:p w14:paraId="56543672" w14:textId="65737A33" w:rsidR="00912146" w:rsidRPr="00C61B7D" w:rsidRDefault="00912146" w:rsidP="00AE496B">
            <w:pPr>
              <w:rPr>
                <w:rFonts w:cstheme="minorHAnsi"/>
                <w:sz w:val="22"/>
                <w:szCs w:val="22"/>
              </w:rPr>
            </w:pPr>
            <w:r w:rsidRPr="009264D2">
              <w:rPr>
                <w:rFonts w:cstheme="minorHAnsi"/>
                <w:sz w:val="22"/>
                <w:szCs w:val="22"/>
              </w:rPr>
              <w:t>Sweet biscuits: Retail</w:t>
            </w:r>
          </w:p>
        </w:tc>
        <w:tc>
          <w:tcPr>
            <w:tcW w:w="6520" w:type="dxa"/>
          </w:tcPr>
          <w:p w14:paraId="77B99544" w14:textId="77777777" w:rsidR="00912146" w:rsidRPr="00C61B7D" w:rsidRDefault="00912146" w:rsidP="00AE496B">
            <w:pPr>
              <w:rPr>
                <w:rFonts w:cstheme="minorBidi"/>
                <w:sz w:val="22"/>
                <w:szCs w:val="22"/>
              </w:rPr>
            </w:pPr>
            <w:r w:rsidRPr="00C61B7D">
              <w:rPr>
                <w:rFonts w:cstheme="minorBidi"/>
                <w:sz w:val="22"/>
                <w:szCs w:val="22"/>
              </w:rPr>
              <w:t xml:space="preserve">All sweet biscuits sold in retail. Includes products which are coated or uncoated, </w:t>
            </w:r>
            <w:proofErr w:type="gramStart"/>
            <w:r w:rsidRPr="00C61B7D">
              <w:rPr>
                <w:rFonts w:cstheme="minorBidi"/>
                <w:sz w:val="22"/>
                <w:szCs w:val="22"/>
              </w:rPr>
              <w:t>filled</w:t>
            </w:r>
            <w:proofErr w:type="gramEnd"/>
            <w:r w:rsidRPr="00C61B7D">
              <w:rPr>
                <w:rFonts w:cstheme="minorBidi"/>
                <w:sz w:val="22"/>
                <w:szCs w:val="22"/>
              </w:rPr>
              <w:t xml:space="preserve"> or unfilled. Includes packet baking mixes.</w:t>
            </w:r>
          </w:p>
        </w:tc>
      </w:tr>
      <w:tr w:rsidR="00912146" w:rsidRPr="00C61B7D" w14:paraId="1AC63624" w14:textId="77777777" w:rsidTr="00916C86">
        <w:tc>
          <w:tcPr>
            <w:tcW w:w="3114" w:type="dxa"/>
          </w:tcPr>
          <w:p w14:paraId="13BAB44A" w14:textId="6E13F441" w:rsidR="00912146" w:rsidRPr="00C61B7D" w:rsidRDefault="00912146" w:rsidP="00AE496B">
            <w:pPr>
              <w:rPr>
                <w:rFonts w:cstheme="minorHAnsi"/>
                <w:sz w:val="22"/>
                <w:szCs w:val="22"/>
              </w:rPr>
            </w:pPr>
            <w:r w:rsidRPr="009264D2">
              <w:rPr>
                <w:rFonts w:cstheme="minorHAnsi"/>
                <w:sz w:val="22"/>
                <w:szCs w:val="22"/>
              </w:rPr>
              <w:t>Sweet biscuits: Out of home</w:t>
            </w:r>
          </w:p>
        </w:tc>
        <w:tc>
          <w:tcPr>
            <w:tcW w:w="6520" w:type="dxa"/>
          </w:tcPr>
          <w:p w14:paraId="7CA32B6F" w14:textId="77777777" w:rsidR="00912146" w:rsidRPr="00C61B7D" w:rsidRDefault="00912146" w:rsidP="00AE496B">
            <w:pPr>
              <w:rPr>
                <w:rFonts w:cstheme="minorBidi"/>
                <w:sz w:val="22"/>
                <w:szCs w:val="22"/>
              </w:rPr>
            </w:pPr>
            <w:r w:rsidRPr="00C61B7D">
              <w:rPr>
                <w:rFonts w:cstheme="minorBidi"/>
                <w:sz w:val="22"/>
                <w:szCs w:val="22"/>
              </w:rPr>
              <w:t xml:space="preserve">All sweet biscuits sold in the out of home sector. Includes products which are coated or uncoated, </w:t>
            </w:r>
            <w:proofErr w:type="gramStart"/>
            <w:r w:rsidRPr="00C61B7D">
              <w:rPr>
                <w:rFonts w:cstheme="minorBidi"/>
                <w:sz w:val="22"/>
                <w:szCs w:val="22"/>
              </w:rPr>
              <w:t>filled</w:t>
            </w:r>
            <w:proofErr w:type="gramEnd"/>
            <w:r w:rsidRPr="00C61B7D">
              <w:rPr>
                <w:rFonts w:cstheme="minorBidi"/>
                <w:sz w:val="22"/>
                <w:szCs w:val="22"/>
              </w:rPr>
              <w:t xml:space="preserve"> or unfilled. </w:t>
            </w:r>
          </w:p>
        </w:tc>
      </w:tr>
    </w:tbl>
    <w:p w14:paraId="555D36B8" w14:textId="7409086F" w:rsidR="00CF28E4" w:rsidRDefault="00CF28E4">
      <w:pPr>
        <w:rPr>
          <w:rFonts w:cstheme="minorHAnsi"/>
          <w:b/>
          <w:bCs/>
          <w:sz w:val="20"/>
          <w:szCs w:val="20"/>
        </w:rPr>
      </w:pPr>
    </w:p>
    <w:p w14:paraId="29769528" w14:textId="77777777" w:rsidR="00916C86" w:rsidRDefault="00916C86">
      <w:pPr>
        <w:rPr>
          <w:rFonts w:cstheme="minorHAnsi"/>
          <w:b/>
          <w:bCs/>
          <w:sz w:val="20"/>
          <w:szCs w:val="20"/>
        </w:rPr>
      </w:pPr>
      <w:r>
        <w:rPr>
          <w:rFonts w:cstheme="minorHAnsi"/>
          <w:b/>
          <w:bCs/>
          <w:sz w:val="20"/>
          <w:szCs w:val="20"/>
        </w:rPr>
        <w:br w:type="page"/>
      </w:r>
    </w:p>
    <w:p w14:paraId="46CBAB5C" w14:textId="258CE694" w:rsidR="00912146" w:rsidRPr="000246FD" w:rsidRDefault="00912146" w:rsidP="00912146">
      <w:pPr>
        <w:keepNext/>
      </w:pPr>
      <w:r>
        <w:rPr>
          <w:rFonts w:cstheme="minorHAnsi"/>
          <w:b/>
          <w:bCs/>
          <w:sz w:val="20"/>
          <w:szCs w:val="20"/>
        </w:rPr>
        <w:lastRenderedPageBreak/>
        <w:t xml:space="preserve">Table 2: </w:t>
      </w:r>
      <w:r w:rsidRPr="00CE4AE7">
        <w:rPr>
          <w:rFonts w:cstheme="minorHAnsi"/>
          <w:b/>
          <w:bCs/>
          <w:sz w:val="20"/>
          <w:szCs w:val="20"/>
        </w:rPr>
        <w:t>Definitions for Retail and Out of Home</w:t>
      </w:r>
    </w:p>
    <w:tbl>
      <w:tblPr>
        <w:tblStyle w:val="TableGrid4"/>
        <w:tblW w:w="9634" w:type="dxa"/>
        <w:tblLook w:val="04A0" w:firstRow="1" w:lastRow="0" w:firstColumn="1" w:lastColumn="0" w:noHBand="0" w:noVBand="1"/>
        <w:tblCaption w:val="Glossary"/>
      </w:tblPr>
      <w:tblGrid>
        <w:gridCol w:w="2122"/>
        <w:gridCol w:w="7512"/>
      </w:tblGrid>
      <w:tr w:rsidR="00912146" w14:paraId="19B0E094" w14:textId="77777777" w:rsidTr="00B640FD">
        <w:trPr>
          <w:trHeight w:val="375"/>
        </w:trPr>
        <w:tc>
          <w:tcPr>
            <w:tcW w:w="2122" w:type="dxa"/>
          </w:tcPr>
          <w:p w14:paraId="0E79C64F" w14:textId="3ACF9566" w:rsidR="00912146" w:rsidRDefault="00912146" w:rsidP="00AE496B">
            <w:pPr>
              <w:textAlignment w:val="baseline"/>
              <w:rPr>
                <w:rFonts w:ascii="Calibri" w:eastAsia="Times New Roman" w:hAnsi="Calibri" w:cs="Calibri"/>
                <w:sz w:val="22"/>
                <w:szCs w:val="22"/>
              </w:rPr>
            </w:pPr>
            <w:r>
              <w:rPr>
                <w:rFonts w:ascii="Calibri" w:eastAsia="Times New Roman" w:hAnsi="Calibri" w:cs="Calibri"/>
                <w:sz w:val="22"/>
                <w:szCs w:val="22"/>
              </w:rPr>
              <w:t>Retail</w:t>
            </w:r>
          </w:p>
        </w:tc>
        <w:tc>
          <w:tcPr>
            <w:tcW w:w="7512" w:type="dxa"/>
          </w:tcPr>
          <w:p w14:paraId="70B98F07" w14:textId="198004D9" w:rsidR="00912146" w:rsidRPr="00C61B7D" w:rsidRDefault="00912146" w:rsidP="00AE496B">
            <w:pPr>
              <w:textAlignment w:val="baseline"/>
              <w:rPr>
                <w:rFonts w:ascii="Calibri" w:eastAsia="Times New Roman" w:hAnsi="Calibri" w:cs="Calibri"/>
                <w:sz w:val="22"/>
                <w:szCs w:val="22"/>
              </w:rPr>
            </w:pPr>
            <w:r w:rsidRPr="00C61B7D">
              <w:rPr>
                <w:rFonts w:ascii="Calibri" w:eastAsia="Times New Roman" w:hAnsi="Calibri" w:cs="Calibri"/>
                <w:sz w:val="22"/>
                <w:szCs w:val="22"/>
              </w:rPr>
              <w:t xml:space="preserve">Food products sold in retail environments </w:t>
            </w:r>
            <w:proofErr w:type="gramStart"/>
            <w:r w:rsidRPr="00C61B7D">
              <w:rPr>
                <w:rFonts w:ascii="Calibri" w:eastAsia="Times New Roman" w:hAnsi="Calibri" w:cs="Calibri"/>
                <w:sz w:val="22"/>
                <w:szCs w:val="22"/>
              </w:rPr>
              <w:t>e.g.</w:t>
            </w:r>
            <w:proofErr w:type="gramEnd"/>
            <w:r w:rsidRPr="00C61B7D">
              <w:rPr>
                <w:rFonts w:ascii="Calibri" w:eastAsia="Times New Roman" w:hAnsi="Calibri" w:cs="Calibri"/>
                <w:sz w:val="22"/>
                <w:szCs w:val="22"/>
              </w:rPr>
              <w:t xml:space="preserve"> supermarkets, petrol </w:t>
            </w:r>
            <w:r w:rsidR="005A2BAA">
              <w:rPr>
                <w:rFonts w:ascii="Calibri" w:eastAsia="Times New Roman" w:hAnsi="Calibri" w:cs="Calibri"/>
                <w:sz w:val="22"/>
                <w:szCs w:val="22"/>
              </w:rPr>
              <w:t xml:space="preserve">stations </w:t>
            </w:r>
            <w:r w:rsidRPr="00C61B7D">
              <w:rPr>
                <w:rFonts w:ascii="Calibri" w:eastAsia="Times New Roman" w:hAnsi="Calibri" w:cs="Calibri"/>
                <w:sz w:val="22"/>
                <w:szCs w:val="22"/>
              </w:rPr>
              <w:t>and convenience stores. </w:t>
            </w:r>
          </w:p>
        </w:tc>
      </w:tr>
      <w:tr w:rsidR="00912146" w14:paraId="4E094955" w14:textId="77777777" w:rsidTr="00B640FD">
        <w:trPr>
          <w:trHeight w:val="375"/>
        </w:trPr>
        <w:tc>
          <w:tcPr>
            <w:tcW w:w="2122" w:type="dxa"/>
            <w:hideMark/>
          </w:tcPr>
          <w:p w14:paraId="31A449EF" w14:textId="77777777" w:rsidR="00912146" w:rsidRDefault="00912146" w:rsidP="00AE496B">
            <w:pPr>
              <w:textAlignment w:val="baseline"/>
              <w:rPr>
                <w:rFonts w:ascii="Segoe UI" w:eastAsia="Times New Roman" w:hAnsi="Segoe UI" w:cs="Segoe UI"/>
                <w:sz w:val="18"/>
                <w:szCs w:val="18"/>
              </w:rPr>
            </w:pPr>
            <w:r>
              <w:rPr>
                <w:rFonts w:ascii="Calibri" w:eastAsia="Times New Roman" w:hAnsi="Calibri" w:cs="Calibri"/>
                <w:sz w:val="22"/>
                <w:szCs w:val="22"/>
              </w:rPr>
              <w:t>Out of home </w:t>
            </w:r>
          </w:p>
        </w:tc>
        <w:tc>
          <w:tcPr>
            <w:tcW w:w="7512" w:type="dxa"/>
            <w:hideMark/>
          </w:tcPr>
          <w:p w14:paraId="06B52A33" w14:textId="2A549D84" w:rsidR="00912146" w:rsidRDefault="005A2BAA" w:rsidP="00AE496B">
            <w:pPr>
              <w:textAlignment w:val="baseline"/>
              <w:rPr>
                <w:rFonts w:ascii="Calibri" w:eastAsia="Times New Roman" w:hAnsi="Calibri" w:cs="Calibri"/>
                <w:sz w:val="22"/>
                <w:szCs w:val="22"/>
              </w:rPr>
            </w:pPr>
            <w:r>
              <w:rPr>
                <w:rFonts w:ascii="Calibri" w:eastAsia="Times New Roman" w:hAnsi="Calibri" w:cs="Calibri"/>
                <w:sz w:val="22"/>
                <w:szCs w:val="22"/>
              </w:rPr>
              <w:t>O</w:t>
            </w:r>
            <w:r w:rsidR="00912146" w:rsidRPr="4F4A73DF">
              <w:rPr>
                <w:rFonts w:ascii="Calibri" w:eastAsia="Times New Roman" w:hAnsi="Calibri" w:cs="Calibri"/>
                <w:sz w:val="22"/>
                <w:szCs w:val="22"/>
              </w:rPr>
              <w:t>utlet</w:t>
            </w:r>
            <w:r>
              <w:rPr>
                <w:rFonts w:ascii="Calibri" w:eastAsia="Times New Roman" w:hAnsi="Calibri" w:cs="Calibri"/>
                <w:sz w:val="22"/>
                <w:szCs w:val="22"/>
              </w:rPr>
              <w:t>s</w:t>
            </w:r>
            <w:r w:rsidR="00912146" w:rsidRPr="4F4A73DF">
              <w:rPr>
                <w:rFonts w:ascii="Calibri" w:eastAsia="Times New Roman" w:hAnsi="Calibri" w:cs="Calibri"/>
                <w:sz w:val="22"/>
                <w:szCs w:val="22"/>
              </w:rPr>
              <w:t xml:space="preserve"> where food </w:t>
            </w:r>
            <w:r>
              <w:rPr>
                <w:rFonts w:ascii="Calibri" w:eastAsia="Times New Roman" w:hAnsi="Calibri" w:cs="Calibri"/>
                <w:sz w:val="22"/>
                <w:szCs w:val="22"/>
              </w:rPr>
              <w:t>and/</w:t>
            </w:r>
            <w:r w:rsidR="00912146" w:rsidRPr="4F4A73DF">
              <w:rPr>
                <w:rFonts w:ascii="Calibri" w:eastAsia="Times New Roman" w:hAnsi="Calibri" w:cs="Calibri"/>
                <w:sz w:val="22"/>
                <w:szCs w:val="22"/>
              </w:rPr>
              <w:t>or beverage </w:t>
            </w:r>
            <w:r>
              <w:rPr>
                <w:rFonts w:ascii="Calibri" w:eastAsia="Times New Roman" w:hAnsi="Calibri" w:cs="Calibri"/>
                <w:sz w:val="22"/>
                <w:szCs w:val="22"/>
              </w:rPr>
              <w:t xml:space="preserve">are </w:t>
            </w:r>
            <w:r w:rsidR="00912146" w:rsidRPr="4F4A73DF">
              <w:rPr>
                <w:rFonts w:ascii="Calibri" w:eastAsia="Times New Roman" w:hAnsi="Calibri" w:cs="Calibri"/>
                <w:sz w:val="22"/>
                <w:szCs w:val="22"/>
              </w:rPr>
              <w:t xml:space="preserve">prepared for immediate consumption </w:t>
            </w:r>
            <w:proofErr w:type="gramStart"/>
            <w:r w:rsidR="00912146" w:rsidRPr="4F4A73DF">
              <w:rPr>
                <w:rFonts w:ascii="Calibri" w:eastAsia="Times New Roman" w:hAnsi="Calibri" w:cs="Calibri"/>
                <w:sz w:val="22"/>
                <w:szCs w:val="22"/>
              </w:rPr>
              <w:t>e.g.</w:t>
            </w:r>
            <w:proofErr w:type="gramEnd"/>
            <w:r w:rsidR="00912146" w:rsidRPr="4F4A73DF">
              <w:rPr>
                <w:rFonts w:ascii="Calibri" w:eastAsia="Times New Roman" w:hAnsi="Calibri" w:cs="Calibri"/>
                <w:sz w:val="22"/>
                <w:szCs w:val="22"/>
              </w:rPr>
              <w:t xml:space="preserve"> cafes (including those within a retail, petrol or convenience store), restaurants, pubs, clubs, quick-service restaurants, canteens, online businesses that sell food or beverage for takeaway or home delivery and retail ‘on the go’ products. </w:t>
            </w:r>
          </w:p>
          <w:p w14:paraId="0B2B99DD" w14:textId="77777777" w:rsidR="00916C86" w:rsidRPr="00C61B7D" w:rsidRDefault="00916C86" w:rsidP="00AE496B">
            <w:pPr>
              <w:textAlignment w:val="baseline"/>
              <w:rPr>
                <w:rFonts w:ascii="Segoe UI" w:eastAsia="Times New Roman" w:hAnsi="Segoe UI" w:cs="Segoe UI"/>
                <w:sz w:val="18"/>
                <w:szCs w:val="18"/>
              </w:rPr>
            </w:pPr>
          </w:p>
          <w:p w14:paraId="6F2087DE" w14:textId="7E9B352C" w:rsidR="00912146" w:rsidRPr="00C61B7D" w:rsidRDefault="00912146" w:rsidP="00AE496B">
            <w:pPr>
              <w:textAlignment w:val="baseline"/>
              <w:rPr>
                <w:rFonts w:ascii="Segoe UI" w:eastAsia="Times New Roman" w:hAnsi="Segoe UI" w:cs="Segoe UI"/>
                <w:sz w:val="18"/>
                <w:szCs w:val="18"/>
              </w:rPr>
            </w:pPr>
            <w:r w:rsidRPr="6136B92D">
              <w:rPr>
                <w:rFonts w:ascii="Calibri" w:eastAsia="Times New Roman" w:hAnsi="Calibri" w:cs="Calibri"/>
                <w:sz w:val="22"/>
                <w:szCs w:val="22"/>
              </w:rPr>
              <w:t>Retail ‘</w:t>
            </w:r>
            <w:r w:rsidR="00916C86">
              <w:rPr>
                <w:rFonts w:ascii="Calibri" w:eastAsia="Times New Roman" w:hAnsi="Calibri" w:cs="Calibri"/>
                <w:sz w:val="22"/>
                <w:szCs w:val="22"/>
              </w:rPr>
              <w:t>o</w:t>
            </w:r>
            <w:r w:rsidRPr="6136B92D">
              <w:rPr>
                <w:rFonts w:ascii="Calibri" w:eastAsia="Times New Roman" w:hAnsi="Calibri" w:cs="Calibri"/>
                <w:sz w:val="22"/>
                <w:szCs w:val="22"/>
              </w:rPr>
              <w:t xml:space="preserve">n the </w:t>
            </w:r>
            <w:r w:rsidR="00916C86">
              <w:rPr>
                <w:rFonts w:ascii="Calibri" w:eastAsia="Times New Roman" w:hAnsi="Calibri" w:cs="Calibri"/>
                <w:sz w:val="22"/>
                <w:szCs w:val="22"/>
              </w:rPr>
              <w:t>g</w:t>
            </w:r>
            <w:r w:rsidRPr="6136B92D">
              <w:rPr>
                <w:rFonts w:ascii="Calibri" w:eastAsia="Times New Roman" w:hAnsi="Calibri" w:cs="Calibri"/>
                <w:sz w:val="22"/>
                <w:szCs w:val="22"/>
              </w:rPr>
              <w:t xml:space="preserve">o’ </w:t>
            </w:r>
            <w:r w:rsidRPr="6136B92D">
              <w:rPr>
                <w:rFonts w:eastAsia="Times New Roman" w:cstheme="minorBidi"/>
                <w:sz w:val="22"/>
                <w:szCs w:val="22"/>
              </w:rPr>
              <w:t xml:space="preserve">products include, but </w:t>
            </w:r>
            <w:r w:rsidR="00916C86">
              <w:rPr>
                <w:rFonts w:eastAsia="Times New Roman" w:cstheme="minorBidi"/>
                <w:sz w:val="22"/>
                <w:szCs w:val="22"/>
              </w:rPr>
              <w:t>are</w:t>
            </w:r>
            <w:r w:rsidR="00916C86" w:rsidRPr="6136B92D">
              <w:rPr>
                <w:rFonts w:eastAsia="Times New Roman" w:cstheme="minorBidi"/>
                <w:sz w:val="22"/>
                <w:szCs w:val="22"/>
              </w:rPr>
              <w:t xml:space="preserve"> </w:t>
            </w:r>
            <w:r w:rsidRPr="6136B92D">
              <w:rPr>
                <w:rFonts w:eastAsia="Times New Roman" w:cstheme="minorBidi"/>
                <w:sz w:val="22"/>
                <w:szCs w:val="22"/>
              </w:rPr>
              <w:t xml:space="preserve">not limited to, </w:t>
            </w:r>
            <w:r w:rsidRPr="6136B92D">
              <w:rPr>
                <w:rFonts w:eastAsia="Arial" w:cstheme="minorBidi"/>
                <w:sz w:val="22"/>
                <w:szCs w:val="22"/>
              </w:rPr>
              <w:t>beverages (all varieties including smoothies, juices and soft</w:t>
            </w:r>
            <w:r w:rsidR="00AF1E3A">
              <w:rPr>
                <w:rFonts w:eastAsia="Arial" w:cstheme="minorBidi"/>
                <w:sz w:val="22"/>
                <w:szCs w:val="22"/>
              </w:rPr>
              <w:t xml:space="preserve"> </w:t>
            </w:r>
            <w:r w:rsidRPr="6136B92D">
              <w:rPr>
                <w:rFonts w:eastAsia="Arial" w:cstheme="minorBidi"/>
                <w:sz w:val="22"/>
                <w:szCs w:val="22"/>
              </w:rPr>
              <w:t>drinks served in cups or glasses, but not pre</w:t>
            </w:r>
            <w:r w:rsidR="002E7124">
              <w:rPr>
                <w:rFonts w:eastAsia="Arial" w:cstheme="minorBidi"/>
                <w:sz w:val="22"/>
                <w:szCs w:val="22"/>
              </w:rPr>
              <w:t>-</w:t>
            </w:r>
            <w:r w:rsidRPr="6136B92D">
              <w:rPr>
                <w:rFonts w:eastAsia="Arial" w:cstheme="minorBidi"/>
                <w:sz w:val="22"/>
                <w:szCs w:val="22"/>
              </w:rPr>
              <w:t xml:space="preserve">packed, </w:t>
            </w:r>
            <w:proofErr w:type="gramStart"/>
            <w:r w:rsidRPr="6136B92D">
              <w:rPr>
                <w:rFonts w:eastAsia="Arial" w:cstheme="minorBidi"/>
                <w:sz w:val="22"/>
                <w:szCs w:val="22"/>
              </w:rPr>
              <w:t>bottled</w:t>
            </w:r>
            <w:proofErr w:type="gramEnd"/>
            <w:r w:rsidRPr="6136B92D">
              <w:rPr>
                <w:rFonts w:eastAsia="Arial" w:cstheme="minorBidi"/>
                <w:sz w:val="22"/>
                <w:szCs w:val="22"/>
              </w:rPr>
              <w:t xml:space="preserve"> or canned cold drinks), bakery items (predominantly loose pastries, cakes, biscuits, slices) and ready to eat options such as pizza, chicken nuggets, hot chips.</w:t>
            </w:r>
          </w:p>
        </w:tc>
      </w:tr>
    </w:tbl>
    <w:p w14:paraId="554F1B1E" w14:textId="77777777" w:rsidR="00912146" w:rsidRPr="000246FD" w:rsidRDefault="00912146" w:rsidP="00912146"/>
    <w:p w14:paraId="3D944A09" w14:textId="77777777" w:rsidR="00916C86" w:rsidRDefault="00916C86">
      <w:pPr>
        <w:rPr>
          <w:rFonts w:eastAsiaTheme="majorEastAsia" w:cstheme="minorHAnsi"/>
          <w:b/>
          <w:bCs/>
          <w:color w:val="007A00"/>
          <w:kern w:val="32"/>
          <w:sz w:val="32"/>
          <w:szCs w:val="32"/>
        </w:rPr>
      </w:pPr>
      <w:r>
        <w:rPr>
          <w:rFonts w:eastAsiaTheme="majorEastAsia" w:cstheme="minorHAnsi"/>
          <w:b/>
          <w:bCs/>
          <w:color w:val="007A00"/>
          <w:kern w:val="32"/>
          <w:sz w:val="32"/>
          <w:szCs w:val="32"/>
        </w:rPr>
        <w:br w:type="page"/>
      </w:r>
    </w:p>
    <w:p w14:paraId="56D0348D" w14:textId="0B685BBE" w:rsidR="00912146" w:rsidRPr="0050147F" w:rsidRDefault="00912146" w:rsidP="0050147F">
      <w:pPr>
        <w:rPr>
          <w:rFonts w:eastAsiaTheme="majorEastAsia" w:cstheme="minorHAnsi"/>
          <w:b/>
          <w:bCs/>
          <w:color w:val="007A00"/>
          <w:kern w:val="32"/>
          <w:sz w:val="32"/>
          <w:szCs w:val="32"/>
        </w:rPr>
      </w:pPr>
      <w:r w:rsidRPr="0050147F">
        <w:rPr>
          <w:rFonts w:eastAsiaTheme="majorEastAsia" w:cstheme="minorHAnsi"/>
          <w:b/>
          <w:bCs/>
          <w:color w:val="007A00"/>
          <w:kern w:val="32"/>
          <w:sz w:val="32"/>
          <w:szCs w:val="32"/>
        </w:rPr>
        <w:lastRenderedPageBreak/>
        <w:t>Category Definitions: Inclusions and Exclusions</w:t>
      </w:r>
    </w:p>
    <w:p w14:paraId="03BD9073" w14:textId="77777777" w:rsidR="0050147F" w:rsidRDefault="0050147F" w:rsidP="0050147F">
      <w:bookmarkStart w:id="44" w:name="_Cakes,_muffins_and"/>
      <w:bookmarkEnd w:id="44"/>
    </w:p>
    <w:p w14:paraId="0C7CD939" w14:textId="4C7370DC" w:rsidR="00912146" w:rsidRPr="0050147F" w:rsidRDefault="00912146" w:rsidP="0050147F">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t xml:space="preserve">Cakes, </w:t>
      </w:r>
      <w:proofErr w:type="gramStart"/>
      <w:r w:rsidRPr="0050147F">
        <w:rPr>
          <w:rFonts w:eastAsiaTheme="majorEastAsia" w:cstheme="minorHAnsi"/>
          <w:b/>
          <w:bCs/>
          <w:i/>
          <w:iCs/>
          <w:color w:val="007A00"/>
          <w:kern w:val="32"/>
          <w:sz w:val="32"/>
          <w:szCs w:val="32"/>
        </w:rPr>
        <w:t>muffins</w:t>
      </w:r>
      <w:proofErr w:type="gramEnd"/>
      <w:r w:rsidRPr="0050147F">
        <w:rPr>
          <w:rFonts w:eastAsiaTheme="majorEastAsia" w:cstheme="minorHAnsi"/>
          <w:b/>
          <w:bCs/>
          <w:i/>
          <w:iCs/>
          <w:color w:val="007A00"/>
          <w:kern w:val="32"/>
          <w:sz w:val="32"/>
          <w:szCs w:val="32"/>
        </w:rPr>
        <w:t xml:space="preserve"> and slices: Retail </w:t>
      </w:r>
    </w:p>
    <w:p w14:paraId="2490750A" w14:textId="77777777" w:rsidR="0050147F" w:rsidRDefault="0050147F" w:rsidP="00912146">
      <w:pPr>
        <w:pStyle w:val="Default"/>
        <w:rPr>
          <w:rFonts w:asciiTheme="minorHAnsi" w:hAnsiTheme="minorHAnsi" w:cstheme="minorHAnsi"/>
          <w:b/>
          <w:bCs/>
          <w:sz w:val="22"/>
          <w:szCs w:val="22"/>
        </w:rPr>
      </w:pPr>
    </w:p>
    <w:p w14:paraId="2CA60493" w14:textId="058042D4" w:rsidR="00912146" w:rsidRPr="0072271A" w:rsidRDefault="00912146" w:rsidP="00912146">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Category definition: </w:t>
      </w:r>
    </w:p>
    <w:p w14:paraId="780A3CF6" w14:textId="77777777" w:rsidR="00912146" w:rsidRPr="0072271A" w:rsidRDefault="00912146" w:rsidP="00912146">
      <w:pPr>
        <w:pStyle w:val="Default"/>
        <w:rPr>
          <w:rFonts w:asciiTheme="minorHAnsi" w:hAnsiTheme="minorHAnsi" w:cstheme="minorBidi"/>
          <w:sz w:val="22"/>
          <w:szCs w:val="22"/>
        </w:rPr>
      </w:pPr>
      <w:r w:rsidRPr="0072271A">
        <w:rPr>
          <w:rFonts w:asciiTheme="minorHAnsi" w:hAnsiTheme="minorHAnsi" w:cstheme="minorBidi"/>
          <w:sz w:val="22"/>
          <w:szCs w:val="22"/>
        </w:rPr>
        <w:t xml:space="preserve">Freshly baked, </w:t>
      </w:r>
      <w:proofErr w:type="gramStart"/>
      <w:r w:rsidRPr="0072271A">
        <w:rPr>
          <w:rFonts w:asciiTheme="minorHAnsi" w:hAnsiTheme="minorHAnsi" w:cstheme="minorBidi"/>
          <w:sz w:val="22"/>
          <w:szCs w:val="22"/>
        </w:rPr>
        <w:t>frozen</w:t>
      </w:r>
      <w:proofErr w:type="gramEnd"/>
      <w:r w:rsidRPr="0072271A">
        <w:rPr>
          <w:rFonts w:asciiTheme="minorHAnsi" w:hAnsiTheme="minorHAnsi" w:cstheme="minorBidi"/>
          <w:sz w:val="22"/>
          <w:szCs w:val="22"/>
        </w:rPr>
        <w:t xml:space="preserve"> or shelf-stable cakes, muffins and slices sold in retail. </w:t>
      </w:r>
      <w:r w:rsidRPr="0072271A">
        <w:rPr>
          <w:rFonts w:asciiTheme="minorHAnsi" w:hAnsiTheme="minorHAnsi" w:cstheme="minorBidi"/>
          <w:color w:val="auto"/>
          <w:sz w:val="22"/>
          <w:szCs w:val="22"/>
        </w:rPr>
        <w:t xml:space="preserve">Includes </w:t>
      </w:r>
      <w:r w:rsidRPr="0072271A">
        <w:rPr>
          <w:rFonts w:asciiTheme="minorHAnsi" w:hAnsiTheme="minorHAnsi" w:cstheme="minorBidi"/>
          <w:sz w:val="22"/>
          <w:szCs w:val="22"/>
        </w:rPr>
        <w:t xml:space="preserve">packet baking mixes. </w:t>
      </w:r>
    </w:p>
    <w:p w14:paraId="75043C20" w14:textId="0388E6F6" w:rsidR="00912146" w:rsidRPr="0072271A" w:rsidRDefault="00F024F5" w:rsidP="00912146">
      <w:pPr>
        <w:pStyle w:val="Default"/>
        <w:rPr>
          <w:rFonts w:asciiTheme="minorHAnsi" w:hAnsiTheme="minorHAnsi" w:cstheme="minorHAnsi"/>
          <w:sz w:val="22"/>
          <w:szCs w:val="22"/>
        </w:rPr>
      </w:pPr>
      <w:r>
        <w:rPr>
          <w:rFonts w:asciiTheme="minorHAnsi" w:hAnsiTheme="minorHAnsi" w:cstheme="minorHAnsi"/>
          <w:sz w:val="22"/>
          <w:szCs w:val="22"/>
        </w:rPr>
        <w:t>Includes</w:t>
      </w:r>
      <w:r w:rsidRPr="0072271A">
        <w:rPr>
          <w:rFonts w:asciiTheme="minorHAnsi" w:hAnsiTheme="minorHAnsi" w:cstheme="minorHAnsi"/>
          <w:sz w:val="22"/>
          <w:szCs w:val="22"/>
        </w:rPr>
        <w:t xml:space="preserve"> </w:t>
      </w:r>
      <w:r w:rsidR="00912146" w:rsidRPr="0072271A">
        <w:rPr>
          <w:rFonts w:asciiTheme="minorHAnsi" w:hAnsiTheme="minorHAnsi" w:cstheme="minorHAnsi"/>
          <w:sz w:val="22"/>
          <w:szCs w:val="22"/>
        </w:rPr>
        <w:t xml:space="preserve">three sub-categories: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2070"/>
      </w:tblGrid>
      <w:tr w:rsidR="00BD49F2" w14:paraId="78063DE2" w14:textId="77777777" w:rsidTr="006774BC">
        <w:trPr>
          <w:trHeight w:val="63"/>
        </w:trPr>
        <w:tc>
          <w:tcPr>
            <w:tcW w:w="3005" w:type="dxa"/>
          </w:tcPr>
          <w:p w14:paraId="33436DEB" w14:textId="709928A9" w:rsidR="00BD49F2" w:rsidRDefault="00BD49F2" w:rsidP="00BD49F2">
            <w:pPr>
              <w:pStyle w:val="Default"/>
              <w:numPr>
                <w:ilvl w:val="0"/>
                <w:numId w:val="61"/>
              </w:numPr>
              <w:rPr>
                <w:rFonts w:eastAsiaTheme="majorEastAsia" w:cstheme="minorHAnsi"/>
                <w:color w:val="007A00"/>
                <w:kern w:val="32"/>
                <w:sz w:val="32"/>
                <w:szCs w:val="32"/>
              </w:rPr>
            </w:pPr>
            <w:r w:rsidRPr="0072271A">
              <w:rPr>
                <w:rFonts w:asciiTheme="minorHAnsi" w:hAnsiTheme="minorHAnsi" w:cstheme="minorBidi"/>
                <w:sz w:val="22"/>
                <w:szCs w:val="22"/>
              </w:rPr>
              <w:t xml:space="preserve">A. Cakes </w:t>
            </w:r>
          </w:p>
        </w:tc>
        <w:tc>
          <w:tcPr>
            <w:tcW w:w="3005" w:type="dxa"/>
          </w:tcPr>
          <w:p w14:paraId="3CDC953B" w14:textId="0D260099" w:rsidR="00BD49F2" w:rsidRDefault="00BD49F2" w:rsidP="00BD49F2">
            <w:pPr>
              <w:pStyle w:val="Default"/>
              <w:numPr>
                <w:ilvl w:val="0"/>
                <w:numId w:val="61"/>
              </w:numPr>
              <w:rPr>
                <w:rFonts w:eastAsiaTheme="majorEastAsia" w:cstheme="minorHAnsi"/>
                <w:color w:val="007A00"/>
                <w:kern w:val="32"/>
                <w:sz w:val="32"/>
                <w:szCs w:val="32"/>
              </w:rPr>
            </w:pPr>
            <w:r w:rsidRPr="0072271A">
              <w:rPr>
                <w:rFonts w:asciiTheme="minorHAnsi" w:hAnsiTheme="minorHAnsi" w:cstheme="minorBidi"/>
                <w:sz w:val="22"/>
                <w:szCs w:val="22"/>
              </w:rPr>
              <w:t xml:space="preserve">B. Muffins </w:t>
            </w:r>
          </w:p>
        </w:tc>
        <w:tc>
          <w:tcPr>
            <w:tcW w:w="2070" w:type="dxa"/>
          </w:tcPr>
          <w:p w14:paraId="7555CF7F" w14:textId="3B421129" w:rsidR="00BD49F2" w:rsidRDefault="00BD49F2" w:rsidP="0050147F">
            <w:pPr>
              <w:rPr>
                <w:rFonts w:eastAsiaTheme="majorEastAsia" w:cstheme="minorHAnsi"/>
                <w:color w:val="007A00"/>
                <w:kern w:val="32"/>
                <w:sz w:val="32"/>
                <w:szCs w:val="32"/>
              </w:rPr>
            </w:pPr>
            <w:r w:rsidRPr="0072271A">
              <w:rPr>
                <w:rFonts w:cstheme="minorHAnsi"/>
                <w:sz w:val="22"/>
                <w:szCs w:val="22"/>
              </w:rPr>
              <w:t>C. Slices</w:t>
            </w:r>
          </w:p>
        </w:tc>
      </w:tr>
    </w:tbl>
    <w:p w14:paraId="24DBAF6C" w14:textId="77777777" w:rsidR="00BD49F2" w:rsidRDefault="00BD49F2" w:rsidP="0050147F">
      <w:pPr>
        <w:rPr>
          <w:rFonts w:eastAsiaTheme="majorEastAsia" w:cstheme="minorHAnsi"/>
          <w:b/>
          <w:bCs/>
          <w:kern w:val="32"/>
        </w:rPr>
      </w:pPr>
    </w:p>
    <w:p w14:paraId="07A598A1" w14:textId="606BDBCA" w:rsidR="00912146" w:rsidRPr="0050147F" w:rsidRDefault="00912146" w:rsidP="0050147F">
      <w:pPr>
        <w:rPr>
          <w:rFonts w:eastAsiaTheme="majorEastAsia" w:cstheme="minorHAnsi"/>
          <w:b/>
          <w:bCs/>
          <w:kern w:val="32"/>
        </w:rPr>
      </w:pPr>
      <w:r w:rsidRPr="0050147F">
        <w:rPr>
          <w:rFonts w:eastAsiaTheme="majorEastAsia" w:cstheme="minorHAnsi"/>
          <w:b/>
          <w:bCs/>
          <w:kern w:val="32"/>
        </w:rPr>
        <w:t xml:space="preserve">Sub-category A: Cakes - Retail </w:t>
      </w:r>
    </w:p>
    <w:p w14:paraId="76DD08F7" w14:textId="77777777" w:rsidR="00912146" w:rsidRPr="0072271A" w:rsidRDefault="00912146" w:rsidP="00912146">
      <w:pPr>
        <w:pStyle w:val="Default"/>
        <w:rPr>
          <w:rFonts w:asciiTheme="minorHAnsi" w:hAnsiTheme="minorHAnsi" w:cstheme="minorHAnsi"/>
          <w:sz w:val="22"/>
          <w:szCs w:val="22"/>
        </w:rPr>
      </w:pPr>
      <w:r w:rsidRPr="0072271A">
        <w:rPr>
          <w:rFonts w:asciiTheme="minorHAnsi" w:hAnsiTheme="minorHAnsi" w:cstheme="minorBidi"/>
          <w:b/>
          <w:sz w:val="22"/>
          <w:szCs w:val="22"/>
        </w:rPr>
        <w:t xml:space="preserve">Subcategory definition: </w:t>
      </w:r>
    </w:p>
    <w:p w14:paraId="18ADD994" w14:textId="77777777" w:rsidR="00912146" w:rsidRPr="0072271A" w:rsidRDefault="00912146" w:rsidP="00912146">
      <w:pPr>
        <w:pStyle w:val="Default"/>
        <w:rPr>
          <w:rFonts w:eastAsia="Calibri"/>
          <w:color w:val="auto"/>
          <w:sz w:val="22"/>
          <w:szCs w:val="22"/>
        </w:rPr>
      </w:pPr>
      <w:r w:rsidRPr="0072271A">
        <w:rPr>
          <w:rFonts w:asciiTheme="minorHAnsi" w:hAnsiTheme="minorHAnsi" w:cstheme="minorBidi"/>
          <w:sz w:val="22"/>
          <w:szCs w:val="22"/>
        </w:rPr>
        <w:t xml:space="preserve">Freshly baked, </w:t>
      </w:r>
      <w:proofErr w:type="gramStart"/>
      <w:r w:rsidRPr="0072271A">
        <w:rPr>
          <w:rFonts w:asciiTheme="minorHAnsi" w:hAnsiTheme="minorHAnsi" w:cstheme="minorBidi"/>
          <w:sz w:val="22"/>
          <w:szCs w:val="22"/>
        </w:rPr>
        <w:t>frozen</w:t>
      </w:r>
      <w:proofErr w:type="gramEnd"/>
      <w:r w:rsidRPr="0072271A">
        <w:rPr>
          <w:rFonts w:asciiTheme="minorHAnsi" w:hAnsiTheme="minorHAnsi" w:cstheme="minorBidi"/>
          <w:sz w:val="22"/>
          <w:szCs w:val="22"/>
        </w:rPr>
        <w:t xml:space="preserve"> or shelf-stable cakes sold in retail. Includes cake sold whole or pre-portioned (with or </w:t>
      </w:r>
      <w:r w:rsidRPr="0072271A">
        <w:rPr>
          <w:rFonts w:asciiTheme="minorHAnsi" w:hAnsiTheme="minorHAnsi" w:cstheme="minorBidi"/>
          <w:color w:val="auto"/>
          <w:sz w:val="22"/>
          <w:szCs w:val="22"/>
        </w:rPr>
        <w:t>without toppings), or cupcakes with a frosting or a coating. Includes packet baking mixes.</w:t>
      </w:r>
    </w:p>
    <w:p w14:paraId="6080C154" w14:textId="77777777" w:rsidR="00912146" w:rsidRPr="001F1DA4" w:rsidRDefault="00912146" w:rsidP="00912146">
      <w:pPr>
        <w:pStyle w:val="Default"/>
        <w:rPr>
          <w:rFonts w:asciiTheme="minorHAnsi" w:hAnsiTheme="minorHAnsi" w:cstheme="minorHAnsi"/>
          <w:b/>
          <w:bCs/>
          <w:color w:val="auto"/>
          <w:sz w:val="20"/>
          <w:szCs w:val="20"/>
        </w:rPr>
      </w:pPr>
    </w:p>
    <w:p w14:paraId="4685A70E" w14:textId="77777777" w:rsidR="00912146" w:rsidRPr="001F1DA4" w:rsidRDefault="00912146" w:rsidP="00912146">
      <w:pPr>
        <w:pStyle w:val="Default"/>
        <w:rPr>
          <w:rFonts w:asciiTheme="minorHAnsi" w:hAnsiTheme="minorHAnsi" w:cstheme="minorBidi"/>
          <w:color w:val="auto"/>
          <w:sz w:val="23"/>
          <w:szCs w:val="23"/>
        </w:rPr>
      </w:pPr>
      <w:r w:rsidRPr="001F1DA4">
        <w:rPr>
          <w:rFonts w:asciiTheme="minorHAnsi" w:hAnsiTheme="minorHAnsi" w:cstheme="minorBidi"/>
          <w:b/>
          <w:color w:val="auto"/>
          <w:sz w:val="20"/>
          <w:szCs w:val="20"/>
        </w:rPr>
        <w:t xml:space="preserve">Table </w:t>
      </w:r>
      <w:r>
        <w:rPr>
          <w:rFonts w:asciiTheme="minorHAnsi" w:hAnsiTheme="minorHAnsi" w:cstheme="minorBidi"/>
          <w:b/>
          <w:color w:val="auto"/>
          <w:sz w:val="20"/>
          <w:szCs w:val="20"/>
        </w:rPr>
        <w:t>3</w:t>
      </w:r>
      <w:r w:rsidRPr="001F1DA4">
        <w:rPr>
          <w:rFonts w:asciiTheme="minorHAnsi" w:hAnsiTheme="minorHAnsi" w:cstheme="minorBidi"/>
          <w:b/>
          <w:color w:val="auto"/>
          <w:sz w:val="20"/>
          <w:szCs w:val="20"/>
        </w:rPr>
        <w:t>: Cakes – Retail</w:t>
      </w:r>
    </w:p>
    <w:tbl>
      <w:tblPr>
        <w:tblStyle w:val="TableGrid4"/>
        <w:tblW w:w="9459" w:type="dxa"/>
        <w:tblLayout w:type="fixed"/>
        <w:tblLook w:val="0000" w:firstRow="0" w:lastRow="0" w:firstColumn="0" w:lastColumn="0" w:noHBand="0" w:noVBand="0"/>
      </w:tblPr>
      <w:tblGrid>
        <w:gridCol w:w="4729"/>
        <w:gridCol w:w="4730"/>
      </w:tblGrid>
      <w:tr w:rsidR="00573030" w:rsidRPr="0013051D" w14:paraId="3E788BED" w14:textId="77777777" w:rsidTr="00B640FD">
        <w:trPr>
          <w:trHeight w:val="120"/>
        </w:trPr>
        <w:tc>
          <w:tcPr>
            <w:tcW w:w="4729" w:type="dxa"/>
          </w:tcPr>
          <w:p w14:paraId="1066A160"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Inclusions </w:t>
            </w:r>
          </w:p>
        </w:tc>
        <w:tc>
          <w:tcPr>
            <w:tcW w:w="4730" w:type="dxa"/>
          </w:tcPr>
          <w:p w14:paraId="4C4998D2"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Exclusions </w:t>
            </w:r>
          </w:p>
        </w:tc>
      </w:tr>
      <w:tr w:rsidR="00573030" w:rsidRPr="0013051D" w14:paraId="46DD2A32" w14:textId="77777777" w:rsidTr="00B640FD">
        <w:trPr>
          <w:trHeight w:val="2542"/>
        </w:trPr>
        <w:tc>
          <w:tcPr>
            <w:tcW w:w="4729" w:type="dxa"/>
          </w:tcPr>
          <w:p w14:paraId="319CE28F"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iced and un-iced cakes (all flavours), pre-portioned coated cakes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lamingtons), cupcakes with or without a frosting/icing or a coating, cake rolls (e.g. Swiss rolls), cake bars and brownies. </w:t>
            </w:r>
          </w:p>
          <w:p w14:paraId="6AAC4B28" w14:textId="77777777" w:rsidR="00912146" w:rsidRPr="0013051D" w:rsidRDefault="00912146" w:rsidP="00AE496B">
            <w:pPr>
              <w:pStyle w:val="Default"/>
              <w:rPr>
                <w:rFonts w:asciiTheme="minorHAnsi" w:hAnsiTheme="minorHAnsi" w:cstheme="minorHAnsi"/>
                <w:color w:val="auto"/>
                <w:sz w:val="22"/>
                <w:szCs w:val="22"/>
              </w:rPr>
            </w:pPr>
          </w:p>
          <w:p w14:paraId="6ECC3B1C"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Includes pre-portioned or whole banana breads and similar products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pear bread or berry bread) with or without nuts, seeds or chocolate chips added.</w:t>
            </w:r>
          </w:p>
          <w:p w14:paraId="2C048B7F" w14:textId="77777777" w:rsidR="00912146" w:rsidRPr="0013051D" w:rsidRDefault="00912146" w:rsidP="00AE496B">
            <w:pPr>
              <w:pStyle w:val="Default"/>
              <w:rPr>
                <w:rFonts w:asciiTheme="minorHAnsi" w:hAnsiTheme="minorHAnsi" w:cstheme="minorHAnsi"/>
                <w:color w:val="auto"/>
                <w:sz w:val="22"/>
                <w:szCs w:val="22"/>
              </w:rPr>
            </w:pPr>
          </w:p>
          <w:p w14:paraId="45685763"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Includes products available as ready-to-eat, frozen, </w:t>
            </w:r>
            <w:proofErr w:type="gramStart"/>
            <w:r w:rsidRPr="0013051D">
              <w:rPr>
                <w:rFonts w:asciiTheme="minorHAnsi" w:hAnsiTheme="minorHAnsi" w:cstheme="minorHAnsi"/>
                <w:color w:val="auto"/>
                <w:sz w:val="22"/>
                <w:szCs w:val="22"/>
              </w:rPr>
              <w:t>chilled</w:t>
            </w:r>
            <w:proofErr w:type="gramEnd"/>
            <w:r w:rsidRPr="0013051D">
              <w:rPr>
                <w:rFonts w:asciiTheme="minorHAnsi" w:hAnsiTheme="minorHAnsi" w:cstheme="minorHAnsi"/>
                <w:color w:val="auto"/>
                <w:sz w:val="22"/>
                <w:szCs w:val="22"/>
              </w:rPr>
              <w:t xml:space="preserve"> or shelf-stable products, with or without fillings or decorations such as jam, cream, nuts or sprinkles. Includes packet baking mixes.</w:t>
            </w:r>
          </w:p>
          <w:p w14:paraId="4EED390C" w14:textId="77777777" w:rsidR="00912146" w:rsidRPr="0013051D" w:rsidRDefault="00912146" w:rsidP="00AE496B">
            <w:pPr>
              <w:pStyle w:val="Default"/>
              <w:rPr>
                <w:rFonts w:asciiTheme="minorHAnsi" w:hAnsiTheme="minorHAnsi" w:cstheme="minorHAnsi"/>
                <w:color w:val="auto"/>
                <w:sz w:val="22"/>
                <w:szCs w:val="22"/>
              </w:rPr>
            </w:pPr>
          </w:p>
          <w:p w14:paraId="7DB25128"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Includes gluten-free alternatives.</w:t>
            </w:r>
          </w:p>
          <w:p w14:paraId="3CE05688" w14:textId="77777777" w:rsidR="00912146" w:rsidRPr="0013051D" w:rsidRDefault="00912146" w:rsidP="00AE496B">
            <w:pPr>
              <w:pStyle w:val="Default"/>
              <w:rPr>
                <w:rFonts w:asciiTheme="minorHAnsi" w:hAnsiTheme="minorHAnsi" w:cstheme="minorHAnsi"/>
                <w:color w:val="auto"/>
                <w:sz w:val="22"/>
                <w:szCs w:val="22"/>
              </w:rPr>
            </w:pPr>
          </w:p>
          <w:p w14:paraId="05646192"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May be sold as individual serves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individual cake slice), as a multipack (e.g. pack of lamingtons or cake bars), pre-sliced </w:t>
            </w:r>
          </w:p>
          <w:p w14:paraId="76FFE06C"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a whole cake already sliced) or whole unsliced cake/loaf. </w:t>
            </w:r>
          </w:p>
        </w:tc>
        <w:tc>
          <w:tcPr>
            <w:tcW w:w="4730" w:type="dxa"/>
          </w:tcPr>
          <w:p w14:paraId="51518CE3" w14:textId="77777777" w:rsidR="00912146" w:rsidRPr="0013051D" w:rsidRDefault="00912146" w:rsidP="00AE496B">
            <w:pPr>
              <w:pStyle w:val="Default"/>
              <w:rPr>
                <w:rFonts w:asciiTheme="minorHAnsi" w:hAnsiTheme="minorHAnsi" w:cstheme="minorHAnsi"/>
                <w:strike/>
                <w:color w:val="auto"/>
                <w:sz w:val="22"/>
                <w:szCs w:val="22"/>
              </w:rPr>
            </w:pPr>
            <w:r w:rsidRPr="0013051D">
              <w:rPr>
                <w:rFonts w:asciiTheme="minorHAnsi" w:hAnsiTheme="minorHAnsi" w:cstheme="minorHAnsi"/>
                <w:color w:val="auto"/>
                <w:sz w:val="22"/>
                <w:szCs w:val="22"/>
              </w:rPr>
              <w:t>Meringue</w:t>
            </w:r>
            <w:r w:rsidRPr="0013051D" w:rsidDel="1DB57F7D">
              <w:rPr>
                <w:rFonts w:asciiTheme="minorHAnsi" w:hAnsiTheme="minorHAnsi" w:cstheme="minorHAnsi"/>
                <w:color w:val="auto"/>
                <w:sz w:val="22"/>
                <w:szCs w:val="22"/>
              </w:rPr>
              <w:t>s</w:t>
            </w:r>
            <w:r w:rsidRPr="0013051D">
              <w:rPr>
                <w:rFonts w:asciiTheme="minorHAnsi" w:hAnsiTheme="minorHAnsi" w:cstheme="minorHAnsi"/>
                <w:color w:val="auto"/>
                <w:sz w:val="22"/>
                <w:szCs w:val="22"/>
              </w:rPr>
              <w:t xml:space="preserve">,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13051D">
              <w:rPr>
                <w:rFonts w:asciiTheme="minorHAnsi" w:hAnsiTheme="minorHAnsi" w:cstheme="minorHAnsi"/>
                <w:color w:val="auto"/>
                <w:sz w:val="22"/>
                <w:szCs w:val="22"/>
              </w:rPr>
              <w:t>sfogliatelle</w:t>
            </w:r>
            <w:proofErr w:type="spellEnd"/>
            <w:r w:rsidRPr="0013051D">
              <w:rPr>
                <w:rFonts w:asciiTheme="minorHAnsi" w:hAnsiTheme="minorHAnsi" w:cstheme="minorHAnsi"/>
                <w:color w:val="auto"/>
                <w:sz w:val="22"/>
                <w:szCs w:val="22"/>
              </w:rPr>
              <w:t xml:space="preserve">, zeppole, cannoli, sweet pies), fruit pies, tarts, crumbles, doughnuts (all varieties), churros, profiteroles, custards, protein balls, eclairs, sweet biscuits and cookies. </w:t>
            </w:r>
          </w:p>
          <w:p w14:paraId="4096D1D5" w14:textId="77777777" w:rsidR="00912146" w:rsidRPr="0013051D" w:rsidRDefault="00912146" w:rsidP="00AE496B">
            <w:pPr>
              <w:pStyle w:val="Default"/>
              <w:rPr>
                <w:rFonts w:asciiTheme="minorHAnsi" w:eastAsia="Calibri" w:hAnsiTheme="minorHAnsi" w:cstheme="minorHAnsi"/>
                <w:color w:val="auto"/>
                <w:sz w:val="22"/>
                <w:szCs w:val="22"/>
              </w:rPr>
            </w:pPr>
          </w:p>
          <w:p w14:paraId="74FCAB66" w14:textId="50933266"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puddings and desserts (</w:t>
            </w:r>
            <w:proofErr w:type="gramStart"/>
            <w:r w:rsidRPr="0013051D">
              <w:rPr>
                <w:rFonts w:asciiTheme="minorHAnsi" w:hAnsiTheme="minorHAnsi" w:cstheme="minorHAnsi"/>
                <w:color w:val="auto"/>
                <w:sz w:val="22"/>
                <w:szCs w:val="22"/>
              </w:rPr>
              <w:t>e.g</w:t>
            </w:r>
            <w:r w:rsidR="007E641E">
              <w:rPr>
                <w:rFonts w:asciiTheme="minorHAnsi" w:hAnsiTheme="minorHAnsi" w:cstheme="minorHAnsi"/>
                <w:color w:val="auto"/>
                <w:sz w:val="22"/>
                <w:szCs w:val="22"/>
              </w:rPr>
              <w:t>.</w:t>
            </w:r>
            <w:proofErr w:type="gramEnd"/>
            <w:r w:rsidRPr="0013051D">
              <w:rPr>
                <w:rFonts w:asciiTheme="minorHAnsi" w:hAnsiTheme="minorHAnsi" w:cstheme="minorHAnsi"/>
                <w:color w:val="auto"/>
                <w:sz w:val="22"/>
                <w:szCs w:val="22"/>
              </w:rPr>
              <w:t xml:space="preserve"> sticky date pudding, crème </w:t>
            </w:r>
            <w:proofErr w:type="spellStart"/>
            <w:r w:rsidRPr="0013051D">
              <w:rPr>
                <w:rFonts w:asciiTheme="minorHAnsi" w:hAnsiTheme="minorHAnsi" w:cstheme="minorHAnsi"/>
                <w:color w:val="auto"/>
                <w:sz w:val="22"/>
                <w:szCs w:val="22"/>
              </w:rPr>
              <w:t>brûlée</w:t>
            </w:r>
            <w:proofErr w:type="spellEnd"/>
            <w:r w:rsidRPr="0013051D">
              <w:rPr>
                <w:rFonts w:asciiTheme="minorHAnsi" w:hAnsiTheme="minorHAnsi" w:cstheme="minorHAnsi"/>
                <w:color w:val="auto"/>
                <w:sz w:val="22"/>
                <w:szCs w:val="22"/>
              </w:rPr>
              <w:t>, ice-cream and panna cotta).</w:t>
            </w:r>
          </w:p>
          <w:p w14:paraId="1C484BC9" w14:textId="77777777" w:rsidR="00912146" w:rsidRPr="0013051D" w:rsidRDefault="00912146" w:rsidP="00AE496B">
            <w:pPr>
              <w:pStyle w:val="Default"/>
              <w:rPr>
                <w:rFonts w:asciiTheme="minorHAnsi" w:eastAsia="Calibri" w:hAnsiTheme="minorHAnsi" w:cstheme="minorHAnsi"/>
                <w:color w:val="auto"/>
                <w:sz w:val="22"/>
                <w:szCs w:val="22"/>
              </w:rPr>
            </w:pPr>
          </w:p>
          <w:p w14:paraId="1C902EDF"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All muffins and muffin bars (all flavours,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chocolate, banana, bran, coconut, orange and poppy seed, raspberry and white </w:t>
            </w:r>
          </w:p>
          <w:p w14:paraId="6262D41C"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chocolate). </w:t>
            </w:r>
          </w:p>
          <w:p w14:paraId="047031BC" w14:textId="77777777" w:rsidR="00912146" w:rsidRPr="0013051D" w:rsidRDefault="00912146" w:rsidP="00AE496B">
            <w:pPr>
              <w:pStyle w:val="Default"/>
              <w:rPr>
                <w:rFonts w:asciiTheme="minorHAnsi" w:hAnsiTheme="minorHAnsi" w:cstheme="minorHAnsi"/>
                <w:color w:val="auto"/>
                <w:sz w:val="22"/>
                <w:szCs w:val="22"/>
              </w:rPr>
            </w:pPr>
          </w:p>
          <w:p w14:paraId="5F309A90"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slices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hedgehogs, caramel slice, vanilla slice, coconut and jam slice, slices containing meringue or jelly). </w:t>
            </w:r>
          </w:p>
          <w:p w14:paraId="66A67907" w14:textId="77777777" w:rsidR="00912146" w:rsidRPr="0013051D" w:rsidRDefault="00912146" w:rsidP="00AE496B">
            <w:pPr>
              <w:pStyle w:val="Default"/>
              <w:rPr>
                <w:rFonts w:asciiTheme="minorHAnsi" w:hAnsiTheme="minorHAnsi" w:cstheme="minorHAnsi"/>
                <w:color w:val="auto"/>
                <w:sz w:val="22"/>
                <w:szCs w:val="22"/>
              </w:rPr>
            </w:pPr>
          </w:p>
          <w:p w14:paraId="1B7DDEE8"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Savoury products including savoury muffins, savoury </w:t>
            </w:r>
            <w:proofErr w:type="gramStart"/>
            <w:r w:rsidRPr="0013051D">
              <w:rPr>
                <w:rFonts w:asciiTheme="minorHAnsi" w:hAnsiTheme="minorHAnsi" w:cstheme="minorHAnsi"/>
                <w:color w:val="auto"/>
                <w:sz w:val="22"/>
                <w:szCs w:val="22"/>
              </w:rPr>
              <w:t>tarts</w:t>
            </w:r>
            <w:proofErr w:type="gramEnd"/>
            <w:r w:rsidRPr="0013051D">
              <w:rPr>
                <w:rFonts w:asciiTheme="minorHAnsi" w:hAnsiTheme="minorHAnsi" w:cstheme="minorHAnsi"/>
                <w:color w:val="auto"/>
                <w:sz w:val="22"/>
                <w:szCs w:val="22"/>
              </w:rPr>
              <w:t xml:space="preserve"> or slices. </w:t>
            </w:r>
          </w:p>
        </w:tc>
      </w:tr>
    </w:tbl>
    <w:p w14:paraId="6A8418A6" w14:textId="77777777" w:rsidR="00BD49F2" w:rsidRDefault="00BD49F2" w:rsidP="0050147F">
      <w:pPr>
        <w:rPr>
          <w:rFonts w:eastAsiaTheme="majorEastAsia" w:cstheme="minorHAnsi"/>
          <w:b/>
          <w:bCs/>
          <w:kern w:val="32"/>
        </w:rPr>
      </w:pPr>
      <w:r>
        <w:rPr>
          <w:rFonts w:eastAsiaTheme="majorEastAsia" w:cstheme="minorHAnsi"/>
          <w:b/>
          <w:bCs/>
          <w:kern w:val="32"/>
        </w:rPr>
        <w:br/>
      </w:r>
    </w:p>
    <w:p w14:paraId="2CC7CEEC" w14:textId="77777777" w:rsidR="006774BC" w:rsidRDefault="006774BC" w:rsidP="0050147F">
      <w:pPr>
        <w:rPr>
          <w:rFonts w:eastAsiaTheme="majorEastAsia" w:cstheme="minorHAnsi"/>
          <w:b/>
          <w:bCs/>
          <w:kern w:val="32"/>
        </w:rPr>
      </w:pPr>
    </w:p>
    <w:p w14:paraId="7EB9B53F" w14:textId="77777777" w:rsidR="006774BC" w:rsidRDefault="006774BC" w:rsidP="0050147F">
      <w:pPr>
        <w:rPr>
          <w:rFonts w:eastAsiaTheme="majorEastAsia" w:cstheme="minorHAnsi"/>
          <w:b/>
          <w:bCs/>
          <w:kern w:val="32"/>
        </w:rPr>
      </w:pPr>
    </w:p>
    <w:p w14:paraId="6D9E2064" w14:textId="77777777" w:rsidR="006774BC" w:rsidRDefault="006774BC" w:rsidP="0050147F">
      <w:pPr>
        <w:rPr>
          <w:rFonts w:eastAsiaTheme="majorEastAsia" w:cstheme="minorHAnsi"/>
          <w:b/>
          <w:bCs/>
          <w:kern w:val="32"/>
        </w:rPr>
      </w:pPr>
    </w:p>
    <w:p w14:paraId="37CFCE0C" w14:textId="356B3A08" w:rsidR="00912146" w:rsidRPr="0050147F" w:rsidRDefault="00912146" w:rsidP="0050147F">
      <w:pPr>
        <w:rPr>
          <w:rFonts w:eastAsiaTheme="majorEastAsia" w:cstheme="minorHAnsi"/>
          <w:b/>
          <w:bCs/>
          <w:kern w:val="32"/>
        </w:rPr>
      </w:pPr>
      <w:r w:rsidRPr="0050147F">
        <w:rPr>
          <w:rFonts w:eastAsiaTheme="majorEastAsia" w:cstheme="minorHAnsi"/>
          <w:b/>
          <w:bCs/>
          <w:kern w:val="32"/>
        </w:rPr>
        <w:lastRenderedPageBreak/>
        <w:t>Sub-category B: Muffins - Retail</w:t>
      </w:r>
    </w:p>
    <w:p w14:paraId="3A20620D" w14:textId="77777777" w:rsidR="00912146" w:rsidRPr="0072271A" w:rsidRDefault="00912146" w:rsidP="00912146">
      <w:pPr>
        <w:pStyle w:val="Default"/>
        <w:keepNext/>
        <w:rPr>
          <w:rFonts w:asciiTheme="minorHAnsi" w:hAnsiTheme="minorHAnsi" w:cstheme="minorHAnsi"/>
          <w:sz w:val="22"/>
          <w:szCs w:val="22"/>
        </w:rPr>
      </w:pPr>
      <w:r w:rsidRPr="0072271A">
        <w:rPr>
          <w:rFonts w:asciiTheme="minorHAnsi" w:hAnsiTheme="minorHAnsi" w:cstheme="minorHAnsi"/>
          <w:b/>
          <w:bCs/>
          <w:sz w:val="22"/>
          <w:szCs w:val="22"/>
        </w:rPr>
        <w:t xml:space="preserve">Subcategory definition: </w:t>
      </w:r>
    </w:p>
    <w:p w14:paraId="075E4F56" w14:textId="77777777" w:rsidR="00912146" w:rsidRPr="0072271A" w:rsidRDefault="00912146" w:rsidP="00912146">
      <w:pPr>
        <w:pStyle w:val="Default"/>
        <w:rPr>
          <w:rFonts w:asciiTheme="minorHAnsi" w:hAnsiTheme="minorHAnsi" w:cstheme="minorBidi"/>
          <w:color w:val="auto"/>
          <w:sz w:val="22"/>
          <w:szCs w:val="22"/>
        </w:rPr>
      </w:pPr>
      <w:r w:rsidRPr="0072271A">
        <w:rPr>
          <w:rFonts w:asciiTheme="minorHAnsi" w:hAnsiTheme="minorHAnsi" w:cstheme="minorBidi"/>
          <w:color w:val="auto"/>
          <w:sz w:val="22"/>
          <w:szCs w:val="22"/>
        </w:rPr>
        <w:t>Freshly baked, frozen or shelf-stable muffins with or without a light topping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crumbs, dusted with icing sugar, chocolate drizzle), sold in retail in pre-portioned servings. Includes packet baking mixes. </w:t>
      </w:r>
    </w:p>
    <w:p w14:paraId="48165C13" w14:textId="77777777" w:rsidR="00912146" w:rsidRPr="0072271A" w:rsidRDefault="00912146" w:rsidP="00912146">
      <w:pPr>
        <w:pStyle w:val="Default"/>
        <w:rPr>
          <w:rFonts w:asciiTheme="minorHAnsi" w:hAnsiTheme="minorHAnsi" w:cstheme="minorBidi"/>
          <w:b/>
          <w:color w:val="auto"/>
          <w:sz w:val="22"/>
          <w:szCs w:val="22"/>
        </w:rPr>
      </w:pPr>
    </w:p>
    <w:p w14:paraId="1CD729D5" w14:textId="77777777" w:rsidR="00912146" w:rsidRPr="0072271A" w:rsidRDefault="00912146" w:rsidP="00912146">
      <w:pPr>
        <w:pStyle w:val="Default"/>
        <w:rPr>
          <w:rFonts w:asciiTheme="minorHAnsi" w:hAnsiTheme="minorHAnsi" w:cstheme="minorBidi"/>
          <w:color w:val="auto"/>
          <w:sz w:val="20"/>
          <w:szCs w:val="20"/>
        </w:rPr>
      </w:pPr>
      <w:r w:rsidRPr="0072271A">
        <w:rPr>
          <w:rFonts w:asciiTheme="minorHAnsi" w:hAnsiTheme="minorHAnsi" w:cstheme="minorBidi"/>
          <w:b/>
          <w:color w:val="auto"/>
          <w:sz w:val="20"/>
          <w:szCs w:val="20"/>
        </w:rPr>
        <w:t xml:space="preserve">Table </w:t>
      </w:r>
      <w:r>
        <w:rPr>
          <w:rFonts w:asciiTheme="minorHAnsi" w:hAnsiTheme="minorHAnsi" w:cstheme="minorBidi"/>
          <w:b/>
          <w:color w:val="auto"/>
          <w:sz w:val="20"/>
          <w:szCs w:val="20"/>
        </w:rPr>
        <w:t>4</w:t>
      </w:r>
      <w:r w:rsidRPr="0072271A">
        <w:rPr>
          <w:rFonts w:asciiTheme="minorHAnsi" w:hAnsiTheme="minorHAnsi" w:cstheme="minorBidi"/>
          <w:b/>
          <w:color w:val="auto"/>
          <w:sz w:val="20"/>
          <w:szCs w:val="20"/>
        </w:rPr>
        <w:t>: Muffins - Retail</w:t>
      </w:r>
    </w:p>
    <w:tbl>
      <w:tblPr>
        <w:tblStyle w:val="TableGrid4"/>
        <w:tblW w:w="9458" w:type="dxa"/>
        <w:tblLayout w:type="fixed"/>
        <w:tblLook w:val="0000" w:firstRow="0" w:lastRow="0" w:firstColumn="0" w:lastColumn="0" w:noHBand="0" w:noVBand="0"/>
      </w:tblPr>
      <w:tblGrid>
        <w:gridCol w:w="4729"/>
        <w:gridCol w:w="4729"/>
      </w:tblGrid>
      <w:tr w:rsidR="00573030" w:rsidRPr="0013051D" w14:paraId="1D1DA353" w14:textId="77777777" w:rsidTr="00B640FD">
        <w:trPr>
          <w:trHeight w:val="120"/>
        </w:trPr>
        <w:tc>
          <w:tcPr>
            <w:tcW w:w="4729" w:type="dxa"/>
          </w:tcPr>
          <w:p w14:paraId="056C9D8F"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Inclusions </w:t>
            </w:r>
          </w:p>
        </w:tc>
        <w:tc>
          <w:tcPr>
            <w:tcW w:w="4729" w:type="dxa"/>
          </w:tcPr>
          <w:p w14:paraId="32E52DDF"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Exclusions </w:t>
            </w:r>
          </w:p>
        </w:tc>
      </w:tr>
      <w:tr w:rsidR="00573030" w:rsidRPr="0013051D" w14:paraId="553EB325" w14:textId="77777777" w:rsidTr="00B640FD">
        <w:tc>
          <w:tcPr>
            <w:tcW w:w="4729" w:type="dxa"/>
          </w:tcPr>
          <w:p w14:paraId="150F5C6E" w14:textId="77777777" w:rsidR="00912146" w:rsidRPr="0013051D" w:rsidRDefault="00912146" w:rsidP="00AE496B">
            <w:pPr>
              <w:pStyle w:val="Default"/>
              <w:spacing w:after="240"/>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All muffins and muffin bars (all flavours). </w:t>
            </w:r>
          </w:p>
          <w:p w14:paraId="0959A10F"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Includes products available as ready-to-eat frozen, </w:t>
            </w:r>
            <w:proofErr w:type="gramStart"/>
            <w:r w:rsidRPr="0013051D">
              <w:rPr>
                <w:rFonts w:asciiTheme="minorHAnsi" w:hAnsiTheme="minorHAnsi" w:cstheme="minorHAnsi"/>
                <w:color w:val="auto"/>
                <w:sz w:val="22"/>
                <w:szCs w:val="22"/>
              </w:rPr>
              <w:t>chilled</w:t>
            </w:r>
            <w:proofErr w:type="gramEnd"/>
            <w:r w:rsidRPr="0013051D">
              <w:rPr>
                <w:rFonts w:asciiTheme="minorHAnsi" w:hAnsiTheme="minorHAnsi" w:cstheme="minorHAnsi"/>
                <w:color w:val="auto"/>
                <w:sz w:val="22"/>
                <w:szCs w:val="22"/>
              </w:rPr>
              <w:t xml:space="preserve"> or shelf-stable products, with or without toppings, fillings or decorations such as icing, jam, cream, nuts or sprinkles. Includes packet baking mixes. Includes gluten-free alternatives.</w:t>
            </w:r>
          </w:p>
          <w:p w14:paraId="4E847FA9"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 </w:t>
            </w:r>
          </w:p>
          <w:p w14:paraId="4C224D9C"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May be sold as individual serves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one muffin), or as a multipack (e.g. 6 muffins). </w:t>
            </w:r>
          </w:p>
        </w:tc>
        <w:tc>
          <w:tcPr>
            <w:tcW w:w="4729" w:type="dxa"/>
          </w:tcPr>
          <w:p w14:paraId="5B0843FE" w14:textId="77777777" w:rsidR="00912146" w:rsidRPr="0013051D" w:rsidRDefault="00912146" w:rsidP="00AE496B">
            <w:pPr>
              <w:pStyle w:val="Default"/>
              <w:rPr>
                <w:rFonts w:asciiTheme="minorHAnsi" w:eastAsia="Calibri" w:hAnsiTheme="minorHAnsi" w:cstheme="minorHAnsi"/>
                <w:color w:val="auto"/>
                <w:sz w:val="22"/>
                <w:szCs w:val="22"/>
              </w:rPr>
            </w:pPr>
            <w:r w:rsidRPr="0013051D">
              <w:rPr>
                <w:rFonts w:asciiTheme="minorHAnsi" w:hAnsiTheme="minorHAnsi" w:cstheme="minorHAnsi"/>
                <w:color w:val="auto"/>
                <w:sz w:val="22"/>
                <w:szCs w:val="22"/>
              </w:rPr>
              <w:t xml:space="preserve">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w:t>
            </w:r>
            <w:proofErr w:type="spellStart"/>
            <w:r w:rsidRPr="0013051D">
              <w:rPr>
                <w:rFonts w:asciiTheme="minorHAnsi" w:hAnsiTheme="minorHAnsi" w:cstheme="minorHAnsi"/>
                <w:color w:val="auto"/>
                <w:sz w:val="22"/>
                <w:szCs w:val="22"/>
              </w:rPr>
              <w:t>danishes</w:t>
            </w:r>
            <w:proofErr w:type="spellEnd"/>
            <w:r w:rsidRPr="0013051D">
              <w:rPr>
                <w:rFonts w:asciiTheme="minorHAnsi" w:hAnsiTheme="minorHAnsi" w:cstheme="minorHAnsi"/>
                <w:color w:val="auto"/>
                <w:sz w:val="22"/>
                <w:szCs w:val="22"/>
              </w:rPr>
              <w:t xml:space="preserve">, strudels, </w:t>
            </w:r>
            <w:proofErr w:type="spellStart"/>
            <w:r w:rsidRPr="0013051D">
              <w:rPr>
                <w:rFonts w:asciiTheme="minorHAnsi" w:hAnsiTheme="minorHAnsi" w:cstheme="minorHAnsi"/>
                <w:color w:val="auto"/>
                <w:sz w:val="22"/>
                <w:szCs w:val="22"/>
              </w:rPr>
              <w:t>sfogliatelle</w:t>
            </w:r>
            <w:proofErr w:type="spellEnd"/>
            <w:r w:rsidRPr="0013051D">
              <w:rPr>
                <w:rFonts w:asciiTheme="minorHAnsi" w:hAnsiTheme="minorHAnsi" w:cstheme="minorHAnsi"/>
                <w:color w:val="auto"/>
                <w:sz w:val="22"/>
                <w:szCs w:val="22"/>
              </w:rPr>
              <w:t xml:space="preserve">, zeppole, cannoli, sweet pies), sweet biscuits, fruit pies, tarts, crumbles, doughnuts (all varieties), churros, profiteroles, custards, protein balls, eclairs, biscuits and cookies. </w:t>
            </w:r>
          </w:p>
          <w:p w14:paraId="67255DCF" w14:textId="77777777" w:rsidR="00912146" w:rsidRPr="0013051D" w:rsidRDefault="00912146" w:rsidP="00AE496B">
            <w:pPr>
              <w:pStyle w:val="Default"/>
              <w:rPr>
                <w:rFonts w:asciiTheme="minorHAnsi" w:hAnsiTheme="minorHAnsi" w:cstheme="minorHAnsi"/>
                <w:color w:val="auto"/>
                <w:sz w:val="22"/>
                <w:szCs w:val="22"/>
              </w:rPr>
            </w:pPr>
          </w:p>
          <w:p w14:paraId="1F8CB5AD" w14:textId="501BAB9B"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puddings and desserts (</w:t>
            </w:r>
            <w:proofErr w:type="gramStart"/>
            <w:r w:rsidRPr="0013051D">
              <w:rPr>
                <w:rFonts w:asciiTheme="minorHAnsi" w:hAnsiTheme="minorHAnsi" w:cstheme="minorHAnsi"/>
                <w:color w:val="auto"/>
                <w:sz w:val="22"/>
                <w:szCs w:val="22"/>
              </w:rPr>
              <w:t>e.g</w:t>
            </w:r>
            <w:r w:rsidR="007E641E">
              <w:rPr>
                <w:rFonts w:asciiTheme="minorHAnsi" w:hAnsiTheme="minorHAnsi" w:cstheme="minorHAnsi"/>
                <w:color w:val="auto"/>
                <w:sz w:val="22"/>
                <w:szCs w:val="22"/>
              </w:rPr>
              <w:t>.</w:t>
            </w:r>
            <w:proofErr w:type="gramEnd"/>
            <w:r w:rsidRPr="0013051D">
              <w:rPr>
                <w:rFonts w:asciiTheme="minorHAnsi" w:hAnsiTheme="minorHAnsi" w:cstheme="minorHAnsi"/>
                <w:color w:val="auto"/>
                <w:sz w:val="22"/>
                <w:szCs w:val="22"/>
              </w:rPr>
              <w:t xml:space="preserve"> sticky date pudding, crème </w:t>
            </w:r>
            <w:proofErr w:type="spellStart"/>
            <w:r w:rsidRPr="0013051D">
              <w:rPr>
                <w:rFonts w:asciiTheme="minorHAnsi" w:hAnsiTheme="minorHAnsi" w:cstheme="minorHAnsi"/>
                <w:color w:val="auto"/>
                <w:sz w:val="22"/>
                <w:szCs w:val="22"/>
              </w:rPr>
              <w:t>brûlée</w:t>
            </w:r>
            <w:proofErr w:type="spellEnd"/>
            <w:r w:rsidRPr="0013051D">
              <w:rPr>
                <w:rFonts w:asciiTheme="minorHAnsi" w:hAnsiTheme="minorHAnsi" w:cstheme="minorHAnsi"/>
                <w:color w:val="auto"/>
                <w:sz w:val="22"/>
                <w:szCs w:val="22"/>
              </w:rPr>
              <w:t>, ice-cream and panna cotta).</w:t>
            </w:r>
          </w:p>
          <w:p w14:paraId="742281C4" w14:textId="77777777" w:rsidR="00912146" w:rsidRPr="0013051D" w:rsidRDefault="00912146" w:rsidP="00AE496B">
            <w:pPr>
              <w:pStyle w:val="Default"/>
              <w:rPr>
                <w:rFonts w:asciiTheme="minorHAnsi" w:eastAsia="Calibri" w:hAnsiTheme="minorHAnsi" w:cstheme="minorHAnsi"/>
                <w:color w:val="auto"/>
                <w:sz w:val="22"/>
                <w:szCs w:val="22"/>
              </w:rPr>
            </w:pPr>
          </w:p>
          <w:p w14:paraId="6AD926D3"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slices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hedgehogs, caramel slice, vanilla slice, coconut and jam slice, slices containing meringue or jelly). </w:t>
            </w:r>
          </w:p>
          <w:p w14:paraId="27B358C7" w14:textId="77777777" w:rsidR="00912146" w:rsidRPr="0013051D" w:rsidRDefault="00912146" w:rsidP="00AE496B">
            <w:pPr>
              <w:pStyle w:val="Default"/>
              <w:rPr>
                <w:rFonts w:asciiTheme="minorHAnsi" w:hAnsiTheme="minorHAnsi" w:cstheme="minorHAnsi"/>
                <w:color w:val="auto"/>
                <w:sz w:val="22"/>
                <w:szCs w:val="22"/>
              </w:rPr>
            </w:pPr>
          </w:p>
          <w:p w14:paraId="266181F7"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cakes (all flavours), lamingtons, cupcakes, cake rolls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Swiss rolls), cake bars, brownies. </w:t>
            </w:r>
          </w:p>
          <w:p w14:paraId="05C3B900" w14:textId="77777777" w:rsidR="00912146" w:rsidRPr="0013051D" w:rsidRDefault="00912146" w:rsidP="00AE496B">
            <w:pPr>
              <w:pStyle w:val="Default"/>
              <w:rPr>
                <w:rFonts w:asciiTheme="minorHAnsi" w:hAnsiTheme="minorHAnsi" w:cstheme="minorHAnsi"/>
                <w:color w:val="auto"/>
                <w:sz w:val="22"/>
                <w:szCs w:val="22"/>
              </w:rPr>
            </w:pPr>
          </w:p>
          <w:p w14:paraId="409CE76D"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Pre-portioned or whole banana breads and similar products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pear bread or berry bread) with or without nuts, seeds or chocolate chips added. </w:t>
            </w:r>
          </w:p>
          <w:p w14:paraId="5E6723CD" w14:textId="77777777" w:rsidR="00912146" w:rsidRPr="0013051D" w:rsidRDefault="00912146" w:rsidP="00AE496B">
            <w:pPr>
              <w:pStyle w:val="Default"/>
              <w:rPr>
                <w:rFonts w:asciiTheme="minorHAnsi" w:hAnsiTheme="minorHAnsi" w:cstheme="minorHAnsi"/>
                <w:color w:val="auto"/>
                <w:sz w:val="22"/>
                <w:szCs w:val="22"/>
              </w:rPr>
            </w:pPr>
          </w:p>
          <w:p w14:paraId="35D55C32"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Savoury products including savoury muffins, savoury </w:t>
            </w:r>
            <w:proofErr w:type="gramStart"/>
            <w:r w:rsidRPr="0013051D">
              <w:rPr>
                <w:rFonts w:asciiTheme="minorHAnsi" w:hAnsiTheme="minorHAnsi" w:cstheme="minorHAnsi"/>
                <w:color w:val="auto"/>
                <w:sz w:val="22"/>
                <w:szCs w:val="22"/>
              </w:rPr>
              <w:t>tarts</w:t>
            </w:r>
            <w:proofErr w:type="gramEnd"/>
            <w:r w:rsidRPr="0013051D">
              <w:rPr>
                <w:rFonts w:asciiTheme="minorHAnsi" w:hAnsiTheme="minorHAnsi" w:cstheme="minorHAnsi"/>
                <w:color w:val="auto"/>
                <w:sz w:val="22"/>
                <w:szCs w:val="22"/>
              </w:rPr>
              <w:t xml:space="preserve"> or slices.  </w:t>
            </w:r>
          </w:p>
        </w:tc>
      </w:tr>
    </w:tbl>
    <w:p w14:paraId="616B6922" w14:textId="77777777" w:rsidR="00912146" w:rsidRDefault="00912146" w:rsidP="00912146">
      <w:pPr>
        <w:rPr>
          <w:rFonts w:cstheme="minorBidi"/>
          <w:color w:val="007A00"/>
        </w:rPr>
      </w:pPr>
    </w:p>
    <w:p w14:paraId="2B39E984" w14:textId="77777777" w:rsidR="00916C86" w:rsidRDefault="00916C86">
      <w:pPr>
        <w:rPr>
          <w:rFonts w:eastAsiaTheme="majorEastAsia" w:cstheme="minorHAnsi"/>
          <w:b/>
          <w:bCs/>
          <w:kern w:val="32"/>
        </w:rPr>
      </w:pPr>
      <w:r>
        <w:rPr>
          <w:rFonts w:eastAsiaTheme="majorEastAsia" w:cstheme="minorHAnsi"/>
          <w:b/>
          <w:bCs/>
          <w:kern w:val="32"/>
        </w:rPr>
        <w:br w:type="page"/>
      </w:r>
    </w:p>
    <w:p w14:paraId="70AD1D42" w14:textId="0381F252" w:rsidR="00912146" w:rsidRPr="0050147F" w:rsidRDefault="00912146" w:rsidP="0050147F">
      <w:pPr>
        <w:rPr>
          <w:rFonts w:eastAsiaTheme="majorEastAsia" w:cstheme="minorHAnsi"/>
          <w:b/>
          <w:bCs/>
          <w:kern w:val="32"/>
        </w:rPr>
      </w:pPr>
      <w:r w:rsidRPr="0050147F">
        <w:rPr>
          <w:rFonts w:eastAsiaTheme="majorEastAsia" w:cstheme="minorHAnsi"/>
          <w:b/>
          <w:bCs/>
          <w:kern w:val="32"/>
        </w:rPr>
        <w:lastRenderedPageBreak/>
        <w:t>Sub-category C: Slices - Retail</w:t>
      </w:r>
    </w:p>
    <w:p w14:paraId="3C4859FF" w14:textId="77777777" w:rsidR="00912146" w:rsidRPr="0072271A" w:rsidRDefault="00912146" w:rsidP="00912146">
      <w:pPr>
        <w:pStyle w:val="Default"/>
        <w:keepNext/>
        <w:rPr>
          <w:rFonts w:asciiTheme="minorHAnsi" w:hAnsiTheme="minorHAnsi" w:cstheme="minorHAnsi"/>
          <w:sz w:val="22"/>
          <w:szCs w:val="22"/>
        </w:rPr>
      </w:pPr>
      <w:r w:rsidRPr="0072271A">
        <w:rPr>
          <w:rFonts w:asciiTheme="minorHAnsi" w:hAnsiTheme="minorHAnsi" w:cstheme="minorBidi"/>
          <w:b/>
          <w:sz w:val="22"/>
          <w:szCs w:val="22"/>
        </w:rPr>
        <w:t xml:space="preserve">Subcategory definition: </w:t>
      </w:r>
    </w:p>
    <w:p w14:paraId="3EB17091" w14:textId="77777777" w:rsidR="00912146" w:rsidRPr="0072271A" w:rsidRDefault="00912146" w:rsidP="00912146">
      <w:pPr>
        <w:pStyle w:val="Default"/>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Freshly baked, </w:t>
      </w:r>
      <w:proofErr w:type="gramStart"/>
      <w:r w:rsidRPr="0072271A">
        <w:rPr>
          <w:rFonts w:asciiTheme="minorHAnsi" w:hAnsiTheme="minorHAnsi" w:cstheme="minorBidi"/>
          <w:color w:val="auto"/>
          <w:sz w:val="22"/>
          <w:szCs w:val="22"/>
        </w:rPr>
        <w:t>frozen</w:t>
      </w:r>
      <w:proofErr w:type="gramEnd"/>
      <w:r w:rsidRPr="0072271A">
        <w:rPr>
          <w:rFonts w:asciiTheme="minorHAnsi" w:hAnsiTheme="minorHAnsi" w:cstheme="minorBidi"/>
          <w:color w:val="auto"/>
          <w:sz w:val="22"/>
          <w:szCs w:val="22"/>
        </w:rPr>
        <w:t xml:space="preserve"> or shelf-stable slices sold in retail. Includes packet baking mixes. Slices are a sweet product typically consisting of layers, with a firm base (such as biscuit), and a topping (such as icing or chocolate), with or without a filling. </w:t>
      </w:r>
    </w:p>
    <w:p w14:paraId="383837DA" w14:textId="77777777" w:rsidR="00912146" w:rsidRPr="001F1DA4" w:rsidRDefault="00912146" w:rsidP="00912146">
      <w:pPr>
        <w:pStyle w:val="Default"/>
        <w:rPr>
          <w:rFonts w:asciiTheme="minorHAnsi" w:hAnsiTheme="minorHAnsi" w:cstheme="minorHAnsi"/>
          <w:b/>
          <w:bCs/>
          <w:color w:val="auto"/>
          <w:sz w:val="20"/>
          <w:szCs w:val="20"/>
        </w:rPr>
      </w:pPr>
    </w:p>
    <w:p w14:paraId="5FC3837B" w14:textId="77777777" w:rsidR="00912146" w:rsidRPr="001F1DA4" w:rsidRDefault="00912146" w:rsidP="00912146">
      <w:pPr>
        <w:pStyle w:val="Default"/>
        <w:rPr>
          <w:rFonts w:asciiTheme="minorHAnsi" w:hAnsiTheme="minorHAnsi" w:cstheme="minorBidi"/>
          <w:color w:val="auto"/>
          <w:sz w:val="23"/>
          <w:szCs w:val="23"/>
        </w:rPr>
      </w:pPr>
      <w:r w:rsidRPr="001F1DA4">
        <w:rPr>
          <w:rFonts w:asciiTheme="minorHAnsi" w:hAnsiTheme="minorHAnsi" w:cstheme="minorBidi"/>
          <w:b/>
          <w:color w:val="auto"/>
          <w:sz w:val="20"/>
          <w:szCs w:val="20"/>
        </w:rPr>
        <w:t xml:space="preserve">Table </w:t>
      </w:r>
      <w:r>
        <w:rPr>
          <w:rFonts w:asciiTheme="minorHAnsi" w:hAnsiTheme="minorHAnsi" w:cstheme="minorBidi"/>
          <w:b/>
          <w:color w:val="auto"/>
          <w:sz w:val="20"/>
          <w:szCs w:val="20"/>
        </w:rPr>
        <w:t>5</w:t>
      </w:r>
      <w:r w:rsidRPr="001F1DA4">
        <w:rPr>
          <w:rFonts w:asciiTheme="minorHAnsi" w:hAnsiTheme="minorHAnsi" w:cstheme="minorBidi"/>
          <w:b/>
          <w:color w:val="auto"/>
          <w:sz w:val="20"/>
          <w:szCs w:val="20"/>
        </w:rPr>
        <w:t>: Slices - Retail</w:t>
      </w:r>
    </w:p>
    <w:tbl>
      <w:tblPr>
        <w:tblStyle w:val="TableGrid4"/>
        <w:tblW w:w="9458" w:type="dxa"/>
        <w:tblLayout w:type="fixed"/>
        <w:tblLook w:val="0000" w:firstRow="0" w:lastRow="0" w:firstColumn="0" w:lastColumn="0" w:noHBand="0" w:noVBand="0"/>
      </w:tblPr>
      <w:tblGrid>
        <w:gridCol w:w="4729"/>
        <w:gridCol w:w="4729"/>
      </w:tblGrid>
      <w:tr w:rsidR="00573030" w:rsidRPr="0013051D" w14:paraId="7C272D1A" w14:textId="77777777" w:rsidTr="00B640FD">
        <w:trPr>
          <w:trHeight w:val="120"/>
        </w:trPr>
        <w:tc>
          <w:tcPr>
            <w:tcW w:w="4729" w:type="dxa"/>
          </w:tcPr>
          <w:p w14:paraId="6A97E4FD"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Inclusions </w:t>
            </w:r>
          </w:p>
        </w:tc>
        <w:tc>
          <w:tcPr>
            <w:tcW w:w="4729" w:type="dxa"/>
          </w:tcPr>
          <w:p w14:paraId="6038BFE9"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Exclusions </w:t>
            </w:r>
          </w:p>
        </w:tc>
      </w:tr>
      <w:tr w:rsidR="00573030" w:rsidRPr="0013051D" w14:paraId="1D7E79ED" w14:textId="77777777" w:rsidTr="00B640FD">
        <w:tc>
          <w:tcPr>
            <w:tcW w:w="4729" w:type="dxa"/>
          </w:tcPr>
          <w:p w14:paraId="05FA2806"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slices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hedgehogs, caramel slice, vanilla slice, coconut and jam slice, rocky road slice, fruit and nut type slices, slices containing meringue or jelly). </w:t>
            </w:r>
          </w:p>
          <w:p w14:paraId="68DE1F1B" w14:textId="77777777" w:rsidR="00912146" w:rsidRPr="0013051D" w:rsidRDefault="00912146" w:rsidP="00AE496B">
            <w:pPr>
              <w:pStyle w:val="Default"/>
              <w:rPr>
                <w:rFonts w:asciiTheme="minorHAnsi" w:hAnsiTheme="minorHAnsi" w:cstheme="minorHAnsi"/>
                <w:color w:val="auto"/>
                <w:sz w:val="22"/>
                <w:szCs w:val="22"/>
              </w:rPr>
            </w:pPr>
          </w:p>
          <w:p w14:paraId="2C5C401A"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Includes products available as ready-to-eat frozen, </w:t>
            </w:r>
            <w:proofErr w:type="gramStart"/>
            <w:r w:rsidRPr="0013051D">
              <w:rPr>
                <w:rFonts w:asciiTheme="minorHAnsi" w:hAnsiTheme="minorHAnsi" w:cstheme="minorHAnsi"/>
                <w:color w:val="auto"/>
                <w:sz w:val="22"/>
                <w:szCs w:val="22"/>
              </w:rPr>
              <w:t>chilled</w:t>
            </w:r>
            <w:proofErr w:type="gramEnd"/>
            <w:r w:rsidRPr="0013051D">
              <w:rPr>
                <w:rFonts w:asciiTheme="minorHAnsi" w:hAnsiTheme="minorHAnsi" w:cstheme="minorHAnsi"/>
                <w:color w:val="auto"/>
                <w:sz w:val="22"/>
                <w:szCs w:val="22"/>
              </w:rPr>
              <w:t xml:space="preserve"> or shelf-stable products. Includes packet baking mixes. Includes gluten-free alternatives. </w:t>
            </w:r>
          </w:p>
          <w:p w14:paraId="6A13F17F" w14:textId="77777777" w:rsidR="00912146" w:rsidRPr="0013051D" w:rsidRDefault="00912146" w:rsidP="00AE496B">
            <w:pPr>
              <w:pStyle w:val="Default"/>
              <w:rPr>
                <w:rFonts w:asciiTheme="minorHAnsi" w:hAnsiTheme="minorHAnsi" w:cstheme="minorHAnsi"/>
                <w:color w:val="auto"/>
                <w:sz w:val="22"/>
                <w:szCs w:val="22"/>
              </w:rPr>
            </w:pPr>
          </w:p>
          <w:p w14:paraId="1A247CFD"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May be sold as individual serves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one slice), or as a multipack (e.g. 6 slices). </w:t>
            </w:r>
          </w:p>
        </w:tc>
        <w:tc>
          <w:tcPr>
            <w:tcW w:w="4729" w:type="dxa"/>
          </w:tcPr>
          <w:p w14:paraId="04DBC650"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Meringues, pavlova, macarons, muesli/fruit/nut bars,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13051D">
              <w:rPr>
                <w:rFonts w:asciiTheme="minorHAnsi" w:hAnsiTheme="minorHAnsi" w:cstheme="minorHAnsi"/>
                <w:color w:val="auto"/>
                <w:sz w:val="22"/>
                <w:szCs w:val="22"/>
              </w:rPr>
              <w:t>sfogliatelle</w:t>
            </w:r>
            <w:proofErr w:type="spellEnd"/>
            <w:r w:rsidRPr="0013051D">
              <w:rPr>
                <w:rFonts w:asciiTheme="minorHAnsi" w:hAnsiTheme="minorHAnsi" w:cstheme="minorHAnsi"/>
                <w:color w:val="auto"/>
                <w:sz w:val="22"/>
                <w:szCs w:val="22"/>
              </w:rPr>
              <w:t xml:space="preserve">, zeppole, cannoli, sweet pies), sweet biscuits, fruit pies, tarts, crumbles, doughnuts (all varieties), churros, profiteroles, custards, protein balls, eclairs, biscuits and cookies. </w:t>
            </w:r>
          </w:p>
          <w:p w14:paraId="7E539AB7" w14:textId="77777777" w:rsidR="00912146" w:rsidRPr="0013051D" w:rsidRDefault="00912146" w:rsidP="00AE496B">
            <w:pPr>
              <w:pStyle w:val="Default"/>
              <w:rPr>
                <w:rFonts w:asciiTheme="minorHAnsi" w:eastAsia="Calibri" w:hAnsiTheme="minorHAnsi" w:cstheme="minorHAnsi"/>
                <w:color w:val="auto"/>
                <w:sz w:val="22"/>
                <w:szCs w:val="22"/>
              </w:rPr>
            </w:pPr>
          </w:p>
          <w:p w14:paraId="68634C66"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puddings and desserts (</w:t>
            </w:r>
            <w:proofErr w:type="spellStart"/>
            <w:r w:rsidRPr="0013051D">
              <w:rPr>
                <w:rFonts w:asciiTheme="minorHAnsi" w:hAnsiTheme="minorHAnsi" w:cstheme="minorHAnsi"/>
                <w:color w:val="auto"/>
                <w:sz w:val="22"/>
                <w:szCs w:val="22"/>
              </w:rPr>
              <w:t>e.g</w:t>
            </w:r>
            <w:proofErr w:type="spellEnd"/>
            <w:r w:rsidRPr="0013051D">
              <w:rPr>
                <w:rFonts w:asciiTheme="minorHAnsi" w:hAnsiTheme="minorHAnsi" w:cstheme="minorHAnsi"/>
                <w:color w:val="auto"/>
                <w:sz w:val="22"/>
                <w:szCs w:val="22"/>
              </w:rPr>
              <w:t xml:space="preserve"> sticky date pudding, crème </w:t>
            </w:r>
            <w:proofErr w:type="spellStart"/>
            <w:r w:rsidRPr="0013051D">
              <w:rPr>
                <w:rFonts w:asciiTheme="minorHAnsi" w:hAnsiTheme="minorHAnsi" w:cstheme="minorHAnsi"/>
                <w:color w:val="auto"/>
                <w:sz w:val="22"/>
                <w:szCs w:val="22"/>
              </w:rPr>
              <w:t>brûlée</w:t>
            </w:r>
            <w:proofErr w:type="spellEnd"/>
            <w:r w:rsidRPr="0013051D">
              <w:rPr>
                <w:rFonts w:asciiTheme="minorHAnsi" w:hAnsiTheme="minorHAnsi" w:cstheme="minorHAnsi"/>
                <w:color w:val="auto"/>
                <w:sz w:val="22"/>
                <w:szCs w:val="22"/>
              </w:rPr>
              <w:t>, ice-cream and panna cotta).</w:t>
            </w:r>
          </w:p>
          <w:p w14:paraId="4476D0E0" w14:textId="77777777" w:rsidR="00912146" w:rsidRPr="0013051D" w:rsidRDefault="00912146" w:rsidP="00AE496B">
            <w:pPr>
              <w:pStyle w:val="Default"/>
              <w:rPr>
                <w:rFonts w:asciiTheme="minorHAnsi" w:hAnsiTheme="minorHAnsi" w:cstheme="minorHAnsi"/>
                <w:color w:val="auto"/>
                <w:sz w:val="22"/>
                <w:szCs w:val="22"/>
              </w:rPr>
            </w:pPr>
          </w:p>
          <w:p w14:paraId="1D3809D4"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All muffins and muffin bars (all flavours). </w:t>
            </w:r>
          </w:p>
          <w:p w14:paraId="09DDC570" w14:textId="77777777" w:rsidR="00912146" w:rsidRPr="0013051D" w:rsidRDefault="00912146" w:rsidP="00AE496B">
            <w:pPr>
              <w:pStyle w:val="Default"/>
              <w:rPr>
                <w:rFonts w:asciiTheme="minorHAnsi" w:hAnsiTheme="minorHAnsi" w:cstheme="minorHAnsi"/>
                <w:color w:val="auto"/>
                <w:sz w:val="22"/>
                <w:szCs w:val="22"/>
              </w:rPr>
            </w:pPr>
          </w:p>
          <w:p w14:paraId="1BEC0EBD"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All cakes (all flavours), lamingtons, cupcakes, cake rolls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Swiss rolls), cake bars, brownies. </w:t>
            </w:r>
          </w:p>
          <w:p w14:paraId="49FE3337" w14:textId="77777777" w:rsidR="00912146" w:rsidRPr="0013051D" w:rsidRDefault="00912146" w:rsidP="00AE496B">
            <w:pPr>
              <w:pStyle w:val="Default"/>
              <w:rPr>
                <w:rFonts w:asciiTheme="minorHAnsi" w:hAnsiTheme="minorHAnsi" w:cstheme="minorHAnsi"/>
                <w:color w:val="auto"/>
                <w:sz w:val="22"/>
                <w:szCs w:val="22"/>
              </w:rPr>
            </w:pPr>
          </w:p>
          <w:p w14:paraId="37FF948E"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color w:val="auto"/>
                <w:sz w:val="22"/>
                <w:szCs w:val="22"/>
              </w:rPr>
              <w:t>Pre-portioned or whole banana breads and similar products (</w:t>
            </w:r>
            <w:proofErr w:type="gramStart"/>
            <w:r w:rsidRPr="0013051D">
              <w:rPr>
                <w:rFonts w:asciiTheme="minorHAnsi" w:hAnsiTheme="minorHAnsi" w:cstheme="minorHAnsi"/>
                <w:color w:val="auto"/>
                <w:sz w:val="22"/>
                <w:szCs w:val="22"/>
              </w:rPr>
              <w:t>e.g.</w:t>
            </w:r>
            <w:proofErr w:type="gramEnd"/>
            <w:r w:rsidRPr="0013051D">
              <w:rPr>
                <w:rFonts w:asciiTheme="minorHAnsi" w:hAnsiTheme="minorHAnsi" w:cstheme="minorHAnsi"/>
                <w:color w:val="auto"/>
                <w:sz w:val="22"/>
                <w:szCs w:val="22"/>
              </w:rPr>
              <w:t xml:space="preserve"> pear bread or berry bread) with or without nuts, seeds or chocolate chips added. </w:t>
            </w:r>
          </w:p>
          <w:p w14:paraId="62F2E1AD" w14:textId="77777777" w:rsidR="00912146" w:rsidRPr="0013051D" w:rsidRDefault="00912146" w:rsidP="00AE496B">
            <w:pPr>
              <w:pStyle w:val="Default"/>
              <w:rPr>
                <w:rFonts w:asciiTheme="minorHAnsi" w:hAnsiTheme="minorHAnsi" w:cstheme="minorHAnsi"/>
                <w:color w:val="auto"/>
                <w:sz w:val="22"/>
                <w:szCs w:val="22"/>
              </w:rPr>
            </w:pPr>
          </w:p>
          <w:p w14:paraId="1AC89EBD" w14:textId="77777777" w:rsidR="00912146" w:rsidRPr="0013051D" w:rsidRDefault="00912146" w:rsidP="00AE496B">
            <w:pPr>
              <w:pStyle w:val="Default"/>
              <w:rPr>
                <w:rFonts w:asciiTheme="minorHAnsi" w:eastAsia="Calibri" w:hAnsiTheme="minorHAnsi" w:cstheme="minorHAnsi"/>
                <w:color w:val="auto"/>
                <w:sz w:val="22"/>
                <w:szCs w:val="22"/>
              </w:rPr>
            </w:pPr>
            <w:r w:rsidRPr="0013051D">
              <w:rPr>
                <w:rFonts w:asciiTheme="minorHAnsi" w:hAnsiTheme="minorHAnsi" w:cstheme="minorHAnsi"/>
                <w:color w:val="auto"/>
                <w:sz w:val="22"/>
                <w:szCs w:val="22"/>
              </w:rPr>
              <w:t xml:space="preserve">Savoury products including savoury muffins, savoury </w:t>
            </w:r>
            <w:proofErr w:type="gramStart"/>
            <w:r w:rsidRPr="0013051D">
              <w:rPr>
                <w:rFonts w:asciiTheme="minorHAnsi" w:hAnsiTheme="minorHAnsi" w:cstheme="minorHAnsi"/>
                <w:color w:val="auto"/>
                <w:sz w:val="22"/>
                <w:szCs w:val="22"/>
              </w:rPr>
              <w:t>tarts</w:t>
            </w:r>
            <w:proofErr w:type="gramEnd"/>
            <w:r w:rsidRPr="0013051D">
              <w:rPr>
                <w:rFonts w:asciiTheme="minorHAnsi" w:hAnsiTheme="minorHAnsi" w:cstheme="minorHAnsi"/>
                <w:color w:val="auto"/>
                <w:sz w:val="22"/>
                <w:szCs w:val="22"/>
              </w:rPr>
              <w:t xml:space="preserve"> or slices. </w:t>
            </w:r>
          </w:p>
        </w:tc>
      </w:tr>
    </w:tbl>
    <w:p w14:paraId="18183498" w14:textId="77777777" w:rsidR="00912146" w:rsidRDefault="00912146" w:rsidP="00912146">
      <w:pPr>
        <w:rPr>
          <w:rFonts w:cstheme="minorHAnsi"/>
        </w:rPr>
      </w:pPr>
    </w:p>
    <w:p w14:paraId="2BEC6EFF" w14:textId="77777777" w:rsidR="00BD49F2" w:rsidRDefault="00BD49F2">
      <w:pPr>
        <w:rPr>
          <w:rFonts w:eastAsiaTheme="majorEastAsia" w:cstheme="minorHAnsi"/>
          <w:b/>
          <w:bCs/>
          <w:i/>
          <w:iCs/>
          <w:color w:val="007A00"/>
          <w:kern w:val="32"/>
          <w:sz w:val="32"/>
          <w:szCs w:val="32"/>
        </w:rPr>
      </w:pPr>
      <w:bookmarkStart w:id="45" w:name="_Cakes,_muffins_and_1"/>
      <w:bookmarkEnd w:id="45"/>
      <w:r>
        <w:rPr>
          <w:rFonts w:eastAsiaTheme="majorEastAsia" w:cstheme="minorHAnsi"/>
          <w:b/>
          <w:bCs/>
          <w:i/>
          <w:iCs/>
          <w:color w:val="007A00"/>
          <w:kern w:val="32"/>
          <w:sz w:val="32"/>
          <w:szCs w:val="32"/>
        </w:rPr>
        <w:br w:type="page"/>
      </w:r>
    </w:p>
    <w:p w14:paraId="73A6673C" w14:textId="1B411C6E" w:rsidR="00912146" w:rsidRPr="0050147F" w:rsidRDefault="00912146" w:rsidP="0050147F">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 xml:space="preserve">Cakes, </w:t>
      </w:r>
      <w:proofErr w:type="gramStart"/>
      <w:r w:rsidRPr="0050147F">
        <w:rPr>
          <w:rFonts w:eastAsiaTheme="majorEastAsia" w:cstheme="minorHAnsi"/>
          <w:b/>
          <w:bCs/>
          <w:i/>
          <w:iCs/>
          <w:color w:val="007A00"/>
          <w:kern w:val="32"/>
          <w:sz w:val="32"/>
          <w:szCs w:val="32"/>
        </w:rPr>
        <w:t>muffins</w:t>
      </w:r>
      <w:proofErr w:type="gramEnd"/>
      <w:r w:rsidRPr="0050147F">
        <w:rPr>
          <w:rFonts w:eastAsiaTheme="majorEastAsia" w:cstheme="minorHAnsi"/>
          <w:b/>
          <w:bCs/>
          <w:i/>
          <w:iCs/>
          <w:color w:val="007A00"/>
          <w:kern w:val="32"/>
          <w:sz w:val="32"/>
          <w:szCs w:val="32"/>
        </w:rPr>
        <w:t xml:space="preserve"> and slices: Out of home </w:t>
      </w:r>
    </w:p>
    <w:p w14:paraId="666AAFB6" w14:textId="77777777" w:rsidR="006774BC" w:rsidRDefault="006774BC" w:rsidP="00912146">
      <w:pPr>
        <w:pStyle w:val="Default"/>
        <w:rPr>
          <w:rFonts w:asciiTheme="minorHAnsi" w:hAnsiTheme="minorHAnsi" w:cstheme="minorHAnsi"/>
          <w:b/>
          <w:bCs/>
          <w:color w:val="auto"/>
          <w:sz w:val="22"/>
          <w:szCs w:val="22"/>
        </w:rPr>
      </w:pPr>
    </w:p>
    <w:p w14:paraId="51D35598" w14:textId="7FBF3BEB" w:rsidR="00912146" w:rsidRPr="0072271A" w:rsidRDefault="00912146" w:rsidP="00912146">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Category definition: </w:t>
      </w:r>
    </w:p>
    <w:p w14:paraId="3387782B" w14:textId="77777777" w:rsidR="00912146" w:rsidRPr="0072271A" w:rsidRDefault="00912146" w:rsidP="00912146">
      <w:pPr>
        <w:pStyle w:val="Default"/>
        <w:rPr>
          <w:rFonts w:asciiTheme="minorHAnsi" w:hAnsiTheme="minorHAnsi" w:cstheme="minorHAnsi"/>
          <w:color w:val="auto"/>
          <w:sz w:val="22"/>
          <w:szCs w:val="22"/>
        </w:rPr>
      </w:pPr>
      <w:r w:rsidRPr="0072271A">
        <w:rPr>
          <w:rFonts w:asciiTheme="minorHAnsi" w:hAnsiTheme="minorHAnsi" w:cstheme="minorHAnsi"/>
          <w:color w:val="auto"/>
          <w:sz w:val="22"/>
          <w:szCs w:val="22"/>
        </w:rPr>
        <w:t xml:space="preserve">Freshly baked, </w:t>
      </w:r>
      <w:proofErr w:type="gramStart"/>
      <w:r w:rsidRPr="0072271A">
        <w:rPr>
          <w:rFonts w:asciiTheme="minorHAnsi" w:hAnsiTheme="minorHAnsi" w:cstheme="minorHAnsi"/>
          <w:color w:val="auto"/>
          <w:sz w:val="22"/>
          <w:szCs w:val="22"/>
        </w:rPr>
        <w:t>frozen</w:t>
      </w:r>
      <w:proofErr w:type="gramEnd"/>
      <w:r w:rsidRPr="0072271A">
        <w:rPr>
          <w:rFonts w:asciiTheme="minorHAnsi" w:hAnsiTheme="minorHAnsi" w:cstheme="minorHAnsi"/>
          <w:color w:val="auto"/>
          <w:sz w:val="22"/>
          <w:szCs w:val="22"/>
        </w:rPr>
        <w:t xml:space="preserve"> or shelf-stable cakes, muffins and slices sold in the out of home sector. </w:t>
      </w:r>
    </w:p>
    <w:p w14:paraId="6F19DC31" w14:textId="63FE68C0" w:rsidR="00912146" w:rsidRPr="006774BC" w:rsidRDefault="00912146" w:rsidP="4F4A73DF">
      <w:pPr>
        <w:pStyle w:val="Default"/>
        <w:numPr>
          <w:ilvl w:val="0"/>
          <w:numId w:val="62"/>
        </w:numPr>
        <w:rPr>
          <w:rFonts w:asciiTheme="minorHAnsi" w:hAnsiTheme="minorHAnsi" w:cstheme="minorBidi"/>
          <w:color w:val="auto"/>
          <w:sz w:val="22"/>
          <w:szCs w:val="22"/>
        </w:rPr>
      </w:pPr>
      <w:r w:rsidRPr="006774BC">
        <w:rPr>
          <w:rFonts w:asciiTheme="minorHAnsi" w:hAnsiTheme="minorHAnsi" w:cstheme="minorBidi"/>
          <w:color w:val="auto"/>
          <w:sz w:val="22"/>
          <w:szCs w:val="22"/>
        </w:rPr>
        <w:t>Includes</w:t>
      </w:r>
      <w:r w:rsidRPr="4F4A73DF">
        <w:rPr>
          <w:rFonts w:asciiTheme="minorHAnsi" w:hAnsiTheme="minorHAnsi" w:cstheme="minorBidi"/>
          <w:b/>
          <w:bCs/>
          <w:color w:val="auto"/>
          <w:sz w:val="22"/>
          <w:szCs w:val="22"/>
        </w:rPr>
        <w:t xml:space="preserve"> </w:t>
      </w:r>
      <w:r w:rsidRPr="006774BC">
        <w:rPr>
          <w:rFonts w:asciiTheme="minorHAnsi" w:hAnsiTheme="minorHAnsi" w:cstheme="minorBidi"/>
          <w:color w:val="auto"/>
          <w:sz w:val="22"/>
          <w:szCs w:val="22"/>
        </w:rPr>
        <w:t xml:space="preserve">four sub-categories: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D49F2" w:rsidRPr="006774BC" w14:paraId="56A8C49C" w14:textId="77777777" w:rsidTr="00BD49F2">
        <w:tc>
          <w:tcPr>
            <w:tcW w:w="4508" w:type="dxa"/>
          </w:tcPr>
          <w:p w14:paraId="13D51741" w14:textId="6D47A7F0" w:rsidR="00BD49F2" w:rsidRPr="006774BC" w:rsidRDefault="00BD49F2" w:rsidP="00BD49F2">
            <w:pPr>
              <w:pStyle w:val="Default"/>
              <w:numPr>
                <w:ilvl w:val="0"/>
                <w:numId w:val="62"/>
              </w:numPr>
              <w:rPr>
                <w:rFonts w:eastAsiaTheme="majorEastAsia" w:cstheme="minorHAnsi"/>
                <w:kern w:val="32"/>
              </w:rPr>
            </w:pPr>
            <w:r w:rsidRPr="006774BC">
              <w:rPr>
                <w:rFonts w:asciiTheme="minorHAnsi" w:hAnsiTheme="minorHAnsi" w:cstheme="minorBidi"/>
                <w:color w:val="auto"/>
                <w:sz w:val="22"/>
                <w:szCs w:val="22"/>
              </w:rPr>
              <w:t xml:space="preserve">A. Cakes – heavy weight </w:t>
            </w:r>
          </w:p>
        </w:tc>
        <w:tc>
          <w:tcPr>
            <w:tcW w:w="4508" w:type="dxa"/>
          </w:tcPr>
          <w:p w14:paraId="70E9DBF9" w14:textId="38DD05DF" w:rsidR="00BD49F2" w:rsidRPr="006774BC" w:rsidRDefault="00BD49F2" w:rsidP="00BD49F2">
            <w:pPr>
              <w:pStyle w:val="Default"/>
              <w:numPr>
                <w:ilvl w:val="0"/>
                <w:numId w:val="62"/>
              </w:numPr>
              <w:rPr>
                <w:rFonts w:eastAsiaTheme="majorEastAsia" w:cstheme="minorHAnsi"/>
                <w:kern w:val="32"/>
              </w:rPr>
            </w:pPr>
            <w:r w:rsidRPr="006774BC">
              <w:rPr>
                <w:rFonts w:asciiTheme="minorHAnsi" w:hAnsiTheme="minorHAnsi" w:cstheme="minorBidi"/>
                <w:color w:val="auto"/>
                <w:sz w:val="22"/>
                <w:szCs w:val="22"/>
              </w:rPr>
              <w:t>B. Cakes – light-medium weight</w:t>
            </w:r>
          </w:p>
        </w:tc>
      </w:tr>
      <w:tr w:rsidR="00BD49F2" w:rsidRPr="006774BC" w14:paraId="70705C7B" w14:textId="77777777" w:rsidTr="00BD49F2">
        <w:tc>
          <w:tcPr>
            <w:tcW w:w="4508" w:type="dxa"/>
          </w:tcPr>
          <w:p w14:paraId="238B76E8" w14:textId="1237073E" w:rsidR="00BD49F2" w:rsidRPr="006774BC" w:rsidRDefault="00BD49F2" w:rsidP="00BD49F2">
            <w:pPr>
              <w:pStyle w:val="Default"/>
              <w:numPr>
                <w:ilvl w:val="0"/>
                <w:numId w:val="62"/>
              </w:numPr>
              <w:rPr>
                <w:rFonts w:eastAsiaTheme="majorEastAsia" w:cstheme="minorHAnsi"/>
                <w:kern w:val="32"/>
              </w:rPr>
            </w:pPr>
            <w:r w:rsidRPr="006774BC">
              <w:rPr>
                <w:rFonts w:asciiTheme="minorHAnsi" w:hAnsiTheme="minorHAnsi" w:cstheme="minorHAnsi"/>
                <w:color w:val="auto"/>
                <w:sz w:val="22"/>
                <w:szCs w:val="22"/>
              </w:rPr>
              <w:t xml:space="preserve">C. Muffins </w:t>
            </w:r>
          </w:p>
        </w:tc>
        <w:tc>
          <w:tcPr>
            <w:tcW w:w="4508" w:type="dxa"/>
          </w:tcPr>
          <w:p w14:paraId="385D5AC7" w14:textId="62FF0AA1" w:rsidR="00BD49F2" w:rsidRPr="006774BC" w:rsidRDefault="00BD49F2" w:rsidP="0050147F">
            <w:pPr>
              <w:rPr>
                <w:rFonts w:eastAsiaTheme="majorEastAsia" w:cstheme="minorHAnsi"/>
                <w:kern w:val="32"/>
              </w:rPr>
            </w:pPr>
            <w:r w:rsidRPr="006774BC">
              <w:rPr>
                <w:rFonts w:cstheme="minorHAnsi"/>
                <w:sz w:val="22"/>
                <w:szCs w:val="22"/>
              </w:rPr>
              <w:t>D. Slices</w:t>
            </w:r>
          </w:p>
        </w:tc>
      </w:tr>
    </w:tbl>
    <w:p w14:paraId="47A818F5" w14:textId="77777777" w:rsidR="00BD49F2" w:rsidRDefault="00BD49F2" w:rsidP="0050147F">
      <w:pPr>
        <w:rPr>
          <w:rFonts w:eastAsiaTheme="majorEastAsia" w:cstheme="minorHAnsi"/>
          <w:b/>
          <w:bCs/>
          <w:kern w:val="32"/>
        </w:rPr>
      </w:pPr>
    </w:p>
    <w:p w14:paraId="263F0707" w14:textId="6C3BA7FA" w:rsidR="00912146" w:rsidRPr="0050147F" w:rsidRDefault="00912146" w:rsidP="0050147F">
      <w:pPr>
        <w:rPr>
          <w:rFonts w:eastAsiaTheme="majorEastAsia" w:cstheme="minorHAnsi"/>
          <w:b/>
          <w:bCs/>
          <w:kern w:val="32"/>
        </w:rPr>
      </w:pPr>
      <w:r w:rsidRPr="0050147F">
        <w:rPr>
          <w:rFonts w:eastAsiaTheme="majorEastAsia" w:cstheme="minorHAnsi"/>
          <w:b/>
          <w:bCs/>
          <w:kern w:val="32"/>
        </w:rPr>
        <w:t>Sub-category A: Cakes – Heavy Weight – Out of home</w:t>
      </w:r>
    </w:p>
    <w:p w14:paraId="5AFD6757" w14:textId="77777777" w:rsidR="00912146" w:rsidRPr="0072271A" w:rsidRDefault="00912146" w:rsidP="00912146">
      <w:pPr>
        <w:pStyle w:val="Default"/>
        <w:rPr>
          <w:rFonts w:asciiTheme="minorHAnsi" w:hAnsiTheme="minorHAnsi" w:cstheme="minorHAnsi"/>
          <w:color w:val="auto"/>
          <w:sz w:val="22"/>
          <w:szCs w:val="22"/>
        </w:rPr>
      </w:pPr>
      <w:r w:rsidRPr="0072271A">
        <w:rPr>
          <w:rFonts w:asciiTheme="minorHAnsi" w:hAnsiTheme="minorHAnsi" w:cstheme="minorHAnsi"/>
          <w:b/>
          <w:color w:val="auto"/>
          <w:sz w:val="22"/>
          <w:szCs w:val="22"/>
        </w:rPr>
        <w:t xml:space="preserve">Sub-category definition: </w:t>
      </w:r>
    </w:p>
    <w:p w14:paraId="46725F9A" w14:textId="77777777" w:rsidR="00912146" w:rsidRPr="0072271A" w:rsidRDefault="00912146" w:rsidP="0013051D">
      <w:pPr>
        <w:spacing w:after="240"/>
        <w:rPr>
          <w:rFonts w:cstheme="minorBidi"/>
          <w:sz w:val="22"/>
          <w:szCs w:val="22"/>
        </w:rPr>
      </w:pPr>
      <w:r w:rsidRPr="0072271A">
        <w:rPr>
          <w:rFonts w:cstheme="minorBidi"/>
          <w:sz w:val="22"/>
          <w:szCs w:val="22"/>
        </w:rPr>
        <w:t xml:space="preserve">Freshly baked, </w:t>
      </w:r>
      <w:proofErr w:type="gramStart"/>
      <w:r w:rsidRPr="0072271A">
        <w:rPr>
          <w:rFonts w:cstheme="minorBidi"/>
          <w:sz w:val="22"/>
          <w:szCs w:val="22"/>
        </w:rPr>
        <w:t>frozen</w:t>
      </w:r>
      <w:proofErr w:type="gramEnd"/>
      <w:r w:rsidRPr="0072271A">
        <w:rPr>
          <w:rFonts w:cstheme="minorBidi"/>
          <w:sz w:val="22"/>
          <w:szCs w:val="22"/>
        </w:rPr>
        <w:t xml:space="preserve"> or shelf-stable mud cakes and cheesecakes sold in the out of home sector. Includes cake sold whole or pre-portioned (with or without toppings), or cupcakes with or without a frosting or a coating.</w:t>
      </w:r>
    </w:p>
    <w:p w14:paraId="2CCA7F79" w14:textId="77777777" w:rsidR="00912146" w:rsidRPr="001F1DA4" w:rsidRDefault="00912146" w:rsidP="00912146">
      <w:pPr>
        <w:pStyle w:val="Default"/>
        <w:rPr>
          <w:rFonts w:asciiTheme="minorHAnsi" w:hAnsiTheme="minorHAnsi" w:cstheme="minorHAnsi"/>
          <w:color w:val="auto"/>
          <w:sz w:val="23"/>
          <w:szCs w:val="23"/>
        </w:rPr>
      </w:pPr>
      <w:r w:rsidRPr="001F1DA4">
        <w:rPr>
          <w:rFonts w:asciiTheme="minorHAnsi" w:hAnsiTheme="minorHAnsi" w:cstheme="minorHAnsi"/>
          <w:b/>
          <w:color w:val="auto"/>
          <w:sz w:val="20"/>
          <w:szCs w:val="20"/>
        </w:rPr>
        <w:t xml:space="preserve">Table </w:t>
      </w:r>
      <w:r>
        <w:rPr>
          <w:rFonts w:asciiTheme="minorHAnsi" w:hAnsiTheme="minorHAnsi" w:cstheme="minorHAnsi"/>
          <w:b/>
          <w:color w:val="auto"/>
          <w:sz w:val="20"/>
          <w:szCs w:val="20"/>
        </w:rPr>
        <w:t>6</w:t>
      </w:r>
      <w:r w:rsidRPr="001F1DA4">
        <w:rPr>
          <w:rFonts w:asciiTheme="minorHAnsi" w:hAnsiTheme="minorHAnsi" w:cstheme="minorHAnsi"/>
          <w:b/>
          <w:color w:val="auto"/>
          <w:sz w:val="20"/>
          <w:szCs w:val="20"/>
        </w:rPr>
        <w:t xml:space="preserve">: Cakes – </w:t>
      </w:r>
      <w:r w:rsidRPr="001F1DA4">
        <w:rPr>
          <w:rFonts w:asciiTheme="minorHAnsi" w:hAnsiTheme="minorHAnsi" w:cstheme="minorHAnsi"/>
          <w:b/>
          <w:bCs/>
          <w:color w:val="auto"/>
          <w:sz w:val="20"/>
          <w:szCs w:val="20"/>
        </w:rPr>
        <w:t xml:space="preserve">Heavy Weight – </w:t>
      </w:r>
      <w:r w:rsidRPr="001F1DA4">
        <w:rPr>
          <w:rFonts w:asciiTheme="minorHAnsi" w:hAnsiTheme="minorHAnsi" w:cstheme="minorHAnsi"/>
          <w:b/>
          <w:color w:val="auto"/>
          <w:sz w:val="20"/>
          <w:szCs w:val="20"/>
        </w:rPr>
        <w:t>Out of home</w:t>
      </w:r>
    </w:p>
    <w:tbl>
      <w:tblPr>
        <w:tblStyle w:val="TableGrid4"/>
        <w:tblW w:w="9458" w:type="dxa"/>
        <w:tblLayout w:type="fixed"/>
        <w:tblLook w:val="0000" w:firstRow="0" w:lastRow="0" w:firstColumn="0" w:lastColumn="0" w:noHBand="0" w:noVBand="0"/>
      </w:tblPr>
      <w:tblGrid>
        <w:gridCol w:w="4729"/>
        <w:gridCol w:w="4729"/>
      </w:tblGrid>
      <w:tr w:rsidR="008E2AF5" w:rsidRPr="0013051D" w14:paraId="4656DF58" w14:textId="77777777" w:rsidTr="00B640FD">
        <w:trPr>
          <w:trHeight w:val="120"/>
        </w:trPr>
        <w:tc>
          <w:tcPr>
            <w:tcW w:w="4729" w:type="dxa"/>
          </w:tcPr>
          <w:p w14:paraId="6F890757"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color w:val="auto"/>
                <w:sz w:val="22"/>
                <w:szCs w:val="22"/>
              </w:rPr>
              <w:t xml:space="preserve">Sub-category Inclusions </w:t>
            </w:r>
          </w:p>
        </w:tc>
        <w:tc>
          <w:tcPr>
            <w:tcW w:w="4729" w:type="dxa"/>
          </w:tcPr>
          <w:p w14:paraId="76EB9242"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color w:val="auto"/>
                <w:sz w:val="22"/>
                <w:szCs w:val="22"/>
              </w:rPr>
              <w:t xml:space="preserve">Sub-category Exclusions </w:t>
            </w:r>
          </w:p>
        </w:tc>
      </w:tr>
      <w:tr w:rsidR="00573030" w:rsidRPr="0013051D" w14:paraId="32378D23" w14:textId="77777777" w:rsidTr="00B640FD">
        <w:trPr>
          <w:trHeight w:val="688"/>
        </w:trPr>
        <w:tc>
          <w:tcPr>
            <w:tcW w:w="4729" w:type="dxa"/>
          </w:tcPr>
          <w:p w14:paraId="0DC30611" w14:textId="47B227EE"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Includes mud cake (all varieties, such as white, caramel, chocolate mud cakes and mud cake-style cupcakes). </w:t>
            </w:r>
          </w:p>
          <w:p w14:paraId="0DCC7E84" w14:textId="77777777" w:rsidR="00912146" w:rsidRPr="0013051D"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Includes cheesecakes (all varieties, such as baked, fruit flavoured, vanilla, chocolate, caramel). </w:t>
            </w:r>
          </w:p>
          <w:p w14:paraId="791E343D" w14:textId="1A9A0789"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Includes mud cakes or cheesecakes made from raw ingredients or from a mix, generally available for purchase as chilled or </w:t>
            </w:r>
            <w:proofErr w:type="gramStart"/>
            <w:r w:rsidRPr="0013051D">
              <w:rPr>
                <w:rFonts w:eastAsia="Times New Roman" w:cstheme="minorHAnsi"/>
                <w:sz w:val="22"/>
                <w:szCs w:val="22"/>
              </w:rPr>
              <w:t>shelf-stable</w:t>
            </w:r>
            <w:proofErr w:type="gramEnd"/>
            <w:r w:rsidRPr="0013051D">
              <w:rPr>
                <w:rFonts w:eastAsia="Times New Roman" w:cstheme="minorHAnsi"/>
                <w:sz w:val="22"/>
                <w:szCs w:val="22"/>
              </w:rPr>
              <w:t>.  </w:t>
            </w:r>
          </w:p>
          <w:p w14:paraId="16C70166" w14:textId="77777777" w:rsidR="00912146" w:rsidRPr="0013051D"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Includes products with or without fillings or decorations such as jam, </w:t>
            </w:r>
            <w:proofErr w:type="gramStart"/>
            <w:r w:rsidRPr="0013051D">
              <w:rPr>
                <w:rFonts w:eastAsia="Times New Roman" w:cstheme="minorHAnsi"/>
                <w:sz w:val="22"/>
                <w:szCs w:val="22"/>
              </w:rPr>
              <w:t>cream</w:t>
            </w:r>
            <w:proofErr w:type="gramEnd"/>
            <w:r w:rsidRPr="0013051D">
              <w:rPr>
                <w:rFonts w:eastAsia="Times New Roman" w:cstheme="minorHAnsi"/>
                <w:sz w:val="22"/>
                <w:szCs w:val="22"/>
              </w:rPr>
              <w:t> or sprinkles. </w:t>
            </w:r>
          </w:p>
          <w:p w14:paraId="6B8D55A2" w14:textId="387B0B42"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Includes products made from any type of flour including gluten-free alternatives.  </w:t>
            </w:r>
          </w:p>
          <w:p w14:paraId="281B0ECE" w14:textId="77777777" w:rsidR="00912146" w:rsidRPr="0013051D" w:rsidRDefault="00912146" w:rsidP="006774BC">
            <w:pPr>
              <w:spacing w:after="120"/>
              <w:textAlignment w:val="baseline"/>
              <w:rPr>
                <w:rFonts w:cstheme="minorHAnsi"/>
                <w:sz w:val="22"/>
                <w:szCs w:val="22"/>
              </w:rPr>
            </w:pPr>
            <w:r w:rsidRPr="0013051D">
              <w:rPr>
                <w:rFonts w:eastAsia="Times New Roman" w:cstheme="minorHAnsi"/>
                <w:sz w:val="22"/>
                <w:szCs w:val="22"/>
              </w:rPr>
              <w:t>May be sold as individual serves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individual cake slice), as a multipack (e.g. cake bars), pre-sliced (e.g. a whole cake already sliced) or whole unsliced cake.  </w:t>
            </w:r>
          </w:p>
        </w:tc>
        <w:tc>
          <w:tcPr>
            <w:tcW w:w="4729" w:type="dxa"/>
          </w:tcPr>
          <w:p w14:paraId="3113BE7E" w14:textId="34D32B25"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Excludes all other iced and un-iced cakes (all flavours), pre-portioned coated cakes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lamingtons, cake bars), iced and uniced cupcakes that are not mud cakes, cake rolls (e.g. Swiss rolls) and brownies.  </w:t>
            </w:r>
          </w:p>
          <w:p w14:paraId="5D7FB074" w14:textId="208F787F"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Excludes pre-portioned or whole banana breads and similar products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pear bread or berry bread) with or without nuts, seeds or chocolate chips added. </w:t>
            </w:r>
          </w:p>
          <w:p w14:paraId="06A13354" w14:textId="30BB936C"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 xml:space="preserve">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13051D">
              <w:rPr>
                <w:rFonts w:eastAsia="Times New Roman" w:cstheme="minorHAnsi"/>
                <w:sz w:val="22"/>
                <w:szCs w:val="22"/>
              </w:rPr>
              <w:t>sfogliatelle</w:t>
            </w:r>
            <w:proofErr w:type="spellEnd"/>
            <w:r w:rsidRPr="0013051D">
              <w:rPr>
                <w:rFonts w:eastAsia="Times New Roman" w:cstheme="minorHAnsi"/>
                <w:sz w:val="22"/>
                <w:szCs w:val="22"/>
              </w:rPr>
              <w:t>, zeppole, cannoli, sweet pies), sweet biscuits, fruit pies, tarts, crumbles, doughnuts (all varieties), churros, profiteroles, custards,  protein balls, eclairs , biscuits and cookies.  </w:t>
            </w:r>
          </w:p>
          <w:p w14:paraId="713AC12E" w14:textId="14C12100" w:rsidR="00912146" w:rsidRPr="0013051D"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All puddings and desserts </w:t>
            </w:r>
            <w:proofErr w:type="gramStart"/>
            <w:r w:rsidRPr="0013051D">
              <w:rPr>
                <w:rFonts w:eastAsia="Times New Roman" w:cstheme="minorHAnsi"/>
                <w:sz w:val="22"/>
                <w:szCs w:val="22"/>
              </w:rPr>
              <w:t>e.g</w:t>
            </w:r>
            <w:r w:rsidR="007E641E">
              <w:rPr>
                <w:rFonts w:eastAsia="Times New Roman" w:cstheme="minorHAnsi"/>
                <w:sz w:val="22"/>
                <w:szCs w:val="22"/>
              </w:rPr>
              <w:t>.</w:t>
            </w:r>
            <w:proofErr w:type="gramEnd"/>
            <w:r w:rsidRPr="0013051D">
              <w:rPr>
                <w:rFonts w:eastAsia="Times New Roman" w:cstheme="minorHAnsi"/>
                <w:sz w:val="22"/>
                <w:szCs w:val="22"/>
              </w:rPr>
              <w:t> sticky date pudding, crème </w:t>
            </w:r>
            <w:proofErr w:type="spellStart"/>
            <w:r w:rsidRPr="0013051D">
              <w:rPr>
                <w:rFonts w:eastAsia="Times New Roman" w:cstheme="minorHAnsi"/>
                <w:sz w:val="22"/>
                <w:szCs w:val="22"/>
              </w:rPr>
              <w:t>brûlée</w:t>
            </w:r>
            <w:proofErr w:type="spellEnd"/>
            <w:r w:rsidRPr="0013051D">
              <w:rPr>
                <w:rFonts w:eastAsia="Times New Roman" w:cstheme="minorHAnsi"/>
                <w:sz w:val="22"/>
                <w:szCs w:val="22"/>
              </w:rPr>
              <w:t>, ice-cream and panna cotta. </w:t>
            </w:r>
          </w:p>
          <w:p w14:paraId="7611ED3B" w14:textId="77777777" w:rsidR="00912146" w:rsidRPr="0013051D"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All muffins and muffin bars (all flavours).  </w:t>
            </w:r>
          </w:p>
          <w:p w14:paraId="28C6E373" w14:textId="2E8048EE"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All slices (all flavours).  </w:t>
            </w:r>
          </w:p>
          <w:p w14:paraId="711085B8" w14:textId="1EAF7D77"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Savoury products including savoury muffins, savoury </w:t>
            </w:r>
            <w:proofErr w:type="gramStart"/>
            <w:r w:rsidRPr="0013051D">
              <w:rPr>
                <w:rFonts w:eastAsia="Times New Roman" w:cstheme="minorHAnsi"/>
                <w:sz w:val="22"/>
                <w:szCs w:val="22"/>
              </w:rPr>
              <w:t>tarts</w:t>
            </w:r>
            <w:proofErr w:type="gramEnd"/>
            <w:r w:rsidRPr="0013051D">
              <w:rPr>
                <w:rFonts w:eastAsia="Times New Roman" w:cstheme="minorHAnsi"/>
                <w:sz w:val="22"/>
                <w:szCs w:val="22"/>
              </w:rPr>
              <w:t> or slices. </w:t>
            </w:r>
          </w:p>
          <w:p w14:paraId="21E6E6F8" w14:textId="77777777" w:rsidR="00912146" w:rsidRPr="0013051D" w:rsidRDefault="00912146" w:rsidP="006774BC">
            <w:pPr>
              <w:pStyle w:val="Default"/>
              <w:spacing w:after="120"/>
              <w:rPr>
                <w:rFonts w:asciiTheme="minorHAnsi" w:hAnsiTheme="minorHAnsi" w:cstheme="minorHAnsi"/>
                <w:color w:val="auto"/>
                <w:sz w:val="22"/>
                <w:szCs w:val="22"/>
              </w:rPr>
            </w:pPr>
            <w:r w:rsidRPr="0013051D">
              <w:rPr>
                <w:rFonts w:asciiTheme="minorHAnsi" w:hAnsiTheme="minorHAnsi" w:cstheme="minorHAnsi"/>
                <w:color w:val="auto"/>
                <w:sz w:val="22"/>
                <w:szCs w:val="22"/>
              </w:rPr>
              <w:t xml:space="preserve">Excludes hybrid cake products which combine an excluded item with an included item, </w:t>
            </w:r>
            <w:proofErr w:type="gramStart"/>
            <w:r w:rsidRPr="0013051D">
              <w:rPr>
                <w:rFonts w:asciiTheme="minorHAnsi" w:hAnsiTheme="minorHAnsi" w:cstheme="minorHAnsi"/>
                <w:color w:val="auto"/>
                <w:sz w:val="22"/>
                <w:szCs w:val="22"/>
              </w:rPr>
              <w:t>e.g.</w:t>
            </w:r>
            <w:proofErr w:type="gramEnd"/>
            <w:r w:rsidRPr="0013051D">
              <w:rPr>
                <w:rFonts w:asciiTheme="minorHAnsi" w:eastAsia="Times New Roman" w:hAnsiTheme="minorHAnsi" w:cstheme="minorHAnsi"/>
                <w:color w:val="auto"/>
                <w:sz w:val="22"/>
                <w:szCs w:val="22"/>
              </w:rPr>
              <w:t> </w:t>
            </w:r>
            <w:proofErr w:type="spellStart"/>
            <w:r w:rsidRPr="0013051D">
              <w:rPr>
                <w:rFonts w:asciiTheme="minorHAnsi" w:hAnsiTheme="minorHAnsi" w:cstheme="minorHAnsi"/>
                <w:color w:val="auto"/>
                <w:sz w:val="22"/>
                <w:szCs w:val="22"/>
              </w:rPr>
              <w:t>Duffins</w:t>
            </w:r>
            <w:proofErr w:type="spellEnd"/>
            <w:r w:rsidRPr="0013051D">
              <w:rPr>
                <w:rFonts w:asciiTheme="minorHAnsi" w:eastAsia="Times New Roman" w:hAnsiTheme="minorHAnsi" w:cstheme="minorHAnsi"/>
                <w:color w:val="auto"/>
                <w:sz w:val="22"/>
                <w:szCs w:val="22"/>
              </w:rPr>
              <w:t> </w:t>
            </w:r>
            <w:r w:rsidRPr="0013051D">
              <w:rPr>
                <w:rFonts w:asciiTheme="minorHAnsi" w:hAnsiTheme="minorHAnsi" w:cstheme="minorHAnsi"/>
                <w:color w:val="auto"/>
                <w:sz w:val="22"/>
                <w:szCs w:val="22"/>
              </w:rPr>
              <w:t>(donut muffins).</w:t>
            </w:r>
            <w:r w:rsidRPr="0013051D">
              <w:rPr>
                <w:rFonts w:asciiTheme="minorHAnsi" w:eastAsia="Times New Roman" w:hAnsiTheme="minorHAnsi" w:cstheme="minorHAnsi"/>
                <w:color w:val="auto"/>
                <w:sz w:val="22"/>
                <w:szCs w:val="22"/>
              </w:rPr>
              <w:t>  </w:t>
            </w:r>
          </w:p>
        </w:tc>
      </w:tr>
    </w:tbl>
    <w:p w14:paraId="182E57C7" w14:textId="77777777" w:rsidR="00912146" w:rsidRDefault="00912146" w:rsidP="00912146">
      <w:pPr>
        <w:rPr>
          <w:rFonts w:cstheme="minorHAnsi"/>
        </w:rPr>
      </w:pPr>
    </w:p>
    <w:p w14:paraId="44EA1B86" w14:textId="0668EC6B" w:rsidR="00912146" w:rsidRPr="0050147F" w:rsidRDefault="00BD49F2" w:rsidP="0050147F">
      <w:pPr>
        <w:rPr>
          <w:rFonts w:eastAsiaTheme="majorEastAsia" w:cstheme="minorHAnsi"/>
          <w:b/>
          <w:bCs/>
          <w:kern w:val="32"/>
        </w:rPr>
      </w:pPr>
      <w:r>
        <w:rPr>
          <w:rFonts w:eastAsiaTheme="majorEastAsia" w:cstheme="minorHAnsi"/>
          <w:b/>
          <w:bCs/>
          <w:kern w:val="32"/>
        </w:rPr>
        <w:t>S</w:t>
      </w:r>
      <w:r w:rsidR="00912146" w:rsidRPr="0050147F">
        <w:rPr>
          <w:rFonts w:eastAsiaTheme="majorEastAsia" w:cstheme="minorHAnsi"/>
          <w:b/>
          <w:bCs/>
          <w:kern w:val="32"/>
        </w:rPr>
        <w:t>ub-category B: Cakes – Light-Medium Weight – Out of home</w:t>
      </w:r>
    </w:p>
    <w:p w14:paraId="642EC04A" w14:textId="77777777" w:rsidR="00912146" w:rsidRPr="001F1DA4" w:rsidRDefault="00912146" w:rsidP="00912146">
      <w:pPr>
        <w:pStyle w:val="Default"/>
        <w:rPr>
          <w:rFonts w:asciiTheme="minorHAnsi" w:hAnsiTheme="minorHAnsi" w:cstheme="minorHAnsi"/>
          <w:color w:val="auto"/>
          <w:sz w:val="22"/>
          <w:szCs w:val="22"/>
        </w:rPr>
      </w:pPr>
      <w:r w:rsidRPr="001F1DA4">
        <w:rPr>
          <w:rFonts w:asciiTheme="minorHAnsi" w:hAnsiTheme="minorHAnsi" w:cstheme="minorHAnsi"/>
          <w:b/>
          <w:bCs/>
          <w:color w:val="auto"/>
          <w:sz w:val="22"/>
          <w:szCs w:val="22"/>
        </w:rPr>
        <w:t xml:space="preserve">Sub-category definition: </w:t>
      </w:r>
    </w:p>
    <w:p w14:paraId="7093C433" w14:textId="77777777" w:rsidR="00912146" w:rsidRPr="001F1DA4" w:rsidRDefault="00912146" w:rsidP="0013051D">
      <w:pPr>
        <w:spacing w:after="240"/>
        <w:rPr>
          <w:rFonts w:cstheme="minorBidi"/>
          <w:sz w:val="22"/>
          <w:szCs w:val="22"/>
        </w:rPr>
      </w:pPr>
      <w:r w:rsidRPr="001F1DA4">
        <w:rPr>
          <w:rFonts w:cstheme="minorBidi"/>
          <w:sz w:val="22"/>
          <w:szCs w:val="22"/>
        </w:rPr>
        <w:t xml:space="preserve">Freshly baked, </w:t>
      </w:r>
      <w:proofErr w:type="gramStart"/>
      <w:r w:rsidRPr="001F1DA4">
        <w:rPr>
          <w:rFonts w:cstheme="minorBidi"/>
          <w:sz w:val="22"/>
          <w:szCs w:val="22"/>
        </w:rPr>
        <w:t>frozen</w:t>
      </w:r>
      <w:proofErr w:type="gramEnd"/>
      <w:r w:rsidRPr="001F1DA4">
        <w:rPr>
          <w:rFonts w:cstheme="minorBidi"/>
          <w:sz w:val="22"/>
          <w:szCs w:val="22"/>
        </w:rPr>
        <w:t xml:space="preserve"> or shelf-stable light and medium cakes sold in the out of home sector. Includes cake sold whole or pre-portioned (with or without toppings), or cupcakes with or without a frosting or a coating. Excludes mud cakes and cheesecakes.</w:t>
      </w:r>
    </w:p>
    <w:p w14:paraId="6FDAD940" w14:textId="77777777" w:rsidR="00912146" w:rsidRPr="00017822" w:rsidRDefault="00912146" w:rsidP="00912146">
      <w:pPr>
        <w:pStyle w:val="Default"/>
        <w:rPr>
          <w:rFonts w:asciiTheme="minorHAnsi" w:hAnsiTheme="minorHAnsi" w:cstheme="minorBidi"/>
          <w:color w:val="auto"/>
          <w:sz w:val="20"/>
          <w:szCs w:val="20"/>
        </w:rPr>
      </w:pPr>
      <w:r w:rsidRPr="00017822">
        <w:rPr>
          <w:rFonts w:asciiTheme="minorHAnsi" w:hAnsiTheme="minorHAnsi" w:cstheme="minorBidi"/>
          <w:b/>
          <w:color w:val="auto"/>
          <w:sz w:val="20"/>
          <w:szCs w:val="20"/>
        </w:rPr>
        <w:t>Table 7: Cakes– Light-Medium Weight – Out of home</w:t>
      </w:r>
    </w:p>
    <w:tbl>
      <w:tblPr>
        <w:tblStyle w:val="TableGrid4"/>
        <w:tblW w:w="9458" w:type="dxa"/>
        <w:tblLayout w:type="fixed"/>
        <w:tblLook w:val="0000" w:firstRow="0" w:lastRow="0" w:firstColumn="0" w:lastColumn="0" w:noHBand="0" w:noVBand="0"/>
      </w:tblPr>
      <w:tblGrid>
        <w:gridCol w:w="4729"/>
        <w:gridCol w:w="4729"/>
      </w:tblGrid>
      <w:tr w:rsidR="008E2AF5" w:rsidRPr="0013051D" w14:paraId="588C7453" w14:textId="77777777" w:rsidTr="00B640FD">
        <w:trPr>
          <w:trHeight w:val="120"/>
        </w:trPr>
        <w:tc>
          <w:tcPr>
            <w:tcW w:w="4729" w:type="dxa"/>
          </w:tcPr>
          <w:p w14:paraId="39CD6EDA"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Inclusions </w:t>
            </w:r>
          </w:p>
        </w:tc>
        <w:tc>
          <w:tcPr>
            <w:tcW w:w="4729" w:type="dxa"/>
          </w:tcPr>
          <w:p w14:paraId="19226BC0" w14:textId="77777777" w:rsidR="00912146" w:rsidRPr="0013051D" w:rsidRDefault="00912146" w:rsidP="00AE496B">
            <w:pPr>
              <w:pStyle w:val="Default"/>
              <w:rPr>
                <w:rFonts w:asciiTheme="minorHAnsi" w:hAnsiTheme="minorHAnsi" w:cstheme="minorHAnsi"/>
                <w:color w:val="auto"/>
                <w:sz w:val="22"/>
                <w:szCs w:val="22"/>
              </w:rPr>
            </w:pPr>
            <w:r w:rsidRPr="0013051D">
              <w:rPr>
                <w:rFonts w:asciiTheme="minorHAnsi" w:hAnsiTheme="minorHAnsi" w:cstheme="minorHAnsi"/>
                <w:b/>
                <w:bCs/>
                <w:color w:val="auto"/>
                <w:sz w:val="22"/>
                <w:szCs w:val="22"/>
              </w:rPr>
              <w:t xml:space="preserve">Sub-category Exclusions </w:t>
            </w:r>
          </w:p>
        </w:tc>
      </w:tr>
      <w:tr w:rsidR="00573030" w:rsidRPr="0013051D" w14:paraId="5E73CF18" w14:textId="77777777" w:rsidTr="00B640FD">
        <w:trPr>
          <w:trHeight w:val="688"/>
        </w:trPr>
        <w:tc>
          <w:tcPr>
            <w:tcW w:w="4729" w:type="dxa"/>
          </w:tcPr>
          <w:p w14:paraId="3EDF08E6" w14:textId="77777777" w:rsidR="00BD49F2"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All light and medium weight iced and un-iced cakes (all flavours), pre-portioned coated cakes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lamingtons, cake bars), iced and uniced cupcakes (except mud cake-style cupcakes), cake rolls (e.g. Swiss rolls) and brownies.</w:t>
            </w:r>
          </w:p>
          <w:p w14:paraId="7793C169" w14:textId="4322F8E5"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Includes pre-portioned or whole banana breads and similar products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pear bread or berry bread) with or without nuts, seeds or chocolate chips added. </w:t>
            </w:r>
          </w:p>
          <w:p w14:paraId="7A6FC0C4" w14:textId="4F444922"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Includes products made from raw ingredients or from a mix, generally available for purchase as chilled or </w:t>
            </w:r>
            <w:proofErr w:type="gramStart"/>
            <w:r w:rsidRPr="0013051D">
              <w:rPr>
                <w:rFonts w:eastAsia="Times New Roman" w:cstheme="minorHAnsi"/>
                <w:sz w:val="22"/>
                <w:szCs w:val="22"/>
              </w:rPr>
              <w:t>shelf-stable</w:t>
            </w:r>
            <w:proofErr w:type="gramEnd"/>
            <w:r w:rsidRPr="0013051D">
              <w:rPr>
                <w:rFonts w:eastAsia="Times New Roman" w:cstheme="minorHAnsi"/>
                <w:sz w:val="22"/>
                <w:szCs w:val="22"/>
              </w:rPr>
              <w:t>.  </w:t>
            </w:r>
          </w:p>
          <w:p w14:paraId="2C432780" w14:textId="77777777" w:rsidR="00912146" w:rsidRPr="0013051D"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Includes products with or without fillings or decorations such as jam, </w:t>
            </w:r>
            <w:proofErr w:type="gramStart"/>
            <w:r w:rsidRPr="0013051D">
              <w:rPr>
                <w:rFonts w:eastAsia="Times New Roman" w:cstheme="minorHAnsi"/>
                <w:sz w:val="22"/>
                <w:szCs w:val="22"/>
              </w:rPr>
              <w:t>cream</w:t>
            </w:r>
            <w:proofErr w:type="gramEnd"/>
            <w:r w:rsidRPr="0013051D">
              <w:rPr>
                <w:rFonts w:eastAsia="Times New Roman" w:cstheme="minorHAnsi"/>
                <w:sz w:val="22"/>
                <w:szCs w:val="22"/>
              </w:rPr>
              <w:t> or sprinkles. </w:t>
            </w:r>
          </w:p>
          <w:p w14:paraId="274F1C90" w14:textId="39CD900A"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Includes products made from any type of flour including gluten-free alternatives.  </w:t>
            </w:r>
          </w:p>
          <w:p w14:paraId="21078998" w14:textId="77777777" w:rsidR="00912146" w:rsidRPr="0013051D" w:rsidRDefault="00912146" w:rsidP="006774BC">
            <w:pPr>
              <w:pStyle w:val="Default"/>
              <w:spacing w:after="120"/>
              <w:rPr>
                <w:rFonts w:asciiTheme="minorHAnsi" w:hAnsiTheme="minorHAnsi" w:cstheme="minorHAnsi"/>
                <w:color w:val="auto"/>
                <w:sz w:val="22"/>
                <w:szCs w:val="22"/>
              </w:rPr>
            </w:pPr>
            <w:r w:rsidRPr="0013051D">
              <w:rPr>
                <w:rFonts w:asciiTheme="minorHAnsi" w:eastAsia="Times New Roman" w:hAnsiTheme="minorHAnsi" w:cstheme="minorHAnsi"/>
                <w:color w:val="auto"/>
                <w:sz w:val="22"/>
                <w:szCs w:val="22"/>
              </w:rPr>
              <w:t>May be sold as individual serves (</w:t>
            </w:r>
            <w:proofErr w:type="gramStart"/>
            <w:r w:rsidRPr="0013051D">
              <w:rPr>
                <w:rFonts w:asciiTheme="minorHAnsi" w:eastAsia="Times New Roman" w:hAnsiTheme="minorHAnsi" w:cstheme="minorHAnsi"/>
                <w:color w:val="auto"/>
                <w:sz w:val="22"/>
                <w:szCs w:val="22"/>
              </w:rPr>
              <w:t>e.g.</w:t>
            </w:r>
            <w:proofErr w:type="gramEnd"/>
            <w:r w:rsidRPr="0013051D">
              <w:rPr>
                <w:rFonts w:asciiTheme="minorHAnsi" w:eastAsia="Times New Roman" w:hAnsiTheme="minorHAnsi" w:cstheme="minorHAnsi"/>
                <w:color w:val="auto"/>
                <w:sz w:val="22"/>
                <w:szCs w:val="22"/>
              </w:rPr>
              <w:t xml:space="preserve"> individual cake slice), as a multipack (e.g. pack of lamingtons or cake bars), pre-sliced (e.g. a whole cake already sliced) or whole unsliced cake.  </w:t>
            </w:r>
          </w:p>
        </w:tc>
        <w:tc>
          <w:tcPr>
            <w:tcW w:w="4729" w:type="dxa"/>
          </w:tcPr>
          <w:p w14:paraId="3936586C" w14:textId="26585799"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Excludes mud cakes and cheesecakes (all varieties including mud cakes or cheesecakes sold whole or pre-portioned, with or without toppings, or mud cake-style cupcakes with or without a frosting or a coating).  </w:t>
            </w:r>
          </w:p>
          <w:p w14:paraId="4EC0146F" w14:textId="77777777" w:rsidR="00BD49F2"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13051D">
              <w:rPr>
                <w:rFonts w:eastAsia="Times New Roman" w:cstheme="minorHAnsi"/>
                <w:sz w:val="22"/>
                <w:szCs w:val="22"/>
              </w:rPr>
              <w:t>sfogliatelle</w:t>
            </w:r>
            <w:proofErr w:type="spellEnd"/>
            <w:r w:rsidRPr="0013051D">
              <w:rPr>
                <w:rFonts w:eastAsia="Times New Roman" w:cstheme="minorHAnsi"/>
                <w:sz w:val="22"/>
                <w:szCs w:val="22"/>
              </w:rPr>
              <w:t>, zeppole, cannoli, sweet pies), sweet biscuits, fruit pies, tarts, crumbles, doughnuts (all varieties), churros, profiteroles, custards,  protein balls, eclairs , biscuits and cookies. </w:t>
            </w:r>
          </w:p>
          <w:p w14:paraId="7505798C" w14:textId="2FB34D4C" w:rsidR="00912146" w:rsidRPr="0013051D"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 All puddings and desserts </w:t>
            </w:r>
            <w:proofErr w:type="gramStart"/>
            <w:r w:rsidRPr="0013051D">
              <w:rPr>
                <w:rFonts w:eastAsia="Times New Roman" w:cstheme="minorHAnsi"/>
                <w:sz w:val="22"/>
                <w:szCs w:val="22"/>
              </w:rPr>
              <w:t>e.g</w:t>
            </w:r>
            <w:r w:rsidR="007E641E">
              <w:rPr>
                <w:rFonts w:eastAsia="Times New Roman" w:cstheme="minorHAnsi"/>
                <w:sz w:val="22"/>
                <w:szCs w:val="22"/>
              </w:rPr>
              <w:t>.</w:t>
            </w:r>
            <w:proofErr w:type="gramEnd"/>
            <w:r w:rsidRPr="0013051D">
              <w:rPr>
                <w:rFonts w:eastAsia="Times New Roman" w:cstheme="minorHAnsi"/>
                <w:sz w:val="22"/>
                <w:szCs w:val="22"/>
              </w:rPr>
              <w:t> sticky date pudding, crème </w:t>
            </w:r>
            <w:proofErr w:type="spellStart"/>
            <w:r w:rsidRPr="0013051D">
              <w:rPr>
                <w:rFonts w:eastAsia="Times New Roman" w:cstheme="minorHAnsi"/>
                <w:sz w:val="22"/>
                <w:szCs w:val="22"/>
              </w:rPr>
              <w:t>brûlée</w:t>
            </w:r>
            <w:proofErr w:type="spellEnd"/>
            <w:r w:rsidRPr="0013051D">
              <w:rPr>
                <w:rFonts w:eastAsia="Times New Roman" w:cstheme="minorHAnsi"/>
                <w:sz w:val="22"/>
                <w:szCs w:val="22"/>
              </w:rPr>
              <w:t>, ice-cream and panna cotta. </w:t>
            </w:r>
          </w:p>
          <w:p w14:paraId="6E14ED10" w14:textId="77777777" w:rsidR="00912146" w:rsidRPr="0013051D"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All muffins and muffin bars (all flavours).  </w:t>
            </w:r>
          </w:p>
          <w:p w14:paraId="33D76CBC" w14:textId="39DCCD5A"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All slices (</w:t>
            </w:r>
            <w:proofErr w:type="gramStart"/>
            <w:r w:rsidRPr="0013051D">
              <w:rPr>
                <w:rFonts w:eastAsia="Times New Roman" w:cstheme="minorHAnsi"/>
                <w:sz w:val="22"/>
                <w:szCs w:val="22"/>
              </w:rPr>
              <w:t>e.g.</w:t>
            </w:r>
            <w:proofErr w:type="gramEnd"/>
            <w:r w:rsidRPr="0013051D">
              <w:rPr>
                <w:rFonts w:eastAsia="Times New Roman" w:cstheme="minorHAnsi"/>
                <w:sz w:val="22"/>
                <w:szCs w:val="22"/>
              </w:rPr>
              <w:t xml:space="preserve"> hedgehogs, caramel slice, vanilla slice, coconut and jam slice, slices containing meringue or jelly).  </w:t>
            </w:r>
          </w:p>
          <w:p w14:paraId="6A732DC1" w14:textId="3FC53C9C" w:rsidR="00912146" w:rsidRDefault="00912146" w:rsidP="006774BC">
            <w:pPr>
              <w:spacing w:after="120"/>
              <w:textAlignment w:val="baseline"/>
              <w:rPr>
                <w:rFonts w:eastAsia="Times New Roman" w:cstheme="minorHAnsi"/>
                <w:sz w:val="22"/>
                <w:szCs w:val="22"/>
              </w:rPr>
            </w:pPr>
            <w:r w:rsidRPr="0013051D">
              <w:rPr>
                <w:rFonts w:eastAsia="Times New Roman" w:cstheme="minorHAnsi"/>
                <w:sz w:val="22"/>
                <w:szCs w:val="22"/>
              </w:rPr>
              <w:t>Savoury products including savoury muffins, savoury </w:t>
            </w:r>
            <w:proofErr w:type="gramStart"/>
            <w:r w:rsidRPr="0013051D">
              <w:rPr>
                <w:rFonts w:eastAsia="Times New Roman" w:cstheme="minorHAnsi"/>
                <w:sz w:val="22"/>
                <w:szCs w:val="22"/>
              </w:rPr>
              <w:t>tarts</w:t>
            </w:r>
            <w:proofErr w:type="gramEnd"/>
            <w:r w:rsidRPr="0013051D">
              <w:rPr>
                <w:rFonts w:eastAsia="Times New Roman" w:cstheme="minorHAnsi"/>
                <w:sz w:val="22"/>
                <w:szCs w:val="22"/>
              </w:rPr>
              <w:t> or slices. </w:t>
            </w:r>
          </w:p>
          <w:p w14:paraId="5FAF2D90" w14:textId="77777777" w:rsidR="00912146" w:rsidRPr="0013051D" w:rsidRDefault="00912146" w:rsidP="006774BC">
            <w:pPr>
              <w:pStyle w:val="Default"/>
              <w:spacing w:after="120"/>
              <w:rPr>
                <w:rFonts w:asciiTheme="minorHAnsi" w:hAnsiTheme="minorHAnsi" w:cstheme="minorHAnsi"/>
                <w:color w:val="auto"/>
                <w:sz w:val="22"/>
                <w:szCs w:val="22"/>
              </w:rPr>
            </w:pPr>
            <w:r w:rsidRPr="0013051D">
              <w:rPr>
                <w:rFonts w:asciiTheme="minorHAnsi" w:eastAsia="Times New Roman" w:hAnsiTheme="minorHAnsi" w:cstheme="minorHAnsi"/>
                <w:color w:val="auto"/>
                <w:sz w:val="22"/>
                <w:szCs w:val="22"/>
              </w:rPr>
              <w:t xml:space="preserve">Excludes hybrid cake products which combine an excluded item with an included item, </w:t>
            </w:r>
            <w:proofErr w:type="gramStart"/>
            <w:r w:rsidRPr="0013051D">
              <w:rPr>
                <w:rFonts w:asciiTheme="minorHAnsi" w:eastAsia="Times New Roman" w:hAnsiTheme="minorHAnsi" w:cstheme="minorHAnsi"/>
                <w:color w:val="auto"/>
                <w:sz w:val="22"/>
                <w:szCs w:val="22"/>
              </w:rPr>
              <w:t>e.g.</w:t>
            </w:r>
            <w:proofErr w:type="gramEnd"/>
            <w:r w:rsidRPr="0013051D">
              <w:rPr>
                <w:rFonts w:asciiTheme="minorHAnsi" w:eastAsia="Times New Roman" w:hAnsiTheme="minorHAnsi" w:cstheme="minorHAnsi"/>
                <w:color w:val="auto"/>
                <w:sz w:val="22"/>
                <w:szCs w:val="22"/>
              </w:rPr>
              <w:t> </w:t>
            </w:r>
            <w:proofErr w:type="spellStart"/>
            <w:r w:rsidRPr="0013051D">
              <w:rPr>
                <w:rFonts w:asciiTheme="minorHAnsi" w:eastAsia="Times New Roman" w:hAnsiTheme="minorHAnsi" w:cstheme="minorHAnsi"/>
                <w:color w:val="auto"/>
                <w:sz w:val="22"/>
                <w:szCs w:val="22"/>
              </w:rPr>
              <w:t>Duffins</w:t>
            </w:r>
            <w:proofErr w:type="spellEnd"/>
            <w:r w:rsidRPr="0013051D">
              <w:rPr>
                <w:rFonts w:asciiTheme="minorHAnsi" w:eastAsia="Times New Roman" w:hAnsiTheme="minorHAnsi" w:cstheme="minorHAnsi"/>
                <w:color w:val="auto"/>
                <w:sz w:val="22"/>
                <w:szCs w:val="22"/>
              </w:rPr>
              <w:t> (donut muffins).  </w:t>
            </w:r>
          </w:p>
        </w:tc>
      </w:tr>
    </w:tbl>
    <w:p w14:paraId="1BDCA722" w14:textId="77777777" w:rsidR="00912146" w:rsidRDefault="00912146" w:rsidP="00912146">
      <w:pPr>
        <w:rPr>
          <w:rFonts w:cstheme="minorHAnsi"/>
        </w:rPr>
      </w:pPr>
    </w:p>
    <w:p w14:paraId="2926D70B" w14:textId="77777777" w:rsidR="00BD49F2" w:rsidRDefault="00BD49F2">
      <w:pPr>
        <w:rPr>
          <w:rFonts w:eastAsiaTheme="majorEastAsia" w:cstheme="minorHAnsi"/>
          <w:b/>
          <w:bCs/>
          <w:kern w:val="32"/>
        </w:rPr>
      </w:pPr>
      <w:r>
        <w:rPr>
          <w:rFonts w:eastAsiaTheme="majorEastAsia" w:cstheme="minorHAnsi"/>
          <w:b/>
          <w:bCs/>
          <w:kern w:val="32"/>
        </w:rPr>
        <w:br w:type="page"/>
      </w:r>
    </w:p>
    <w:p w14:paraId="7B048DE7" w14:textId="30A44639" w:rsidR="00912146" w:rsidRPr="0050147F" w:rsidRDefault="00912146" w:rsidP="0050147F">
      <w:pPr>
        <w:rPr>
          <w:rFonts w:eastAsiaTheme="majorEastAsia" w:cstheme="minorHAnsi"/>
          <w:b/>
          <w:bCs/>
          <w:kern w:val="32"/>
        </w:rPr>
      </w:pPr>
      <w:r w:rsidRPr="0050147F">
        <w:rPr>
          <w:rFonts w:eastAsiaTheme="majorEastAsia" w:cstheme="minorHAnsi"/>
          <w:b/>
          <w:bCs/>
          <w:kern w:val="32"/>
        </w:rPr>
        <w:lastRenderedPageBreak/>
        <w:t>Sub-category C: Muffins – Out of home</w:t>
      </w:r>
    </w:p>
    <w:p w14:paraId="78C4CCDA" w14:textId="77777777" w:rsidR="00912146" w:rsidRPr="0072271A" w:rsidRDefault="00912146" w:rsidP="00912146">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Subcategory definition: </w:t>
      </w:r>
    </w:p>
    <w:p w14:paraId="30F3C3CD" w14:textId="77777777" w:rsidR="00912146" w:rsidRPr="0072271A" w:rsidRDefault="00912146" w:rsidP="00912146">
      <w:pPr>
        <w:pStyle w:val="Default"/>
        <w:rPr>
          <w:rFonts w:asciiTheme="minorHAnsi" w:hAnsiTheme="minorHAnsi" w:cstheme="minorBidi"/>
          <w:sz w:val="22"/>
          <w:szCs w:val="22"/>
        </w:rPr>
      </w:pPr>
      <w:r w:rsidRPr="0072271A">
        <w:rPr>
          <w:rFonts w:asciiTheme="minorHAnsi" w:hAnsiTheme="minorHAnsi" w:cstheme="minorBidi"/>
          <w:sz w:val="22"/>
          <w:szCs w:val="22"/>
        </w:rPr>
        <w:t>Freshly baked, frozen or shelf-stable muffins, with or without a topping (</w:t>
      </w:r>
      <w:proofErr w:type="gramStart"/>
      <w:r w:rsidRPr="0072271A">
        <w:rPr>
          <w:rFonts w:asciiTheme="minorHAnsi" w:hAnsiTheme="minorHAnsi" w:cstheme="minorBidi"/>
          <w:sz w:val="22"/>
          <w:szCs w:val="22"/>
        </w:rPr>
        <w:t>e.g.</w:t>
      </w:r>
      <w:proofErr w:type="gramEnd"/>
      <w:r w:rsidRPr="0072271A">
        <w:rPr>
          <w:rFonts w:asciiTheme="minorHAnsi" w:hAnsiTheme="minorHAnsi" w:cstheme="minorBidi"/>
          <w:sz w:val="22"/>
          <w:szCs w:val="22"/>
        </w:rPr>
        <w:t xml:space="preserve"> crumbs, dusted with icing sugar, chocolate drizzle), sold in the out of home sector, in pre-portioned servings. </w:t>
      </w:r>
    </w:p>
    <w:p w14:paraId="12AB6C03" w14:textId="77777777" w:rsidR="00912146" w:rsidRDefault="00912146" w:rsidP="00912146">
      <w:pPr>
        <w:pStyle w:val="Default"/>
        <w:rPr>
          <w:rFonts w:asciiTheme="minorHAnsi" w:hAnsiTheme="minorHAnsi" w:cstheme="minorHAnsi"/>
          <w:b/>
          <w:bCs/>
          <w:sz w:val="20"/>
          <w:szCs w:val="20"/>
        </w:rPr>
      </w:pPr>
    </w:p>
    <w:p w14:paraId="555B6F14" w14:textId="77777777" w:rsidR="00912146" w:rsidRPr="000246FD" w:rsidRDefault="00912146" w:rsidP="00912146">
      <w:pPr>
        <w:pStyle w:val="Default"/>
        <w:rPr>
          <w:rFonts w:asciiTheme="minorHAnsi" w:hAnsiTheme="minorHAnsi" w:cstheme="minorBidi"/>
          <w:sz w:val="23"/>
          <w:szCs w:val="23"/>
        </w:rPr>
      </w:pPr>
      <w:r w:rsidRPr="68260139">
        <w:rPr>
          <w:rFonts w:asciiTheme="minorHAnsi" w:hAnsiTheme="minorHAnsi" w:cstheme="minorBidi"/>
          <w:b/>
          <w:sz w:val="20"/>
          <w:szCs w:val="20"/>
        </w:rPr>
        <w:t xml:space="preserve">Table </w:t>
      </w:r>
      <w:r>
        <w:rPr>
          <w:rFonts w:asciiTheme="minorHAnsi" w:hAnsiTheme="minorHAnsi" w:cstheme="minorBidi"/>
          <w:b/>
          <w:sz w:val="20"/>
          <w:szCs w:val="20"/>
        </w:rPr>
        <w:t>8</w:t>
      </w:r>
      <w:r w:rsidRPr="68260139">
        <w:rPr>
          <w:rFonts w:asciiTheme="minorHAnsi" w:hAnsiTheme="minorHAnsi" w:cstheme="minorBidi"/>
          <w:b/>
          <w:sz w:val="20"/>
          <w:szCs w:val="20"/>
        </w:rPr>
        <w:t xml:space="preserve">: Muffins - </w:t>
      </w:r>
      <w:r>
        <w:rPr>
          <w:rFonts w:asciiTheme="minorHAnsi" w:hAnsiTheme="minorHAnsi" w:cstheme="minorBidi"/>
          <w:b/>
          <w:sz w:val="20"/>
          <w:szCs w:val="20"/>
        </w:rPr>
        <w:t>O</w:t>
      </w:r>
      <w:r w:rsidRPr="68260139">
        <w:rPr>
          <w:rFonts w:asciiTheme="minorHAnsi" w:hAnsiTheme="minorHAnsi" w:cstheme="minorBidi"/>
          <w:b/>
          <w:sz w:val="20"/>
          <w:szCs w:val="20"/>
        </w:rPr>
        <w:t>ut of home</w:t>
      </w:r>
    </w:p>
    <w:tbl>
      <w:tblPr>
        <w:tblStyle w:val="TableGrid4"/>
        <w:tblW w:w="9458" w:type="dxa"/>
        <w:tblLayout w:type="fixed"/>
        <w:tblLook w:val="0000" w:firstRow="0" w:lastRow="0" w:firstColumn="0" w:lastColumn="0" w:noHBand="0" w:noVBand="0"/>
      </w:tblPr>
      <w:tblGrid>
        <w:gridCol w:w="4729"/>
        <w:gridCol w:w="4729"/>
      </w:tblGrid>
      <w:tr w:rsidR="008E2AF5" w:rsidRPr="00617536" w14:paraId="1642C24C" w14:textId="77777777" w:rsidTr="00B640FD">
        <w:trPr>
          <w:trHeight w:val="120"/>
        </w:trPr>
        <w:tc>
          <w:tcPr>
            <w:tcW w:w="4729" w:type="dxa"/>
          </w:tcPr>
          <w:p w14:paraId="2FC130C0" w14:textId="77777777" w:rsidR="00912146" w:rsidRPr="00617536" w:rsidRDefault="00912146" w:rsidP="00AE496B">
            <w:pPr>
              <w:pStyle w:val="Default"/>
              <w:rPr>
                <w:rFonts w:asciiTheme="minorHAnsi" w:hAnsiTheme="minorHAnsi" w:cstheme="minorHAnsi"/>
                <w:sz w:val="22"/>
                <w:szCs w:val="22"/>
              </w:rPr>
            </w:pPr>
            <w:r w:rsidRPr="00617536">
              <w:rPr>
                <w:rFonts w:asciiTheme="minorHAnsi" w:hAnsiTheme="minorHAnsi" w:cstheme="minorHAnsi"/>
                <w:b/>
                <w:bCs/>
                <w:sz w:val="22"/>
                <w:szCs w:val="22"/>
              </w:rPr>
              <w:t xml:space="preserve">Sub-category Inclusions </w:t>
            </w:r>
          </w:p>
        </w:tc>
        <w:tc>
          <w:tcPr>
            <w:tcW w:w="4729" w:type="dxa"/>
          </w:tcPr>
          <w:p w14:paraId="21781177" w14:textId="77777777" w:rsidR="00912146" w:rsidRPr="00617536" w:rsidRDefault="00912146" w:rsidP="00AE496B">
            <w:pPr>
              <w:pStyle w:val="Default"/>
              <w:rPr>
                <w:rFonts w:asciiTheme="minorHAnsi" w:hAnsiTheme="minorHAnsi" w:cstheme="minorHAnsi"/>
                <w:sz w:val="22"/>
                <w:szCs w:val="22"/>
              </w:rPr>
            </w:pPr>
            <w:r w:rsidRPr="00617536">
              <w:rPr>
                <w:rFonts w:asciiTheme="minorHAnsi" w:hAnsiTheme="minorHAnsi" w:cstheme="minorHAnsi"/>
                <w:b/>
                <w:bCs/>
                <w:sz w:val="22"/>
                <w:szCs w:val="22"/>
              </w:rPr>
              <w:t xml:space="preserve">Sub-category Exclusions </w:t>
            </w:r>
          </w:p>
        </w:tc>
      </w:tr>
      <w:tr w:rsidR="00573030" w:rsidRPr="00617536" w14:paraId="2176AD74" w14:textId="77777777" w:rsidTr="00B640FD">
        <w:tc>
          <w:tcPr>
            <w:tcW w:w="4729" w:type="dxa"/>
          </w:tcPr>
          <w:p w14:paraId="1A249CB4" w14:textId="77777777" w:rsidR="00912146" w:rsidRPr="00617536" w:rsidRDefault="00912146" w:rsidP="006774BC">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All muffins and muffin bars (all flavours,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chocolate, banana, bran, coconut, orange and poppy seed, raspberry and white chocolate). </w:t>
            </w:r>
          </w:p>
          <w:p w14:paraId="4DB3D233" w14:textId="77777777" w:rsidR="00912146" w:rsidRPr="00617536" w:rsidRDefault="00912146" w:rsidP="006774BC">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Includes products made from raw ingredients or from a mix, generally available for purchase as chilled or </w:t>
            </w:r>
            <w:proofErr w:type="gramStart"/>
            <w:r w:rsidRPr="00617536">
              <w:rPr>
                <w:rFonts w:asciiTheme="minorHAnsi" w:hAnsiTheme="minorHAnsi" w:cstheme="minorHAnsi"/>
                <w:sz w:val="22"/>
                <w:szCs w:val="22"/>
              </w:rPr>
              <w:t>shelf-stable</w:t>
            </w:r>
            <w:proofErr w:type="gramEnd"/>
            <w:r w:rsidRPr="00617536">
              <w:rPr>
                <w:rFonts w:asciiTheme="minorHAnsi" w:hAnsiTheme="minorHAnsi" w:cstheme="minorHAnsi"/>
                <w:sz w:val="22"/>
                <w:szCs w:val="22"/>
              </w:rPr>
              <w:t xml:space="preserve">. Includes products with or without toppings, </w:t>
            </w:r>
            <w:proofErr w:type="gramStart"/>
            <w:r w:rsidRPr="00617536">
              <w:rPr>
                <w:rFonts w:asciiTheme="minorHAnsi" w:hAnsiTheme="minorHAnsi" w:cstheme="minorHAnsi"/>
                <w:sz w:val="22"/>
                <w:szCs w:val="22"/>
              </w:rPr>
              <w:t>fillings</w:t>
            </w:r>
            <w:proofErr w:type="gramEnd"/>
            <w:r w:rsidRPr="00617536">
              <w:rPr>
                <w:rFonts w:asciiTheme="minorHAnsi" w:hAnsiTheme="minorHAnsi" w:cstheme="minorHAnsi"/>
                <w:sz w:val="22"/>
                <w:szCs w:val="22"/>
              </w:rPr>
              <w:t xml:space="preserve"> or decorations such as icing, jam, cream or sprinkles. Includes products made from any type of flour including gluten-free alternatives. </w:t>
            </w:r>
          </w:p>
          <w:p w14:paraId="6FB101DA" w14:textId="77777777" w:rsidR="00912146" w:rsidRPr="00617536" w:rsidRDefault="00912146" w:rsidP="006774BC">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May be sold as a single serve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individual muffin), or multipacks (e.g. a pack of muffins). </w:t>
            </w:r>
          </w:p>
        </w:tc>
        <w:tc>
          <w:tcPr>
            <w:tcW w:w="4729" w:type="dxa"/>
          </w:tcPr>
          <w:p w14:paraId="74A0F0DE" w14:textId="77777777" w:rsidR="00912146" w:rsidRPr="00617536" w:rsidRDefault="00912146" w:rsidP="006774BC">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617536">
              <w:rPr>
                <w:rFonts w:asciiTheme="minorHAnsi" w:hAnsiTheme="minorHAnsi" w:cstheme="minorHAnsi"/>
                <w:sz w:val="22"/>
                <w:szCs w:val="22"/>
              </w:rPr>
              <w:t>sfogliatelle</w:t>
            </w:r>
            <w:proofErr w:type="spellEnd"/>
            <w:r w:rsidRPr="00617536">
              <w:rPr>
                <w:rFonts w:asciiTheme="minorHAnsi" w:hAnsiTheme="minorHAnsi" w:cstheme="minorHAnsi"/>
                <w:sz w:val="22"/>
                <w:szCs w:val="22"/>
              </w:rPr>
              <w:t xml:space="preserve">, zeppole, cannoli, sweet pies), sweet biscuits, fruit pies, tarts, crumbles, doughnuts (all varieties), churros, profiteroles, custards,  protein balls, eclairs , biscuits and cookies. </w:t>
            </w:r>
          </w:p>
          <w:p w14:paraId="4B36713D" w14:textId="11003871" w:rsidR="00912146" w:rsidRPr="00617536" w:rsidRDefault="00912146" w:rsidP="006774BC">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All puddings and desserts </w:t>
            </w:r>
            <w:proofErr w:type="gramStart"/>
            <w:r w:rsidRPr="00617536">
              <w:rPr>
                <w:rFonts w:asciiTheme="minorHAnsi" w:hAnsiTheme="minorHAnsi" w:cstheme="minorHAnsi"/>
                <w:sz w:val="22"/>
                <w:szCs w:val="22"/>
              </w:rPr>
              <w:t>e.g</w:t>
            </w:r>
            <w:r w:rsidR="007A5A72">
              <w:rPr>
                <w:rFonts w:asciiTheme="minorHAnsi" w:hAnsiTheme="minorHAnsi" w:cstheme="minorHAnsi"/>
                <w:sz w:val="22"/>
                <w:szCs w:val="22"/>
              </w:rPr>
              <w:t>.</w:t>
            </w:r>
            <w:proofErr w:type="gramEnd"/>
            <w:r w:rsidRPr="00617536">
              <w:rPr>
                <w:rFonts w:asciiTheme="minorHAnsi" w:hAnsiTheme="minorHAnsi" w:cstheme="minorHAnsi"/>
                <w:sz w:val="22"/>
                <w:szCs w:val="22"/>
              </w:rPr>
              <w:t xml:space="preserve"> sticky date pudding, crème </w:t>
            </w:r>
            <w:proofErr w:type="spellStart"/>
            <w:r w:rsidRPr="00617536">
              <w:rPr>
                <w:rFonts w:asciiTheme="minorHAnsi" w:hAnsiTheme="minorHAnsi" w:cstheme="minorHAnsi"/>
                <w:sz w:val="22"/>
                <w:szCs w:val="22"/>
              </w:rPr>
              <w:t>brûlée</w:t>
            </w:r>
            <w:proofErr w:type="spellEnd"/>
            <w:r w:rsidRPr="00617536">
              <w:rPr>
                <w:rFonts w:asciiTheme="minorHAnsi" w:hAnsiTheme="minorHAnsi" w:cstheme="minorHAnsi"/>
                <w:sz w:val="22"/>
                <w:szCs w:val="22"/>
              </w:rPr>
              <w:t>, ice-cream and panna cotta.</w:t>
            </w:r>
          </w:p>
          <w:p w14:paraId="4237C433" w14:textId="77777777" w:rsidR="00912146" w:rsidRPr="00617536" w:rsidRDefault="00912146" w:rsidP="006774BC">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All slices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hedgehogs, brownies, caramel slice, vanilla slice, coconut and jam slice, slices containing meringue or jelly). </w:t>
            </w:r>
          </w:p>
          <w:p w14:paraId="62F13AFC" w14:textId="77777777" w:rsidR="00912146" w:rsidRPr="00617536" w:rsidRDefault="00912146" w:rsidP="006774BC">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All cakes (all flavours), lamingtons, cupcakes, cake rolls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Swiss rolls), cake bars. </w:t>
            </w:r>
          </w:p>
          <w:p w14:paraId="0E80A992" w14:textId="77777777" w:rsidR="00912146" w:rsidRPr="00617536" w:rsidRDefault="00912146" w:rsidP="006774BC">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Pre-portioned or whole banana breads and similar products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pear bread or berry bread) with or without nuts, seeds or chocolate chips added. </w:t>
            </w:r>
          </w:p>
          <w:p w14:paraId="0E585B4D" w14:textId="77777777" w:rsidR="00912146" w:rsidRPr="00617536" w:rsidRDefault="00912146" w:rsidP="006774BC">
            <w:pPr>
              <w:pStyle w:val="Default"/>
              <w:spacing w:after="120"/>
              <w:rPr>
                <w:rFonts w:asciiTheme="minorHAnsi" w:eastAsia="Calibri" w:hAnsiTheme="minorHAnsi" w:cstheme="minorHAnsi"/>
                <w:color w:val="000000" w:themeColor="text1"/>
                <w:sz w:val="22"/>
                <w:szCs w:val="22"/>
              </w:rPr>
            </w:pPr>
            <w:r w:rsidRPr="00617536">
              <w:rPr>
                <w:rFonts w:asciiTheme="minorHAnsi" w:hAnsiTheme="minorHAnsi" w:cstheme="minorHAnsi"/>
                <w:sz w:val="22"/>
                <w:szCs w:val="22"/>
              </w:rPr>
              <w:t xml:space="preserve">Savoury products including savoury muffins, savoury </w:t>
            </w:r>
            <w:proofErr w:type="gramStart"/>
            <w:r w:rsidRPr="00617536">
              <w:rPr>
                <w:rFonts w:asciiTheme="minorHAnsi" w:hAnsiTheme="minorHAnsi" w:cstheme="minorHAnsi"/>
                <w:sz w:val="22"/>
                <w:szCs w:val="22"/>
              </w:rPr>
              <w:t>tarts</w:t>
            </w:r>
            <w:proofErr w:type="gramEnd"/>
            <w:r w:rsidRPr="00617536">
              <w:rPr>
                <w:rFonts w:asciiTheme="minorHAnsi" w:hAnsiTheme="minorHAnsi" w:cstheme="minorHAnsi"/>
                <w:sz w:val="22"/>
                <w:szCs w:val="22"/>
              </w:rPr>
              <w:t xml:space="preserve"> or slices</w:t>
            </w:r>
          </w:p>
          <w:p w14:paraId="727F874E" w14:textId="77777777" w:rsidR="00912146" w:rsidRPr="00617536" w:rsidRDefault="00912146" w:rsidP="006774BC">
            <w:pPr>
              <w:pStyle w:val="Default"/>
              <w:spacing w:after="120"/>
              <w:rPr>
                <w:rFonts w:asciiTheme="minorHAnsi" w:hAnsiTheme="minorHAnsi" w:cstheme="minorHAnsi"/>
                <w:sz w:val="22"/>
                <w:szCs w:val="22"/>
              </w:rPr>
            </w:pPr>
            <w:r w:rsidRPr="00617536">
              <w:rPr>
                <w:rFonts w:asciiTheme="minorHAnsi" w:hAnsiTheme="minorHAnsi" w:cstheme="minorHAnsi"/>
                <w:sz w:val="22"/>
                <w:szCs w:val="22"/>
              </w:rPr>
              <w:t xml:space="preserve">Excludes hybrid cake products which combine an excluded item with an included item, </w:t>
            </w:r>
            <w:proofErr w:type="gramStart"/>
            <w:r w:rsidRPr="00617536">
              <w:rPr>
                <w:rFonts w:asciiTheme="minorHAnsi" w:hAnsiTheme="minorHAnsi" w:cstheme="minorHAnsi"/>
                <w:sz w:val="22"/>
                <w:szCs w:val="22"/>
              </w:rPr>
              <w:t>e.g.</w:t>
            </w:r>
            <w:proofErr w:type="gramEnd"/>
            <w:r w:rsidRPr="00617536">
              <w:rPr>
                <w:rFonts w:asciiTheme="minorHAnsi" w:hAnsiTheme="minorHAnsi" w:cstheme="minorHAnsi"/>
                <w:sz w:val="22"/>
                <w:szCs w:val="22"/>
              </w:rPr>
              <w:t xml:space="preserve"> </w:t>
            </w:r>
            <w:proofErr w:type="spellStart"/>
            <w:r w:rsidRPr="00617536">
              <w:rPr>
                <w:rFonts w:asciiTheme="minorHAnsi" w:hAnsiTheme="minorHAnsi" w:cstheme="minorHAnsi"/>
                <w:sz w:val="22"/>
                <w:szCs w:val="22"/>
              </w:rPr>
              <w:t>Duffins</w:t>
            </w:r>
            <w:proofErr w:type="spellEnd"/>
            <w:r w:rsidRPr="00617536">
              <w:rPr>
                <w:rFonts w:asciiTheme="minorHAnsi" w:hAnsiTheme="minorHAnsi" w:cstheme="minorHAnsi"/>
                <w:sz w:val="22"/>
                <w:szCs w:val="22"/>
              </w:rPr>
              <w:t xml:space="preserve"> (donut muffins).</w:t>
            </w:r>
          </w:p>
        </w:tc>
      </w:tr>
    </w:tbl>
    <w:p w14:paraId="60E90731" w14:textId="77777777" w:rsidR="00912146" w:rsidRDefault="00912146" w:rsidP="00912146">
      <w:pPr>
        <w:rPr>
          <w:rFonts w:cstheme="minorHAnsi"/>
        </w:rPr>
      </w:pPr>
    </w:p>
    <w:p w14:paraId="79B60A3B" w14:textId="77777777" w:rsidR="00BD49F2" w:rsidRDefault="00BD49F2">
      <w:pPr>
        <w:rPr>
          <w:rFonts w:cstheme="minorBidi"/>
          <w:b/>
          <w:bCs/>
        </w:rPr>
      </w:pPr>
      <w:r>
        <w:rPr>
          <w:rFonts w:cstheme="minorBidi"/>
          <w:b/>
          <w:bCs/>
        </w:rPr>
        <w:br w:type="page"/>
      </w:r>
    </w:p>
    <w:p w14:paraId="66C5CAA6" w14:textId="52148EC5" w:rsidR="00912146" w:rsidRPr="0050147F" w:rsidRDefault="00912146" w:rsidP="0050147F">
      <w:pPr>
        <w:rPr>
          <w:rFonts w:eastAsiaTheme="majorEastAsia" w:cstheme="minorHAnsi"/>
          <w:b/>
          <w:bCs/>
          <w:kern w:val="32"/>
        </w:rPr>
      </w:pPr>
      <w:r w:rsidRPr="0050147F">
        <w:rPr>
          <w:rFonts w:cstheme="minorBidi"/>
          <w:b/>
          <w:bCs/>
        </w:rPr>
        <w:lastRenderedPageBreak/>
        <w:t>Sub-category D: Slices – Out of home</w:t>
      </w:r>
    </w:p>
    <w:p w14:paraId="4CFC3911" w14:textId="77777777" w:rsidR="00912146" w:rsidRPr="0072271A" w:rsidRDefault="00912146" w:rsidP="00912146">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Subcategory definition: </w:t>
      </w:r>
    </w:p>
    <w:p w14:paraId="03261733" w14:textId="77777777" w:rsidR="00912146" w:rsidRPr="0072271A" w:rsidRDefault="00912146" w:rsidP="00912146">
      <w:pPr>
        <w:pStyle w:val="Default"/>
        <w:rPr>
          <w:rFonts w:asciiTheme="minorHAnsi" w:hAnsiTheme="minorHAnsi" w:cstheme="minorBidi"/>
          <w:sz w:val="22"/>
          <w:szCs w:val="22"/>
        </w:rPr>
      </w:pPr>
      <w:r w:rsidRPr="0072271A">
        <w:rPr>
          <w:rFonts w:asciiTheme="minorHAnsi" w:hAnsiTheme="minorHAnsi" w:cstheme="minorBidi"/>
          <w:sz w:val="22"/>
          <w:szCs w:val="22"/>
        </w:rPr>
        <w:t xml:space="preserve">Freshly baked, </w:t>
      </w:r>
      <w:proofErr w:type="gramStart"/>
      <w:r w:rsidRPr="0072271A">
        <w:rPr>
          <w:rFonts w:asciiTheme="minorHAnsi" w:hAnsiTheme="minorHAnsi" w:cstheme="minorBidi"/>
          <w:sz w:val="22"/>
          <w:szCs w:val="22"/>
        </w:rPr>
        <w:t>frozen</w:t>
      </w:r>
      <w:proofErr w:type="gramEnd"/>
      <w:r w:rsidRPr="0072271A">
        <w:rPr>
          <w:rFonts w:asciiTheme="minorHAnsi" w:hAnsiTheme="minorHAnsi" w:cstheme="minorBidi"/>
          <w:sz w:val="22"/>
          <w:szCs w:val="22"/>
        </w:rPr>
        <w:t xml:space="preserve"> or shelf-stable slices sold in the out of home sector. Slices are a sweet product typically consisting of layers, with a firm base (such as biscuit), and a topping (such as icing or chocolate), with or without a filling. </w:t>
      </w:r>
    </w:p>
    <w:p w14:paraId="6754A0B8" w14:textId="77777777" w:rsidR="00912146" w:rsidRDefault="00912146" w:rsidP="00912146">
      <w:pPr>
        <w:pStyle w:val="Default"/>
        <w:rPr>
          <w:rFonts w:asciiTheme="minorHAnsi" w:hAnsiTheme="minorHAnsi" w:cstheme="minorBidi"/>
          <w:b/>
          <w:sz w:val="20"/>
          <w:szCs w:val="20"/>
        </w:rPr>
      </w:pPr>
    </w:p>
    <w:p w14:paraId="34A69E98" w14:textId="77777777" w:rsidR="00912146" w:rsidRPr="000246FD" w:rsidRDefault="00912146" w:rsidP="00912146">
      <w:pPr>
        <w:pStyle w:val="Default"/>
        <w:rPr>
          <w:rFonts w:asciiTheme="minorHAnsi" w:hAnsiTheme="minorHAnsi" w:cstheme="minorBidi"/>
          <w:sz w:val="23"/>
          <w:szCs w:val="23"/>
        </w:rPr>
      </w:pPr>
      <w:r w:rsidRPr="68260139">
        <w:rPr>
          <w:rFonts w:asciiTheme="minorHAnsi" w:hAnsiTheme="minorHAnsi" w:cstheme="minorBidi"/>
          <w:b/>
          <w:sz w:val="20"/>
          <w:szCs w:val="20"/>
        </w:rPr>
        <w:t xml:space="preserve">Table </w:t>
      </w:r>
      <w:r>
        <w:rPr>
          <w:rFonts w:asciiTheme="minorHAnsi" w:hAnsiTheme="minorHAnsi" w:cstheme="minorBidi"/>
          <w:b/>
          <w:sz w:val="20"/>
          <w:szCs w:val="20"/>
        </w:rPr>
        <w:t>9</w:t>
      </w:r>
      <w:r w:rsidRPr="68260139">
        <w:rPr>
          <w:rFonts w:asciiTheme="minorHAnsi" w:hAnsiTheme="minorHAnsi" w:cstheme="minorBidi"/>
          <w:b/>
          <w:sz w:val="20"/>
          <w:szCs w:val="20"/>
        </w:rPr>
        <w:t xml:space="preserve">: Slices - </w:t>
      </w:r>
      <w:r>
        <w:rPr>
          <w:rFonts w:asciiTheme="minorHAnsi" w:hAnsiTheme="minorHAnsi" w:cstheme="minorBidi"/>
          <w:b/>
          <w:sz w:val="20"/>
          <w:szCs w:val="20"/>
        </w:rPr>
        <w:t>O</w:t>
      </w:r>
      <w:r w:rsidRPr="68260139">
        <w:rPr>
          <w:rFonts w:asciiTheme="minorHAnsi" w:hAnsiTheme="minorHAnsi" w:cstheme="minorBidi"/>
          <w:b/>
          <w:sz w:val="20"/>
          <w:szCs w:val="20"/>
        </w:rPr>
        <w:t>ut of home</w:t>
      </w:r>
    </w:p>
    <w:tbl>
      <w:tblPr>
        <w:tblStyle w:val="TableGrid4"/>
        <w:tblW w:w="9458" w:type="dxa"/>
        <w:tblLayout w:type="fixed"/>
        <w:tblLook w:val="0000" w:firstRow="0" w:lastRow="0" w:firstColumn="0" w:lastColumn="0" w:noHBand="0" w:noVBand="0"/>
      </w:tblPr>
      <w:tblGrid>
        <w:gridCol w:w="4729"/>
        <w:gridCol w:w="4729"/>
      </w:tblGrid>
      <w:tr w:rsidR="00573030" w:rsidRPr="00617536" w14:paraId="76438FFC" w14:textId="77777777" w:rsidTr="00B640FD">
        <w:trPr>
          <w:trHeight w:val="120"/>
        </w:trPr>
        <w:tc>
          <w:tcPr>
            <w:tcW w:w="4729" w:type="dxa"/>
          </w:tcPr>
          <w:p w14:paraId="771EFF56" w14:textId="77777777" w:rsidR="00912146" w:rsidRPr="00617536" w:rsidRDefault="00912146" w:rsidP="00AE496B">
            <w:pPr>
              <w:pStyle w:val="Default"/>
              <w:rPr>
                <w:rFonts w:asciiTheme="minorHAnsi" w:hAnsiTheme="minorHAnsi" w:cstheme="minorHAnsi"/>
                <w:sz w:val="22"/>
                <w:szCs w:val="22"/>
              </w:rPr>
            </w:pPr>
            <w:r w:rsidRPr="00617536">
              <w:rPr>
                <w:rFonts w:asciiTheme="minorHAnsi" w:hAnsiTheme="minorHAnsi" w:cstheme="minorHAnsi"/>
                <w:b/>
                <w:bCs/>
                <w:sz w:val="22"/>
                <w:szCs w:val="22"/>
              </w:rPr>
              <w:t xml:space="preserve">Sub-category Inclusions </w:t>
            </w:r>
          </w:p>
        </w:tc>
        <w:tc>
          <w:tcPr>
            <w:tcW w:w="4729" w:type="dxa"/>
          </w:tcPr>
          <w:p w14:paraId="7B368970" w14:textId="77777777" w:rsidR="00912146" w:rsidRPr="00617536" w:rsidRDefault="00912146" w:rsidP="00AE496B">
            <w:pPr>
              <w:pStyle w:val="Default"/>
              <w:rPr>
                <w:rFonts w:asciiTheme="minorHAnsi" w:hAnsiTheme="minorHAnsi" w:cstheme="minorHAnsi"/>
                <w:sz w:val="22"/>
                <w:szCs w:val="22"/>
              </w:rPr>
            </w:pPr>
            <w:r w:rsidRPr="00617536">
              <w:rPr>
                <w:rFonts w:asciiTheme="minorHAnsi" w:hAnsiTheme="minorHAnsi" w:cstheme="minorHAnsi"/>
                <w:b/>
                <w:bCs/>
                <w:sz w:val="22"/>
                <w:szCs w:val="22"/>
              </w:rPr>
              <w:t xml:space="preserve">Sub-category Exclusions </w:t>
            </w:r>
          </w:p>
        </w:tc>
      </w:tr>
      <w:tr w:rsidR="00573030" w:rsidRPr="00617536" w14:paraId="119EB50C" w14:textId="77777777" w:rsidTr="00B640FD">
        <w:tc>
          <w:tcPr>
            <w:tcW w:w="4729" w:type="dxa"/>
          </w:tcPr>
          <w:p w14:paraId="18F7B1F5" w14:textId="77777777" w:rsidR="00912146" w:rsidRPr="00617536" w:rsidRDefault="00912146" w:rsidP="006774BC">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All slices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brownies, hedgehogs, caramel slice, vanilla slice, coconut and jam slice, rocky road slice, fruit and nut type slices, slices containing meringue or jelly). </w:t>
            </w:r>
          </w:p>
          <w:p w14:paraId="59E7307E" w14:textId="77777777" w:rsidR="00912146" w:rsidRPr="00617536" w:rsidRDefault="00912146" w:rsidP="006774BC">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 xml:space="preserve">Includes products made from raw ingredients or from a mix, generally available for purchase as chilled or </w:t>
            </w:r>
            <w:proofErr w:type="gramStart"/>
            <w:r w:rsidRPr="00617536">
              <w:rPr>
                <w:rFonts w:asciiTheme="minorHAnsi" w:hAnsiTheme="minorHAnsi" w:cstheme="minorHAnsi"/>
                <w:color w:val="auto"/>
                <w:sz w:val="22"/>
                <w:szCs w:val="22"/>
              </w:rPr>
              <w:t>shelf-stable</w:t>
            </w:r>
            <w:proofErr w:type="gramEnd"/>
            <w:r w:rsidRPr="00617536">
              <w:rPr>
                <w:rFonts w:asciiTheme="minorHAnsi" w:hAnsiTheme="minorHAnsi" w:cstheme="minorHAnsi"/>
                <w:color w:val="auto"/>
                <w:sz w:val="22"/>
                <w:szCs w:val="22"/>
              </w:rPr>
              <w:t xml:space="preserve">. Includes products made from any type of flour including gluten-free alternatives. </w:t>
            </w:r>
          </w:p>
          <w:p w14:paraId="4033F9C7" w14:textId="77777777" w:rsidR="00912146" w:rsidRPr="00617536" w:rsidRDefault="00912146" w:rsidP="006774BC">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May be sold as a single serve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individual slice), or multipack (e.g. 6 slices). </w:t>
            </w:r>
          </w:p>
        </w:tc>
        <w:tc>
          <w:tcPr>
            <w:tcW w:w="4729" w:type="dxa"/>
          </w:tcPr>
          <w:p w14:paraId="250215E5" w14:textId="77777777" w:rsidR="00912146" w:rsidRPr="00617536" w:rsidRDefault="00912146" w:rsidP="006774BC">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 xml:space="preserve">Meringues, pavlova, macarons, muesli/fruit/nut bars and slices, pastry bases only  e.g. short crust pastry, tart shells), crepes, pancakes, pikelets, waffles, single ingredients (e.g. icing/frosting, sugar, flour), sweet buns (e.g. finger buns, fruit buns, fruit loaves, cinnamon scrolls), bagels (including sweet varieties), scones, English muffins, hot cross buns, pastries (e.g. croissants, Danishes, strudels, </w:t>
            </w:r>
            <w:proofErr w:type="spellStart"/>
            <w:r w:rsidRPr="00617536">
              <w:rPr>
                <w:rFonts w:asciiTheme="minorHAnsi" w:hAnsiTheme="minorHAnsi" w:cstheme="minorHAnsi"/>
                <w:color w:val="auto"/>
                <w:sz w:val="22"/>
                <w:szCs w:val="22"/>
              </w:rPr>
              <w:t>sfogliatelle</w:t>
            </w:r>
            <w:proofErr w:type="spellEnd"/>
            <w:r w:rsidRPr="00617536">
              <w:rPr>
                <w:rFonts w:asciiTheme="minorHAnsi" w:hAnsiTheme="minorHAnsi" w:cstheme="minorHAnsi"/>
                <w:color w:val="auto"/>
                <w:sz w:val="22"/>
                <w:szCs w:val="22"/>
              </w:rPr>
              <w:t xml:space="preserve">, zeppole, cannoli, sweet pies), sweet biscuits, fruit pies, tarts, crumbles, doughnuts (all varieties), churros, profiteroles, custards, protein balls, eclairs , biscuits and cookies. </w:t>
            </w:r>
          </w:p>
          <w:p w14:paraId="3C129EF8" w14:textId="0D845239" w:rsidR="00912146" w:rsidRPr="00617536" w:rsidRDefault="00912146" w:rsidP="006774BC">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 xml:space="preserve">All puddings and desserts </w:t>
            </w:r>
            <w:proofErr w:type="gramStart"/>
            <w:r w:rsidRPr="00617536">
              <w:rPr>
                <w:rFonts w:asciiTheme="minorHAnsi" w:hAnsiTheme="minorHAnsi" w:cstheme="minorHAnsi"/>
                <w:color w:val="auto"/>
                <w:sz w:val="22"/>
                <w:szCs w:val="22"/>
              </w:rPr>
              <w:t>e.g</w:t>
            </w:r>
            <w:r w:rsidR="007E641E">
              <w:rPr>
                <w:rFonts w:asciiTheme="minorHAnsi" w:hAnsiTheme="minorHAnsi" w:cstheme="minorHAnsi"/>
                <w:color w:val="auto"/>
                <w:sz w:val="22"/>
                <w:szCs w:val="22"/>
              </w:rPr>
              <w:t>.</w:t>
            </w:r>
            <w:proofErr w:type="gramEnd"/>
            <w:r w:rsidRPr="00617536">
              <w:rPr>
                <w:rFonts w:asciiTheme="minorHAnsi" w:hAnsiTheme="minorHAnsi" w:cstheme="minorHAnsi"/>
                <w:color w:val="auto"/>
                <w:sz w:val="22"/>
                <w:szCs w:val="22"/>
              </w:rPr>
              <w:t xml:space="preserve"> sticky date pudding, crème </w:t>
            </w:r>
            <w:proofErr w:type="spellStart"/>
            <w:r w:rsidRPr="00617536">
              <w:rPr>
                <w:rFonts w:asciiTheme="minorHAnsi" w:hAnsiTheme="minorHAnsi" w:cstheme="minorHAnsi"/>
                <w:color w:val="auto"/>
                <w:sz w:val="22"/>
                <w:szCs w:val="22"/>
              </w:rPr>
              <w:t>brûlée</w:t>
            </w:r>
            <w:proofErr w:type="spellEnd"/>
            <w:r w:rsidRPr="00617536">
              <w:rPr>
                <w:rFonts w:asciiTheme="minorHAnsi" w:hAnsiTheme="minorHAnsi" w:cstheme="minorHAnsi"/>
                <w:color w:val="auto"/>
                <w:sz w:val="22"/>
                <w:szCs w:val="22"/>
              </w:rPr>
              <w:t>, ice-cream and panna cotta.</w:t>
            </w:r>
          </w:p>
          <w:p w14:paraId="3567D81B" w14:textId="77777777" w:rsidR="00912146" w:rsidRPr="00617536" w:rsidRDefault="00912146" w:rsidP="006774BC">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All cakes (all flavours), lamingtons, cupcakes, cake rolls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Swiss rolls), cake bars, muffins. </w:t>
            </w:r>
          </w:p>
          <w:p w14:paraId="34754D66" w14:textId="77777777" w:rsidR="00912146" w:rsidRPr="00617536" w:rsidRDefault="00912146" w:rsidP="006774BC">
            <w:pPr>
              <w:pStyle w:val="Default"/>
              <w:spacing w:after="120"/>
              <w:rPr>
                <w:rFonts w:asciiTheme="minorHAnsi" w:hAnsiTheme="minorHAnsi" w:cstheme="minorHAnsi"/>
                <w:color w:val="auto"/>
                <w:sz w:val="22"/>
                <w:szCs w:val="22"/>
              </w:rPr>
            </w:pPr>
            <w:r w:rsidRPr="00617536">
              <w:rPr>
                <w:rFonts w:asciiTheme="minorHAnsi" w:hAnsiTheme="minorHAnsi" w:cstheme="minorHAnsi"/>
                <w:color w:val="auto"/>
                <w:sz w:val="22"/>
                <w:szCs w:val="22"/>
              </w:rPr>
              <w:t xml:space="preserve"> Pre-portioned or whole banana breads and similar products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pear bread or berry bread) with or without nuts, seeds or chocolate chips added. </w:t>
            </w:r>
          </w:p>
          <w:p w14:paraId="5CBC8501" w14:textId="77777777" w:rsidR="00912146" w:rsidRPr="00617536" w:rsidRDefault="00912146" w:rsidP="006774BC">
            <w:pPr>
              <w:pStyle w:val="Default"/>
              <w:spacing w:after="120"/>
              <w:rPr>
                <w:rFonts w:asciiTheme="minorHAnsi" w:eastAsia="Calibri" w:hAnsiTheme="minorHAnsi" w:cstheme="minorHAnsi"/>
                <w:color w:val="auto"/>
                <w:sz w:val="22"/>
                <w:szCs w:val="22"/>
              </w:rPr>
            </w:pPr>
            <w:r w:rsidRPr="00617536">
              <w:rPr>
                <w:rFonts w:asciiTheme="minorHAnsi" w:hAnsiTheme="minorHAnsi" w:cstheme="minorHAnsi"/>
                <w:color w:val="auto"/>
                <w:sz w:val="22"/>
                <w:szCs w:val="22"/>
              </w:rPr>
              <w:t xml:space="preserve">Savoury products including savoury muffins, savoury </w:t>
            </w:r>
            <w:proofErr w:type="gramStart"/>
            <w:r w:rsidRPr="00617536">
              <w:rPr>
                <w:rFonts w:asciiTheme="minorHAnsi" w:hAnsiTheme="minorHAnsi" w:cstheme="minorHAnsi"/>
                <w:color w:val="auto"/>
                <w:sz w:val="22"/>
                <w:szCs w:val="22"/>
              </w:rPr>
              <w:t>tarts</w:t>
            </w:r>
            <w:proofErr w:type="gramEnd"/>
            <w:r w:rsidRPr="00617536">
              <w:rPr>
                <w:rFonts w:asciiTheme="minorHAnsi" w:hAnsiTheme="minorHAnsi" w:cstheme="minorHAnsi"/>
                <w:color w:val="auto"/>
                <w:sz w:val="22"/>
                <w:szCs w:val="22"/>
              </w:rPr>
              <w:t xml:space="preserve"> or slices</w:t>
            </w:r>
          </w:p>
          <w:p w14:paraId="155C5111" w14:textId="77777777" w:rsidR="00912146" w:rsidRPr="00617536" w:rsidRDefault="00912146" w:rsidP="006774BC">
            <w:pPr>
              <w:pStyle w:val="Default"/>
              <w:spacing w:after="120"/>
              <w:rPr>
                <w:rFonts w:asciiTheme="minorHAnsi" w:eastAsia="Calibri" w:hAnsiTheme="minorHAnsi" w:cstheme="minorHAnsi"/>
                <w:color w:val="auto"/>
                <w:sz w:val="22"/>
                <w:szCs w:val="22"/>
              </w:rPr>
            </w:pPr>
            <w:r w:rsidRPr="00617536">
              <w:rPr>
                <w:rFonts w:asciiTheme="minorHAnsi" w:hAnsiTheme="minorHAnsi" w:cstheme="minorHAnsi"/>
                <w:color w:val="auto"/>
                <w:sz w:val="22"/>
                <w:szCs w:val="22"/>
              </w:rPr>
              <w:t xml:space="preserve">Excludes products which combine an excluded item with an included item, </w:t>
            </w:r>
            <w:proofErr w:type="gramStart"/>
            <w:r w:rsidRPr="00617536">
              <w:rPr>
                <w:rFonts w:asciiTheme="minorHAnsi" w:hAnsiTheme="minorHAnsi" w:cstheme="minorHAnsi"/>
                <w:color w:val="auto"/>
                <w:sz w:val="22"/>
                <w:szCs w:val="22"/>
              </w:rPr>
              <w:t>e.g.</w:t>
            </w:r>
            <w:proofErr w:type="gramEnd"/>
            <w:r w:rsidRPr="00617536">
              <w:rPr>
                <w:rFonts w:asciiTheme="minorHAnsi" w:hAnsiTheme="minorHAnsi" w:cstheme="minorHAnsi"/>
                <w:color w:val="auto"/>
                <w:sz w:val="22"/>
                <w:szCs w:val="22"/>
              </w:rPr>
              <w:t xml:space="preserve"> </w:t>
            </w:r>
            <w:proofErr w:type="spellStart"/>
            <w:r w:rsidRPr="00617536">
              <w:rPr>
                <w:rFonts w:asciiTheme="minorHAnsi" w:hAnsiTheme="minorHAnsi" w:cstheme="minorHAnsi"/>
                <w:color w:val="auto"/>
                <w:sz w:val="22"/>
                <w:szCs w:val="22"/>
              </w:rPr>
              <w:t>Duffins</w:t>
            </w:r>
            <w:proofErr w:type="spellEnd"/>
            <w:r w:rsidRPr="00617536">
              <w:rPr>
                <w:rFonts w:asciiTheme="minorHAnsi" w:hAnsiTheme="minorHAnsi" w:cstheme="minorHAnsi"/>
                <w:color w:val="auto"/>
                <w:sz w:val="22"/>
                <w:szCs w:val="22"/>
              </w:rPr>
              <w:t xml:space="preserve"> (donut muffins).</w:t>
            </w:r>
          </w:p>
        </w:tc>
      </w:tr>
    </w:tbl>
    <w:p w14:paraId="109445DC" w14:textId="77777777" w:rsidR="00912146" w:rsidRDefault="00912146" w:rsidP="00912146"/>
    <w:p w14:paraId="1CEF0123" w14:textId="77777777" w:rsidR="00BD49F2" w:rsidRDefault="00BD49F2">
      <w:pPr>
        <w:rPr>
          <w:rFonts w:eastAsiaTheme="majorEastAsia" w:cstheme="minorHAnsi"/>
          <w:b/>
          <w:bCs/>
          <w:i/>
          <w:iCs/>
          <w:color w:val="007A00"/>
          <w:kern w:val="32"/>
          <w:sz w:val="32"/>
          <w:szCs w:val="32"/>
        </w:rPr>
      </w:pPr>
      <w:bookmarkStart w:id="46" w:name="_Chilled_Beverages:_Out"/>
      <w:bookmarkEnd w:id="46"/>
      <w:r>
        <w:rPr>
          <w:rFonts w:eastAsiaTheme="majorEastAsia" w:cstheme="minorHAnsi"/>
          <w:b/>
          <w:bCs/>
          <w:i/>
          <w:iCs/>
          <w:color w:val="007A00"/>
          <w:kern w:val="32"/>
          <w:sz w:val="32"/>
          <w:szCs w:val="32"/>
        </w:rPr>
        <w:br w:type="page"/>
      </w:r>
    </w:p>
    <w:p w14:paraId="2348BAC0" w14:textId="57B38480" w:rsidR="00912146" w:rsidRPr="0050147F" w:rsidRDefault="00912146" w:rsidP="0050147F">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Chilled Beverages: Out of home</w:t>
      </w:r>
    </w:p>
    <w:p w14:paraId="1BB166BE" w14:textId="77777777" w:rsidR="006774BC" w:rsidRDefault="006774BC" w:rsidP="00912146">
      <w:pPr>
        <w:pStyle w:val="Default"/>
        <w:rPr>
          <w:rFonts w:asciiTheme="minorHAnsi" w:hAnsiTheme="minorHAnsi" w:cstheme="minorHAnsi"/>
          <w:b/>
          <w:bCs/>
          <w:sz w:val="22"/>
          <w:szCs w:val="22"/>
        </w:rPr>
      </w:pPr>
    </w:p>
    <w:p w14:paraId="38312993" w14:textId="283BDD9C" w:rsidR="00912146" w:rsidRPr="0072271A" w:rsidRDefault="00912146" w:rsidP="00912146">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Category definition: </w:t>
      </w:r>
    </w:p>
    <w:p w14:paraId="5114AD5D" w14:textId="1D77F7E8" w:rsidR="00912146" w:rsidRDefault="00912146" w:rsidP="6136B92D">
      <w:pPr>
        <w:pStyle w:val="paragraph"/>
        <w:spacing w:before="0" w:beforeAutospacing="0" w:after="0" w:afterAutospacing="0"/>
        <w:textAlignment w:val="baseline"/>
        <w:rPr>
          <w:rStyle w:val="eop"/>
          <w:rFonts w:asciiTheme="minorHAnsi" w:eastAsiaTheme="majorEastAsia" w:hAnsiTheme="minorHAnsi" w:cstheme="minorBidi"/>
          <w:sz w:val="22"/>
          <w:szCs w:val="22"/>
        </w:rPr>
      </w:pPr>
      <w:r w:rsidRPr="6136B92D">
        <w:rPr>
          <w:rStyle w:val="normaltextrun"/>
          <w:rFonts w:asciiTheme="minorHAnsi" w:eastAsiaTheme="majorEastAsia" w:hAnsiTheme="minorHAnsi" w:cstheme="minorBidi"/>
          <w:sz w:val="22"/>
          <w:szCs w:val="22"/>
          <w:lang w:val="en-GB"/>
        </w:rPr>
        <w:t>Chilled beverages portioned on site and served cold in the</w:t>
      </w:r>
      <w:r w:rsidR="00617536" w:rsidRPr="6136B92D">
        <w:rPr>
          <w:rStyle w:val="normaltextrun"/>
          <w:rFonts w:asciiTheme="minorHAnsi" w:eastAsiaTheme="majorEastAsia" w:hAnsiTheme="minorHAnsi" w:cstheme="minorBidi"/>
          <w:sz w:val="22"/>
          <w:szCs w:val="22"/>
          <w:lang w:val="en-GB"/>
        </w:rPr>
        <w:t xml:space="preserve"> </w:t>
      </w:r>
      <w:r w:rsidRPr="6136B92D">
        <w:rPr>
          <w:rStyle w:val="normaltextrun"/>
          <w:rFonts w:asciiTheme="minorHAnsi" w:eastAsiaTheme="majorEastAsia" w:hAnsiTheme="minorHAnsi" w:cstheme="minorBidi"/>
          <w:sz w:val="22"/>
          <w:szCs w:val="22"/>
          <w:lang w:val="en-GB"/>
        </w:rPr>
        <w:t>out of home sector. This includes beverages such as soft drinks, fruit drinks or energy drinks (defined in the Australian New Zealand Food Standards Code, </w:t>
      </w:r>
      <w:r w:rsidRPr="6136B92D">
        <w:rPr>
          <w:rStyle w:val="normaltextrun"/>
          <w:rFonts w:asciiTheme="minorHAnsi" w:eastAsiaTheme="majorEastAsia" w:hAnsiTheme="minorHAnsi" w:cstheme="minorBidi"/>
          <w:sz w:val="22"/>
          <w:szCs w:val="22"/>
        </w:rPr>
        <w:t>Standard 2.6.2 Non-alcoholic beverages and brewed soft drinks and Standard 2.6.4 Formulated caffeinated beverages - energy drinks), </w:t>
      </w:r>
      <w:r w:rsidRPr="6136B92D">
        <w:rPr>
          <w:rStyle w:val="normaltextrun"/>
          <w:rFonts w:asciiTheme="minorHAnsi" w:eastAsiaTheme="majorEastAsia" w:hAnsiTheme="minorHAnsi" w:cstheme="minorBidi"/>
          <w:sz w:val="22"/>
          <w:szCs w:val="22"/>
          <w:lang w:val="en-GB"/>
        </w:rPr>
        <w:t>fruit juice, and sweetened dairy-based drinks (including plant-based-alternatives). Includes non-nutritive</w:t>
      </w:r>
      <w:r w:rsidRPr="6136B92D">
        <w:rPr>
          <w:rFonts w:ascii="Calibri Light" w:hAnsi="Calibri Light" w:cs="Calibri Light"/>
          <w:b/>
          <w:bCs/>
          <w:sz w:val="22"/>
          <w:szCs w:val="22"/>
        </w:rPr>
        <w:t xml:space="preserve"> </w:t>
      </w:r>
      <w:r w:rsidRPr="6136B92D">
        <w:rPr>
          <w:rStyle w:val="normaltextrun"/>
          <w:rFonts w:asciiTheme="minorHAnsi" w:eastAsiaTheme="majorEastAsia" w:hAnsiTheme="minorHAnsi" w:cstheme="minorBidi"/>
          <w:sz w:val="22"/>
          <w:szCs w:val="22"/>
          <w:lang w:val="en-GB"/>
        </w:rPr>
        <w:t>sweetened varieties. </w:t>
      </w:r>
      <w:r w:rsidRPr="6136B92D">
        <w:rPr>
          <w:rStyle w:val="eop"/>
          <w:rFonts w:asciiTheme="minorHAnsi" w:eastAsiaTheme="majorEastAsia" w:hAnsiTheme="minorHAnsi" w:cstheme="minorBidi"/>
          <w:sz w:val="22"/>
          <w:szCs w:val="22"/>
        </w:rPr>
        <w:t> </w:t>
      </w:r>
    </w:p>
    <w:p w14:paraId="1E6E3229" w14:textId="46334DB4" w:rsidR="00C97C2E" w:rsidRDefault="00C97C2E" w:rsidP="6136B92D">
      <w:pPr>
        <w:pStyle w:val="paragraph"/>
        <w:spacing w:before="0" w:beforeAutospacing="0" w:after="0" w:afterAutospacing="0"/>
        <w:textAlignment w:val="baseline"/>
        <w:rPr>
          <w:rStyle w:val="eop"/>
          <w:rFonts w:asciiTheme="minorHAnsi" w:eastAsiaTheme="majorEastAsia" w:hAnsiTheme="minorHAnsi" w:cstheme="minorBidi"/>
          <w:sz w:val="22"/>
          <w:szCs w:val="22"/>
        </w:rPr>
      </w:pPr>
    </w:p>
    <w:p w14:paraId="7070A5DA" w14:textId="77777777" w:rsidR="00912146" w:rsidRPr="001F1DA4" w:rsidRDefault="00912146" w:rsidP="00912146">
      <w:pPr>
        <w:rPr>
          <w:rFonts w:cstheme="minorBidi"/>
          <w:b/>
          <w:sz w:val="20"/>
          <w:szCs w:val="20"/>
        </w:rPr>
      </w:pPr>
      <w:r w:rsidRPr="001F1DA4">
        <w:rPr>
          <w:rFonts w:cstheme="minorBidi"/>
          <w:b/>
          <w:sz w:val="20"/>
          <w:szCs w:val="20"/>
        </w:rPr>
        <w:t xml:space="preserve">Table </w:t>
      </w:r>
      <w:r w:rsidRPr="001F1DA4">
        <w:rPr>
          <w:rFonts w:cstheme="minorBidi"/>
          <w:b/>
          <w:bCs/>
          <w:sz w:val="20"/>
          <w:szCs w:val="20"/>
        </w:rPr>
        <w:t>1</w:t>
      </w:r>
      <w:r>
        <w:rPr>
          <w:rFonts w:cstheme="minorBidi"/>
          <w:b/>
          <w:bCs/>
          <w:sz w:val="20"/>
          <w:szCs w:val="20"/>
        </w:rPr>
        <w:t>0</w:t>
      </w:r>
      <w:r w:rsidRPr="001F1DA4">
        <w:rPr>
          <w:rFonts w:cstheme="minorBidi"/>
          <w:b/>
          <w:bCs/>
          <w:sz w:val="20"/>
          <w:szCs w:val="20"/>
        </w:rPr>
        <w:t xml:space="preserve">: </w:t>
      </w:r>
      <w:r w:rsidRPr="001F1DA4">
        <w:rPr>
          <w:rFonts w:cstheme="minorBidi"/>
          <w:b/>
          <w:sz w:val="20"/>
          <w:szCs w:val="20"/>
        </w:rPr>
        <w:t>Chilled Beverages: Out of home</w:t>
      </w:r>
    </w:p>
    <w:tbl>
      <w:tblPr>
        <w:tblStyle w:val="TableGrid4"/>
        <w:tblpPr w:leftFromText="180" w:rightFromText="180" w:vertAnchor="text" w:tblpY="1"/>
        <w:tblW w:w="9458" w:type="dxa"/>
        <w:tblLayout w:type="fixed"/>
        <w:tblLook w:val="0000" w:firstRow="0" w:lastRow="0" w:firstColumn="0" w:lastColumn="0" w:noHBand="0" w:noVBand="0"/>
      </w:tblPr>
      <w:tblGrid>
        <w:gridCol w:w="4729"/>
        <w:gridCol w:w="4729"/>
      </w:tblGrid>
      <w:tr w:rsidR="00912146" w:rsidRPr="0072271A" w14:paraId="46B23F77" w14:textId="77777777" w:rsidTr="00B640FD">
        <w:trPr>
          <w:trHeight w:val="120"/>
        </w:trPr>
        <w:tc>
          <w:tcPr>
            <w:tcW w:w="4729" w:type="dxa"/>
          </w:tcPr>
          <w:p w14:paraId="2C97877E" w14:textId="77777777" w:rsidR="00912146" w:rsidRPr="0072271A" w:rsidRDefault="00912146" w:rsidP="00AE496B">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Sub-category Inclusions </w:t>
            </w:r>
          </w:p>
        </w:tc>
        <w:tc>
          <w:tcPr>
            <w:tcW w:w="4729" w:type="dxa"/>
          </w:tcPr>
          <w:p w14:paraId="4C35CACF" w14:textId="77777777" w:rsidR="00912146" w:rsidRPr="0072271A" w:rsidRDefault="00912146" w:rsidP="00AE496B">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Sub-category Exclusions </w:t>
            </w:r>
          </w:p>
        </w:tc>
      </w:tr>
      <w:tr w:rsidR="00912146" w:rsidRPr="0072271A" w14:paraId="75475D47" w14:textId="77777777" w:rsidTr="00B640FD">
        <w:tc>
          <w:tcPr>
            <w:tcW w:w="4729" w:type="dxa"/>
          </w:tcPr>
          <w:p w14:paraId="3F399105" w14:textId="77777777" w:rsidR="00912146" w:rsidRPr="0072271A" w:rsidRDefault="00912146" w:rsidP="006774BC">
            <w:pPr>
              <w:pStyle w:val="paragraph"/>
              <w:spacing w:before="0" w:beforeAutospacing="0" w:after="120" w:afterAutospacing="0"/>
              <w:textAlignment w:val="baseline"/>
              <w:rPr>
                <w:rFonts w:asciiTheme="minorHAnsi" w:hAnsiTheme="minorHAnsi" w:cstheme="minorBidi"/>
                <w:sz w:val="22"/>
                <w:szCs w:val="22"/>
              </w:rPr>
            </w:pPr>
            <w:r w:rsidRPr="0072271A">
              <w:rPr>
                <w:rStyle w:val="normaltextrun"/>
                <w:rFonts w:asciiTheme="minorHAnsi" w:eastAsiaTheme="majorEastAsia" w:hAnsiTheme="minorHAnsi" w:cstheme="minorBidi"/>
                <w:sz w:val="22"/>
                <w:szCs w:val="22"/>
              </w:rPr>
              <w:t xml:space="preserve">Includes all chilled beverages which have been portioned onsite. For example, fruit drinks, fruit juice, soft </w:t>
            </w:r>
            <w:proofErr w:type="gramStart"/>
            <w:r w:rsidRPr="0072271A">
              <w:rPr>
                <w:rStyle w:val="normaltextrun"/>
                <w:rFonts w:asciiTheme="minorHAnsi" w:eastAsiaTheme="majorEastAsia" w:hAnsiTheme="minorHAnsi" w:cstheme="minorBidi"/>
                <w:sz w:val="22"/>
                <w:szCs w:val="22"/>
              </w:rPr>
              <w:t>drinks</w:t>
            </w:r>
            <w:proofErr w:type="gramEnd"/>
            <w:r w:rsidRPr="0072271A">
              <w:rPr>
                <w:rStyle w:val="normaltextrun"/>
                <w:rFonts w:asciiTheme="minorHAnsi" w:eastAsiaTheme="majorEastAsia" w:hAnsiTheme="minorHAnsi" w:cstheme="minorBidi"/>
                <w:sz w:val="22"/>
                <w:szCs w:val="22"/>
              </w:rPr>
              <w:t xml:space="preserve"> and energy drinks.  Includes non-nutritive sweetened varieties.</w:t>
            </w:r>
          </w:p>
          <w:p w14:paraId="4873BC8A" w14:textId="77777777" w:rsidR="00912146" w:rsidRPr="0072271A" w:rsidRDefault="00912146" w:rsidP="006774BC">
            <w:pPr>
              <w:pStyle w:val="paragraph"/>
              <w:spacing w:before="0" w:beforeAutospacing="0" w:after="120" w:afterAutospacing="0"/>
              <w:textAlignment w:val="baseline"/>
              <w:rPr>
                <w:rFonts w:asciiTheme="minorHAnsi" w:hAnsiTheme="minorHAnsi" w:cstheme="minorHAnsi"/>
                <w:sz w:val="22"/>
                <w:szCs w:val="22"/>
              </w:rPr>
            </w:pPr>
            <w:r w:rsidRPr="0072271A">
              <w:rPr>
                <w:rStyle w:val="normaltextrun"/>
                <w:rFonts w:asciiTheme="minorHAnsi" w:eastAsiaTheme="majorEastAsia" w:hAnsiTheme="minorHAnsi" w:cstheme="minorHAnsi"/>
                <w:sz w:val="22"/>
                <w:szCs w:val="22"/>
              </w:rPr>
              <w:t>Fruit drinks made from any fruit, containing one type of fruit or a mixture of fruits. </w:t>
            </w:r>
            <w:r w:rsidRPr="0072271A">
              <w:rPr>
                <w:rStyle w:val="eop"/>
                <w:rFonts w:asciiTheme="minorHAnsi" w:eastAsiaTheme="majorEastAsia" w:hAnsiTheme="minorHAnsi" w:cstheme="minorHAnsi"/>
                <w:sz w:val="22"/>
                <w:szCs w:val="22"/>
              </w:rPr>
              <w:t> </w:t>
            </w:r>
          </w:p>
          <w:p w14:paraId="068E063B" w14:textId="77777777" w:rsidR="00912146" w:rsidRPr="0072271A" w:rsidRDefault="00912146" w:rsidP="006774BC">
            <w:pPr>
              <w:pStyle w:val="paragraph"/>
              <w:spacing w:before="0" w:beforeAutospacing="0" w:after="120" w:afterAutospacing="0"/>
              <w:textAlignment w:val="baseline"/>
              <w:rPr>
                <w:rStyle w:val="normaltextrun"/>
                <w:rFonts w:asciiTheme="minorHAnsi" w:eastAsiaTheme="majorEastAsia" w:hAnsiTheme="minorHAnsi" w:cstheme="minorBidi"/>
                <w:sz w:val="22"/>
                <w:szCs w:val="22"/>
              </w:rPr>
            </w:pPr>
            <w:r w:rsidRPr="0072271A">
              <w:rPr>
                <w:rStyle w:val="normaltextrun"/>
                <w:rFonts w:asciiTheme="minorHAnsi" w:eastAsiaTheme="majorEastAsia" w:hAnsiTheme="minorHAnsi" w:cstheme="minorBidi"/>
                <w:sz w:val="22"/>
                <w:szCs w:val="22"/>
              </w:rPr>
              <w:t>Frozen or chilled fruit drinks (</w:t>
            </w:r>
            <w:proofErr w:type="gramStart"/>
            <w:r w:rsidRPr="0072271A">
              <w:rPr>
                <w:rStyle w:val="normaltextrun"/>
                <w:rFonts w:asciiTheme="minorHAnsi" w:eastAsiaTheme="majorEastAsia" w:hAnsiTheme="minorHAnsi" w:cstheme="minorBidi"/>
                <w:sz w:val="22"/>
                <w:szCs w:val="22"/>
              </w:rPr>
              <w:t>e.g.</w:t>
            </w:r>
            <w:proofErr w:type="gramEnd"/>
            <w:r w:rsidRPr="0072271A">
              <w:rPr>
                <w:rStyle w:val="normaltextrun"/>
                <w:rFonts w:asciiTheme="minorHAnsi" w:eastAsiaTheme="majorEastAsia" w:hAnsiTheme="minorHAnsi" w:cstheme="minorBidi"/>
                <w:sz w:val="22"/>
                <w:szCs w:val="22"/>
              </w:rPr>
              <w:t xml:space="preserve"> slushies, chillers or frappes made with fruit, water and/or sugar), smoothies, milkshakes, frappes (with or without milk and/or cream), iced-teas, ice coffee, and bubble teas. </w:t>
            </w:r>
          </w:p>
          <w:p w14:paraId="1F5869D8" w14:textId="77777777" w:rsidR="00912146" w:rsidRPr="0072271A" w:rsidRDefault="00912146" w:rsidP="006774BC">
            <w:pPr>
              <w:pStyle w:val="paragraph"/>
              <w:spacing w:before="0" w:beforeAutospacing="0" w:after="120" w:afterAutospacing="0"/>
              <w:textAlignment w:val="baseline"/>
              <w:rPr>
                <w:rFonts w:asciiTheme="minorHAnsi" w:hAnsiTheme="minorHAnsi" w:cstheme="minorBidi"/>
                <w:sz w:val="22"/>
                <w:szCs w:val="22"/>
              </w:rPr>
            </w:pPr>
            <w:r w:rsidRPr="0072271A">
              <w:rPr>
                <w:rStyle w:val="normaltextrun"/>
                <w:rFonts w:asciiTheme="minorHAnsi" w:eastAsiaTheme="majorEastAsia" w:hAnsiTheme="minorHAnsi" w:cstheme="minorBidi"/>
                <w:sz w:val="22"/>
                <w:szCs w:val="22"/>
              </w:rPr>
              <w:t>Flavoured drinks with added ingredients </w:t>
            </w:r>
            <w:proofErr w:type="gramStart"/>
            <w:r w:rsidRPr="0072271A">
              <w:rPr>
                <w:rStyle w:val="normaltextrun"/>
                <w:rFonts w:asciiTheme="minorHAnsi" w:eastAsiaTheme="majorEastAsia" w:hAnsiTheme="minorHAnsi" w:cstheme="minorBidi"/>
                <w:sz w:val="22"/>
                <w:szCs w:val="22"/>
              </w:rPr>
              <w:t>e.g.</w:t>
            </w:r>
            <w:proofErr w:type="gramEnd"/>
            <w:r w:rsidRPr="0072271A">
              <w:rPr>
                <w:rStyle w:val="normaltextrun"/>
                <w:rFonts w:asciiTheme="minorHAnsi" w:eastAsiaTheme="majorEastAsia" w:hAnsiTheme="minorHAnsi" w:cstheme="minorBidi"/>
                <w:sz w:val="22"/>
                <w:szCs w:val="22"/>
              </w:rPr>
              <w:t> chocolate, peanut butter, cream, ice-cream or yoghurt.  </w:t>
            </w:r>
            <w:r w:rsidRPr="0072271A">
              <w:rPr>
                <w:rStyle w:val="eop"/>
                <w:rFonts w:asciiTheme="minorHAnsi" w:eastAsiaTheme="majorEastAsia" w:hAnsiTheme="minorHAnsi" w:cstheme="minorBidi"/>
                <w:sz w:val="22"/>
                <w:szCs w:val="22"/>
              </w:rPr>
              <w:t> </w:t>
            </w:r>
          </w:p>
          <w:p w14:paraId="65AC4093" w14:textId="77777777" w:rsidR="00912146" w:rsidRPr="0072271A" w:rsidRDefault="00912146" w:rsidP="006774BC">
            <w:pPr>
              <w:pStyle w:val="paragraph"/>
              <w:spacing w:before="0" w:beforeAutospacing="0" w:after="120" w:afterAutospacing="0"/>
              <w:textAlignment w:val="baseline"/>
              <w:rPr>
                <w:rStyle w:val="eop"/>
                <w:sz w:val="22"/>
                <w:szCs w:val="22"/>
              </w:rPr>
            </w:pPr>
            <w:r w:rsidRPr="0072271A">
              <w:rPr>
                <w:rStyle w:val="normaltextrun"/>
                <w:rFonts w:asciiTheme="minorHAnsi" w:eastAsiaTheme="majorEastAsia" w:hAnsiTheme="minorHAnsi" w:cstheme="minorBidi"/>
                <w:sz w:val="22"/>
                <w:szCs w:val="22"/>
              </w:rPr>
              <w:t>Fruit and vegetable juices as defined by the</w:t>
            </w:r>
            <w:r w:rsidRPr="0072271A">
              <w:rPr>
                <w:rStyle w:val="normaltextrun"/>
                <w:rFonts w:asciiTheme="minorHAnsi" w:eastAsiaTheme="majorEastAsia" w:hAnsiTheme="minorHAnsi" w:cstheme="minorBidi"/>
                <w:sz w:val="22"/>
                <w:szCs w:val="22"/>
                <w:lang w:val="en-GB"/>
              </w:rPr>
              <w:t xml:space="preserve"> Australian New Zealand Food Standards Code</w:t>
            </w:r>
            <w:r w:rsidRPr="0072271A">
              <w:rPr>
                <w:rStyle w:val="normaltextrun"/>
                <w:rFonts w:asciiTheme="minorHAnsi" w:eastAsiaTheme="majorEastAsia" w:hAnsiTheme="minorHAnsi" w:cstheme="minorBidi"/>
                <w:sz w:val="22"/>
                <w:szCs w:val="22"/>
              </w:rPr>
              <w:t>.</w:t>
            </w:r>
            <w:r w:rsidRPr="0072271A">
              <w:rPr>
                <w:rStyle w:val="eop"/>
                <w:rFonts w:asciiTheme="minorHAnsi" w:eastAsiaTheme="majorEastAsia" w:hAnsiTheme="minorHAnsi" w:cstheme="minorBidi"/>
                <w:sz w:val="22"/>
                <w:szCs w:val="22"/>
              </w:rPr>
              <w:t> </w:t>
            </w:r>
          </w:p>
          <w:p w14:paraId="64C86C22" w14:textId="77777777" w:rsidR="00912146" w:rsidRPr="0072271A" w:rsidRDefault="00912146" w:rsidP="006774BC">
            <w:pPr>
              <w:pStyle w:val="paragraph"/>
              <w:spacing w:before="0" w:beforeAutospacing="0" w:after="120" w:afterAutospacing="0"/>
              <w:textAlignment w:val="baseline"/>
              <w:rPr>
                <w:rFonts w:asciiTheme="minorHAnsi" w:hAnsiTheme="minorHAnsi" w:cstheme="minorBidi"/>
                <w:sz w:val="22"/>
                <w:szCs w:val="22"/>
              </w:rPr>
            </w:pPr>
            <w:r w:rsidRPr="0072271A">
              <w:rPr>
                <w:rStyle w:val="normaltextrun"/>
                <w:rFonts w:asciiTheme="minorHAnsi" w:eastAsiaTheme="majorEastAsia" w:hAnsiTheme="minorHAnsi" w:cstheme="minorBidi"/>
                <w:sz w:val="22"/>
                <w:szCs w:val="22"/>
              </w:rPr>
              <w:t>Fruit may be purchased pre-juiced or may be squeezed or blended on site. May have added flavourings or fruit-based ingredients such as coconut water or fruit-based sorbet.  </w:t>
            </w:r>
            <w:r w:rsidRPr="0072271A">
              <w:rPr>
                <w:rStyle w:val="eop"/>
                <w:rFonts w:asciiTheme="minorHAnsi" w:eastAsiaTheme="majorEastAsia" w:hAnsiTheme="minorHAnsi" w:cstheme="minorBidi"/>
                <w:sz w:val="22"/>
                <w:szCs w:val="22"/>
              </w:rPr>
              <w:t> </w:t>
            </w:r>
          </w:p>
          <w:p w14:paraId="4869F64A" w14:textId="77777777" w:rsidR="00912146" w:rsidRPr="0072271A" w:rsidRDefault="00912146" w:rsidP="006774BC">
            <w:pPr>
              <w:pStyle w:val="paragraph"/>
              <w:spacing w:before="0" w:beforeAutospacing="0" w:after="120" w:afterAutospacing="0"/>
              <w:textAlignment w:val="baseline"/>
              <w:rPr>
                <w:rStyle w:val="normaltextrun"/>
                <w:rFonts w:asciiTheme="minorHAnsi" w:eastAsiaTheme="majorEastAsia" w:hAnsiTheme="minorHAnsi" w:cstheme="minorBidi"/>
                <w:strike/>
                <w:sz w:val="22"/>
                <w:szCs w:val="22"/>
              </w:rPr>
            </w:pPr>
            <w:r w:rsidRPr="0072271A">
              <w:rPr>
                <w:rStyle w:val="normaltextrun"/>
                <w:rFonts w:asciiTheme="minorHAnsi" w:eastAsiaTheme="majorEastAsia" w:hAnsiTheme="minorHAnsi" w:cstheme="minorBidi"/>
                <w:sz w:val="22"/>
                <w:szCs w:val="22"/>
              </w:rPr>
              <w:t xml:space="preserve">Includes products sourced as ready-to-drink, or powders/concentrates requiring reconstitution prior to sale (cordials, ‘pre-mixes’). </w:t>
            </w:r>
          </w:p>
          <w:p w14:paraId="226188D4" w14:textId="55839608" w:rsidR="00912146" w:rsidRPr="0072271A" w:rsidRDefault="00912146" w:rsidP="006774BC">
            <w:pPr>
              <w:pStyle w:val="paragraph"/>
              <w:spacing w:before="0" w:beforeAutospacing="0" w:after="120" w:afterAutospacing="0"/>
              <w:textAlignment w:val="baseline"/>
              <w:rPr>
                <w:rStyle w:val="normaltextrun"/>
                <w:rFonts w:asciiTheme="minorHAnsi" w:eastAsiaTheme="majorEastAsia" w:hAnsiTheme="minorHAnsi" w:cstheme="minorBidi"/>
                <w:sz w:val="22"/>
                <w:szCs w:val="22"/>
              </w:rPr>
            </w:pPr>
            <w:r w:rsidRPr="0072271A">
              <w:rPr>
                <w:rStyle w:val="normaltextrun"/>
                <w:rFonts w:asciiTheme="minorHAnsi" w:eastAsiaTheme="majorEastAsia" w:hAnsiTheme="minorHAnsi" w:cstheme="minorBidi"/>
                <w:sz w:val="22"/>
                <w:szCs w:val="22"/>
              </w:rPr>
              <w:t>Also includes hand-crafted beverages (</w:t>
            </w:r>
            <w:proofErr w:type="gramStart"/>
            <w:r w:rsidRPr="0072271A">
              <w:rPr>
                <w:rStyle w:val="normaltextrun"/>
                <w:rFonts w:asciiTheme="minorHAnsi" w:eastAsiaTheme="majorEastAsia" w:hAnsiTheme="minorHAnsi" w:cstheme="minorBidi"/>
                <w:sz w:val="22"/>
                <w:szCs w:val="22"/>
              </w:rPr>
              <w:t>e.g.</w:t>
            </w:r>
            <w:proofErr w:type="gramEnd"/>
            <w:r w:rsidRPr="0072271A">
              <w:rPr>
                <w:rStyle w:val="normaltextrun"/>
                <w:rFonts w:asciiTheme="minorHAnsi" w:eastAsiaTheme="majorEastAsia" w:hAnsiTheme="minorHAnsi" w:cstheme="minorBidi"/>
                <w:sz w:val="22"/>
                <w:szCs w:val="22"/>
              </w:rPr>
              <w:t> </w:t>
            </w:r>
            <w:r w:rsidRPr="0072271A" w:rsidDel="05E084BD">
              <w:rPr>
                <w:rStyle w:val="normaltextrun"/>
                <w:rFonts w:asciiTheme="minorHAnsi" w:eastAsiaTheme="majorEastAsia" w:hAnsiTheme="minorHAnsi" w:cstheme="minorBidi"/>
                <w:sz w:val="22"/>
                <w:szCs w:val="22"/>
              </w:rPr>
              <w:t>house</w:t>
            </w:r>
            <w:r w:rsidRPr="0072271A">
              <w:rPr>
                <w:rStyle w:val="normaltextrun"/>
                <w:rFonts w:asciiTheme="minorHAnsi" w:eastAsiaTheme="majorEastAsia" w:hAnsiTheme="minorHAnsi" w:cstheme="minorBidi"/>
                <w:sz w:val="22"/>
                <w:szCs w:val="22"/>
              </w:rPr>
              <w:t>-made lemon squash, kombucha, sodas and iced teas).</w:t>
            </w:r>
          </w:p>
          <w:p w14:paraId="0C1E92EE" w14:textId="77777777" w:rsidR="00912146" w:rsidRPr="0072271A" w:rsidRDefault="00912146" w:rsidP="006774BC">
            <w:pPr>
              <w:pStyle w:val="paragraph"/>
              <w:spacing w:before="0" w:beforeAutospacing="0" w:after="120" w:afterAutospacing="0"/>
              <w:textAlignment w:val="baseline"/>
              <w:rPr>
                <w:rFonts w:asciiTheme="minorHAnsi" w:hAnsiTheme="minorHAnsi" w:cstheme="minorHAnsi"/>
                <w:sz w:val="22"/>
                <w:szCs w:val="22"/>
              </w:rPr>
            </w:pPr>
            <w:r w:rsidRPr="0072271A">
              <w:rPr>
                <w:rStyle w:val="normaltextrun"/>
                <w:rFonts w:asciiTheme="minorHAnsi" w:eastAsiaTheme="majorEastAsia" w:hAnsiTheme="minorHAnsi" w:cstheme="minorHAnsi"/>
                <w:sz w:val="22"/>
                <w:szCs w:val="22"/>
              </w:rPr>
              <w:t>May be sold as single serves (</w:t>
            </w:r>
            <w:proofErr w:type="gramStart"/>
            <w:r w:rsidRPr="0072271A">
              <w:rPr>
                <w:rStyle w:val="normaltextrun"/>
                <w:rFonts w:asciiTheme="minorHAnsi" w:eastAsiaTheme="majorEastAsia" w:hAnsiTheme="minorHAnsi" w:cstheme="minorHAnsi"/>
                <w:sz w:val="22"/>
                <w:szCs w:val="22"/>
              </w:rPr>
              <w:t>e.g.</w:t>
            </w:r>
            <w:proofErr w:type="gramEnd"/>
            <w:r w:rsidRPr="0072271A">
              <w:rPr>
                <w:rStyle w:val="normaltextrun"/>
                <w:rFonts w:asciiTheme="minorHAnsi" w:eastAsiaTheme="majorEastAsia" w:hAnsiTheme="minorHAnsi" w:cstheme="minorHAnsi"/>
                <w:sz w:val="22"/>
                <w:szCs w:val="22"/>
              </w:rPr>
              <w:t> a cup) or in large bottles or jugs to share/ for multiple servings. </w:t>
            </w:r>
          </w:p>
        </w:tc>
        <w:tc>
          <w:tcPr>
            <w:tcW w:w="4729" w:type="dxa"/>
          </w:tcPr>
          <w:p w14:paraId="0BF77D5F" w14:textId="77777777" w:rsidR="00912146" w:rsidRPr="0072271A" w:rsidRDefault="00912146" w:rsidP="006774BC">
            <w:pPr>
              <w:pStyle w:val="paragraph"/>
              <w:spacing w:before="0" w:beforeAutospacing="0" w:after="120" w:afterAutospacing="0"/>
              <w:rPr>
                <w:sz w:val="22"/>
                <w:szCs w:val="22"/>
              </w:rPr>
            </w:pPr>
            <w:r w:rsidRPr="0072271A">
              <w:rPr>
                <w:rStyle w:val="normaltextrun"/>
                <w:rFonts w:asciiTheme="minorHAnsi" w:eastAsiaTheme="majorEastAsia" w:hAnsiTheme="minorHAnsi" w:cstheme="minorBidi"/>
                <w:sz w:val="22"/>
                <w:szCs w:val="22"/>
              </w:rPr>
              <w:t>Plain water (including mineral/spring/soda water), alcoholic drinks, sports drinks, </w:t>
            </w:r>
            <w:r>
              <w:rPr>
                <w:rStyle w:val="normaltextrun"/>
                <w:rFonts w:asciiTheme="minorHAnsi" w:eastAsiaTheme="majorEastAsia" w:hAnsiTheme="minorHAnsi" w:cstheme="minorBidi"/>
                <w:sz w:val="22"/>
                <w:szCs w:val="22"/>
              </w:rPr>
              <w:t>and hot beverages (</w:t>
            </w:r>
            <w:proofErr w:type="gramStart"/>
            <w:r>
              <w:rPr>
                <w:rStyle w:val="normaltextrun"/>
                <w:rFonts w:asciiTheme="minorHAnsi" w:eastAsiaTheme="majorEastAsia" w:hAnsiTheme="minorHAnsi" w:cstheme="minorBidi"/>
                <w:sz w:val="22"/>
                <w:szCs w:val="22"/>
              </w:rPr>
              <w:t>e.g.</w:t>
            </w:r>
            <w:proofErr w:type="gramEnd"/>
            <w:r>
              <w:rPr>
                <w:rStyle w:val="normaltextrun"/>
                <w:rFonts w:asciiTheme="minorHAnsi" w:eastAsiaTheme="majorEastAsia" w:hAnsiTheme="minorHAnsi" w:cstheme="minorBidi"/>
                <w:sz w:val="22"/>
                <w:szCs w:val="22"/>
              </w:rPr>
              <w:t xml:space="preserve"> </w:t>
            </w:r>
            <w:r w:rsidRPr="0072271A">
              <w:rPr>
                <w:rFonts w:ascii="Calibri" w:eastAsia="Calibri" w:hAnsi="Calibri" w:cs="Calibri"/>
                <w:sz w:val="22"/>
                <w:szCs w:val="22"/>
              </w:rPr>
              <w:t>tea, coffee, hot chocolate</w:t>
            </w:r>
            <w:r>
              <w:rPr>
                <w:rFonts w:ascii="Calibri" w:eastAsia="Calibri" w:hAnsi="Calibri" w:cs="Calibri"/>
                <w:sz w:val="22"/>
                <w:szCs w:val="22"/>
              </w:rPr>
              <w:t>)</w:t>
            </w:r>
            <w:r w:rsidRPr="0072271A">
              <w:rPr>
                <w:rFonts w:ascii="Calibri" w:eastAsia="Calibri" w:hAnsi="Calibri" w:cs="Calibri"/>
                <w:sz w:val="22"/>
                <w:szCs w:val="22"/>
              </w:rPr>
              <w:t>. </w:t>
            </w:r>
          </w:p>
          <w:p w14:paraId="518BA50A" w14:textId="77777777" w:rsidR="00912146" w:rsidRPr="0072271A" w:rsidRDefault="00912146" w:rsidP="006774BC">
            <w:pPr>
              <w:pStyle w:val="paragraph"/>
              <w:spacing w:before="0" w:beforeAutospacing="0" w:after="120" w:afterAutospacing="0"/>
              <w:textAlignment w:val="baseline"/>
              <w:rPr>
                <w:rFonts w:asciiTheme="minorHAnsi" w:eastAsiaTheme="majorEastAsia" w:hAnsiTheme="minorHAnsi" w:cstheme="minorBidi"/>
                <w:sz w:val="22"/>
                <w:szCs w:val="22"/>
              </w:rPr>
            </w:pPr>
            <w:r w:rsidRPr="0072271A">
              <w:rPr>
                <w:rStyle w:val="normaltextrun"/>
                <w:rFonts w:asciiTheme="minorHAnsi" w:eastAsiaTheme="majorEastAsia" w:hAnsiTheme="minorHAnsi" w:cstheme="minorBidi"/>
                <w:sz w:val="22"/>
                <w:szCs w:val="22"/>
              </w:rPr>
              <w:t>Excludes </w:t>
            </w:r>
            <w:r>
              <w:rPr>
                <w:rStyle w:val="normaltextrun"/>
                <w:rFonts w:asciiTheme="minorHAnsi" w:eastAsiaTheme="majorEastAsia" w:hAnsiTheme="minorHAnsi" w:cstheme="minorBidi"/>
                <w:sz w:val="22"/>
                <w:szCs w:val="22"/>
              </w:rPr>
              <w:t xml:space="preserve">all </w:t>
            </w:r>
            <w:r w:rsidRPr="0072271A">
              <w:rPr>
                <w:rStyle w:val="normaltextrun"/>
                <w:rFonts w:asciiTheme="minorHAnsi" w:eastAsiaTheme="majorEastAsia" w:hAnsiTheme="minorHAnsi" w:cstheme="minorBidi"/>
                <w:sz w:val="22"/>
                <w:szCs w:val="22"/>
              </w:rPr>
              <w:t>chilled beverages designed for retail sale, </w:t>
            </w:r>
            <w:proofErr w:type="gramStart"/>
            <w:r w:rsidRPr="0072271A">
              <w:rPr>
                <w:rStyle w:val="normaltextrun"/>
                <w:rFonts w:asciiTheme="minorHAnsi" w:eastAsiaTheme="majorEastAsia" w:hAnsiTheme="minorHAnsi" w:cstheme="minorBidi"/>
                <w:sz w:val="22"/>
                <w:szCs w:val="22"/>
              </w:rPr>
              <w:t>i.e.</w:t>
            </w:r>
            <w:proofErr w:type="gramEnd"/>
            <w:r w:rsidRPr="0072271A">
              <w:rPr>
                <w:rStyle w:val="normaltextrun"/>
                <w:rFonts w:asciiTheme="minorHAnsi" w:eastAsiaTheme="majorEastAsia" w:hAnsiTheme="minorHAnsi" w:cstheme="minorBidi"/>
                <w:sz w:val="22"/>
                <w:szCs w:val="22"/>
              </w:rPr>
              <w:t xml:space="preserve"> packaged products from manufacturers which do not require any additions and are sold in sealed bottles, cans, and other containers. </w:t>
            </w:r>
          </w:p>
        </w:tc>
      </w:tr>
    </w:tbl>
    <w:p w14:paraId="4DD2552B" w14:textId="77777777" w:rsidR="00912146" w:rsidRDefault="00912146" w:rsidP="00912146">
      <w:pPr>
        <w:rPr>
          <w:rFonts w:cstheme="minorHAnsi"/>
        </w:rPr>
      </w:pPr>
    </w:p>
    <w:p w14:paraId="07486130" w14:textId="77777777" w:rsidR="00BD49F2" w:rsidRDefault="00BD49F2">
      <w:pPr>
        <w:rPr>
          <w:rFonts w:eastAsiaTheme="majorEastAsia" w:cstheme="minorHAnsi"/>
          <w:b/>
          <w:bCs/>
          <w:i/>
          <w:iCs/>
          <w:color w:val="007A00"/>
          <w:kern w:val="32"/>
          <w:sz w:val="32"/>
          <w:szCs w:val="32"/>
        </w:rPr>
      </w:pPr>
      <w:bookmarkStart w:id="47" w:name="_Chocolate_and_chocolate-alternative"/>
      <w:bookmarkEnd w:id="47"/>
      <w:r>
        <w:rPr>
          <w:rFonts w:eastAsiaTheme="majorEastAsia" w:cstheme="minorHAnsi"/>
          <w:b/>
          <w:bCs/>
          <w:i/>
          <w:iCs/>
          <w:color w:val="007A00"/>
          <w:kern w:val="32"/>
          <w:sz w:val="32"/>
          <w:szCs w:val="32"/>
        </w:rPr>
        <w:br w:type="page"/>
      </w:r>
    </w:p>
    <w:p w14:paraId="191A2D83" w14:textId="180B5F01" w:rsidR="00912146" w:rsidRPr="0050147F" w:rsidRDefault="00912146" w:rsidP="0050147F">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Chocolate and chocolate-alternative-based confectionery: Retail</w:t>
      </w:r>
    </w:p>
    <w:p w14:paraId="7A2CEAE2" w14:textId="77777777" w:rsidR="006774BC" w:rsidRDefault="006774BC" w:rsidP="00912146">
      <w:pPr>
        <w:pStyle w:val="Default"/>
        <w:rPr>
          <w:rFonts w:asciiTheme="minorHAnsi" w:hAnsiTheme="minorHAnsi" w:cstheme="minorBidi"/>
          <w:b/>
          <w:sz w:val="22"/>
          <w:szCs w:val="22"/>
        </w:rPr>
      </w:pPr>
    </w:p>
    <w:p w14:paraId="1C50BABB" w14:textId="7BBF6FB2" w:rsidR="00912146" w:rsidRPr="0072271A" w:rsidRDefault="00912146" w:rsidP="00912146">
      <w:pPr>
        <w:pStyle w:val="Default"/>
        <w:rPr>
          <w:rFonts w:asciiTheme="minorHAnsi" w:hAnsiTheme="minorHAnsi" w:cstheme="minorBidi"/>
          <w:sz w:val="22"/>
          <w:szCs w:val="22"/>
        </w:rPr>
      </w:pPr>
      <w:r w:rsidRPr="0072271A">
        <w:rPr>
          <w:rFonts w:asciiTheme="minorHAnsi" w:hAnsiTheme="minorHAnsi" w:cstheme="minorBidi"/>
          <w:b/>
          <w:sz w:val="22"/>
          <w:szCs w:val="22"/>
        </w:rPr>
        <w:t xml:space="preserve">Category definition: </w:t>
      </w:r>
    </w:p>
    <w:p w14:paraId="60185DFD" w14:textId="75CFF846" w:rsidR="00912146" w:rsidRPr="0072271A" w:rsidRDefault="00912146" w:rsidP="00617536">
      <w:pPr>
        <w:spacing w:after="240"/>
        <w:rPr>
          <w:rFonts w:cstheme="minorBidi"/>
          <w:sz w:val="22"/>
          <w:szCs w:val="22"/>
        </w:rPr>
      </w:pPr>
      <w:r w:rsidRPr="0072271A">
        <w:rPr>
          <w:rFonts w:cstheme="minorBidi"/>
          <w:sz w:val="22"/>
          <w:szCs w:val="22"/>
        </w:rPr>
        <w:t xml:space="preserve">Plain chocolate, chocolate-based and chocolate-alternative-based confectionery, including all varieties (white, milk or dark chocolate) sold in the retail setting. </w:t>
      </w:r>
    </w:p>
    <w:p w14:paraId="21DAACBF" w14:textId="77777777" w:rsidR="00912146" w:rsidRPr="001F1DA4" w:rsidRDefault="00912146" w:rsidP="00912146">
      <w:pPr>
        <w:rPr>
          <w:rFonts w:cstheme="minorBidi"/>
          <w:b/>
          <w:sz w:val="20"/>
          <w:szCs w:val="20"/>
        </w:rPr>
      </w:pPr>
      <w:r w:rsidRPr="001F1DA4">
        <w:rPr>
          <w:rFonts w:cstheme="minorBidi"/>
          <w:b/>
          <w:sz w:val="20"/>
          <w:szCs w:val="20"/>
        </w:rPr>
        <w:t xml:space="preserve">Table </w:t>
      </w:r>
      <w:r>
        <w:rPr>
          <w:rFonts w:cstheme="minorBidi"/>
          <w:b/>
          <w:sz w:val="20"/>
          <w:szCs w:val="20"/>
        </w:rPr>
        <w:t>11</w:t>
      </w:r>
      <w:r w:rsidRPr="001F1DA4">
        <w:rPr>
          <w:rFonts w:cstheme="minorBidi"/>
          <w:b/>
          <w:sz w:val="20"/>
          <w:szCs w:val="20"/>
        </w:rPr>
        <w:t xml:space="preserve">: Chocolate and chocolate-based confectionary – </w:t>
      </w:r>
      <w:r w:rsidRPr="001F1DA4">
        <w:rPr>
          <w:rFonts w:cstheme="minorBidi"/>
          <w:b/>
          <w:bCs/>
          <w:sz w:val="20"/>
          <w:szCs w:val="20"/>
        </w:rPr>
        <w:t>R</w:t>
      </w:r>
      <w:r w:rsidRPr="001F1DA4">
        <w:rPr>
          <w:rFonts w:cstheme="minorBidi"/>
          <w:b/>
          <w:sz w:val="20"/>
          <w:szCs w:val="20"/>
        </w:rPr>
        <w:t>etail</w:t>
      </w:r>
    </w:p>
    <w:tbl>
      <w:tblPr>
        <w:tblStyle w:val="TableGrid"/>
        <w:tblW w:w="9458" w:type="dxa"/>
        <w:tblLook w:val="04A0" w:firstRow="1" w:lastRow="0" w:firstColumn="1" w:lastColumn="0" w:noHBand="0" w:noVBand="1"/>
      </w:tblPr>
      <w:tblGrid>
        <w:gridCol w:w="4729"/>
        <w:gridCol w:w="4729"/>
      </w:tblGrid>
      <w:tr w:rsidR="00912146" w:rsidRPr="0072271A" w14:paraId="3FF1C1EF" w14:textId="77777777" w:rsidTr="00BD49F2">
        <w:tc>
          <w:tcPr>
            <w:tcW w:w="4729" w:type="dxa"/>
          </w:tcPr>
          <w:p w14:paraId="5D21DC33" w14:textId="77777777" w:rsidR="00912146" w:rsidRPr="0072271A" w:rsidRDefault="00912146" w:rsidP="00AE496B">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Sub-category Inclusions </w:t>
            </w:r>
          </w:p>
        </w:tc>
        <w:tc>
          <w:tcPr>
            <w:tcW w:w="4729" w:type="dxa"/>
          </w:tcPr>
          <w:p w14:paraId="77096EEF" w14:textId="77777777" w:rsidR="00912146" w:rsidRPr="0072271A" w:rsidRDefault="00912146" w:rsidP="00AE496B">
            <w:pPr>
              <w:pStyle w:val="Default"/>
              <w:rPr>
                <w:rFonts w:asciiTheme="minorHAnsi" w:hAnsiTheme="minorHAnsi" w:cstheme="minorHAnsi"/>
                <w:color w:val="auto"/>
                <w:sz w:val="22"/>
                <w:szCs w:val="22"/>
              </w:rPr>
            </w:pPr>
            <w:r w:rsidRPr="0072271A">
              <w:rPr>
                <w:rFonts w:asciiTheme="minorHAnsi" w:hAnsiTheme="minorHAnsi" w:cstheme="minorHAnsi"/>
                <w:b/>
                <w:bCs/>
                <w:color w:val="auto"/>
                <w:sz w:val="22"/>
                <w:szCs w:val="22"/>
              </w:rPr>
              <w:t xml:space="preserve">Sub-category Exclusions </w:t>
            </w:r>
          </w:p>
        </w:tc>
      </w:tr>
      <w:tr w:rsidR="00912146" w:rsidRPr="0072271A" w14:paraId="01DE3A51" w14:textId="77777777" w:rsidTr="00BD49F2">
        <w:tc>
          <w:tcPr>
            <w:tcW w:w="4729" w:type="dxa"/>
          </w:tcPr>
          <w:p w14:paraId="38A9B216" w14:textId="77777777" w:rsidR="00912146" w:rsidRPr="0072271A" w:rsidRDefault="00912146" w:rsidP="006774BC">
            <w:pPr>
              <w:spacing w:after="120"/>
              <w:rPr>
                <w:rFonts w:cstheme="minorBidi"/>
                <w:sz w:val="22"/>
                <w:szCs w:val="22"/>
              </w:rPr>
            </w:pPr>
            <w:r w:rsidRPr="0072271A">
              <w:rPr>
                <w:rFonts w:cstheme="minorBidi"/>
                <w:sz w:val="22"/>
                <w:szCs w:val="22"/>
              </w:rPr>
              <w:t xml:space="preserve">Includes all varieties and forms of ready-to-eat chocolate or chocolate </w:t>
            </w:r>
            <w:proofErr w:type="gramStart"/>
            <w:r w:rsidRPr="0072271A">
              <w:rPr>
                <w:rFonts w:cstheme="minorBidi"/>
                <w:sz w:val="22"/>
                <w:szCs w:val="22"/>
              </w:rPr>
              <w:t>alternative based</w:t>
            </w:r>
            <w:proofErr w:type="gramEnd"/>
            <w:r w:rsidRPr="0072271A">
              <w:rPr>
                <w:rFonts w:cstheme="minorBidi"/>
                <w:sz w:val="22"/>
                <w:szCs w:val="22"/>
              </w:rPr>
              <w:t xml:space="preserve"> confectionery. </w:t>
            </w:r>
          </w:p>
          <w:p w14:paraId="6629B2D6" w14:textId="77777777" w:rsidR="00912146" w:rsidRPr="0072271A" w:rsidRDefault="00912146" w:rsidP="006774BC">
            <w:pPr>
              <w:spacing w:after="120"/>
              <w:rPr>
                <w:rFonts w:cstheme="minorBidi"/>
                <w:sz w:val="22"/>
                <w:szCs w:val="22"/>
              </w:rPr>
            </w:pPr>
            <w:r w:rsidRPr="0072271A">
              <w:rPr>
                <w:rFonts w:cstheme="minorBidi"/>
                <w:sz w:val="22"/>
                <w:szCs w:val="22"/>
              </w:rPr>
              <w:t xml:space="preserve">This includes, but is not limited </w:t>
            </w:r>
            <w:proofErr w:type="gramStart"/>
            <w:r w:rsidRPr="0072271A">
              <w:rPr>
                <w:rFonts w:cstheme="minorBidi"/>
                <w:sz w:val="22"/>
                <w:szCs w:val="22"/>
              </w:rPr>
              <w:t>to:</w:t>
            </w:r>
            <w:proofErr w:type="gramEnd"/>
            <w:r w:rsidRPr="0072271A">
              <w:rPr>
                <w:rFonts w:cstheme="minorBidi"/>
                <w:sz w:val="22"/>
                <w:szCs w:val="22"/>
              </w:rPr>
              <w:t xml:space="preserve"> sugar free, dairy-free/vegan (e.g. coconut-based), white, dark, milk, ruby, compounded chocolate and carob products, with or without coatings, filled and unfilled, with and without inclusions i.e. nuts. </w:t>
            </w:r>
          </w:p>
          <w:p w14:paraId="77936C37" w14:textId="77777777" w:rsidR="00912146" w:rsidRPr="0072271A" w:rsidRDefault="00912146" w:rsidP="006774BC">
            <w:pPr>
              <w:spacing w:after="120"/>
              <w:rPr>
                <w:rFonts w:cstheme="minorBidi"/>
                <w:sz w:val="22"/>
                <w:szCs w:val="22"/>
              </w:rPr>
            </w:pPr>
            <w:r w:rsidRPr="0072271A">
              <w:rPr>
                <w:rFonts w:cstheme="minorBidi"/>
                <w:sz w:val="22"/>
                <w:szCs w:val="22"/>
              </w:rPr>
              <w:t xml:space="preserve">Also includes chocolate coated nuts and dried fruit mixtures, chocolate coated confectionary, confectionary coated chocolate, single-serve chocolate bars, chocolate blocks, fun size chocolate, boxed chocolates, and carob products. </w:t>
            </w:r>
          </w:p>
        </w:tc>
        <w:tc>
          <w:tcPr>
            <w:tcW w:w="4729" w:type="dxa"/>
          </w:tcPr>
          <w:p w14:paraId="6DAB6054" w14:textId="77777777" w:rsidR="00912146" w:rsidRPr="0072271A" w:rsidRDefault="00912146" w:rsidP="006774BC">
            <w:pPr>
              <w:spacing w:after="120"/>
              <w:rPr>
                <w:rFonts w:cstheme="minorBidi"/>
                <w:sz w:val="22"/>
                <w:szCs w:val="22"/>
              </w:rPr>
            </w:pPr>
            <w:r w:rsidRPr="0072271A">
              <w:rPr>
                <w:rFonts w:cstheme="minorBidi"/>
                <w:sz w:val="22"/>
                <w:szCs w:val="22"/>
              </w:rPr>
              <w:t>Cooking chocolate, non-chocolate confectionery (</w:t>
            </w:r>
            <w:proofErr w:type="gramStart"/>
            <w:r w:rsidRPr="0072271A">
              <w:rPr>
                <w:rFonts w:cstheme="minorBidi"/>
                <w:sz w:val="22"/>
                <w:szCs w:val="22"/>
              </w:rPr>
              <w:t>e.g.</w:t>
            </w:r>
            <w:proofErr w:type="gramEnd"/>
            <w:r w:rsidRPr="0072271A">
              <w:rPr>
                <w:rFonts w:cstheme="minorBidi"/>
                <w:sz w:val="22"/>
                <w:szCs w:val="22"/>
              </w:rPr>
              <w:t xml:space="preserve"> lollies, chews), other products that may contain chocolate, or are chocolate-topped, but not sold or marketed as confectionery (e.g. muesli bars/nut bars, bakery products, sweet biscuits, breakfast cereals, frozen desserts, icing, protein drinks or supplements), chocolate beverages or beverage powders, chocolate sauces, spreads, yoghurt-coated products and cocoa powder. Seasonal/novelty products (</w:t>
            </w:r>
            <w:proofErr w:type="gramStart"/>
            <w:r w:rsidRPr="0072271A">
              <w:rPr>
                <w:rFonts w:cstheme="minorBidi"/>
                <w:sz w:val="22"/>
                <w:szCs w:val="22"/>
              </w:rPr>
              <w:t>e.g.</w:t>
            </w:r>
            <w:proofErr w:type="gramEnd"/>
            <w:r w:rsidRPr="0072271A">
              <w:rPr>
                <w:rFonts w:cstheme="minorBidi"/>
                <w:sz w:val="22"/>
                <w:szCs w:val="22"/>
              </w:rPr>
              <w:t xml:space="preserve"> Christmas chocolates and Easter Bunny figurine). </w:t>
            </w:r>
          </w:p>
          <w:p w14:paraId="629B7B83" w14:textId="77777777" w:rsidR="00912146" w:rsidRPr="0072271A" w:rsidRDefault="00912146" w:rsidP="006774BC">
            <w:pPr>
              <w:spacing w:after="120"/>
              <w:rPr>
                <w:rFonts w:cstheme="minorBidi"/>
                <w:sz w:val="22"/>
                <w:szCs w:val="22"/>
              </w:rPr>
            </w:pPr>
          </w:p>
        </w:tc>
      </w:tr>
    </w:tbl>
    <w:p w14:paraId="456FF437" w14:textId="77777777" w:rsidR="00912146" w:rsidRDefault="00912146" w:rsidP="00912146"/>
    <w:p w14:paraId="6D8D2A57" w14:textId="77777777" w:rsidR="00BD49F2" w:rsidRDefault="00BD49F2">
      <w:pPr>
        <w:rPr>
          <w:rFonts w:eastAsiaTheme="majorEastAsia" w:cstheme="minorHAnsi"/>
          <w:b/>
          <w:bCs/>
          <w:i/>
          <w:iCs/>
          <w:color w:val="007A00"/>
          <w:kern w:val="32"/>
          <w:sz w:val="32"/>
          <w:szCs w:val="32"/>
        </w:rPr>
      </w:pPr>
      <w:bookmarkStart w:id="48" w:name="_Crumbed_and_battered"/>
      <w:bookmarkEnd w:id="48"/>
      <w:r>
        <w:rPr>
          <w:rFonts w:eastAsiaTheme="majorEastAsia" w:cstheme="minorHAnsi"/>
          <w:b/>
          <w:bCs/>
          <w:i/>
          <w:iCs/>
          <w:color w:val="007A00"/>
          <w:kern w:val="32"/>
          <w:sz w:val="32"/>
          <w:szCs w:val="32"/>
        </w:rPr>
        <w:br w:type="page"/>
      </w:r>
    </w:p>
    <w:p w14:paraId="72F8C410" w14:textId="7EC52E46" w:rsidR="00912146" w:rsidRPr="0050147F" w:rsidRDefault="00912146" w:rsidP="0050147F">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Crumbed and battered proteins: Out of home</w:t>
      </w:r>
    </w:p>
    <w:p w14:paraId="7D4C860C" w14:textId="77777777" w:rsidR="006774BC" w:rsidRDefault="006774BC" w:rsidP="00912146">
      <w:pPr>
        <w:pStyle w:val="Default"/>
        <w:rPr>
          <w:rFonts w:asciiTheme="minorHAnsi" w:hAnsiTheme="minorHAnsi" w:cstheme="minorHAnsi"/>
          <w:b/>
          <w:bCs/>
          <w:sz w:val="23"/>
          <w:szCs w:val="23"/>
        </w:rPr>
      </w:pPr>
    </w:p>
    <w:p w14:paraId="4C8681BD" w14:textId="6A2A8C12" w:rsidR="00912146" w:rsidRPr="000246FD" w:rsidRDefault="00912146" w:rsidP="00912146">
      <w:pPr>
        <w:pStyle w:val="Default"/>
        <w:rPr>
          <w:rFonts w:asciiTheme="minorHAnsi" w:hAnsiTheme="minorHAnsi" w:cstheme="minorHAnsi"/>
          <w:sz w:val="23"/>
          <w:szCs w:val="23"/>
        </w:rPr>
      </w:pPr>
      <w:r w:rsidRPr="000246FD">
        <w:rPr>
          <w:rFonts w:asciiTheme="minorHAnsi" w:hAnsiTheme="minorHAnsi" w:cstheme="minorHAnsi"/>
          <w:b/>
          <w:bCs/>
          <w:sz w:val="23"/>
          <w:szCs w:val="23"/>
        </w:rPr>
        <w:t xml:space="preserve">Category definition: </w:t>
      </w:r>
    </w:p>
    <w:p w14:paraId="5F2C071A" w14:textId="77777777" w:rsidR="00912146" w:rsidRPr="0038569F" w:rsidRDefault="00912146" w:rsidP="00912146">
      <w:pPr>
        <w:pStyle w:val="Default"/>
        <w:spacing w:after="240"/>
        <w:rPr>
          <w:rFonts w:asciiTheme="minorHAnsi" w:hAnsiTheme="minorHAnsi" w:cstheme="minorBidi"/>
          <w:color w:val="4F81BD" w:themeColor="accent1"/>
          <w:sz w:val="23"/>
          <w:szCs w:val="23"/>
        </w:rPr>
      </w:pPr>
      <w:r w:rsidRPr="68260139">
        <w:rPr>
          <w:rFonts w:asciiTheme="minorHAnsi" w:hAnsiTheme="minorHAnsi" w:cstheme="minorBidi"/>
          <w:sz w:val="22"/>
          <w:szCs w:val="22"/>
        </w:rPr>
        <w:t xml:space="preserve">Meat, poultry, </w:t>
      </w:r>
      <w:proofErr w:type="gramStart"/>
      <w:r w:rsidRPr="68260139">
        <w:rPr>
          <w:rFonts w:asciiTheme="minorHAnsi" w:hAnsiTheme="minorHAnsi" w:cstheme="minorBidi"/>
          <w:sz w:val="22"/>
          <w:szCs w:val="22"/>
        </w:rPr>
        <w:t>seafood</w:t>
      </w:r>
      <w:proofErr w:type="gramEnd"/>
      <w:r w:rsidRPr="68260139">
        <w:rPr>
          <w:rFonts w:asciiTheme="minorHAnsi" w:hAnsiTheme="minorHAnsi" w:cstheme="minorBidi"/>
          <w:sz w:val="22"/>
          <w:szCs w:val="22"/>
        </w:rPr>
        <w:t xml:space="preserve"> and plant-based proteins which have been coated with a crumb or batter made from flour or flour-alternatives and sold in the out of home sector. Includes products prepared on-site or pre-prepared.</w:t>
      </w:r>
      <w:r w:rsidRPr="68260139">
        <w:rPr>
          <w:rFonts w:asciiTheme="minorHAnsi" w:hAnsiTheme="minorHAnsi" w:cstheme="minorBidi"/>
          <w:sz w:val="23"/>
          <w:szCs w:val="23"/>
        </w:rPr>
        <w:t xml:space="preserve"> </w:t>
      </w:r>
    </w:p>
    <w:p w14:paraId="37194950" w14:textId="77777777" w:rsidR="00912146" w:rsidRPr="000246FD" w:rsidRDefault="00912146" w:rsidP="00912146">
      <w:pPr>
        <w:pStyle w:val="Default"/>
        <w:rPr>
          <w:rFonts w:asciiTheme="minorHAnsi" w:hAnsiTheme="minorHAnsi" w:cstheme="minorBidi"/>
          <w:sz w:val="23"/>
          <w:szCs w:val="23"/>
        </w:rPr>
      </w:pPr>
      <w:r w:rsidRPr="68260139">
        <w:rPr>
          <w:rFonts w:asciiTheme="minorHAnsi" w:hAnsiTheme="minorHAnsi" w:cstheme="minorBidi"/>
          <w:b/>
          <w:sz w:val="20"/>
          <w:szCs w:val="20"/>
        </w:rPr>
        <w:t xml:space="preserve">Table </w:t>
      </w:r>
      <w:r>
        <w:rPr>
          <w:rFonts w:asciiTheme="minorHAnsi" w:hAnsiTheme="minorHAnsi" w:cstheme="minorBidi"/>
          <w:b/>
          <w:sz w:val="20"/>
          <w:szCs w:val="20"/>
        </w:rPr>
        <w:t>12</w:t>
      </w:r>
      <w:r w:rsidRPr="68260139">
        <w:rPr>
          <w:rFonts w:asciiTheme="minorHAnsi" w:hAnsiTheme="minorHAnsi" w:cstheme="minorBidi"/>
          <w:b/>
          <w:sz w:val="20"/>
          <w:szCs w:val="20"/>
        </w:rPr>
        <w:t xml:space="preserve">: Meat, poultry, </w:t>
      </w:r>
      <w:proofErr w:type="gramStart"/>
      <w:r w:rsidRPr="68260139">
        <w:rPr>
          <w:rFonts w:asciiTheme="minorHAnsi" w:hAnsiTheme="minorHAnsi" w:cstheme="minorBidi"/>
          <w:b/>
          <w:sz w:val="20"/>
          <w:szCs w:val="20"/>
        </w:rPr>
        <w:t>seafood</w:t>
      </w:r>
      <w:proofErr w:type="gramEnd"/>
      <w:r w:rsidRPr="68260139">
        <w:rPr>
          <w:rFonts w:asciiTheme="minorHAnsi" w:hAnsiTheme="minorHAnsi" w:cstheme="minorBidi"/>
          <w:b/>
          <w:sz w:val="20"/>
          <w:szCs w:val="20"/>
        </w:rPr>
        <w:t xml:space="preserve"> and plant-based proteins – </w:t>
      </w:r>
      <w:r w:rsidRPr="68260139">
        <w:rPr>
          <w:rFonts w:asciiTheme="minorHAnsi" w:hAnsiTheme="minorHAnsi" w:cstheme="minorBidi"/>
          <w:b/>
          <w:bCs/>
          <w:sz w:val="20"/>
          <w:szCs w:val="20"/>
        </w:rPr>
        <w:t>O</w:t>
      </w:r>
      <w:r w:rsidRPr="68260139">
        <w:rPr>
          <w:rFonts w:asciiTheme="minorHAnsi" w:hAnsiTheme="minorHAnsi" w:cstheme="minorBidi"/>
          <w:b/>
          <w:sz w:val="20"/>
          <w:szCs w:val="20"/>
        </w:rPr>
        <w:t>ut of home</w:t>
      </w:r>
    </w:p>
    <w:tbl>
      <w:tblPr>
        <w:tblStyle w:val="TableGrid4"/>
        <w:tblW w:w="9458" w:type="dxa"/>
        <w:tblLayout w:type="fixed"/>
        <w:tblLook w:val="0000" w:firstRow="0" w:lastRow="0" w:firstColumn="0" w:lastColumn="0" w:noHBand="0" w:noVBand="0"/>
      </w:tblPr>
      <w:tblGrid>
        <w:gridCol w:w="4729"/>
        <w:gridCol w:w="4729"/>
      </w:tblGrid>
      <w:tr w:rsidR="00573030" w:rsidRPr="0072271A" w14:paraId="26FFA464" w14:textId="77777777" w:rsidTr="00B640FD">
        <w:trPr>
          <w:trHeight w:val="120"/>
        </w:trPr>
        <w:tc>
          <w:tcPr>
            <w:tcW w:w="4729" w:type="dxa"/>
          </w:tcPr>
          <w:p w14:paraId="601E45DF" w14:textId="77777777" w:rsidR="00912146" w:rsidRPr="0072271A" w:rsidRDefault="00912146" w:rsidP="00AE496B">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Sub-category Inclusions </w:t>
            </w:r>
          </w:p>
        </w:tc>
        <w:tc>
          <w:tcPr>
            <w:tcW w:w="4729" w:type="dxa"/>
          </w:tcPr>
          <w:p w14:paraId="046B649E" w14:textId="77777777" w:rsidR="00912146" w:rsidRPr="0072271A" w:rsidRDefault="00912146" w:rsidP="00AE496B">
            <w:pPr>
              <w:pStyle w:val="Default"/>
              <w:rPr>
                <w:rFonts w:asciiTheme="minorHAnsi" w:hAnsiTheme="minorHAnsi" w:cstheme="minorHAnsi"/>
                <w:sz w:val="22"/>
                <w:szCs w:val="22"/>
              </w:rPr>
            </w:pPr>
            <w:r w:rsidRPr="0072271A">
              <w:rPr>
                <w:rFonts w:asciiTheme="minorHAnsi" w:hAnsiTheme="minorHAnsi" w:cstheme="minorHAnsi"/>
                <w:b/>
                <w:bCs/>
                <w:sz w:val="22"/>
                <w:szCs w:val="22"/>
              </w:rPr>
              <w:t xml:space="preserve">Sub-category Exclusions </w:t>
            </w:r>
          </w:p>
        </w:tc>
      </w:tr>
      <w:tr w:rsidR="00573030" w:rsidRPr="0072271A" w14:paraId="0E8F59F7" w14:textId="77777777" w:rsidTr="00B640FD">
        <w:tc>
          <w:tcPr>
            <w:tcW w:w="4729" w:type="dxa"/>
          </w:tcPr>
          <w:p w14:paraId="38526380" w14:textId="77777777" w:rsidR="00912146" w:rsidRPr="0072271A" w:rsidRDefault="00912146" w:rsidP="006774BC">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Schnitzel, Kiev, nuggets, crumbed chicken, crumbed burger patties, crumbed/battered rissoles, </w:t>
            </w:r>
            <w:r w:rsidRPr="0072271A">
              <w:rPr>
                <w:color w:val="auto"/>
                <w:sz w:val="22"/>
                <w:szCs w:val="22"/>
              </w:rPr>
              <w:t xml:space="preserve">crumbed veal, steak or lamb cutlets, </w:t>
            </w:r>
            <w:r w:rsidRPr="0072271A">
              <w:rPr>
                <w:rFonts w:asciiTheme="minorHAnsi" w:hAnsiTheme="minorHAnsi" w:cstheme="minorBidi"/>
                <w:color w:val="auto"/>
                <w:sz w:val="22"/>
                <w:szCs w:val="22"/>
              </w:rPr>
              <w:t xml:space="preserve">popcorn chicken or coated and fried chicken. </w:t>
            </w:r>
          </w:p>
          <w:p w14:paraId="1D85D75E" w14:textId="77777777" w:rsidR="00912146" w:rsidRPr="0072271A" w:rsidRDefault="00912146" w:rsidP="006774BC">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Crumbed or battered fish, squid, prawns and all other seafood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fish fingers, fish fillets, crumbed calamari, salt and pepper squid, seafood tempura, popcorn prawns, battered crab or fish cakes). </w:t>
            </w:r>
          </w:p>
          <w:p w14:paraId="32A40465" w14:textId="77777777" w:rsidR="00912146" w:rsidRPr="0072271A" w:rsidRDefault="00912146" w:rsidP="006774BC">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Includes plant-based proteins.</w:t>
            </w:r>
          </w:p>
          <w:p w14:paraId="704C9023" w14:textId="77777777" w:rsidR="00912146" w:rsidRPr="0072271A" w:rsidRDefault="00912146" w:rsidP="006774BC">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Includes schnitzels with any topping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mushroom sauce, chicken parmigiana) or flavoured coated chicken (e.g. chicken </w:t>
            </w:r>
            <w:proofErr w:type="spellStart"/>
            <w:r w:rsidRPr="0072271A">
              <w:rPr>
                <w:rFonts w:asciiTheme="minorHAnsi" w:hAnsiTheme="minorHAnsi" w:cstheme="minorBidi"/>
                <w:color w:val="auto"/>
                <w:sz w:val="22"/>
                <w:szCs w:val="22"/>
              </w:rPr>
              <w:t>karaage</w:t>
            </w:r>
            <w:proofErr w:type="spellEnd"/>
            <w:r w:rsidRPr="0072271A">
              <w:rPr>
                <w:rFonts w:asciiTheme="minorHAnsi" w:hAnsiTheme="minorHAnsi" w:cstheme="minorBidi"/>
                <w:color w:val="auto"/>
                <w:sz w:val="22"/>
                <w:szCs w:val="22"/>
              </w:rPr>
              <w:t xml:space="preserve">). </w:t>
            </w:r>
          </w:p>
          <w:p w14:paraId="478309C7" w14:textId="77777777" w:rsidR="00912146" w:rsidRPr="0072271A" w:rsidRDefault="00912146" w:rsidP="006774BC">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May be sourced whole or in pieces, fresh or frozen. May have been processed prior to coating or be in its raw form.</w:t>
            </w:r>
            <w:r w:rsidRPr="0072271A">
              <w:rPr>
                <w:rFonts w:asciiTheme="minorHAnsi" w:hAnsiTheme="minorHAnsi" w:cstheme="minorBidi"/>
                <w:strike/>
                <w:color w:val="auto"/>
                <w:sz w:val="22"/>
                <w:szCs w:val="22"/>
              </w:rPr>
              <w:t xml:space="preserve"> </w:t>
            </w:r>
            <w:r w:rsidRPr="0072271A">
              <w:rPr>
                <w:rFonts w:asciiTheme="minorHAnsi" w:hAnsiTheme="minorHAnsi" w:cstheme="minorBidi"/>
                <w:color w:val="auto"/>
                <w:sz w:val="22"/>
                <w:szCs w:val="22"/>
              </w:rPr>
              <w:t xml:space="preserve">Product may be pre-prepared or cooked fresh. </w:t>
            </w:r>
          </w:p>
          <w:p w14:paraId="69149D5C" w14:textId="77777777" w:rsidR="00912146" w:rsidRPr="0072271A" w:rsidRDefault="00912146" w:rsidP="006774BC">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Includes gluten-free varieties. </w:t>
            </w:r>
          </w:p>
          <w:p w14:paraId="45812754" w14:textId="77777777" w:rsidR="00912146" w:rsidRPr="0072271A" w:rsidRDefault="00912146" w:rsidP="006774BC">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May have accompaniments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tomato sauce (ketchup), gravy, meat sauces, spicy sauces, vegetables or salsas, but these are not included in the serving size weight. </w:t>
            </w:r>
          </w:p>
          <w:p w14:paraId="3FEB5B11" w14:textId="77777777" w:rsidR="00912146" w:rsidRPr="0072271A" w:rsidRDefault="00912146" w:rsidP="006774BC">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 xml:space="preserve">Can be sold as a main meal, a snack or side dish. </w:t>
            </w:r>
          </w:p>
        </w:tc>
        <w:tc>
          <w:tcPr>
            <w:tcW w:w="4729" w:type="dxa"/>
          </w:tcPr>
          <w:p w14:paraId="43116CFF" w14:textId="77777777" w:rsidR="00912146" w:rsidRPr="0072271A" w:rsidRDefault="00912146" w:rsidP="006774BC">
            <w:pPr>
              <w:pStyle w:val="Default"/>
              <w:spacing w:after="120"/>
              <w:rPr>
                <w:rFonts w:asciiTheme="minorHAnsi" w:hAnsiTheme="minorHAnsi" w:cstheme="minorBidi"/>
                <w:color w:val="auto"/>
                <w:sz w:val="22"/>
                <w:szCs w:val="22"/>
              </w:rPr>
            </w:pPr>
            <w:r w:rsidRPr="0072271A">
              <w:rPr>
                <w:rFonts w:asciiTheme="minorHAnsi" w:hAnsiTheme="minorHAnsi" w:cstheme="minorBidi"/>
                <w:color w:val="auto"/>
                <w:sz w:val="22"/>
                <w:szCs w:val="22"/>
              </w:rPr>
              <w:t>Marinated or seasoned products without crumbing or batter (</w:t>
            </w:r>
            <w:proofErr w:type="gramStart"/>
            <w:r w:rsidRPr="0072271A">
              <w:rPr>
                <w:rFonts w:asciiTheme="minorHAnsi" w:hAnsiTheme="minorHAnsi" w:cstheme="minorBidi"/>
                <w:color w:val="auto"/>
                <w:sz w:val="22"/>
                <w:szCs w:val="22"/>
              </w:rPr>
              <w:t>e.g.</w:t>
            </w:r>
            <w:proofErr w:type="gramEnd"/>
            <w:r w:rsidRPr="0072271A">
              <w:rPr>
                <w:rFonts w:asciiTheme="minorHAnsi" w:hAnsiTheme="minorHAnsi" w:cstheme="minorBidi"/>
                <w:color w:val="auto"/>
                <w:sz w:val="22"/>
                <w:szCs w:val="22"/>
              </w:rPr>
              <w:t xml:space="preserve"> BBQ/buffalo/hot wings, pork ribs), potato-based dishes, meatloaf, plain (not crumbed or battered) patties, uncoated rissoles, crumbed or battered cheeses, hot dogs, pies, pastries, croquettes, dumplings.</w:t>
            </w:r>
          </w:p>
        </w:tc>
      </w:tr>
    </w:tbl>
    <w:p w14:paraId="2C7B1EB7" w14:textId="77777777" w:rsidR="00912146" w:rsidRDefault="00912146" w:rsidP="00912146"/>
    <w:p w14:paraId="5E964692" w14:textId="77777777" w:rsidR="00BD49F2" w:rsidRDefault="00BD49F2">
      <w:pPr>
        <w:rPr>
          <w:rFonts w:eastAsiaTheme="majorEastAsia" w:cstheme="minorHAnsi"/>
          <w:b/>
          <w:bCs/>
          <w:i/>
          <w:iCs/>
          <w:color w:val="007A00"/>
          <w:kern w:val="32"/>
          <w:sz w:val="32"/>
          <w:szCs w:val="32"/>
        </w:rPr>
      </w:pPr>
      <w:bookmarkStart w:id="49" w:name="_Hot_potato_chips,"/>
      <w:bookmarkEnd w:id="49"/>
      <w:r>
        <w:rPr>
          <w:rFonts w:eastAsiaTheme="majorEastAsia" w:cstheme="minorHAnsi"/>
          <w:b/>
          <w:bCs/>
          <w:i/>
          <w:iCs/>
          <w:color w:val="007A00"/>
          <w:kern w:val="32"/>
          <w:sz w:val="32"/>
          <w:szCs w:val="32"/>
        </w:rPr>
        <w:br w:type="page"/>
      </w:r>
    </w:p>
    <w:p w14:paraId="0A561EFC" w14:textId="5B9E2FA2" w:rsidR="00912146" w:rsidRPr="0050147F" w:rsidRDefault="00912146" w:rsidP="0050147F">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 xml:space="preserve">Hot potato chips, </w:t>
      </w:r>
      <w:proofErr w:type="gramStart"/>
      <w:r w:rsidRPr="0050147F">
        <w:rPr>
          <w:rFonts w:eastAsiaTheme="majorEastAsia" w:cstheme="minorHAnsi"/>
          <w:b/>
          <w:bCs/>
          <w:i/>
          <w:iCs/>
          <w:color w:val="007A00"/>
          <w:kern w:val="32"/>
          <w:sz w:val="32"/>
          <w:szCs w:val="32"/>
        </w:rPr>
        <w:t>fries</w:t>
      </w:r>
      <w:proofErr w:type="gramEnd"/>
      <w:r w:rsidRPr="0050147F">
        <w:rPr>
          <w:rFonts w:eastAsiaTheme="majorEastAsia" w:cstheme="minorHAnsi"/>
          <w:b/>
          <w:bCs/>
          <w:i/>
          <w:iCs/>
          <w:color w:val="007A00"/>
          <w:kern w:val="32"/>
          <w:sz w:val="32"/>
          <w:szCs w:val="32"/>
        </w:rPr>
        <w:t xml:space="preserve"> and wedges: Out of home </w:t>
      </w:r>
    </w:p>
    <w:p w14:paraId="7EDFC8E2" w14:textId="77777777" w:rsidR="006774BC" w:rsidRDefault="006774BC" w:rsidP="00912146">
      <w:pPr>
        <w:pStyle w:val="Default"/>
        <w:rPr>
          <w:rFonts w:asciiTheme="minorHAnsi" w:hAnsiTheme="minorHAnsi" w:cstheme="minorHAnsi"/>
          <w:b/>
          <w:bCs/>
          <w:sz w:val="22"/>
          <w:szCs w:val="22"/>
        </w:rPr>
      </w:pPr>
    </w:p>
    <w:p w14:paraId="24EF6E7C" w14:textId="2B41301E" w:rsidR="00912146" w:rsidRPr="006C48C4" w:rsidRDefault="00912146" w:rsidP="00912146">
      <w:pPr>
        <w:pStyle w:val="Default"/>
        <w:rPr>
          <w:rFonts w:asciiTheme="minorHAnsi" w:hAnsiTheme="minorHAnsi" w:cstheme="minorHAnsi"/>
          <w:sz w:val="22"/>
          <w:szCs w:val="22"/>
        </w:rPr>
      </w:pPr>
      <w:r w:rsidRPr="006C48C4">
        <w:rPr>
          <w:rFonts w:asciiTheme="minorHAnsi" w:hAnsiTheme="minorHAnsi" w:cstheme="minorHAnsi"/>
          <w:b/>
          <w:bCs/>
          <w:sz w:val="22"/>
          <w:szCs w:val="22"/>
        </w:rPr>
        <w:t xml:space="preserve">Category definition: </w:t>
      </w:r>
    </w:p>
    <w:p w14:paraId="106E42B9" w14:textId="77777777" w:rsidR="00912146" w:rsidRPr="006C48C4" w:rsidRDefault="00912146" w:rsidP="00912146">
      <w:pPr>
        <w:pStyle w:val="Default"/>
        <w:spacing w:after="240"/>
        <w:rPr>
          <w:rFonts w:asciiTheme="minorHAnsi" w:hAnsiTheme="minorHAnsi" w:cstheme="minorBidi"/>
          <w:sz w:val="22"/>
          <w:szCs w:val="22"/>
        </w:rPr>
      </w:pPr>
      <w:r w:rsidRPr="006C48C4">
        <w:rPr>
          <w:rFonts w:asciiTheme="minorHAnsi" w:hAnsiTheme="minorHAnsi" w:cstheme="minorBidi"/>
          <w:sz w:val="22"/>
          <w:szCs w:val="22"/>
        </w:rPr>
        <w:t xml:space="preserve">Potato or sweet potato-based products designed to be consumed as a snack or side dish and sold in the out of home sector. Excludes potato-based meals or potato-based snacks such as crisps. </w:t>
      </w:r>
    </w:p>
    <w:p w14:paraId="7102651B" w14:textId="77777777" w:rsidR="00912146" w:rsidRPr="000246FD" w:rsidRDefault="00912146" w:rsidP="00912146">
      <w:pPr>
        <w:pStyle w:val="Default"/>
        <w:rPr>
          <w:rFonts w:asciiTheme="minorHAnsi" w:hAnsiTheme="minorHAnsi" w:cstheme="minorBidi"/>
          <w:sz w:val="23"/>
          <w:szCs w:val="23"/>
        </w:rPr>
      </w:pPr>
      <w:r w:rsidRPr="68260139">
        <w:rPr>
          <w:rFonts w:asciiTheme="minorHAnsi" w:hAnsiTheme="minorHAnsi" w:cstheme="minorBidi"/>
          <w:b/>
          <w:sz w:val="20"/>
          <w:szCs w:val="20"/>
        </w:rPr>
        <w:t xml:space="preserve">Table </w:t>
      </w:r>
      <w:r w:rsidRPr="68260139">
        <w:rPr>
          <w:rFonts w:asciiTheme="minorHAnsi" w:hAnsiTheme="minorHAnsi" w:cstheme="minorBidi"/>
          <w:b/>
          <w:bCs/>
          <w:sz w:val="20"/>
          <w:szCs w:val="20"/>
        </w:rPr>
        <w:t>1</w:t>
      </w:r>
      <w:r>
        <w:rPr>
          <w:rFonts w:asciiTheme="minorHAnsi" w:hAnsiTheme="minorHAnsi" w:cstheme="minorBidi"/>
          <w:b/>
          <w:bCs/>
          <w:sz w:val="20"/>
          <w:szCs w:val="20"/>
        </w:rPr>
        <w:t>3</w:t>
      </w:r>
      <w:r w:rsidRPr="68260139">
        <w:rPr>
          <w:rFonts w:asciiTheme="minorHAnsi" w:hAnsiTheme="minorHAnsi" w:cstheme="minorBidi"/>
          <w:b/>
          <w:sz w:val="20"/>
          <w:szCs w:val="20"/>
        </w:rPr>
        <w:t xml:space="preserve">: </w:t>
      </w:r>
      <w:r w:rsidRPr="00087979">
        <w:rPr>
          <w:rFonts w:asciiTheme="minorHAnsi" w:hAnsiTheme="minorHAnsi" w:cstheme="minorBidi"/>
          <w:b/>
          <w:sz w:val="20"/>
          <w:szCs w:val="20"/>
        </w:rPr>
        <w:t xml:space="preserve">Hot potato chips, </w:t>
      </w:r>
      <w:proofErr w:type="gramStart"/>
      <w:r w:rsidRPr="00087979">
        <w:rPr>
          <w:rFonts w:asciiTheme="minorHAnsi" w:hAnsiTheme="minorHAnsi" w:cstheme="minorBidi"/>
          <w:b/>
          <w:sz w:val="20"/>
          <w:szCs w:val="20"/>
        </w:rPr>
        <w:t>fries</w:t>
      </w:r>
      <w:proofErr w:type="gramEnd"/>
      <w:r w:rsidRPr="00087979">
        <w:rPr>
          <w:rFonts w:asciiTheme="minorHAnsi" w:hAnsiTheme="minorHAnsi" w:cstheme="minorBidi"/>
          <w:b/>
          <w:sz w:val="20"/>
          <w:szCs w:val="20"/>
        </w:rPr>
        <w:t xml:space="preserve"> or wedges</w:t>
      </w:r>
      <w:r w:rsidRPr="68260139">
        <w:rPr>
          <w:rFonts w:asciiTheme="minorHAnsi" w:hAnsiTheme="minorHAnsi" w:cstheme="minorBidi"/>
          <w:b/>
          <w:sz w:val="20"/>
          <w:szCs w:val="20"/>
        </w:rPr>
        <w:t xml:space="preserve"> – </w:t>
      </w:r>
      <w:r w:rsidRPr="68260139">
        <w:rPr>
          <w:rFonts w:asciiTheme="minorHAnsi" w:hAnsiTheme="minorHAnsi" w:cstheme="minorBidi"/>
          <w:b/>
          <w:bCs/>
          <w:sz w:val="20"/>
          <w:szCs w:val="20"/>
        </w:rPr>
        <w:t>O</w:t>
      </w:r>
      <w:r w:rsidRPr="68260139">
        <w:rPr>
          <w:rFonts w:asciiTheme="minorHAnsi" w:hAnsiTheme="minorHAnsi" w:cstheme="minorBidi"/>
          <w:b/>
          <w:sz w:val="20"/>
          <w:szCs w:val="20"/>
        </w:rPr>
        <w:t>ut of home</w:t>
      </w:r>
    </w:p>
    <w:tbl>
      <w:tblPr>
        <w:tblStyle w:val="TableGrid4"/>
        <w:tblW w:w="9458" w:type="dxa"/>
        <w:tblLayout w:type="fixed"/>
        <w:tblLook w:val="0000" w:firstRow="0" w:lastRow="0" w:firstColumn="0" w:lastColumn="0" w:noHBand="0" w:noVBand="0"/>
      </w:tblPr>
      <w:tblGrid>
        <w:gridCol w:w="4729"/>
        <w:gridCol w:w="4729"/>
      </w:tblGrid>
      <w:tr w:rsidR="00573030" w:rsidRPr="00FD0F9A" w14:paraId="7C6F40A1" w14:textId="77777777" w:rsidTr="00B640FD">
        <w:trPr>
          <w:trHeight w:val="120"/>
        </w:trPr>
        <w:tc>
          <w:tcPr>
            <w:tcW w:w="4729" w:type="dxa"/>
          </w:tcPr>
          <w:p w14:paraId="03EDBBF7"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Inclusions </w:t>
            </w:r>
          </w:p>
        </w:tc>
        <w:tc>
          <w:tcPr>
            <w:tcW w:w="4729" w:type="dxa"/>
          </w:tcPr>
          <w:p w14:paraId="5250AFA5"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Exclusions </w:t>
            </w:r>
          </w:p>
        </w:tc>
      </w:tr>
      <w:tr w:rsidR="00573030" w:rsidRPr="00FD0F9A" w14:paraId="4EF368DA" w14:textId="77777777" w:rsidTr="00B640FD">
        <w:trPr>
          <w:trHeight w:val="2275"/>
        </w:trPr>
        <w:tc>
          <w:tcPr>
            <w:tcW w:w="4729" w:type="dxa"/>
          </w:tcPr>
          <w:p w14:paraId="530F4BB6" w14:textId="77777777" w:rsidR="00912146" w:rsidRPr="00FD0F9A" w:rsidRDefault="00912146" w:rsidP="006774BC">
            <w:pPr>
              <w:pStyle w:val="Default"/>
              <w:spacing w:after="120"/>
              <w:rPr>
                <w:rFonts w:asciiTheme="minorHAnsi" w:hAnsiTheme="minorHAnsi" w:cstheme="minorBidi"/>
                <w:strike/>
                <w:color w:val="auto"/>
                <w:sz w:val="22"/>
                <w:szCs w:val="22"/>
              </w:rPr>
            </w:pPr>
            <w:r w:rsidRPr="00FD0F9A">
              <w:rPr>
                <w:rFonts w:asciiTheme="minorHAnsi" w:hAnsiTheme="minorHAnsi" w:cstheme="minorBidi"/>
                <w:color w:val="auto"/>
                <w:sz w:val="22"/>
                <w:szCs w:val="22"/>
              </w:rPr>
              <w:t xml:space="preserve">Hot potato or sweet potato chips, </w:t>
            </w:r>
            <w:proofErr w:type="gramStart"/>
            <w:r w:rsidRPr="00FD0F9A">
              <w:rPr>
                <w:rFonts w:asciiTheme="minorHAnsi" w:hAnsiTheme="minorHAnsi" w:cstheme="minorBidi"/>
                <w:color w:val="auto"/>
                <w:sz w:val="22"/>
                <w:szCs w:val="22"/>
              </w:rPr>
              <w:t>fries</w:t>
            </w:r>
            <w:proofErr w:type="gramEnd"/>
            <w:r w:rsidRPr="00FD0F9A">
              <w:rPr>
                <w:rFonts w:asciiTheme="minorHAnsi" w:hAnsiTheme="minorHAnsi" w:cstheme="minorBidi"/>
                <w:color w:val="auto"/>
                <w:sz w:val="22"/>
                <w:szCs w:val="22"/>
              </w:rPr>
              <w:t xml:space="preserve"> or wedges with or without added seasonings or fat. </w:t>
            </w:r>
          </w:p>
          <w:p w14:paraId="0CD85C43" w14:textId="71C4C242" w:rsidR="00912146"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Includes chips, fries, shoestring fries and wedges of any flavour or cooking method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oven roast, beer battered, French fries, crinkle cut, straight cut). </w:t>
            </w:r>
          </w:p>
          <w:p w14:paraId="63583354" w14:textId="77777777" w:rsidR="00912146" w:rsidRPr="00FD0F9A" w:rsidRDefault="00912146" w:rsidP="006774BC">
            <w:pPr>
              <w:pStyle w:val="Default"/>
              <w:spacing w:after="120"/>
              <w:rPr>
                <w:rFonts w:asciiTheme="minorHAnsi" w:hAnsiTheme="minorHAnsi" w:cstheme="minorBidi"/>
                <w:strike/>
                <w:color w:val="auto"/>
                <w:sz w:val="22"/>
                <w:szCs w:val="22"/>
              </w:rPr>
            </w:pPr>
            <w:r w:rsidRPr="00FD0F9A">
              <w:rPr>
                <w:rFonts w:asciiTheme="minorHAnsi" w:hAnsiTheme="minorHAnsi" w:cstheme="minorBidi"/>
                <w:color w:val="auto"/>
                <w:sz w:val="22"/>
                <w:szCs w:val="22"/>
              </w:rPr>
              <w:t xml:space="preserve">Products may be prepared from raw ingredients or from pre-cut or pre-coated ingredients, they may require cooking or re-heating on-site. </w:t>
            </w:r>
          </w:p>
          <w:p w14:paraId="69CA3715" w14:textId="77777777" w:rsidR="00912146" w:rsidRPr="00FD0F9A" w:rsidRDefault="00912146" w:rsidP="006774BC">
            <w:pPr>
              <w:pStyle w:val="Default"/>
              <w:spacing w:after="120"/>
              <w:rPr>
                <w:rFonts w:asciiTheme="minorHAnsi" w:hAnsiTheme="minorHAnsi" w:cstheme="minorBidi"/>
                <w:strike/>
                <w:color w:val="auto"/>
                <w:sz w:val="22"/>
                <w:szCs w:val="22"/>
              </w:rPr>
            </w:pPr>
            <w:r w:rsidRPr="00FD0F9A">
              <w:rPr>
                <w:rFonts w:asciiTheme="minorHAnsi" w:hAnsiTheme="minorHAnsi" w:cstheme="minorBidi"/>
                <w:color w:val="auto"/>
                <w:sz w:val="22"/>
                <w:szCs w:val="22"/>
              </w:rPr>
              <w:t xml:space="preserve">May be served with condiments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tomato sauce (ketchup), gravy, spicy sauces. </w:t>
            </w:r>
          </w:p>
          <w:p w14:paraId="388C6131" w14:textId="77777777" w:rsidR="00912146" w:rsidRPr="00FD0F9A" w:rsidRDefault="00912146" w:rsidP="006774BC">
            <w:pPr>
              <w:pStyle w:val="Default"/>
              <w:spacing w:after="120"/>
              <w:rPr>
                <w:rFonts w:asciiTheme="minorHAnsi" w:hAnsiTheme="minorHAnsi" w:cstheme="minorHAnsi"/>
                <w:color w:val="auto"/>
                <w:sz w:val="22"/>
                <w:szCs w:val="22"/>
              </w:rPr>
            </w:pPr>
            <w:r w:rsidRPr="00FD0F9A">
              <w:rPr>
                <w:rFonts w:asciiTheme="minorHAnsi" w:hAnsiTheme="minorHAnsi" w:cstheme="minorHAnsi"/>
                <w:color w:val="auto"/>
                <w:sz w:val="22"/>
                <w:szCs w:val="22"/>
              </w:rPr>
              <w:t xml:space="preserve">May be served alone as a snack or served as a side dish. </w:t>
            </w:r>
          </w:p>
        </w:tc>
        <w:tc>
          <w:tcPr>
            <w:tcW w:w="4729" w:type="dxa"/>
          </w:tcPr>
          <w:p w14:paraId="7C79589C"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Other potato-based snacks such as hash browns, pommes, puffs, balls, noisettes, fritters, </w:t>
            </w:r>
            <w:proofErr w:type="gramStart"/>
            <w:r w:rsidRPr="00FD0F9A">
              <w:rPr>
                <w:rFonts w:asciiTheme="minorHAnsi" w:hAnsiTheme="minorHAnsi" w:cstheme="minorBidi"/>
                <w:color w:val="auto"/>
                <w:sz w:val="22"/>
                <w:szCs w:val="22"/>
              </w:rPr>
              <w:t>gems</w:t>
            </w:r>
            <w:proofErr w:type="gramEnd"/>
            <w:r w:rsidRPr="00FD0F9A">
              <w:rPr>
                <w:rFonts w:asciiTheme="minorHAnsi" w:hAnsiTheme="minorHAnsi" w:cstheme="minorBidi"/>
                <w:color w:val="auto"/>
                <w:sz w:val="22"/>
                <w:szCs w:val="22"/>
              </w:rPr>
              <w:t xml:space="preserve"> or potato cakes. </w:t>
            </w:r>
          </w:p>
          <w:p w14:paraId="5359E3C9" w14:textId="2C68E2AB" w:rsidR="00912146"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Any vegetables other than potato or sweet potato,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corn chips (including nachos), onion rings. </w:t>
            </w:r>
          </w:p>
          <w:p w14:paraId="3A846931"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Potato within meals (such as shepherd’s pie, gnocchi, potato bakes). Mashed potato. </w:t>
            </w:r>
            <w:r w:rsidRPr="00FD0F9A">
              <w:rPr>
                <w:rFonts w:asciiTheme="minorHAnsi" w:eastAsia="Calibri" w:hAnsiTheme="minorHAnsi" w:cstheme="minorBidi"/>
                <w:color w:val="auto"/>
                <w:sz w:val="22"/>
                <w:szCs w:val="22"/>
              </w:rPr>
              <w:t>Potato salad.</w:t>
            </w:r>
            <w:r w:rsidRPr="00FD0F9A">
              <w:rPr>
                <w:rFonts w:eastAsia="Calibri"/>
                <w:color w:val="auto"/>
                <w:sz w:val="22"/>
                <w:szCs w:val="22"/>
              </w:rPr>
              <w:t xml:space="preserve"> </w:t>
            </w:r>
            <w:r w:rsidRPr="00FD0F9A">
              <w:rPr>
                <w:rFonts w:asciiTheme="minorHAnsi" w:hAnsiTheme="minorHAnsi" w:cstheme="minorBidi"/>
                <w:color w:val="auto"/>
                <w:sz w:val="22"/>
                <w:szCs w:val="22"/>
              </w:rPr>
              <w:t xml:space="preserve">Potato-based curries or any other main meals. Potato-based meals with additional food toppings: meat sauces, vegetables/ </w:t>
            </w:r>
            <w:proofErr w:type="gramStart"/>
            <w:r w:rsidRPr="00FD0F9A">
              <w:rPr>
                <w:rFonts w:asciiTheme="minorHAnsi" w:hAnsiTheme="minorHAnsi" w:cstheme="minorBidi"/>
                <w:color w:val="auto"/>
                <w:sz w:val="22"/>
                <w:szCs w:val="22"/>
              </w:rPr>
              <w:t>salsas</w:t>
            </w:r>
            <w:proofErr w:type="gramEnd"/>
            <w:r w:rsidRPr="00FD0F9A">
              <w:rPr>
                <w:rFonts w:asciiTheme="minorHAnsi" w:hAnsiTheme="minorHAnsi" w:cstheme="minorBidi"/>
                <w:color w:val="auto"/>
                <w:sz w:val="22"/>
                <w:szCs w:val="22"/>
              </w:rPr>
              <w:t xml:space="preserve"> or cheese. </w:t>
            </w:r>
          </w:p>
          <w:p w14:paraId="790EFC56"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Other potato-based snacks such as crisps. </w:t>
            </w:r>
          </w:p>
        </w:tc>
      </w:tr>
    </w:tbl>
    <w:p w14:paraId="6B0A458A" w14:textId="77777777" w:rsidR="00912146" w:rsidRDefault="00912146" w:rsidP="00912146"/>
    <w:p w14:paraId="041AB0E1" w14:textId="041D7F3A" w:rsidR="00912146" w:rsidRPr="00AA0B5A" w:rsidRDefault="005C19A4" w:rsidP="0050147F">
      <w:pPr>
        <w:rPr>
          <w:rFonts w:cstheme="minorBidi"/>
          <w:color w:val="007A00"/>
        </w:rPr>
      </w:pPr>
      <w:bookmarkStart w:id="50" w:name="_Ice-cream,_ice-cream_confections"/>
      <w:bookmarkEnd w:id="50"/>
      <w:r>
        <w:rPr>
          <w:rFonts w:cstheme="minorBidi"/>
          <w:color w:val="007A00"/>
        </w:rPr>
        <w:br w:type="column"/>
      </w:r>
      <w:r w:rsidR="00912146" w:rsidRPr="0050147F">
        <w:rPr>
          <w:rFonts w:eastAsiaTheme="majorEastAsia" w:cstheme="minorHAnsi"/>
          <w:b/>
          <w:bCs/>
          <w:i/>
          <w:iCs/>
          <w:color w:val="007A00"/>
          <w:kern w:val="32"/>
          <w:sz w:val="32"/>
          <w:szCs w:val="32"/>
        </w:rPr>
        <w:lastRenderedPageBreak/>
        <w:t>Ice-cream, ice-cream confections and frozen desserts: Retail</w:t>
      </w:r>
      <w:r w:rsidR="00912146" w:rsidRPr="6136B92D">
        <w:rPr>
          <w:rFonts w:cstheme="minorBidi"/>
          <w:color w:val="007A00"/>
        </w:rPr>
        <w:t xml:space="preserve"> </w:t>
      </w:r>
    </w:p>
    <w:p w14:paraId="1DDC65FC" w14:textId="77777777" w:rsidR="006774BC" w:rsidRDefault="006774BC" w:rsidP="00912146">
      <w:pPr>
        <w:pStyle w:val="Default"/>
        <w:rPr>
          <w:rFonts w:asciiTheme="minorHAnsi" w:hAnsiTheme="minorHAnsi" w:cstheme="minorHAnsi"/>
          <w:b/>
          <w:bCs/>
          <w:sz w:val="22"/>
          <w:szCs w:val="22"/>
        </w:rPr>
      </w:pPr>
    </w:p>
    <w:p w14:paraId="0F005107" w14:textId="02CD6D07" w:rsidR="00912146" w:rsidRPr="00FD0F9A" w:rsidRDefault="00912146" w:rsidP="00912146">
      <w:pPr>
        <w:pStyle w:val="Default"/>
        <w:rPr>
          <w:rFonts w:asciiTheme="minorHAnsi" w:hAnsiTheme="minorHAnsi" w:cstheme="minorHAnsi"/>
          <w:b/>
          <w:sz w:val="22"/>
          <w:szCs w:val="22"/>
        </w:rPr>
      </w:pPr>
      <w:r w:rsidRPr="00FD0F9A">
        <w:rPr>
          <w:rFonts w:asciiTheme="minorHAnsi" w:hAnsiTheme="minorHAnsi" w:cstheme="minorHAnsi"/>
          <w:b/>
          <w:bCs/>
          <w:sz w:val="22"/>
          <w:szCs w:val="22"/>
        </w:rPr>
        <w:t xml:space="preserve">Category definition: </w:t>
      </w:r>
    </w:p>
    <w:p w14:paraId="5356A2BE" w14:textId="77777777" w:rsidR="006774BC" w:rsidRDefault="00912146" w:rsidP="77ABD743">
      <w:pPr>
        <w:pStyle w:val="Default"/>
        <w:rPr>
          <w:rFonts w:asciiTheme="minorHAnsi" w:hAnsiTheme="minorHAnsi" w:cstheme="minorBidi"/>
          <w:color w:val="auto"/>
          <w:sz w:val="22"/>
          <w:szCs w:val="22"/>
        </w:rPr>
      </w:pPr>
      <w:r w:rsidRPr="77ABD743">
        <w:rPr>
          <w:rFonts w:asciiTheme="minorHAnsi" w:hAnsiTheme="minorHAnsi" w:cstheme="minorBidi"/>
          <w:color w:val="auto"/>
          <w:sz w:val="22"/>
          <w:szCs w:val="22"/>
        </w:rPr>
        <w:t>Dairy- or dairy-alternative (plant-based) ice-cream and confections and frozen desserts sold in retail settings. Includes shelf-stable products that are intended to be served frozen.</w:t>
      </w:r>
      <w:r w:rsidR="00AF1E3A">
        <w:rPr>
          <w:rFonts w:asciiTheme="minorHAnsi" w:hAnsiTheme="minorHAnsi" w:cstheme="minorBidi"/>
          <w:color w:val="auto"/>
          <w:sz w:val="22"/>
          <w:szCs w:val="22"/>
        </w:rPr>
        <w:t xml:space="preserve"> </w:t>
      </w:r>
    </w:p>
    <w:p w14:paraId="5FDED63B" w14:textId="77777777" w:rsidR="006774BC" w:rsidRDefault="006774BC" w:rsidP="77ABD743">
      <w:pPr>
        <w:pStyle w:val="Default"/>
        <w:rPr>
          <w:rFonts w:asciiTheme="minorHAnsi" w:hAnsiTheme="minorHAnsi" w:cstheme="minorBidi"/>
          <w:color w:val="auto"/>
          <w:sz w:val="22"/>
          <w:szCs w:val="22"/>
        </w:rPr>
      </w:pPr>
    </w:p>
    <w:p w14:paraId="1A31303E" w14:textId="2353E181" w:rsidR="00912146" w:rsidRDefault="00AF1E3A" w:rsidP="77ABD743">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This category is split into two </w:t>
      </w:r>
      <w:proofErr w:type="gramStart"/>
      <w:r>
        <w:rPr>
          <w:rFonts w:asciiTheme="minorHAnsi" w:hAnsiTheme="minorHAnsi" w:cstheme="minorBidi"/>
          <w:color w:val="auto"/>
          <w:sz w:val="22"/>
          <w:szCs w:val="22"/>
        </w:rPr>
        <w:t>sub</w:t>
      </w:r>
      <w:proofErr w:type="gramEnd"/>
      <w:r w:rsidR="00916C86">
        <w:rPr>
          <w:rFonts w:asciiTheme="minorHAnsi" w:hAnsiTheme="minorHAnsi" w:cstheme="minorBidi"/>
          <w:color w:val="auto"/>
          <w:sz w:val="22"/>
          <w:szCs w:val="22"/>
        </w:rPr>
        <w:noBreakHyphen/>
      </w:r>
      <w:r>
        <w:rPr>
          <w:rFonts w:asciiTheme="minorHAnsi" w:hAnsiTheme="minorHAnsi" w:cstheme="minorBidi"/>
          <w:color w:val="auto"/>
          <w:sz w:val="22"/>
          <w:szCs w:val="22"/>
        </w:rPr>
        <w:t>categories</w:t>
      </w:r>
      <w:r w:rsidR="009D6990">
        <w:rPr>
          <w:rFonts w:asciiTheme="minorHAnsi" w:hAnsiTheme="minorHAnsi" w:cstheme="minorBidi"/>
          <w:color w:val="auto"/>
          <w:sz w:val="22"/>
          <w:szCs w:val="22"/>
        </w:rPr>
        <w:t>:</w:t>
      </w:r>
    </w:p>
    <w:p w14:paraId="0A108877" w14:textId="5843C2AA" w:rsidR="009D6990" w:rsidRDefault="009D6990" w:rsidP="77ABD743">
      <w:pPr>
        <w:pStyle w:val="Default"/>
        <w:rPr>
          <w:rFonts w:asciiTheme="minorHAnsi" w:hAnsiTheme="minorHAnsi" w:cstheme="minorBidi"/>
          <w:color w:val="auto"/>
          <w:sz w:val="22"/>
          <w:szCs w:val="22"/>
        </w:rPr>
      </w:pPr>
      <w:r>
        <w:rPr>
          <w:rFonts w:asciiTheme="minorHAnsi" w:hAnsiTheme="minorHAnsi" w:cstheme="minorBidi"/>
          <w:color w:val="auto"/>
          <w:sz w:val="22"/>
          <w:szCs w:val="22"/>
        </w:rPr>
        <w:t>Sticks/single servings: Individually packaged servings, which may include a cone or a stick. Intended to be consumed as a single serving.</w:t>
      </w:r>
    </w:p>
    <w:p w14:paraId="422B515F" w14:textId="3732E000" w:rsidR="009D6990" w:rsidRPr="00FD0F9A" w:rsidRDefault="009D6990" w:rsidP="77ABD743">
      <w:pPr>
        <w:pStyle w:val="Default"/>
        <w:rPr>
          <w:rFonts w:asciiTheme="minorHAnsi" w:hAnsiTheme="minorHAnsi" w:cstheme="minorBidi"/>
          <w:color w:val="auto"/>
          <w:sz w:val="22"/>
          <w:szCs w:val="22"/>
        </w:rPr>
      </w:pPr>
      <w:r>
        <w:rPr>
          <w:rFonts w:asciiTheme="minorHAnsi" w:hAnsiTheme="minorHAnsi" w:cstheme="minorBidi"/>
          <w:color w:val="auto"/>
          <w:sz w:val="22"/>
          <w:szCs w:val="22"/>
        </w:rPr>
        <w:t>Tubs: Tubs contain multiple, unportioned servings in a single package, and are not intended to be consumed as a single serving. Serving size is displayed on the Nutrition Information Panel.</w:t>
      </w:r>
    </w:p>
    <w:p w14:paraId="6C1484ED" w14:textId="77777777" w:rsidR="00912146" w:rsidRPr="000246FD" w:rsidRDefault="00912146" w:rsidP="00912146">
      <w:pPr>
        <w:pStyle w:val="Default"/>
        <w:rPr>
          <w:rFonts w:asciiTheme="minorHAnsi" w:hAnsiTheme="minorHAnsi" w:cstheme="minorHAnsi"/>
          <w:sz w:val="23"/>
          <w:szCs w:val="23"/>
        </w:rPr>
      </w:pPr>
    </w:p>
    <w:p w14:paraId="6A3C6019" w14:textId="77777777" w:rsidR="00912146" w:rsidRPr="000246FD" w:rsidRDefault="00912146" w:rsidP="00912146">
      <w:pPr>
        <w:rPr>
          <w:rFonts w:cstheme="minorBidi"/>
          <w:b/>
          <w:sz w:val="20"/>
          <w:szCs w:val="20"/>
        </w:rPr>
      </w:pPr>
      <w:r w:rsidRPr="68260139">
        <w:rPr>
          <w:rFonts w:cstheme="minorBidi"/>
          <w:b/>
          <w:sz w:val="20"/>
          <w:szCs w:val="20"/>
        </w:rPr>
        <w:t xml:space="preserve">Table </w:t>
      </w:r>
      <w:r w:rsidRPr="68260139">
        <w:rPr>
          <w:rFonts w:cstheme="minorBidi"/>
          <w:b/>
          <w:bCs/>
          <w:sz w:val="20"/>
          <w:szCs w:val="20"/>
        </w:rPr>
        <w:t>1</w:t>
      </w:r>
      <w:r>
        <w:rPr>
          <w:rFonts w:cstheme="minorBidi"/>
          <w:b/>
          <w:bCs/>
          <w:sz w:val="20"/>
          <w:szCs w:val="20"/>
        </w:rPr>
        <w:t>4</w:t>
      </w:r>
      <w:r w:rsidRPr="68260139">
        <w:rPr>
          <w:rFonts w:cstheme="minorBidi"/>
          <w:b/>
          <w:sz w:val="20"/>
          <w:szCs w:val="20"/>
        </w:rPr>
        <w:t xml:space="preserve">: </w:t>
      </w:r>
      <w:r w:rsidRPr="00B069D9">
        <w:rPr>
          <w:rFonts w:cstheme="minorBidi"/>
          <w:b/>
          <w:bCs/>
          <w:sz w:val="20"/>
          <w:szCs w:val="20"/>
        </w:rPr>
        <w:t>Ice</w:t>
      </w:r>
      <w:r w:rsidRPr="68260139">
        <w:rPr>
          <w:rFonts w:cstheme="minorBidi"/>
          <w:b/>
          <w:sz w:val="20"/>
          <w:szCs w:val="20"/>
        </w:rPr>
        <w:t>-cream and ice</w:t>
      </w:r>
      <w:r w:rsidRPr="00FD0F9A">
        <w:rPr>
          <w:rFonts w:cstheme="minorBidi"/>
          <w:b/>
          <w:sz w:val="20"/>
          <w:szCs w:val="20"/>
        </w:rPr>
        <w:t xml:space="preserve">-cream </w:t>
      </w:r>
      <w:r w:rsidRPr="68260139">
        <w:rPr>
          <w:rFonts w:cstheme="minorBidi"/>
          <w:b/>
          <w:sz w:val="20"/>
          <w:szCs w:val="20"/>
        </w:rPr>
        <w:t xml:space="preserve">confections </w:t>
      </w:r>
      <w:r w:rsidRPr="00FD0F9A">
        <w:rPr>
          <w:rFonts w:cstheme="minorBidi"/>
          <w:b/>
          <w:sz w:val="20"/>
          <w:szCs w:val="20"/>
        </w:rPr>
        <w:t>and desserts</w:t>
      </w:r>
      <w:r w:rsidRPr="68260139">
        <w:rPr>
          <w:rFonts w:cstheme="minorBidi"/>
          <w:b/>
          <w:sz w:val="20"/>
          <w:szCs w:val="20"/>
        </w:rPr>
        <w:t xml:space="preserve"> – </w:t>
      </w:r>
      <w:r w:rsidRPr="68260139">
        <w:rPr>
          <w:rFonts w:cstheme="minorBidi"/>
          <w:b/>
          <w:bCs/>
          <w:sz w:val="20"/>
          <w:szCs w:val="20"/>
        </w:rPr>
        <w:t>R</w:t>
      </w:r>
      <w:r w:rsidRPr="68260139">
        <w:rPr>
          <w:rFonts w:cstheme="minorBidi"/>
          <w:b/>
          <w:sz w:val="20"/>
          <w:szCs w:val="20"/>
        </w:rPr>
        <w:t>etail</w:t>
      </w:r>
    </w:p>
    <w:tbl>
      <w:tblPr>
        <w:tblStyle w:val="TableGrid"/>
        <w:tblW w:w="9458" w:type="dxa"/>
        <w:tblLook w:val="04A0" w:firstRow="1" w:lastRow="0" w:firstColumn="1" w:lastColumn="0" w:noHBand="0" w:noVBand="1"/>
      </w:tblPr>
      <w:tblGrid>
        <w:gridCol w:w="4729"/>
        <w:gridCol w:w="4729"/>
      </w:tblGrid>
      <w:tr w:rsidR="00912146" w:rsidRPr="00FD0F9A" w14:paraId="41858B9C" w14:textId="77777777" w:rsidTr="00BD49F2">
        <w:tc>
          <w:tcPr>
            <w:tcW w:w="4729" w:type="dxa"/>
          </w:tcPr>
          <w:p w14:paraId="293F7D6B"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Inclusions </w:t>
            </w:r>
          </w:p>
        </w:tc>
        <w:tc>
          <w:tcPr>
            <w:tcW w:w="4729" w:type="dxa"/>
          </w:tcPr>
          <w:p w14:paraId="03BB3FA7"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Exclusions </w:t>
            </w:r>
          </w:p>
        </w:tc>
      </w:tr>
      <w:tr w:rsidR="00912146" w:rsidRPr="00FD0F9A" w14:paraId="589077EF" w14:textId="77777777" w:rsidTr="00BD49F2">
        <w:tc>
          <w:tcPr>
            <w:tcW w:w="4729" w:type="dxa"/>
          </w:tcPr>
          <w:p w14:paraId="3B49C460" w14:textId="7DC13864"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Ice-cream</w:t>
            </w:r>
            <w:r w:rsidR="009D6990">
              <w:rPr>
                <w:rFonts w:asciiTheme="minorHAnsi" w:hAnsiTheme="minorHAnsi" w:cstheme="minorBidi"/>
                <w:color w:val="auto"/>
                <w:sz w:val="22"/>
                <w:szCs w:val="22"/>
              </w:rPr>
              <w:t>,</w:t>
            </w:r>
            <w:r w:rsidRPr="00FD0F9A">
              <w:rPr>
                <w:rFonts w:asciiTheme="minorHAnsi" w:hAnsiTheme="minorHAnsi" w:cstheme="minorBidi"/>
                <w:color w:val="auto"/>
                <w:sz w:val="22"/>
                <w:szCs w:val="22"/>
              </w:rPr>
              <w:t xml:space="preserve"> ice-cream confections </w:t>
            </w:r>
            <w:r w:rsidR="009D6990">
              <w:rPr>
                <w:rFonts w:asciiTheme="minorHAnsi" w:hAnsiTheme="minorHAnsi" w:cstheme="minorBidi"/>
                <w:color w:val="auto"/>
                <w:sz w:val="22"/>
                <w:szCs w:val="22"/>
              </w:rPr>
              <w:t xml:space="preserve">and frozen desserts </w:t>
            </w:r>
            <w:r w:rsidRPr="00FD0F9A">
              <w:rPr>
                <w:rFonts w:asciiTheme="minorHAnsi" w:hAnsiTheme="minorHAnsi" w:cstheme="minorBidi"/>
                <w:color w:val="auto"/>
                <w:sz w:val="22"/>
                <w:szCs w:val="22"/>
              </w:rPr>
              <w:t>made from dairy (including lactose-free) or dairy alternatives (including but not limited to</w:t>
            </w:r>
            <w:r w:rsidRPr="00FD0F9A" w:rsidDel="768725FF">
              <w:rPr>
                <w:rFonts w:asciiTheme="minorHAnsi" w:hAnsiTheme="minorHAnsi" w:cstheme="minorBidi"/>
                <w:color w:val="auto"/>
                <w:sz w:val="22"/>
                <w:szCs w:val="22"/>
              </w:rPr>
              <w:t xml:space="preserve"> </w:t>
            </w:r>
            <w:r w:rsidRPr="00FD0F9A">
              <w:rPr>
                <w:rFonts w:asciiTheme="minorHAnsi" w:hAnsiTheme="minorHAnsi" w:cstheme="minorBidi"/>
                <w:color w:val="auto"/>
                <w:sz w:val="22"/>
                <w:szCs w:val="22"/>
              </w:rPr>
              <w:t>soy, coconut, tofu or nut-based).</w:t>
            </w:r>
          </w:p>
          <w:p w14:paraId="3E4BE5E0" w14:textId="7ACC543F" w:rsidR="00912146" w:rsidRPr="00FD0F9A" w:rsidRDefault="00912146" w:rsidP="006774BC">
            <w:pPr>
              <w:pStyle w:val="Default"/>
              <w:spacing w:after="120"/>
              <w:rPr>
                <w:rFonts w:asciiTheme="minorHAnsi" w:hAnsiTheme="minorHAnsi" w:cstheme="minorBidi"/>
                <w:color w:val="auto"/>
                <w:sz w:val="22"/>
                <w:szCs w:val="22"/>
              </w:rPr>
            </w:pPr>
            <w:r w:rsidRPr="03C20349">
              <w:rPr>
                <w:rFonts w:asciiTheme="minorHAnsi" w:hAnsiTheme="minorHAnsi" w:cstheme="minorBidi"/>
                <w:color w:val="auto"/>
                <w:sz w:val="22"/>
                <w:szCs w:val="22"/>
              </w:rPr>
              <w:t xml:space="preserve">Includes dairy- or dairy-alternative-based ice-cream, frozen yoghurt, gelato, ice-cream cakes.  </w:t>
            </w:r>
          </w:p>
          <w:p w14:paraId="51BB4D8D" w14:textId="77777777" w:rsidR="00912146"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Includes regular fat, reduced fat, low </w:t>
            </w:r>
            <w:proofErr w:type="gramStart"/>
            <w:r w:rsidRPr="00FD0F9A">
              <w:rPr>
                <w:rFonts w:asciiTheme="minorHAnsi" w:hAnsiTheme="minorHAnsi" w:cstheme="minorBidi"/>
                <w:color w:val="auto"/>
                <w:sz w:val="22"/>
                <w:szCs w:val="22"/>
              </w:rPr>
              <w:t>fat</w:t>
            </w:r>
            <w:proofErr w:type="gramEnd"/>
            <w:r w:rsidRPr="00FD0F9A">
              <w:rPr>
                <w:rFonts w:asciiTheme="minorHAnsi" w:hAnsiTheme="minorHAnsi" w:cstheme="minorBidi"/>
                <w:color w:val="auto"/>
                <w:sz w:val="22"/>
                <w:szCs w:val="22"/>
              </w:rPr>
              <w:t xml:space="preserve"> and sugar-free options. Products may be single-serve, multipacks or in a tub. Products may be any flavour, have toppings or be value-added. Includes shelf-stable products.</w:t>
            </w:r>
          </w:p>
          <w:p w14:paraId="2C227427" w14:textId="7C367F37" w:rsidR="00107862" w:rsidRPr="00FD0F9A" w:rsidRDefault="00107862" w:rsidP="006774BC">
            <w:pPr>
              <w:pStyle w:val="Default"/>
              <w:spacing w:after="120"/>
              <w:rPr>
                <w:rFonts w:asciiTheme="minorHAnsi" w:hAnsiTheme="minorHAnsi" w:cstheme="minorHAnsi"/>
                <w:color w:val="auto"/>
                <w:sz w:val="22"/>
                <w:szCs w:val="22"/>
              </w:rPr>
            </w:pPr>
          </w:p>
        </w:tc>
        <w:tc>
          <w:tcPr>
            <w:tcW w:w="4729" w:type="dxa"/>
          </w:tcPr>
          <w:p w14:paraId="40CECCB8"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Water-based ice-confections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icy poles, ice blocks, sorbet), chilled and refrigerated dairy desserts (e.g. puddings, mousse and custards), frozen mousse, frozen custard, frozen dairy desserts intended to be consumed at room temperature with or without heating (e.g. cheesecake or Bavarian desserts). </w:t>
            </w:r>
          </w:p>
        </w:tc>
      </w:tr>
    </w:tbl>
    <w:p w14:paraId="3956001D" w14:textId="77777777" w:rsidR="00912146" w:rsidRDefault="00912146" w:rsidP="00912146">
      <w:pPr>
        <w:rPr>
          <w:rFonts w:cstheme="minorHAnsi"/>
        </w:rPr>
      </w:pPr>
    </w:p>
    <w:p w14:paraId="114C0C4C" w14:textId="77777777" w:rsidR="00BD49F2" w:rsidRDefault="00BD49F2">
      <w:pPr>
        <w:rPr>
          <w:rFonts w:eastAsiaTheme="majorEastAsia" w:cstheme="minorHAnsi"/>
          <w:b/>
          <w:bCs/>
          <w:i/>
          <w:iCs/>
          <w:color w:val="007A00"/>
          <w:kern w:val="32"/>
          <w:sz w:val="32"/>
          <w:szCs w:val="32"/>
        </w:rPr>
      </w:pPr>
      <w:bookmarkStart w:id="51" w:name="_Pizza:_Out_of"/>
      <w:bookmarkEnd w:id="51"/>
      <w:r>
        <w:rPr>
          <w:rFonts w:eastAsiaTheme="majorEastAsia" w:cstheme="minorHAnsi"/>
          <w:b/>
          <w:bCs/>
          <w:i/>
          <w:iCs/>
          <w:color w:val="007A00"/>
          <w:kern w:val="32"/>
          <w:sz w:val="32"/>
          <w:szCs w:val="32"/>
        </w:rPr>
        <w:br w:type="page"/>
      </w:r>
    </w:p>
    <w:p w14:paraId="334F2EC7" w14:textId="461E3E62" w:rsidR="00912146" w:rsidRPr="0050147F" w:rsidRDefault="00912146" w:rsidP="0050147F">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 xml:space="preserve">Pizza: Out of home </w:t>
      </w:r>
    </w:p>
    <w:p w14:paraId="31DEB7C4" w14:textId="77777777" w:rsidR="006774BC" w:rsidRDefault="006774BC" w:rsidP="00912146">
      <w:pPr>
        <w:pStyle w:val="Default"/>
        <w:rPr>
          <w:rFonts w:asciiTheme="minorHAnsi" w:hAnsiTheme="minorHAnsi" w:cstheme="minorHAnsi"/>
          <w:b/>
          <w:bCs/>
          <w:sz w:val="22"/>
          <w:szCs w:val="22"/>
        </w:rPr>
      </w:pPr>
    </w:p>
    <w:p w14:paraId="7FC264C0" w14:textId="6C130CCB" w:rsidR="00912146" w:rsidRPr="00FD0F9A" w:rsidRDefault="00912146" w:rsidP="00912146">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Category definition: </w:t>
      </w:r>
    </w:p>
    <w:p w14:paraId="5FA01F7F" w14:textId="77777777" w:rsidR="00912146" w:rsidRPr="00FD0F9A" w:rsidRDefault="00912146" w:rsidP="00912146">
      <w:pPr>
        <w:pStyle w:val="Default"/>
        <w:spacing w:after="240"/>
        <w:rPr>
          <w:rFonts w:eastAsia="Calibri"/>
          <w:color w:val="000000" w:themeColor="text1"/>
          <w:sz w:val="22"/>
          <w:szCs w:val="22"/>
        </w:rPr>
      </w:pPr>
      <w:r w:rsidRPr="00FD0F9A">
        <w:rPr>
          <w:rFonts w:asciiTheme="minorHAnsi" w:hAnsiTheme="minorHAnsi" w:cstheme="minorBidi"/>
          <w:sz w:val="22"/>
          <w:szCs w:val="22"/>
        </w:rPr>
        <w:t>Pizza base with toppings (</w:t>
      </w:r>
      <w:proofErr w:type="gramStart"/>
      <w:r w:rsidRPr="00FD0F9A">
        <w:rPr>
          <w:rFonts w:asciiTheme="minorHAnsi" w:hAnsiTheme="minorHAnsi" w:cstheme="minorBidi"/>
          <w:sz w:val="22"/>
          <w:szCs w:val="22"/>
        </w:rPr>
        <w:t>e.g.</w:t>
      </w:r>
      <w:proofErr w:type="gramEnd"/>
      <w:r w:rsidRPr="00FD0F9A">
        <w:rPr>
          <w:rFonts w:asciiTheme="minorHAnsi" w:hAnsiTheme="minorHAnsi" w:cstheme="minorBidi"/>
          <w:sz w:val="22"/>
          <w:szCs w:val="22"/>
        </w:rPr>
        <w:t xml:space="preserve"> vegetable, cheese, meat, fish or alternatives) sold in the out of home sector. </w:t>
      </w:r>
    </w:p>
    <w:p w14:paraId="1CE52DD2" w14:textId="77777777" w:rsidR="00912146" w:rsidRPr="000246FD" w:rsidRDefault="00912146" w:rsidP="00912146">
      <w:pPr>
        <w:pStyle w:val="Default"/>
        <w:rPr>
          <w:rFonts w:asciiTheme="minorHAnsi" w:hAnsiTheme="minorHAnsi" w:cstheme="minorBidi"/>
          <w:sz w:val="23"/>
          <w:szCs w:val="23"/>
        </w:rPr>
      </w:pPr>
      <w:r w:rsidRPr="68260139">
        <w:rPr>
          <w:rFonts w:asciiTheme="minorHAnsi" w:hAnsiTheme="minorHAnsi" w:cstheme="minorBidi"/>
          <w:b/>
          <w:sz w:val="20"/>
          <w:szCs w:val="20"/>
        </w:rPr>
        <w:t xml:space="preserve">Table </w:t>
      </w:r>
      <w:r w:rsidRPr="68260139">
        <w:rPr>
          <w:rFonts w:asciiTheme="minorHAnsi" w:hAnsiTheme="minorHAnsi" w:cstheme="minorBidi"/>
          <w:b/>
          <w:bCs/>
          <w:sz w:val="20"/>
          <w:szCs w:val="20"/>
        </w:rPr>
        <w:t>1</w:t>
      </w:r>
      <w:r>
        <w:rPr>
          <w:rFonts w:asciiTheme="minorHAnsi" w:hAnsiTheme="minorHAnsi" w:cstheme="minorBidi"/>
          <w:b/>
          <w:bCs/>
          <w:sz w:val="20"/>
          <w:szCs w:val="20"/>
        </w:rPr>
        <w:t>5</w:t>
      </w:r>
      <w:r w:rsidRPr="68260139">
        <w:rPr>
          <w:rFonts w:asciiTheme="minorHAnsi" w:hAnsiTheme="minorHAnsi" w:cstheme="minorBidi"/>
          <w:b/>
          <w:sz w:val="20"/>
          <w:szCs w:val="20"/>
        </w:rPr>
        <w:t xml:space="preserve">: Pizza - </w:t>
      </w:r>
      <w:r>
        <w:rPr>
          <w:rFonts w:asciiTheme="minorHAnsi" w:hAnsiTheme="minorHAnsi" w:cstheme="minorBidi"/>
          <w:b/>
          <w:sz w:val="20"/>
          <w:szCs w:val="20"/>
        </w:rPr>
        <w:t>O</w:t>
      </w:r>
      <w:r w:rsidRPr="68260139">
        <w:rPr>
          <w:rFonts w:asciiTheme="minorHAnsi" w:hAnsiTheme="minorHAnsi" w:cstheme="minorBidi"/>
          <w:b/>
          <w:sz w:val="20"/>
          <w:szCs w:val="20"/>
        </w:rPr>
        <w:t>ut of home</w:t>
      </w:r>
    </w:p>
    <w:tbl>
      <w:tblPr>
        <w:tblStyle w:val="TableGrid4"/>
        <w:tblW w:w="9458" w:type="dxa"/>
        <w:tblLayout w:type="fixed"/>
        <w:tblLook w:val="0000" w:firstRow="0" w:lastRow="0" w:firstColumn="0" w:lastColumn="0" w:noHBand="0" w:noVBand="0"/>
      </w:tblPr>
      <w:tblGrid>
        <w:gridCol w:w="4729"/>
        <w:gridCol w:w="4729"/>
      </w:tblGrid>
      <w:tr w:rsidR="00573030" w:rsidRPr="00FD0F9A" w14:paraId="22C53C69" w14:textId="77777777" w:rsidTr="00B640FD">
        <w:trPr>
          <w:trHeight w:val="120"/>
        </w:trPr>
        <w:tc>
          <w:tcPr>
            <w:tcW w:w="4729" w:type="dxa"/>
          </w:tcPr>
          <w:p w14:paraId="1F1B8D3C"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Inclusions </w:t>
            </w:r>
          </w:p>
        </w:tc>
        <w:tc>
          <w:tcPr>
            <w:tcW w:w="4729" w:type="dxa"/>
          </w:tcPr>
          <w:p w14:paraId="7F05F642"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Exclusions </w:t>
            </w:r>
          </w:p>
        </w:tc>
      </w:tr>
      <w:tr w:rsidR="00573030" w:rsidRPr="00FD0F9A" w14:paraId="7EBB18CB" w14:textId="77777777" w:rsidTr="00B640FD">
        <w:trPr>
          <w:trHeight w:val="3402"/>
        </w:trPr>
        <w:tc>
          <w:tcPr>
            <w:tcW w:w="4729" w:type="dxa"/>
          </w:tcPr>
          <w:p w14:paraId="03AB5A7F"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Pizzas, </w:t>
            </w:r>
            <w:proofErr w:type="gramStart"/>
            <w:r w:rsidRPr="00FD0F9A">
              <w:rPr>
                <w:rFonts w:asciiTheme="minorHAnsi" w:hAnsiTheme="minorHAnsi" w:cstheme="minorBidi"/>
                <w:color w:val="auto"/>
                <w:sz w:val="22"/>
                <w:szCs w:val="22"/>
              </w:rPr>
              <w:t>calzones</w:t>
            </w:r>
            <w:proofErr w:type="gramEnd"/>
            <w:r w:rsidRPr="00FD0F9A">
              <w:rPr>
                <w:rFonts w:asciiTheme="minorHAnsi" w:hAnsiTheme="minorHAnsi" w:cstheme="minorBidi"/>
                <w:color w:val="auto"/>
                <w:sz w:val="22"/>
                <w:szCs w:val="22"/>
              </w:rPr>
              <w:t xml:space="preserve"> and pizza pockets. </w:t>
            </w:r>
          </w:p>
          <w:p w14:paraId="323E2AAB"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May have a traditional pizza dough base (thin or thick crust) or be a bread or pita base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bakery-style pizzas or Turkish </w:t>
            </w:r>
            <w:proofErr w:type="spellStart"/>
            <w:r w:rsidRPr="00FD0F9A">
              <w:rPr>
                <w:rFonts w:asciiTheme="minorHAnsi" w:hAnsiTheme="minorHAnsi" w:cstheme="minorBidi"/>
                <w:color w:val="auto"/>
                <w:sz w:val="22"/>
                <w:szCs w:val="22"/>
              </w:rPr>
              <w:t>Pide</w:t>
            </w:r>
            <w:proofErr w:type="spellEnd"/>
            <w:r w:rsidRPr="00FD0F9A">
              <w:rPr>
                <w:rFonts w:asciiTheme="minorHAnsi" w:hAnsiTheme="minorHAnsi" w:cstheme="minorBidi"/>
                <w:color w:val="auto"/>
                <w:sz w:val="22"/>
                <w:szCs w:val="22"/>
              </w:rPr>
              <w:t xml:space="preserve">). </w:t>
            </w:r>
          </w:p>
          <w:p w14:paraId="5A579088"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May have any savoury topping: fresh or processed meats, eggs, vegetables, seafood, plant-based alternatives, any sauces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garlic, oil, tomato-based, mayonnaise), with or without cheese. </w:t>
            </w:r>
          </w:p>
          <w:p w14:paraId="6AFD4A68"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Product may be sourced pre-prepared or cooked fresh. </w:t>
            </w:r>
          </w:p>
          <w:p w14:paraId="67D52012"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May be made from pre-prepared ingredients (such as pre-prepared pizza bases or pre-sliced toppings) or may be made from raw ingredients on-site.</w:t>
            </w:r>
          </w:p>
          <w:p w14:paraId="7F14A4AC"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Includes products sourced as chilled or frozen varieties and then heated. </w:t>
            </w:r>
          </w:p>
          <w:p w14:paraId="1903EE08"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May be baked, reheated, </w:t>
            </w:r>
            <w:proofErr w:type="gramStart"/>
            <w:r w:rsidRPr="00FD0F9A">
              <w:rPr>
                <w:rFonts w:asciiTheme="minorHAnsi" w:hAnsiTheme="minorHAnsi" w:cstheme="minorBidi"/>
                <w:color w:val="auto"/>
                <w:sz w:val="22"/>
                <w:szCs w:val="22"/>
              </w:rPr>
              <w:t>grilled</w:t>
            </w:r>
            <w:proofErr w:type="gramEnd"/>
            <w:r w:rsidRPr="00FD0F9A">
              <w:rPr>
                <w:rFonts w:asciiTheme="minorHAnsi" w:hAnsiTheme="minorHAnsi" w:cstheme="minorBidi"/>
                <w:color w:val="auto"/>
                <w:sz w:val="22"/>
                <w:szCs w:val="22"/>
              </w:rPr>
              <w:t xml:space="preserve"> or deep fried. </w:t>
            </w:r>
          </w:p>
          <w:p w14:paraId="207BDAB6" w14:textId="77777777" w:rsidR="00912146" w:rsidRPr="00FD0F9A" w:rsidRDefault="00912146" w:rsidP="006774BC">
            <w:pPr>
              <w:pStyle w:val="Default"/>
              <w:spacing w:after="120"/>
              <w:rPr>
                <w:rFonts w:asciiTheme="minorHAnsi" w:hAnsiTheme="minorHAnsi" w:cstheme="minorHAnsi"/>
                <w:color w:val="auto"/>
                <w:sz w:val="22"/>
                <w:szCs w:val="22"/>
              </w:rPr>
            </w:pPr>
            <w:r w:rsidRPr="00FD0F9A">
              <w:rPr>
                <w:rFonts w:asciiTheme="minorHAnsi" w:hAnsiTheme="minorHAnsi" w:cstheme="minorHAnsi"/>
                <w:color w:val="auto"/>
                <w:sz w:val="22"/>
                <w:szCs w:val="22"/>
              </w:rPr>
              <w:t xml:space="preserve">Can be sold whole as a main meal, or as individual slices. </w:t>
            </w:r>
          </w:p>
        </w:tc>
        <w:tc>
          <w:tcPr>
            <w:tcW w:w="4729" w:type="dxa"/>
          </w:tcPr>
          <w:p w14:paraId="4A822B11"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Pastry-based dishes, dessert pizzas (sweet-flavoured pizzas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apple and ice-cream, berry and chocolate), pizza toppings (only), pizza-flavoured pastries, biscuits, scrolls, or other foods. </w:t>
            </w:r>
          </w:p>
        </w:tc>
      </w:tr>
    </w:tbl>
    <w:p w14:paraId="6AB319FB" w14:textId="77777777" w:rsidR="00912146" w:rsidRDefault="00912146" w:rsidP="00912146"/>
    <w:p w14:paraId="4BDF66C9" w14:textId="77777777" w:rsidR="005C19A4" w:rsidRDefault="005C19A4">
      <w:pPr>
        <w:rPr>
          <w:rFonts w:eastAsiaTheme="majorEastAsia" w:cstheme="minorBidi"/>
          <w:b/>
          <w:bCs/>
          <w:i/>
          <w:iCs/>
          <w:color w:val="007A00"/>
          <w:sz w:val="28"/>
          <w:szCs w:val="28"/>
        </w:rPr>
      </w:pPr>
      <w:bookmarkStart w:id="52" w:name="_Savoury_pastry_products"/>
      <w:bookmarkEnd w:id="52"/>
      <w:r>
        <w:rPr>
          <w:rFonts w:cstheme="minorBidi"/>
          <w:color w:val="007A00"/>
        </w:rPr>
        <w:br w:type="page"/>
      </w:r>
    </w:p>
    <w:p w14:paraId="34B4BA31" w14:textId="77777777" w:rsidR="00BD49F2" w:rsidRDefault="00912146" w:rsidP="00912146">
      <w:pPr>
        <w:pStyle w:val="Default"/>
        <w:rPr>
          <w:rFonts w:asciiTheme="minorHAnsi" w:eastAsiaTheme="majorEastAsia" w:hAnsiTheme="minorHAnsi" w:cstheme="minorHAnsi"/>
          <w:b/>
          <w:bCs/>
          <w:i/>
          <w:iCs/>
          <w:color w:val="007A00"/>
          <w:kern w:val="32"/>
          <w:sz w:val="32"/>
          <w:szCs w:val="32"/>
        </w:rPr>
      </w:pPr>
      <w:r w:rsidRPr="0050147F">
        <w:rPr>
          <w:rFonts w:asciiTheme="minorHAnsi" w:eastAsiaTheme="majorEastAsia" w:hAnsiTheme="minorHAnsi" w:cstheme="minorHAnsi"/>
          <w:b/>
          <w:bCs/>
          <w:i/>
          <w:iCs/>
          <w:color w:val="007A00"/>
          <w:kern w:val="32"/>
          <w:sz w:val="32"/>
          <w:szCs w:val="32"/>
        </w:rPr>
        <w:lastRenderedPageBreak/>
        <w:t xml:space="preserve">Savoury pastry products - pies, </w:t>
      </w:r>
      <w:proofErr w:type="gramStart"/>
      <w:r w:rsidRPr="0050147F">
        <w:rPr>
          <w:rFonts w:asciiTheme="minorHAnsi" w:eastAsiaTheme="majorEastAsia" w:hAnsiTheme="minorHAnsi" w:cstheme="minorHAnsi"/>
          <w:b/>
          <w:bCs/>
          <w:i/>
          <w:iCs/>
          <w:color w:val="007A00"/>
          <w:kern w:val="32"/>
          <w:sz w:val="32"/>
          <w:szCs w:val="32"/>
        </w:rPr>
        <w:t>rolls</w:t>
      </w:r>
      <w:proofErr w:type="gramEnd"/>
      <w:r w:rsidRPr="0050147F">
        <w:rPr>
          <w:rFonts w:asciiTheme="minorHAnsi" w:eastAsiaTheme="majorEastAsia" w:hAnsiTheme="minorHAnsi" w:cstheme="minorHAnsi"/>
          <w:b/>
          <w:bCs/>
          <w:i/>
          <w:iCs/>
          <w:color w:val="007A00"/>
          <w:kern w:val="32"/>
          <w:sz w:val="32"/>
          <w:szCs w:val="32"/>
        </w:rPr>
        <w:t xml:space="preserve"> and filled pastries: Retail and Out of Home</w:t>
      </w:r>
    </w:p>
    <w:p w14:paraId="6AB99196" w14:textId="77777777" w:rsidR="006774BC" w:rsidRDefault="006774BC" w:rsidP="00912146">
      <w:pPr>
        <w:pStyle w:val="Default"/>
        <w:rPr>
          <w:rFonts w:asciiTheme="minorHAnsi" w:hAnsiTheme="minorHAnsi" w:cstheme="minorHAnsi"/>
          <w:b/>
          <w:bCs/>
          <w:color w:val="auto"/>
          <w:sz w:val="22"/>
          <w:szCs w:val="22"/>
        </w:rPr>
      </w:pPr>
    </w:p>
    <w:p w14:paraId="24C3E9F4" w14:textId="43B7515F" w:rsidR="00912146" w:rsidRPr="00FD0F9A" w:rsidRDefault="00912146" w:rsidP="00912146">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definition: </w:t>
      </w:r>
    </w:p>
    <w:p w14:paraId="0AF2F050" w14:textId="77777777" w:rsidR="00912146" w:rsidRPr="00FD0F9A" w:rsidRDefault="00912146" w:rsidP="00912146">
      <w:pPr>
        <w:pStyle w:val="Default"/>
        <w:spacing w:after="240"/>
        <w:rPr>
          <w:rFonts w:eastAsia="Calibri"/>
          <w:strike/>
          <w:color w:val="auto"/>
          <w:sz w:val="22"/>
          <w:szCs w:val="22"/>
        </w:rPr>
      </w:pPr>
      <w:r w:rsidRPr="00FD0F9A">
        <w:rPr>
          <w:rFonts w:asciiTheme="minorHAnsi" w:hAnsiTheme="minorHAnsi" w:cstheme="minorBidi"/>
          <w:color w:val="auto"/>
          <w:sz w:val="22"/>
          <w:szCs w:val="22"/>
        </w:rPr>
        <w:t xml:space="preserve">Any savoury filling encased in a pastry and sold in the out of home and retail sectors. </w:t>
      </w:r>
      <w:r w:rsidRPr="00FD0F9A">
        <w:rPr>
          <w:rFonts w:asciiTheme="minorHAnsi" w:hAnsiTheme="minorHAnsi" w:cstheme="minorHAnsi"/>
          <w:color w:val="auto"/>
          <w:sz w:val="22"/>
          <w:szCs w:val="22"/>
        </w:rPr>
        <w:t>Includes open top products</w:t>
      </w:r>
      <w:r w:rsidRPr="00FD0F9A">
        <w:rPr>
          <w:rFonts w:asciiTheme="minorHAnsi" w:hAnsiTheme="minorHAnsi" w:cstheme="minorBidi"/>
          <w:color w:val="auto"/>
          <w:sz w:val="22"/>
          <w:szCs w:val="22"/>
        </w:rPr>
        <w:t>.</w:t>
      </w:r>
    </w:p>
    <w:p w14:paraId="24F9E928" w14:textId="77777777" w:rsidR="00912146" w:rsidRPr="000246FD" w:rsidRDefault="00912146" w:rsidP="00912146">
      <w:pPr>
        <w:pStyle w:val="Default"/>
        <w:rPr>
          <w:rFonts w:asciiTheme="minorHAnsi" w:hAnsiTheme="minorHAnsi" w:cstheme="minorBidi"/>
          <w:sz w:val="23"/>
          <w:szCs w:val="23"/>
        </w:rPr>
      </w:pPr>
      <w:r w:rsidRPr="68260139">
        <w:rPr>
          <w:rFonts w:asciiTheme="minorHAnsi" w:hAnsiTheme="minorHAnsi" w:cstheme="minorBidi"/>
          <w:b/>
          <w:sz w:val="20"/>
          <w:szCs w:val="20"/>
        </w:rPr>
        <w:t xml:space="preserve">Table </w:t>
      </w:r>
      <w:r w:rsidRPr="68260139">
        <w:rPr>
          <w:rFonts w:asciiTheme="minorHAnsi" w:hAnsiTheme="minorHAnsi" w:cstheme="minorBidi"/>
          <w:b/>
          <w:bCs/>
          <w:sz w:val="20"/>
          <w:szCs w:val="20"/>
        </w:rPr>
        <w:t>1</w:t>
      </w:r>
      <w:r>
        <w:rPr>
          <w:rFonts w:asciiTheme="minorHAnsi" w:hAnsiTheme="minorHAnsi" w:cstheme="minorBidi"/>
          <w:b/>
          <w:bCs/>
          <w:sz w:val="20"/>
          <w:szCs w:val="20"/>
        </w:rPr>
        <w:t>6</w:t>
      </w:r>
      <w:r w:rsidRPr="68260139">
        <w:rPr>
          <w:rFonts w:asciiTheme="minorHAnsi" w:hAnsiTheme="minorHAnsi" w:cstheme="minorBidi"/>
          <w:b/>
          <w:sz w:val="20"/>
          <w:szCs w:val="20"/>
        </w:rPr>
        <w:t xml:space="preserve">: Savoury pastries – </w:t>
      </w:r>
      <w:r w:rsidRPr="68260139">
        <w:rPr>
          <w:rFonts w:asciiTheme="minorHAnsi" w:hAnsiTheme="minorHAnsi" w:cstheme="minorBidi"/>
          <w:b/>
          <w:bCs/>
          <w:sz w:val="20"/>
          <w:szCs w:val="20"/>
        </w:rPr>
        <w:t>O</w:t>
      </w:r>
      <w:r w:rsidRPr="68260139">
        <w:rPr>
          <w:rFonts w:asciiTheme="minorHAnsi" w:hAnsiTheme="minorHAnsi" w:cstheme="minorBidi"/>
          <w:b/>
          <w:sz w:val="20"/>
          <w:szCs w:val="20"/>
        </w:rPr>
        <w:t>ut of home</w:t>
      </w:r>
      <w:r w:rsidRPr="68260139">
        <w:rPr>
          <w:rFonts w:asciiTheme="minorHAnsi" w:hAnsiTheme="minorHAnsi" w:cstheme="minorBidi"/>
          <w:b/>
          <w:bCs/>
          <w:sz w:val="20"/>
          <w:szCs w:val="20"/>
        </w:rPr>
        <w:t xml:space="preserve"> and Retail</w:t>
      </w:r>
    </w:p>
    <w:tbl>
      <w:tblPr>
        <w:tblStyle w:val="TableGrid4"/>
        <w:tblW w:w="9458" w:type="dxa"/>
        <w:tblLayout w:type="fixed"/>
        <w:tblLook w:val="0000" w:firstRow="0" w:lastRow="0" w:firstColumn="0" w:lastColumn="0" w:noHBand="0" w:noVBand="0"/>
      </w:tblPr>
      <w:tblGrid>
        <w:gridCol w:w="4729"/>
        <w:gridCol w:w="4729"/>
      </w:tblGrid>
      <w:tr w:rsidR="00573030" w:rsidRPr="00FD0F9A" w14:paraId="4B80759D" w14:textId="77777777" w:rsidTr="00B640FD">
        <w:trPr>
          <w:trHeight w:val="120"/>
        </w:trPr>
        <w:tc>
          <w:tcPr>
            <w:tcW w:w="4729" w:type="dxa"/>
          </w:tcPr>
          <w:p w14:paraId="227270EF"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Inclusions </w:t>
            </w:r>
          </w:p>
        </w:tc>
        <w:tc>
          <w:tcPr>
            <w:tcW w:w="4729" w:type="dxa"/>
          </w:tcPr>
          <w:p w14:paraId="1B634CA7"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Sub-category Exclusions </w:t>
            </w:r>
          </w:p>
        </w:tc>
      </w:tr>
      <w:tr w:rsidR="00573030" w:rsidRPr="00FD0F9A" w14:paraId="69010A2F" w14:textId="77777777" w:rsidTr="00B640FD">
        <w:trPr>
          <w:trHeight w:val="2436"/>
        </w:trPr>
        <w:tc>
          <w:tcPr>
            <w:tcW w:w="4729" w:type="dxa"/>
          </w:tcPr>
          <w:p w14:paraId="1A2CE4CD"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Meat or vegetarian pies (in a gravy or sauce base, all flavours). </w:t>
            </w:r>
            <w:proofErr w:type="gramStart"/>
            <w:r w:rsidRPr="00FD0F9A">
              <w:rPr>
                <w:rFonts w:asciiTheme="minorHAnsi" w:hAnsiTheme="minorHAnsi" w:cstheme="minorBidi"/>
                <w:color w:val="auto"/>
                <w:sz w:val="22"/>
                <w:szCs w:val="22"/>
              </w:rPr>
              <w:t>Quiches,</w:t>
            </w:r>
            <w:proofErr w:type="gramEnd"/>
            <w:r w:rsidRPr="00FD0F9A">
              <w:rPr>
                <w:rFonts w:asciiTheme="minorHAnsi" w:hAnsiTheme="minorHAnsi" w:cstheme="minorBidi"/>
                <w:color w:val="auto"/>
                <w:sz w:val="22"/>
                <w:szCs w:val="22"/>
              </w:rPr>
              <w:t xml:space="preserve"> filled vol-au-vents, </w:t>
            </w:r>
            <w:proofErr w:type="spellStart"/>
            <w:r w:rsidRPr="00FD0F9A">
              <w:rPr>
                <w:rFonts w:asciiTheme="minorHAnsi" w:hAnsiTheme="minorHAnsi" w:cstheme="minorBidi"/>
                <w:color w:val="auto"/>
                <w:sz w:val="22"/>
                <w:szCs w:val="22"/>
              </w:rPr>
              <w:t>pastizzi</w:t>
            </w:r>
            <w:proofErr w:type="spellEnd"/>
            <w:r w:rsidRPr="00FD0F9A">
              <w:rPr>
                <w:rFonts w:asciiTheme="minorHAnsi" w:hAnsiTheme="minorHAnsi" w:cstheme="minorBidi"/>
                <w:color w:val="auto"/>
                <w:sz w:val="22"/>
                <w:szCs w:val="22"/>
              </w:rPr>
              <w:t xml:space="preserve"> and samosas. Includes open top products. </w:t>
            </w:r>
          </w:p>
          <w:p w14:paraId="38AE677C" w14:textId="05BB92C3" w:rsidR="00912146" w:rsidRPr="00FD0F9A" w:rsidRDefault="00912146" w:rsidP="006774BC">
            <w:pPr>
              <w:pStyle w:val="Default"/>
              <w:spacing w:after="120"/>
              <w:rPr>
                <w:rFonts w:asciiTheme="minorHAnsi" w:hAnsiTheme="minorHAnsi" w:cstheme="minorBidi"/>
                <w:color w:val="auto"/>
                <w:sz w:val="22"/>
                <w:szCs w:val="22"/>
              </w:rPr>
            </w:pPr>
            <w:r w:rsidRPr="4F4A73DF">
              <w:rPr>
                <w:rFonts w:asciiTheme="minorHAnsi" w:hAnsiTheme="minorHAnsi" w:cstheme="minorBidi"/>
                <w:color w:val="auto"/>
                <w:sz w:val="22"/>
                <w:szCs w:val="22"/>
              </w:rPr>
              <w:t>Sausage rolls, meat or vegetable pasties, savoury pastries/rolls (</w:t>
            </w:r>
            <w:proofErr w:type="gramStart"/>
            <w:r w:rsidRPr="4F4A73DF">
              <w:rPr>
                <w:rFonts w:asciiTheme="minorHAnsi" w:hAnsiTheme="minorHAnsi" w:cstheme="minorBidi"/>
                <w:color w:val="auto"/>
                <w:sz w:val="22"/>
                <w:szCs w:val="22"/>
              </w:rPr>
              <w:t>e.g.</w:t>
            </w:r>
            <w:proofErr w:type="gramEnd"/>
            <w:r w:rsidRPr="4F4A73DF">
              <w:rPr>
                <w:rFonts w:asciiTheme="minorHAnsi" w:hAnsiTheme="minorHAnsi" w:cstheme="minorBidi"/>
                <w:color w:val="auto"/>
                <w:sz w:val="22"/>
                <w:szCs w:val="22"/>
              </w:rPr>
              <w:t xml:space="preserve"> chicken </w:t>
            </w:r>
            <w:r w:rsidR="388C0897" w:rsidRPr="4F4A73DF">
              <w:rPr>
                <w:rFonts w:asciiTheme="minorHAnsi" w:hAnsiTheme="minorHAnsi" w:cstheme="minorBidi"/>
                <w:color w:val="auto"/>
                <w:sz w:val="22"/>
                <w:szCs w:val="22"/>
              </w:rPr>
              <w:t>and</w:t>
            </w:r>
            <w:r w:rsidRPr="4F4A73DF">
              <w:rPr>
                <w:rFonts w:asciiTheme="minorHAnsi" w:hAnsiTheme="minorHAnsi" w:cstheme="minorBidi"/>
                <w:color w:val="auto"/>
                <w:sz w:val="22"/>
                <w:szCs w:val="22"/>
              </w:rPr>
              <w:t xml:space="preserve"> vegetable, spinach and cheese, ham </w:t>
            </w:r>
            <w:r w:rsidR="388C0897" w:rsidRPr="4F4A73DF">
              <w:rPr>
                <w:rFonts w:asciiTheme="minorHAnsi" w:hAnsiTheme="minorHAnsi" w:cstheme="minorBidi"/>
                <w:color w:val="auto"/>
                <w:sz w:val="22"/>
                <w:szCs w:val="22"/>
              </w:rPr>
              <w:t>and</w:t>
            </w:r>
            <w:r w:rsidRPr="4F4A73DF">
              <w:rPr>
                <w:rFonts w:asciiTheme="minorHAnsi" w:hAnsiTheme="minorHAnsi" w:cstheme="minorBidi"/>
                <w:color w:val="auto"/>
                <w:sz w:val="22"/>
                <w:szCs w:val="22"/>
              </w:rPr>
              <w:t xml:space="preserve"> cheese), single-serve and party variety pasties and sausage rolls or vegetarian sausage rolls. </w:t>
            </w:r>
          </w:p>
          <w:p w14:paraId="3C5AA5F7"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Product may be frozen, pre-prepared and cooked/ reheated or baked fresh. </w:t>
            </w:r>
          </w:p>
          <w:p w14:paraId="7C9DC2BA"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May be made from any type of pastry,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puff, shortcrust, filo. Includes gluten-free varieties.</w:t>
            </w:r>
          </w:p>
          <w:p w14:paraId="18B62CC9"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May be sold as an individual serve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individually sold pie, pasty or sausage rolls) or a slice from a product such as a quiche. </w:t>
            </w:r>
          </w:p>
          <w:p w14:paraId="0F41C598"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Also includes party-pies and sausage rolls for which one serve would comprise multiple mini sausage rolls or mini pies, and larger versions intended to be portioned. </w:t>
            </w:r>
          </w:p>
        </w:tc>
        <w:tc>
          <w:tcPr>
            <w:tcW w:w="4729" w:type="dxa"/>
          </w:tcPr>
          <w:p w14:paraId="69461EF3" w14:textId="77777777" w:rsidR="00912146" w:rsidRPr="00FD0F9A" w:rsidRDefault="00912146" w:rsidP="006774BC">
            <w:pPr>
              <w:pStyle w:val="Default"/>
              <w:spacing w:after="120"/>
              <w:rPr>
                <w:rFonts w:eastAsia="Calibri"/>
                <w:color w:val="auto"/>
                <w:sz w:val="22"/>
                <w:szCs w:val="22"/>
              </w:rPr>
            </w:pPr>
            <w:r w:rsidRPr="00FD0F9A">
              <w:rPr>
                <w:rFonts w:asciiTheme="minorHAnsi" w:hAnsiTheme="minorHAnsi" w:cstheme="minorBidi"/>
                <w:color w:val="auto"/>
                <w:sz w:val="22"/>
                <w:szCs w:val="22"/>
              </w:rPr>
              <w:t xml:space="preserve">Frittatas, pizzas, hot dogs, croissants, sweet pastries, dumplings, wontons, spring rolls, </w:t>
            </w:r>
            <w:proofErr w:type="spellStart"/>
            <w:r w:rsidRPr="00FD0F9A">
              <w:rPr>
                <w:rFonts w:asciiTheme="minorHAnsi" w:hAnsiTheme="minorHAnsi" w:cstheme="minorBidi"/>
                <w:color w:val="auto"/>
                <w:sz w:val="22"/>
                <w:szCs w:val="22"/>
              </w:rPr>
              <w:t>gozleme</w:t>
            </w:r>
            <w:proofErr w:type="spellEnd"/>
            <w:r w:rsidRPr="00FD0F9A">
              <w:rPr>
                <w:rFonts w:asciiTheme="minorHAnsi" w:hAnsiTheme="minorHAnsi" w:cstheme="minorBidi"/>
                <w:color w:val="auto"/>
                <w:sz w:val="22"/>
                <w:szCs w:val="22"/>
              </w:rPr>
              <w:t xml:space="preserve">, pretzels, savoury </w:t>
            </w:r>
            <w:proofErr w:type="gramStart"/>
            <w:r w:rsidRPr="00FD0F9A">
              <w:rPr>
                <w:rFonts w:asciiTheme="minorHAnsi" w:hAnsiTheme="minorHAnsi" w:cstheme="minorBidi"/>
                <w:color w:val="auto"/>
                <w:sz w:val="22"/>
                <w:szCs w:val="22"/>
              </w:rPr>
              <w:t>scrolls</w:t>
            </w:r>
            <w:proofErr w:type="gramEnd"/>
            <w:r w:rsidRPr="00FD0F9A">
              <w:rPr>
                <w:rFonts w:asciiTheme="minorHAnsi" w:hAnsiTheme="minorHAnsi" w:cstheme="minorBidi"/>
                <w:color w:val="auto"/>
                <w:sz w:val="22"/>
                <w:szCs w:val="22"/>
              </w:rPr>
              <w:t xml:space="preserve"> and pinwheels.</w:t>
            </w:r>
          </w:p>
          <w:p w14:paraId="1CF47389"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Pastry cases or bases without fillings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vol au vent cases, spring roll wrappers).</w:t>
            </w:r>
          </w:p>
        </w:tc>
      </w:tr>
    </w:tbl>
    <w:p w14:paraId="67F0AED9" w14:textId="77777777" w:rsidR="00912146" w:rsidRDefault="00912146" w:rsidP="00912146"/>
    <w:p w14:paraId="0B24428D" w14:textId="77777777" w:rsidR="00BD49F2" w:rsidRDefault="00BD49F2">
      <w:pPr>
        <w:rPr>
          <w:rFonts w:eastAsiaTheme="majorEastAsia" w:cstheme="minorHAnsi"/>
          <w:b/>
          <w:bCs/>
          <w:i/>
          <w:iCs/>
          <w:color w:val="007A00"/>
          <w:kern w:val="32"/>
          <w:sz w:val="32"/>
          <w:szCs w:val="32"/>
        </w:rPr>
      </w:pPr>
      <w:bookmarkStart w:id="53" w:name="_Sweet_biscuits:_Retail"/>
      <w:bookmarkEnd w:id="53"/>
      <w:r>
        <w:rPr>
          <w:rFonts w:eastAsiaTheme="majorEastAsia" w:cstheme="minorHAnsi"/>
          <w:b/>
          <w:bCs/>
          <w:i/>
          <w:iCs/>
          <w:color w:val="007A00"/>
          <w:kern w:val="32"/>
          <w:sz w:val="32"/>
          <w:szCs w:val="32"/>
        </w:rPr>
        <w:br w:type="page"/>
      </w:r>
    </w:p>
    <w:p w14:paraId="1770ABC0" w14:textId="01E00B75" w:rsidR="00912146" w:rsidRPr="0050147F" w:rsidRDefault="00912146" w:rsidP="0050147F">
      <w:pPr>
        <w:rPr>
          <w:rFonts w:eastAsiaTheme="majorEastAsia" w:cstheme="minorHAnsi"/>
          <w:b/>
          <w:bCs/>
          <w:i/>
          <w:iCs/>
          <w:color w:val="007A00"/>
          <w:kern w:val="32"/>
          <w:sz w:val="32"/>
          <w:szCs w:val="32"/>
        </w:rPr>
      </w:pPr>
      <w:r w:rsidRPr="0050147F">
        <w:rPr>
          <w:rFonts w:eastAsiaTheme="majorEastAsia" w:cstheme="minorHAnsi"/>
          <w:b/>
          <w:bCs/>
          <w:i/>
          <w:iCs/>
          <w:color w:val="007A00"/>
          <w:kern w:val="32"/>
          <w:sz w:val="32"/>
          <w:szCs w:val="32"/>
        </w:rPr>
        <w:lastRenderedPageBreak/>
        <w:t>Sweet biscuits: Retail</w:t>
      </w:r>
    </w:p>
    <w:p w14:paraId="4CD93446" w14:textId="77777777" w:rsidR="006774BC" w:rsidRDefault="006774BC" w:rsidP="00912146">
      <w:pPr>
        <w:pStyle w:val="Default"/>
        <w:rPr>
          <w:rFonts w:asciiTheme="minorHAnsi" w:hAnsiTheme="minorHAnsi" w:cstheme="minorHAnsi"/>
          <w:b/>
          <w:bCs/>
          <w:sz w:val="22"/>
          <w:szCs w:val="22"/>
        </w:rPr>
      </w:pPr>
    </w:p>
    <w:p w14:paraId="5879B453" w14:textId="0963985F" w:rsidR="00912146" w:rsidRPr="00FD0F9A" w:rsidRDefault="00912146" w:rsidP="00912146">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Category definition: </w:t>
      </w:r>
    </w:p>
    <w:p w14:paraId="5007AA3F" w14:textId="77777777" w:rsidR="00912146" w:rsidRPr="00FD0F9A" w:rsidRDefault="00912146" w:rsidP="00912146">
      <w:pPr>
        <w:pStyle w:val="Default"/>
        <w:spacing w:after="240"/>
        <w:rPr>
          <w:rFonts w:asciiTheme="minorHAnsi" w:hAnsiTheme="minorHAnsi" w:cstheme="minorBidi"/>
          <w:strike/>
          <w:color w:val="4F81BD" w:themeColor="accent1"/>
          <w:sz w:val="22"/>
          <w:szCs w:val="22"/>
        </w:rPr>
      </w:pPr>
      <w:r w:rsidRPr="00FD0F9A">
        <w:rPr>
          <w:rFonts w:asciiTheme="minorHAnsi" w:hAnsiTheme="minorHAnsi" w:cstheme="minorBidi"/>
          <w:sz w:val="22"/>
          <w:szCs w:val="22"/>
        </w:rPr>
        <w:t>All ready-to-eat</w:t>
      </w:r>
      <w:r w:rsidRPr="00FD0F9A">
        <w:rPr>
          <w:rFonts w:asciiTheme="minorHAnsi" w:hAnsiTheme="minorHAnsi" w:cstheme="minorBidi"/>
          <w:b/>
          <w:sz w:val="22"/>
          <w:szCs w:val="22"/>
        </w:rPr>
        <w:t xml:space="preserve"> </w:t>
      </w:r>
      <w:r w:rsidRPr="00FD0F9A">
        <w:rPr>
          <w:rFonts w:asciiTheme="minorHAnsi" w:hAnsiTheme="minorHAnsi" w:cstheme="minorBidi"/>
          <w:sz w:val="22"/>
          <w:szCs w:val="22"/>
        </w:rPr>
        <w:t xml:space="preserve">sweet biscuits sold in retail. Includes products which are coated or uncoated, </w:t>
      </w:r>
      <w:proofErr w:type="gramStart"/>
      <w:r w:rsidRPr="00FD0F9A">
        <w:rPr>
          <w:rFonts w:asciiTheme="minorHAnsi" w:hAnsiTheme="minorHAnsi" w:cstheme="minorBidi"/>
          <w:sz w:val="22"/>
          <w:szCs w:val="22"/>
        </w:rPr>
        <w:t>filled</w:t>
      </w:r>
      <w:proofErr w:type="gramEnd"/>
      <w:r w:rsidRPr="00FD0F9A">
        <w:rPr>
          <w:rFonts w:asciiTheme="minorHAnsi" w:hAnsiTheme="minorHAnsi" w:cstheme="minorBidi"/>
          <w:sz w:val="22"/>
          <w:szCs w:val="22"/>
        </w:rPr>
        <w:t xml:space="preserve"> or unfilled. </w:t>
      </w:r>
      <w:r w:rsidRPr="00FD0F9A">
        <w:rPr>
          <w:rFonts w:asciiTheme="minorHAnsi" w:hAnsiTheme="minorHAnsi" w:cstheme="minorBidi"/>
          <w:color w:val="auto"/>
          <w:sz w:val="22"/>
          <w:szCs w:val="22"/>
        </w:rPr>
        <w:t xml:space="preserve">Includes </w:t>
      </w:r>
      <w:r w:rsidRPr="00FD0F9A">
        <w:rPr>
          <w:rFonts w:asciiTheme="minorHAnsi" w:hAnsiTheme="minorHAnsi" w:cstheme="minorBidi"/>
          <w:sz w:val="22"/>
          <w:szCs w:val="22"/>
        </w:rPr>
        <w:t xml:space="preserve">packet biscuit/cookie mixes and cookie doughs. </w:t>
      </w:r>
    </w:p>
    <w:p w14:paraId="511B0169" w14:textId="77777777" w:rsidR="00912146" w:rsidRPr="000246FD" w:rsidRDefault="00912146" w:rsidP="00912146">
      <w:pPr>
        <w:pStyle w:val="Default"/>
        <w:rPr>
          <w:rFonts w:asciiTheme="minorHAnsi" w:hAnsiTheme="minorHAnsi" w:cstheme="minorBidi"/>
          <w:sz w:val="23"/>
          <w:szCs w:val="23"/>
        </w:rPr>
      </w:pPr>
      <w:r w:rsidRPr="68260139">
        <w:rPr>
          <w:rFonts w:asciiTheme="minorHAnsi" w:hAnsiTheme="minorHAnsi" w:cstheme="minorBidi"/>
          <w:b/>
          <w:sz w:val="20"/>
          <w:szCs w:val="20"/>
        </w:rPr>
        <w:t xml:space="preserve">Table </w:t>
      </w:r>
      <w:r w:rsidRPr="68260139">
        <w:rPr>
          <w:rFonts w:asciiTheme="minorHAnsi" w:hAnsiTheme="minorHAnsi" w:cstheme="minorBidi"/>
          <w:b/>
          <w:bCs/>
          <w:sz w:val="20"/>
          <w:szCs w:val="20"/>
        </w:rPr>
        <w:t>1</w:t>
      </w:r>
      <w:r>
        <w:rPr>
          <w:rFonts w:asciiTheme="minorHAnsi" w:hAnsiTheme="minorHAnsi" w:cstheme="minorBidi"/>
          <w:b/>
          <w:bCs/>
          <w:sz w:val="20"/>
          <w:szCs w:val="20"/>
        </w:rPr>
        <w:t>7</w:t>
      </w:r>
      <w:r w:rsidRPr="68260139">
        <w:rPr>
          <w:rFonts w:asciiTheme="minorHAnsi" w:hAnsiTheme="minorHAnsi" w:cstheme="minorBidi"/>
          <w:b/>
          <w:sz w:val="20"/>
          <w:szCs w:val="20"/>
        </w:rPr>
        <w:t xml:space="preserve">: Sweet biscuits - </w:t>
      </w:r>
      <w:r>
        <w:rPr>
          <w:rFonts w:asciiTheme="minorHAnsi" w:hAnsiTheme="minorHAnsi" w:cstheme="minorBidi"/>
          <w:b/>
          <w:sz w:val="20"/>
          <w:szCs w:val="20"/>
        </w:rPr>
        <w:t>R</w:t>
      </w:r>
      <w:r w:rsidRPr="68260139">
        <w:rPr>
          <w:rFonts w:asciiTheme="minorHAnsi" w:hAnsiTheme="minorHAnsi" w:cstheme="minorBidi"/>
          <w:b/>
          <w:sz w:val="20"/>
          <w:szCs w:val="20"/>
        </w:rPr>
        <w:t>etail</w:t>
      </w:r>
    </w:p>
    <w:tbl>
      <w:tblPr>
        <w:tblStyle w:val="TableGrid4"/>
        <w:tblW w:w="9458" w:type="dxa"/>
        <w:tblLayout w:type="fixed"/>
        <w:tblLook w:val="0000" w:firstRow="0" w:lastRow="0" w:firstColumn="0" w:lastColumn="0" w:noHBand="0" w:noVBand="0"/>
      </w:tblPr>
      <w:tblGrid>
        <w:gridCol w:w="4729"/>
        <w:gridCol w:w="4729"/>
      </w:tblGrid>
      <w:tr w:rsidR="0084301C" w:rsidRPr="00FD0F9A" w14:paraId="50F07C9D" w14:textId="77777777" w:rsidTr="00B640FD">
        <w:trPr>
          <w:trHeight w:val="120"/>
        </w:trPr>
        <w:tc>
          <w:tcPr>
            <w:tcW w:w="4729" w:type="dxa"/>
          </w:tcPr>
          <w:p w14:paraId="141200C6"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Inclusions </w:t>
            </w:r>
          </w:p>
        </w:tc>
        <w:tc>
          <w:tcPr>
            <w:tcW w:w="4729" w:type="dxa"/>
          </w:tcPr>
          <w:p w14:paraId="11B4676D" w14:textId="77777777" w:rsidR="00912146" w:rsidRPr="00FD0F9A" w:rsidRDefault="00912146" w:rsidP="00AE496B">
            <w:pPr>
              <w:pStyle w:val="Default"/>
              <w:rPr>
                <w:rFonts w:asciiTheme="minorHAnsi" w:hAnsiTheme="minorHAnsi" w:cstheme="minorHAnsi"/>
                <w:color w:val="auto"/>
                <w:sz w:val="22"/>
                <w:szCs w:val="22"/>
              </w:rPr>
            </w:pPr>
            <w:r w:rsidRPr="00FD0F9A">
              <w:rPr>
                <w:rFonts w:asciiTheme="minorHAnsi" w:hAnsiTheme="minorHAnsi" w:cstheme="minorHAnsi"/>
                <w:b/>
                <w:bCs/>
                <w:color w:val="auto"/>
                <w:sz w:val="22"/>
                <w:szCs w:val="22"/>
              </w:rPr>
              <w:t xml:space="preserve">Category Exclusions </w:t>
            </w:r>
          </w:p>
        </w:tc>
      </w:tr>
      <w:tr w:rsidR="0084301C" w:rsidRPr="00FD0F9A" w14:paraId="3B97E31D" w14:textId="77777777" w:rsidTr="00B640FD">
        <w:trPr>
          <w:trHeight w:val="2214"/>
        </w:trPr>
        <w:tc>
          <w:tcPr>
            <w:tcW w:w="4729" w:type="dxa"/>
          </w:tcPr>
          <w:p w14:paraId="34E97FD5"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All sweet biscuits (also known as cookies) including plain, chocolate flavoured, chocolate coated and filled sweet biscuits. </w:t>
            </w:r>
          </w:p>
          <w:p w14:paraId="4D330F16"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May be fresh or </w:t>
            </w:r>
            <w:proofErr w:type="gramStart"/>
            <w:r w:rsidRPr="00FD0F9A">
              <w:rPr>
                <w:rFonts w:asciiTheme="minorHAnsi" w:hAnsiTheme="minorHAnsi" w:cstheme="minorBidi"/>
                <w:color w:val="auto"/>
                <w:sz w:val="22"/>
                <w:szCs w:val="22"/>
              </w:rPr>
              <w:t>shelf-stable</w:t>
            </w:r>
            <w:proofErr w:type="gramEnd"/>
            <w:r w:rsidRPr="00FD0F9A">
              <w:rPr>
                <w:rFonts w:asciiTheme="minorHAnsi" w:hAnsiTheme="minorHAnsi" w:cstheme="minorBidi"/>
                <w:color w:val="auto"/>
                <w:sz w:val="22"/>
                <w:szCs w:val="22"/>
              </w:rPr>
              <w:t xml:space="preserve">. Includes packet biscuit/cookie mixes, cookie doughs. </w:t>
            </w:r>
          </w:p>
          <w:p w14:paraId="56AEE9AB" w14:textId="07F9F38C"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Includes all flavours such as shortbread, wafer-style biscuits, biscotti, </w:t>
            </w:r>
            <w:r w:rsidR="006C35EF">
              <w:rPr>
                <w:rFonts w:asciiTheme="minorHAnsi" w:hAnsiTheme="minorHAnsi" w:cstheme="minorBidi"/>
                <w:color w:val="auto"/>
                <w:sz w:val="22"/>
                <w:szCs w:val="22"/>
              </w:rPr>
              <w:t xml:space="preserve">and </w:t>
            </w:r>
            <w:r w:rsidRPr="00FD0F9A">
              <w:rPr>
                <w:rFonts w:asciiTheme="minorHAnsi" w:hAnsiTheme="minorHAnsi" w:cstheme="minorBidi"/>
                <w:color w:val="auto"/>
                <w:sz w:val="22"/>
                <w:szCs w:val="22"/>
              </w:rPr>
              <w:t xml:space="preserve">gingerbread. May have added nuts, chocolate, oats, icing, cream, coconut, fruit, marshmallow or other fillings and flavours. </w:t>
            </w:r>
          </w:p>
          <w:p w14:paraId="398F319B"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 xml:space="preserve">Includes gluten-free, sugar-free, low-fat varieties. Includes products made from cereal flours or alternatives. </w:t>
            </w:r>
          </w:p>
          <w:p w14:paraId="4730DDF6" w14:textId="1B00F7E3" w:rsidR="00912146" w:rsidRPr="00FD0F9A" w:rsidRDefault="00912146" w:rsidP="006774BC">
            <w:pPr>
              <w:pStyle w:val="Default"/>
              <w:spacing w:after="120"/>
              <w:rPr>
                <w:rFonts w:asciiTheme="minorHAnsi" w:hAnsiTheme="minorHAnsi" w:cstheme="minorBidi"/>
                <w:color w:val="auto"/>
                <w:sz w:val="22"/>
                <w:szCs w:val="22"/>
              </w:rPr>
            </w:pPr>
            <w:r w:rsidRPr="6136B92D">
              <w:rPr>
                <w:rFonts w:asciiTheme="minorHAnsi" w:hAnsiTheme="minorHAnsi" w:cstheme="minorBidi"/>
                <w:color w:val="auto"/>
                <w:sz w:val="22"/>
                <w:szCs w:val="22"/>
              </w:rPr>
              <w:t>May be sold in multi-packs or as individual serv</w:t>
            </w:r>
            <w:r w:rsidR="00A52CBA">
              <w:rPr>
                <w:rFonts w:asciiTheme="minorHAnsi" w:hAnsiTheme="minorHAnsi" w:cstheme="minorBidi"/>
                <w:color w:val="auto"/>
                <w:sz w:val="22"/>
                <w:szCs w:val="22"/>
              </w:rPr>
              <w:t>ings</w:t>
            </w:r>
            <w:r w:rsidRPr="6136B92D">
              <w:rPr>
                <w:rFonts w:asciiTheme="minorHAnsi" w:hAnsiTheme="minorHAnsi" w:cstheme="minorBidi"/>
                <w:color w:val="auto"/>
                <w:sz w:val="22"/>
                <w:szCs w:val="22"/>
              </w:rPr>
              <w:t xml:space="preserve">. </w:t>
            </w:r>
          </w:p>
        </w:tc>
        <w:tc>
          <w:tcPr>
            <w:tcW w:w="4729" w:type="dxa"/>
          </w:tcPr>
          <w:p w14:paraId="38C012A4" w14:textId="77777777" w:rsidR="00912146" w:rsidRPr="00FD0F9A" w:rsidRDefault="00912146" w:rsidP="006774BC">
            <w:pPr>
              <w:pStyle w:val="Default"/>
              <w:spacing w:after="120"/>
              <w:rPr>
                <w:rFonts w:asciiTheme="minorHAnsi" w:hAnsiTheme="minorHAnsi" w:cstheme="minorBidi"/>
                <w:color w:val="auto"/>
                <w:sz w:val="22"/>
                <w:szCs w:val="22"/>
              </w:rPr>
            </w:pPr>
            <w:r w:rsidRPr="00FD0F9A">
              <w:rPr>
                <w:rFonts w:asciiTheme="minorHAnsi" w:hAnsiTheme="minorHAnsi" w:cstheme="minorBidi"/>
                <w:color w:val="auto"/>
                <w:sz w:val="22"/>
                <w:szCs w:val="22"/>
              </w:rPr>
              <w:t>Savoury biscuits, products containing biscuits where biscuits are not the main ingredient (</w:t>
            </w:r>
            <w:proofErr w:type="gramStart"/>
            <w:r w:rsidRPr="00FD0F9A">
              <w:rPr>
                <w:rFonts w:asciiTheme="minorHAnsi" w:hAnsiTheme="minorHAnsi" w:cstheme="minorBidi"/>
                <w:color w:val="auto"/>
                <w:sz w:val="22"/>
                <w:szCs w:val="22"/>
              </w:rPr>
              <w:t>e.g.</w:t>
            </w:r>
            <w:proofErr w:type="gramEnd"/>
            <w:r w:rsidRPr="00FD0F9A">
              <w:rPr>
                <w:rFonts w:asciiTheme="minorHAnsi" w:hAnsiTheme="minorHAnsi" w:cstheme="minorBidi"/>
                <w:color w:val="auto"/>
                <w:sz w:val="22"/>
                <w:szCs w:val="22"/>
              </w:rPr>
              <w:t xml:space="preserve"> ice-cream sandwiches), muesli bars, breakfast biscuits and bakes, sweet bakery products including meringue, all cakes, lamingtons, cupcakes, slices, cake rolls, muffins, pastries, fruit pies, tarts, crumbles, turnovers, bread products with icing or glaze, profiteroles, puddings, eclairs, baklava, </w:t>
            </w:r>
            <w:r w:rsidRPr="00E92AC4">
              <w:rPr>
                <w:rFonts w:asciiTheme="minorHAnsi" w:hAnsiTheme="minorHAnsi" w:cstheme="minorBidi"/>
                <w:color w:val="auto"/>
                <w:sz w:val="22"/>
                <w:szCs w:val="22"/>
              </w:rPr>
              <w:t>doughnuts</w:t>
            </w:r>
            <w:r w:rsidRPr="00FD0F9A">
              <w:rPr>
                <w:rFonts w:asciiTheme="minorHAnsi" w:hAnsiTheme="minorHAnsi" w:cstheme="minorBidi"/>
                <w:color w:val="auto"/>
                <w:sz w:val="22"/>
                <w:szCs w:val="22"/>
              </w:rPr>
              <w:t xml:space="preserve"> or mixes for the above products. </w:t>
            </w:r>
          </w:p>
        </w:tc>
      </w:tr>
    </w:tbl>
    <w:p w14:paraId="4CF09897" w14:textId="77777777" w:rsidR="00912146" w:rsidRPr="000246FD" w:rsidRDefault="00912146" w:rsidP="00912146">
      <w:pPr>
        <w:rPr>
          <w:rFonts w:cstheme="minorHAnsi"/>
        </w:rPr>
      </w:pPr>
    </w:p>
    <w:p w14:paraId="451AB684" w14:textId="77777777" w:rsidR="00912146" w:rsidRPr="0050147F" w:rsidRDefault="00912146" w:rsidP="0050147F">
      <w:pPr>
        <w:rPr>
          <w:rFonts w:eastAsiaTheme="majorEastAsia" w:cstheme="minorHAnsi"/>
          <w:b/>
          <w:bCs/>
          <w:i/>
          <w:iCs/>
          <w:color w:val="007A00"/>
          <w:kern w:val="32"/>
          <w:sz w:val="32"/>
          <w:szCs w:val="32"/>
        </w:rPr>
      </w:pPr>
      <w:bookmarkStart w:id="54" w:name="_Sweet_biscuits:_Out"/>
      <w:bookmarkEnd w:id="54"/>
      <w:r w:rsidRPr="0050147F">
        <w:rPr>
          <w:rFonts w:eastAsiaTheme="majorEastAsia" w:cstheme="minorHAnsi"/>
          <w:b/>
          <w:bCs/>
          <w:i/>
          <w:iCs/>
          <w:color w:val="007A00"/>
          <w:kern w:val="32"/>
          <w:sz w:val="32"/>
          <w:szCs w:val="32"/>
        </w:rPr>
        <w:t xml:space="preserve">Sweet biscuits: Out of home </w:t>
      </w:r>
    </w:p>
    <w:p w14:paraId="34DFD10C" w14:textId="77777777" w:rsidR="006774BC" w:rsidRDefault="006774BC" w:rsidP="00912146">
      <w:pPr>
        <w:pStyle w:val="Default"/>
        <w:rPr>
          <w:rFonts w:asciiTheme="minorHAnsi" w:hAnsiTheme="minorHAnsi" w:cstheme="minorHAnsi"/>
          <w:b/>
          <w:bCs/>
          <w:sz w:val="22"/>
          <w:szCs w:val="22"/>
        </w:rPr>
      </w:pPr>
    </w:p>
    <w:p w14:paraId="2CD8C1BE" w14:textId="3E0DDCE3" w:rsidR="00912146" w:rsidRPr="00FD0F9A" w:rsidRDefault="00912146" w:rsidP="00912146">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Category definition: </w:t>
      </w:r>
    </w:p>
    <w:p w14:paraId="128D5D0F" w14:textId="77777777" w:rsidR="00912146" w:rsidRPr="00FD0F9A" w:rsidRDefault="00912146" w:rsidP="00912146">
      <w:pPr>
        <w:pStyle w:val="Default"/>
        <w:spacing w:after="240"/>
        <w:rPr>
          <w:rFonts w:asciiTheme="minorHAnsi" w:hAnsiTheme="minorHAnsi" w:cstheme="minorBidi"/>
          <w:sz w:val="22"/>
          <w:szCs w:val="22"/>
        </w:rPr>
      </w:pPr>
      <w:r w:rsidRPr="00FD0F9A">
        <w:rPr>
          <w:rFonts w:asciiTheme="minorHAnsi" w:hAnsiTheme="minorHAnsi" w:cstheme="minorBidi"/>
          <w:sz w:val="22"/>
          <w:szCs w:val="22"/>
        </w:rPr>
        <w:t xml:space="preserve">All sweet biscuits sold in the out of home sector. Includes products which are coated or uncoated, </w:t>
      </w:r>
      <w:proofErr w:type="gramStart"/>
      <w:r w:rsidRPr="00FD0F9A">
        <w:rPr>
          <w:rFonts w:asciiTheme="minorHAnsi" w:hAnsiTheme="minorHAnsi" w:cstheme="minorBidi"/>
          <w:sz w:val="22"/>
          <w:szCs w:val="22"/>
        </w:rPr>
        <w:t>filled</w:t>
      </w:r>
      <w:proofErr w:type="gramEnd"/>
      <w:r w:rsidRPr="00FD0F9A">
        <w:rPr>
          <w:rFonts w:asciiTheme="minorHAnsi" w:hAnsiTheme="minorHAnsi" w:cstheme="minorBidi"/>
          <w:sz w:val="22"/>
          <w:szCs w:val="22"/>
        </w:rPr>
        <w:t xml:space="preserve"> or unfilled. </w:t>
      </w:r>
    </w:p>
    <w:p w14:paraId="5437C36B" w14:textId="77777777" w:rsidR="00912146" w:rsidRPr="000246FD" w:rsidRDefault="00912146" w:rsidP="00912146">
      <w:pPr>
        <w:pStyle w:val="Default"/>
        <w:rPr>
          <w:rFonts w:asciiTheme="minorHAnsi" w:hAnsiTheme="minorHAnsi" w:cstheme="minorBidi"/>
          <w:sz w:val="23"/>
          <w:szCs w:val="23"/>
        </w:rPr>
      </w:pPr>
      <w:r w:rsidRPr="68260139">
        <w:rPr>
          <w:rFonts w:asciiTheme="minorHAnsi" w:hAnsiTheme="minorHAnsi" w:cstheme="minorBidi"/>
          <w:b/>
          <w:sz w:val="20"/>
          <w:szCs w:val="20"/>
        </w:rPr>
        <w:t xml:space="preserve">Table </w:t>
      </w:r>
      <w:r w:rsidRPr="68260139">
        <w:rPr>
          <w:rFonts w:asciiTheme="minorHAnsi" w:hAnsiTheme="minorHAnsi" w:cstheme="minorBidi"/>
          <w:b/>
          <w:bCs/>
          <w:sz w:val="20"/>
          <w:szCs w:val="20"/>
        </w:rPr>
        <w:t>1</w:t>
      </w:r>
      <w:r>
        <w:rPr>
          <w:rFonts w:asciiTheme="minorHAnsi" w:hAnsiTheme="minorHAnsi" w:cstheme="minorBidi"/>
          <w:b/>
          <w:bCs/>
          <w:sz w:val="20"/>
          <w:szCs w:val="20"/>
        </w:rPr>
        <w:t>8</w:t>
      </w:r>
      <w:r w:rsidRPr="68260139">
        <w:rPr>
          <w:rFonts w:asciiTheme="minorHAnsi" w:hAnsiTheme="minorHAnsi" w:cstheme="minorBidi"/>
          <w:b/>
          <w:sz w:val="20"/>
          <w:szCs w:val="20"/>
        </w:rPr>
        <w:t xml:space="preserve">: Sweet biscuits - </w:t>
      </w:r>
      <w:r w:rsidRPr="68260139">
        <w:rPr>
          <w:rFonts w:asciiTheme="minorHAnsi" w:hAnsiTheme="minorHAnsi" w:cstheme="minorBidi"/>
          <w:b/>
          <w:bCs/>
          <w:sz w:val="20"/>
          <w:szCs w:val="20"/>
        </w:rPr>
        <w:t>O</w:t>
      </w:r>
      <w:r w:rsidRPr="68260139">
        <w:rPr>
          <w:rFonts w:asciiTheme="minorHAnsi" w:hAnsiTheme="minorHAnsi" w:cstheme="minorBidi"/>
          <w:b/>
          <w:sz w:val="20"/>
          <w:szCs w:val="20"/>
        </w:rPr>
        <w:t>ut of home</w:t>
      </w:r>
    </w:p>
    <w:tbl>
      <w:tblPr>
        <w:tblStyle w:val="TableGrid4"/>
        <w:tblW w:w="9458" w:type="dxa"/>
        <w:tblLayout w:type="fixed"/>
        <w:tblLook w:val="0000" w:firstRow="0" w:lastRow="0" w:firstColumn="0" w:lastColumn="0" w:noHBand="0" w:noVBand="0"/>
      </w:tblPr>
      <w:tblGrid>
        <w:gridCol w:w="4729"/>
        <w:gridCol w:w="4729"/>
      </w:tblGrid>
      <w:tr w:rsidR="00573030" w:rsidRPr="00FD0F9A" w14:paraId="503B6394" w14:textId="77777777" w:rsidTr="00B640FD">
        <w:trPr>
          <w:trHeight w:val="120"/>
        </w:trPr>
        <w:tc>
          <w:tcPr>
            <w:tcW w:w="4729" w:type="dxa"/>
          </w:tcPr>
          <w:p w14:paraId="7A50B7D5" w14:textId="77777777" w:rsidR="00912146" w:rsidRPr="00FD0F9A" w:rsidRDefault="00912146" w:rsidP="00AE496B">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Sub-category Inclusions </w:t>
            </w:r>
          </w:p>
        </w:tc>
        <w:tc>
          <w:tcPr>
            <w:tcW w:w="4729" w:type="dxa"/>
          </w:tcPr>
          <w:p w14:paraId="05A97007" w14:textId="77777777" w:rsidR="00912146" w:rsidRPr="00FD0F9A" w:rsidRDefault="00912146" w:rsidP="00AE496B">
            <w:pPr>
              <w:pStyle w:val="Default"/>
              <w:rPr>
                <w:rFonts w:asciiTheme="minorHAnsi" w:hAnsiTheme="minorHAnsi" w:cstheme="minorHAnsi"/>
                <w:sz w:val="22"/>
                <w:szCs w:val="22"/>
              </w:rPr>
            </w:pPr>
            <w:r w:rsidRPr="00FD0F9A">
              <w:rPr>
                <w:rFonts w:asciiTheme="minorHAnsi" w:hAnsiTheme="minorHAnsi" w:cstheme="minorHAnsi"/>
                <w:b/>
                <w:bCs/>
                <w:sz w:val="22"/>
                <w:szCs w:val="22"/>
              </w:rPr>
              <w:t xml:space="preserve">Sub-category Exclusions </w:t>
            </w:r>
          </w:p>
        </w:tc>
      </w:tr>
      <w:tr w:rsidR="00573030" w:rsidRPr="00FD0F9A" w14:paraId="69B7C794" w14:textId="77777777" w:rsidTr="00B640FD">
        <w:tc>
          <w:tcPr>
            <w:tcW w:w="4729" w:type="dxa"/>
          </w:tcPr>
          <w:p w14:paraId="116816F6" w14:textId="77777777" w:rsidR="00912146" w:rsidRPr="00FD0F9A" w:rsidRDefault="00912146" w:rsidP="006774BC">
            <w:pPr>
              <w:pStyle w:val="Default"/>
              <w:spacing w:after="120"/>
              <w:rPr>
                <w:rFonts w:asciiTheme="minorHAnsi" w:hAnsiTheme="minorHAnsi" w:cstheme="minorBidi"/>
                <w:sz w:val="22"/>
                <w:szCs w:val="22"/>
              </w:rPr>
            </w:pPr>
            <w:r w:rsidRPr="00FD0F9A">
              <w:rPr>
                <w:rFonts w:asciiTheme="minorHAnsi" w:hAnsiTheme="minorHAnsi" w:cstheme="minorBidi"/>
                <w:sz w:val="22"/>
                <w:szCs w:val="22"/>
              </w:rPr>
              <w:t>All sweet biscuits (also known as cookies) including plain, chocolate flavoured, chocolate coated, and filled sweet biscuits. Includes products made from raw ingredients or from a mix.</w:t>
            </w:r>
          </w:p>
          <w:p w14:paraId="437D520A" w14:textId="45732071" w:rsidR="00912146" w:rsidRPr="00FD0F9A" w:rsidRDefault="00912146" w:rsidP="006774BC">
            <w:pPr>
              <w:pStyle w:val="Default"/>
              <w:spacing w:after="120"/>
              <w:rPr>
                <w:rFonts w:asciiTheme="minorHAnsi" w:hAnsiTheme="minorHAnsi" w:cstheme="minorBidi"/>
                <w:sz w:val="22"/>
                <w:szCs w:val="22"/>
              </w:rPr>
            </w:pPr>
            <w:r w:rsidRPr="00FD0F9A">
              <w:rPr>
                <w:rFonts w:asciiTheme="minorHAnsi" w:hAnsiTheme="minorHAnsi" w:cstheme="minorBidi"/>
                <w:sz w:val="22"/>
                <w:szCs w:val="22"/>
              </w:rPr>
              <w:t xml:space="preserve">Includes all flavours such as shortbread, wafer-style biscuits, biscotti, </w:t>
            </w:r>
            <w:r w:rsidR="007A3C3A">
              <w:rPr>
                <w:rFonts w:asciiTheme="minorHAnsi" w:hAnsiTheme="minorHAnsi" w:cstheme="minorBidi"/>
                <w:sz w:val="22"/>
                <w:szCs w:val="22"/>
              </w:rPr>
              <w:t xml:space="preserve">and </w:t>
            </w:r>
            <w:r w:rsidRPr="00FD0F9A">
              <w:rPr>
                <w:rFonts w:asciiTheme="minorHAnsi" w:hAnsiTheme="minorHAnsi" w:cstheme="minorBidi"/>
                <w:sz w:val="22"/>
                <w:szCs w:val="22"/>
              </w:rPr>
              <w:t xml:space="preserve">gingerbread. May have added nuts, chocolate, oats, icing, cream, coconut, fruit, marshmallow or other fillings and flavours. </w:t>
            </w:r>
          </w:p>
          <w:p w14:paraId="40BCF32A" w14:textId="77777777" w:rsidR="00912146" w:rsidRPr="00FD0F9A" w:rsidRDefault="00912146" w:rsidP="006774BC">
            <w:pPr>
              <w:pStyle w:val="Default"/>
              <w:spacing w:after="120"/>
              <w:rPr>
                <w:rFonts w:asciiTheme="minorHAnsi" w:hAnsiTheme="minorHAnsi" w:cstheme="minorBidi"/>
                <w:sz w:val="22"/>
                <w:szCs w:val="22"/>
              </w:rPr>
            </w:pPr>
            <w:r w:rsidRPr="00FD0F9A">
              <w:rPr>
                <w:rFonts w:asciiTheme="minorHAnsi" w:hAnsiTheme="minorHAnsi" w:cstheme="minorBidi"/>
                <w:sz w:val="22"/>
                <w:szCs w:val="22"/>
              </w:rPr>
              <w:t xml:space="preserve">Includes gluten-free, sugar-free, low-fat varieties. Includes products made from cereal flours or alternatives. Usually sold as an individual serving. </w:t>
            </w:r>
          </w:p>
        </w:tc>
        <w:tc>
          <w:tcPr>
            <w:tcW w:w="4729" w:type="dxa"/>
          </w:tcPr>
          <w:p w14:paraId="2BC96F18" w14:textId="77777777" w:rsidR="00912146" w:rsidRPr="00FD0F9A" w:rsidRDefault="00912146" w:rsidP="006774BC">
            <w:pPr>
              <w:pStyle w:val="Default"/>
              <w:spacing w:after="120"/>
              <w:rPr>
                <w:rFonts w:asciiTheme="minorHAnsi" w:hAnsiTheme="minorHAnsi" w:cstheme="minorBidi"/>
                <w:sz w:val="22"/>
                <w:szCs w:val="22"/>
              </w:rPr>
            </w:pPr>
            <w:r w:rsidRPr="00FD0F9A">
              <w:rPr>
                <w:rFonts w:asciiTheme="minorHAnsi" w:hAnsiTheme="minorHAnsi" w:cstheme="minorBidi"/>
                <w:sz w:val="22"/>
                <w:szCs w:val="22"/>
              </w:rPr>
              <w:t>Savoury biscuits, products containing biscuits where biscuits are not the main ingredient (</w:t>
            </w:r>
            <w:proofErr w:type="gramStart"/>
            <w:r w:rsidRPr="00FD0F9A">
              <w:rPr>
                <w:rFonts w:asciiTheme="minorHAnsi" w:hAnsiTheme="minorHAnsi" w:cstheme="minorBidi"/>
                <w:sz w:val="22"/>
                <w:szCs w:val="22"/>
              </w:rPr>
              <w:t>e.g.</w:t>
            </w:r>
            <w:proofErr w:type="gramEnd"/>
            <w:r w:rsidRPr="00FD0F9A">
              <w:rPr>
                <w:rFonts w:asciiTheme="minorHAnsi" w:hAnsiTheme="minorHAnsi" w:cstheme="minorBidi"/>
                <w:sz w:val="22"/>
                <w:szCs w:val="22"/>
              </w:rPr>
              <w:t xml:space="preserve"> ice-cream sandwiches), muesli bars, breakfast biscuits, sweet bakery products including meringue, all cakes, lamingtons, cupcakes, slices, cake rolls, muffins, pastries, fruit pies, tarts, crumbles, turnovers, bread products with icing or glaze, profiteroles, puddings, eclairs, baklava, </w:t>
            </w:r>
            <w:r w:rsidRPr="000827F5">
              <w:rPr>
                <w:rFonts w:asciiTheme="minorHAnsi" w:hAnsiTheme="minorHAnsi" w:cstheme="minorBidi"/>
                <w:sz w:val="22"/>
                <w:szCs w:val="22"/>
              </w:rPr>
              <w:t>doughnuts</w:t>
            </w:r>
            <w:r w:rsidRPr="00FD0F9A">
              <w:rPr>
                <w:rFonts w:asciiTheme="minorHAnsi" w:hAnsiTheme="minorHAnsi" w:cstheme="minorBidi"/>
                <w:sz w:val="22"/>
                <w:szCs w:val="22"/>
              </w:rPr>
              <w:t xml:space="preserve"> or mixes for the above products. </w:t>
            </w:r>
          </w:p>
        </w:tc>
      </w:tr>
    </w:tbl>
    <w:p w14:paraId="550D786E" w14:textId="77777777" w:rsidR="00EC42C5" w:rsidRDefault="00EC42C5" w:rsidP="00BD49F2">
      <w:pPr>
        <w:pStyle w:val="BodyText"/>
        <w:rPr>
          <w:color w:val="000000" w:themeColor="text1"/>
          <w:szCs w:val="24"/>
        </w:rPr>
      </w:pPr>
    </w:p>
    <w:sectPr w:rsidR="00EC42C5" w:rsidSect="00916C86">
      <w:headerReference w:type="default" r:id="rId33"/>
      <w:footerReference w:type="default" r:id="rId34"/>
      <w:headerReference w:type="first" r:id="rId35"/>
      <w:footerReference w:type="first" r:id="rId36"/>
      <w:endnotePr>
        <w:numFmt w:val="decimal"/>
      </w:endnotePr>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53BE" w14:textId="77777777" w:rsidR="00744B07" w:rsidRDefault="00744B07" w:rsidP="00D01DEC">
      <w:r>
        <w:separator/>
      </w:r>
    </w:p>
  </w:endnote>
  <w:endnote w:type="continuationSeparator" w:id="0">
    <w:p w14:paraId="4F5DF268" w14:textId="77777777" w:rsidR="00744B07" w:rsidRDefault="00744B07" w:rsidP="00D01DEC">
      <w:r>
        <w:continuationSeparator/>
      </w:r>
    </w:p>
  </w:endnote>
  <w:endnote w:type="continuationNotice" w:id="1">
    <w:p w14:paraId="684BAFD4" w14:textId="77777777" w:rsidR="00744B07" w:rsidRDefault="00744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308052"/>
      <w:docPartObj>
        <w:docPartGallery w:val="Page Numbers (Bottom of Page)"/>
        <w:docPartUnique/>
      </w:docPartObj>
    </w:sdtPr>
    <w:sdtEndPr>
      <w:rPr>
        <w:noProof/>
      </w:rPr>
    </w:sdtEndPr>
    <w:sdtContent>
      <w:p w14:paraId="5E4EA26A" w14:textId="30D21A1B" w:rsidR="00B32AC9" w:rsidRDefault="00B32A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3D0752" w14:textId="77777777" w:rsidR="00B32AC9" w:rsidRDefault="00B3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B32AC9" w14:paraId="3753B091" w14:textId="77777777" w:rsidTr="0323277E">
      <w:tc>
        <w:tcPr>
          <w:tcW w:w="3210" w:type="dxa"/>
        </w:tcPr>
        <w:p w14:paraId="18FE73FE" w14:textId="1BD1006E" w:rsidR="00B32AC9" w:rsidRDefault="00B32AC9" w:rsidP="0323277E">
          <w:pPr>
            <w:pStyle w:val="Header"/>
            <w:ind w:left="-115"/>
          </w:pPr>
        </w:p>
      </w:tc>
      <w:tc>
        <w:tcPr>
          <w:tcW w:w="3210" w:type="dxa"/>
        </w:tcPr>
        <w:p w14:paraId="1BA83559" w14:textId="2C203E3A" w:rsidR="00B32AC9" w:rsidRDefault="00B32AC9" w:rsidP="0323277E">
          <w:pPr>
            <w:pStyle w:val="Header"/>
            <w:jc w:val="center"/>
          </w:pPr>
        </w:p>
      </w:tc>
      <w:tc>
        <w:tcPr>
          <w:tcW w:w="3210" w:type="dxa"/>
        </w:tcPr>
        <w:p w14:paraId="4A98A1EC" w14:textId="096BF99F" w:rsidR="00B32AC9" w:rsidRDefault="00B32AC9" w:rsidP="0323277E">
          <w:pPr>
            <w:pStyle w:val="Header"/>
            <w:ind w:right="-115"/>
            <w:jc w:val="right"/>
          </w:pPr>
        </w:p>
      </w:tc>
    </w:tr>
  </w:tbl>
  <w:p w14:paraId="17E2E42F" w14:textId="07C275A5" w:rsidR="00B32AC9" w:rsidRDefault="00B32AC9" w:rsidP="03232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1059"/>
      <w:docPartObj>
        <w:docPartGallery w:val="Page Numbers (Bottom of Page)"/>
        <w:docPartUnique/>
      </w:docPartObj>
    </w:sdtPr>
    <w:sdtEndPr>
      <w:rPr>
        <w:noProof/>
      </w:rPr>
    </w:sdtEndPr>
    <w:sdtContent>
      <w:p w14:paraId="414FA9F5" w14:textId="0EB181A9" w:rsidR="00B32AC9" w:rsidRDefault="00B32AC9">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384B893" w14:textId="77777777" w:rsidR="00B32AC9" w:rsidRPr="003842A4" w:rsidRDefault="00B32AC9" w:rsidP="003842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5756" w14:textId="2C682D7A" w:rsidR="00B32AC9" w:rsidRDefault="00B32AC9" w:rsidP="0323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904F" w14:textId="77777777" w:rsidR="00744B07" w:rsidRDefault="00744B07" w:rsidP="00D01DEC">
      <w:r>
        <w:separator/>
      </w:r>
    </w:p>
  </w:footnote>
  <w:footnote w:type="continuationSeparator" w:id="0">
    <w:p w14:paraId="10937874" w14:textId="77777777" w:rsidR="00744B07" w:rsidRDefault="00744B07" w:rsidP="00D01DEC">
      <w:r>
        <w:continuationSeparator/>
      </w:r>
    </w:p>
  </w:footnote>
  <w:footnote w:type="continuationNotice" w:id="1">
    <w:p w14:paraId="57CAD57C" w14:textId="77777777" w:rsidR="00744B07" w:rsidRDefault="00744B07"/>
  </w:footnote>
  <w:footnote w:id="2">
    <w:p w14:paraId="6A1A3617" w14:textId="3758E5CD" w:rsidR="00B32AC9" w:rsidRPr="00973F67" w:rsidRDefault="00B32AC9">
      <w:pPr>
        <w:pStyle w:val="FootnoteText"/>
        <w:rPr>
          <w:sz w:val="18"/>
          <w:szCs w:val="18"/>
        </w:rPr>
      </w:pPr>
      <w:r>
        <w:rPr>
          <w:rStyle w:val="FootnoteReference"/>
        </w:rPr>
        <w:footnoteRef/>
      </w:r>
      <w:r>
        <w:t xml:space="preserve"> </w:t>
      </w:r>
      <w:r w:rsidRPr="00E06B39">
        <w:rPr>
          <w:sz w:val="18"/>
          <w:szCs w:val="18"/>
        </w:rPr>
        <w:t>The archived website of the PSWG can be found at https://webarchive.nla.gov.au/awa/20210604022950/http://medicareforall.health.gov.au/internet/main/publishing.nsf/Content/portion-control</w:t>
      </w:r>
    </w:p>
  </w:footnote>
  <w:footnote w:id="3">
    <w:p w14:paraId="273AD1CE" w14:textId="75F186FA" w:rsidR="00B32AC9" w:rsidRDefault="00B32AC9">
      <w:pPr>
        <w:pStyle w:val="FootnoteText"/>
      </w:pPr>
      <w:r>
        <w:rPr>
          <w:rStyle w:val="FootnoteReference"/>
        </w:rPr>
        <w:footnoteRef/>
      </w:r>
      <w:r>
        <w:t xml:space="preserve"> </w:t>
      </w:r>
      <w:r w:rsidRPr="00E06B39">
        <w:rPr>
          <w:sz w:val="18"/>
          <w:szCs w:val="18"/>
        </w:rPr>
        <w:t>A Review of the 2013 Australian Dietary Guidelines has commenced. The updated Guidelines are expected to be released in 2024.</w:t>
      </w:r>
    </w:p>
  </w:footnote>
  <w:footnote w:id="4">
    <w:p w14:paraId="2FA23BA7" w14:textId="001B87E6" w:rsidR="00B32AC9" w:rsidRPr="00AE7AFD" w:rsidRDefault="00B32AC9">
      <w:pPr>
        <w:pStyle w:val="FootnoteText"/>
        <w:rPr>
          <w:sz w:val="18"/>
          <w:szCs w:val="18"/>
        </w:rPr>
      </w:pPr>
      <w:r w:rsidRPr="00AE7AFD">
        <w:rPr>
          <w:rStyle w:val="FootnoteReference"/>
          <w:sz w:val="18"/>
          <w:szCs w:val="18"/>
        </w:rPr>
        <w:footnoteRef/>
      </w:r>
      <w:r w:rsidRPr="00B43D5E">
        <w:rPr>
          <w:sz w:val="18"/>
          <w:szCs w:val="18"/>
        </w:rPr>
        <w:t>A review of the 2013 Australian Dietary Guidelines has commenced. The updated Guidelines are expected to be released in 2024.</w:t>
      </w:r>
    </w:p>
  </w:footnote>
  <w:footnote w:id="5">
    <w:p w14:paraId="7B006FB7" w14:textId="25C7FC24" w:rsidR="00B32AC9" w:rsidRDefault="00B32AC9">
      <w:pPr>
        <w:pStyle w:val="FootnoteText"/>
      </w:pPr>
      <w:r w:rsidRPr="00AE7AFD">
        <w:rPr>
          <w:rStyle w:val="FootnoteReference"/>
          <w:sz w:val="18"/>
          <w:szCs w:val="18"/>
        </w:rPr>
        <w:footnoteRef/>
      </w:r>
      <w:r w:rsidRPr="00AE7AFD">
        <w:rPr>
          <w:sz w:val="18"/>
          <w:szCs w:val="18"/>
        </w:rPr>
        <w:t xml:space="preserve"> The National Preventive Health Strategy 2021-2030 was published in December 2021 and is available at: https://www.health.gov.au/resources/publications/national-preventive-health-strategy-2021-2030</w:t>
      </w:r>
    </w:p>
  </w:footnote>
  <w:footnote w:id="6">
    <w:p w14:paraId="7C354F0C" w14:textId="37BC8D76" w:rsidR="00B32AC9" w:rsidRDefault="00B32AC9">
      <w:pPr>
        <w:pStyle w:val="FootnoteText"/>
      </w:pPr>
      <w:r>
        <w:rPr>
          <w:rStyle w:val="FootnoteReference"/>
        </w:rPr>
        <w:footnoteRef/>
      </w:r>
      <w:r>
        <w:t xml:space="preserve"> All serving sizes should be considered maximums</w:t>
      </w:r>
    </w:p>
  </w:footnote>
  <w:footnote w:id="7">
    <w:p w14:paraId="4B8C85EE" w14:textId="0A4E8924" w:rsidR="00B32AC9" w:rsidRPr="00D345EE" w:rsidRDefault="00B32AC9" w:rsidP="00D345EE">
      <w:pPr>
        <w:pStyle w:val="FootnoteText"/>
      </w:pPr>
      <w:r>
        <w:rPr>
          <w:rStyle w:val="FootnoteReference"/>
        </w:rPr>
        <w:footnoteRef/>
      </w:r>
      <w:r>
        <w:t xml:space="preserve"> </w:t>
      </w:r>
      <w:r w:rsidRPr="00D345EE">
        <w:t>This applies to single consumption bars that are not portion controlled or </w:t>
      </w:r>
      <w:proofErr w:type="spellStart"/>
      <w:r w:rsidRPr="00D345EE">
        <w:t>portionable</w:t>
      </w:r>
      <w:proofErr w:type="spellEnd"/>
      <w:r w:rsidRPr="00D345EE">
        <w:t> (</w:t>
      </w:r>
      <w:proofErr w:type="gramStart"/>
      <w:r w:rsidRPr="00D345EE">
        <w:t>i.e.</w:t>
      </w:r>
      <w:proofErr w:type="gramEnd"/>
      <w:r w:rsidRPr="00D345EE">
        <w:t xml:space="preserve"> single serve chocolate portions, chocolate bars for individual consumption in a single sitting). For </w:t>
      </w:r>
      <w:proofErr w:type="spellStart"/>
      <w:r w:rsidRPr="00D345EE">
        <w:t>multiserve</w:t>
      </w:r>
      <w:proofErr w:type="spellEnd"/>
      <w:r w:rsidRPr="00D345EE">
        <w:t> products, defer to </w:t>
      </w:r>
      <w:hyperlink r:id="rId1" w:anchor="verticalTab3" w:tgtFrame="_blank" w:history="1">
        <w:r w:rsidRPr="00D345EE">
          <w:t>existing industry guidance</w:t>
        </w:r>
      </w:hyperlink>
      <w:r w:rsidRPr="00D345EE">
        <w:t> </w:t>
      </w:r>
      <w:proofErr w:type="gramStart"/>
      <w:r w:rsidRPr="00D345EE">
        <w:t>i.e.</w:t>
      </w:r>
      <w:proofErr w:type="gramEnd"/>
      <w:r w:rsidRPr="00D345EE">
        <w:t xml:space="preserve"> 25g +/-5g and </w:t>
      </w:r>
      <w:proofErr w:type="spellStart"/>
      <w:r w:rsidRPr="00D345EE">
        <w:t>portionability</w:t>
      </w:r>
      <w:proofErr w:type="spellEnd"/>
      <w:r w:rsidRPr="00D345EE">
        <w:t xml:space="preserve"> criterion. </w:t>
      </w:r>
    </w:p>
    <w:p w14:paraId="15749890" w14:textId="68FAEB54" w:rsidR="00B32AC9" w:rsidRDefault="00B32AC9">
      <w:pPr>
        <w:pStyle w:val="FootnoteText"/>
      </w:pPr>
    </w:p>
  </w:footnote>
  <w:footnote w:id="8">
    <w:p w14:paraId="4A5D937C" w14:textId="77777777" w:rsidR="00B32AC9" w:rsidRPr="00795E9E" w:rsidRDefault="00B32AC9" w:rsidP="00151E5A">
      <w:pPr>
        <w:pStyle w:val="FootnoteText"/>
        <w:spacing w:after="60"/>
        <w:rPr>
          <w:sz w:val="18"/>
          <w:szCs w:val="18"/>
        </w:rPr>
      </w:pPr>
      <w:r w:rsidRPr="00795E9E">
        <w:rPr>
          <w:rStyle w:val="FootnoteReference"/>
          <w:sz w:val="18"/>
          <w:szCs w:val="18"/>
        </w:rPr>
        <w:footnoteRef/>
      </w:r>
      <w:r w:rsidRPr="00795E9E">
        <w:rPr>
          <w:sz w:val="18"/>
          <w:szCs w:val="18"/>
        </w:rPr>
        <w:t xml:space="preserve"> This work was undertaken based on initial serving sizes proposed in April 2021. Following public consultation, the recommendations for two categories have changed: Ice-cream (previously 80 g, now 75 g for sticks and 50 g for tubs), and cakes out-of-home (previously 125 g, now 125 g for light/medium cakes, and 150 g for heavy cakes. The inclusion criteria for chilled beverages </w:t>
      </w:r>
      <w:proofErr w:type="gramStart"/>
      <w:r w:rsidRPr="00795E9E">
        <w:rPr>
          <w:sz w:val="18"/>
          <w:szCs w:val="18"/>
        </w:rPr>
        <w:t>has</w:t>
      </w:r>
      <w:proofErr w:type="gramEnd"/>
      <w:r w:rsidRPr="00795E9E">
        <w:rPr>
          <w:sz w:val="18"/>
          <w:szCs w:val="18"/>
        </w:rPr>
        <w:t xml:space="preserve"> also been updated. The modelling has not been repeated in line with revised recommendations as it is expected the impact would be negligible.</w:t>
      </w:r>
    </w:p>
  </w:footnote>
  <w:footnote w:id="9">
    <w:p w14:paraId="4657925A" w14:textId="681295F2" w:rsidR="00B32AC9" w:rsidRPr="00795E9E" w:rsidRDefault="00B32AC9">
      <w:pPr>
        <w:pStyle w:val="FootnoteText"/>
        <w:rPr>
          <w:sz w:val="18"/>
          <w:szCs w:val="18"/>
        </w:rPr>
      </w:pPr>
      <w:r w:rsidRPr="00795E9E">
        <w:rPr>
          <w:sz w:val="18"/>
          <w:szCs w:val="18"/>
          <w:vertAlign w:val="superscript"/>
        </w:rPr>
        <w:footnoteRef/>
      </w:r>
      <w:r w:rsidRPr="00795E9E">
        <w:rPr>
          <w:sz w:val="18"/>
          <w:szCs w:val="18"/>
          <w:vertAlign w:val="superscript"/>
        </w:rPr>
        <w:t xml:space="preserve"> </w:t>
      </w:r>
      <w:r w:rsidRPr="00795E9E">
        <w:rPr>
          <w:sz w:val="18"/>
          <w:szCs w:val="18"/>
        </w:rPr>
        <w:t>The Department of Health was renamed Department of Health and Aged Care in July 2022.</w:t>
      </w:r>
    </w:p>
  </w:footnote>
  <w:footnote w:id="10">
    <w:p w14:paraId="145488AB" w14:textId="4D74E323" w:rsidR="00B32AC9" w:rsidRPr="00795E9E" w:rsidRDefault="00B32AC9" w:rsidP="00AE7AFD">
      <w:pPr>
        <w:pStyle w:val="FootnoteText"/>
        <w:spacing w:after="60"/>
        <w:rPr>
          <w:sz w:val="18"/>
          <w:szCs w:val="18"/>
        </w:rPr>
      </w:pPr>
      <w:r w:rsidRPr="00795E9E">
        <w:rPr>
          <w:rStyle w:val="FootnoteReference"/>
          <w:sz w:val="18"/>
          <w:szCs w:val="18"/>
        </w:rPr>
        <w:footnoteRef/>
      </w:r>
      <w:r w:rsidRPr="00795E9E">
        <w:rPr>
          <w:rStyle w:val="FootnoteReference"/>
          <w:sz w:val="18"/>
          <w:szCs w:val="18"/>
        </w:rPr>
        <w:t xml:space="preserve"> </w:t>
      </w:r>
      <w:r w:rsidRPr="00795E9E">
        <w:rPr>
          <w:sz w:val="18"/>
          <w:szCs w:val="18"/>
        </w:rPr>
        <w:t>Assumptions: population consumption remained constant other than the modelled scenarios; portion size was equivalent to the serving size; serving size recommendations applied to both core and discretionary items; 100% compliance at food supply level.</w:t>
      </w:r>
    </w:p>
  </w:footnote>
  <w:footnote w:id="11">
    <w:p w14:paraId="68F44CDF" w14:textId="77777777" w:rsidR="00B32AC9" w:rsidRPr="00795E9E" w:rsidRDefault="00B32AC9" w:rsidP="003F2B7E">
      <w:pPr>
        <w:pStyle w:val="FootnoteText"/>
        <w:spacing w:after="60"/>
        <w:rPr>
          <w:rFonts w:ascii="Calibri" w:eastAsia="Calibri" w:hAnsi="Calibri" w:cs="Arial"/>
          <w:sz w:val="18"/>
          <w:szCs w:val="18"/>
        </w:rPr>
      </w:pPr>
      <w:r w:rsidRPr="00795E9E">
        <w:rPr>
          <w:rStyle w:val="FootnoteReference"/>
          <w:rFonts w:ascii="Calibri" w:eastAsia="Calibri" w:hAnsi="Calibri" w:cs="Arial"/>
          <w:sz w:val="18"/>
          <w:szCs w:val="18"/>
        </w:rPr>
        <w:footnoteRef/>
      </w:r>
      <w:r w:rsidRPr="00795E9E">
        <w:rPr>
          <w:rFonts w:ascii="Calibri" w:eastAsia="Calibri" w:hAnsi="Calibri" w:cs="Arial"/>
          <w:sz w:val="18"/>
          <w:szCs w:val="18"/>
        </w:rPr>
        <w:t xml:space="preserve"> Organisations who had provided comments on the chilled beverages and cakes out of home categories were invited to provide further comment on these categories in recognitions of changes made following consultation. A mix of industry, public health sector and state government responses to this targeted consultation were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BFCA" w14:textId="10716FF2" w:rsidR="00B47884" w:rsidRPr="00B47884" w:rsidRDefault="00B47884" w:rsidP="00B47884">
    <w:pPr>
      <w:pStyle w:val="Header"/>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B32AC9" w14:paraId="4126333D" w14:textId="77777777" w:rsidTr="0323277E">
      <w:tc>
        <w:tcPr>
          <w:tcW w:w="3210" w:type="dxa"/>
        </w:tcPr>
        <w:p w14:paraId="6DDA42EF" w14:textId="6C20C7C1" w:rsidR="00B32AC9" w:rsidRDefault="00B32AC9" w:rsidP="0323277E">
          <w:pPr>
            <w:pStyle w:val="Header"/>
            <w:ind w:left="-115"/>
          </w:pPr>
        </w:p>
      </w:tc>
      <w:tc>
        <w:tcPr>
          <w:tcW w:w="3210" w:type="dxa"/>
        </w:tcPr>
        <w:p w14:paraId="5C353B31" w14:textId="4C67FAE0" w:rsidR="00B32AC9" w:rsidRDefault="00B32AC9" w:rsidP="0323277E">
          <w:pPr>
            <w:pStyle w:val="Header"/>
            <w:jc w:val="center"/>
          </w:pPr>
        </w:p>
      </w:tc>
      <w:tc>
        <w:tcPr>
          <w:tcW w:w="3210" w:type="dxa"/>
        </w:tcPr>
        <w:p w14:paraId="5916C1EE" w14:textId="2BDEAB2A" w:rsidR="00B32AC9" w:rsidRDefault="00B32AC9" w:rsidP="0323277E">
          <w:pPr>
            <w:pStyle w:val="Header"/>
            <w:ind w:right="-115"/>
            <w:jc w:val="right"/>
          </w:pPr>
        </w:p>
      </w:tc>
    </w:tr>
  </w:tbl>
  <w:p w14:paraId="1ACF23C2" w14:textId="209CE297" w:rsidR="00B32AC9" w:rsidRDefault="00B32AC9" w:rsidP="03232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80B2" w14:textId="0346D8C9" w:rsidR="00B32AC9" w:rsidRPr="00BC18BC" w:rsidRDefault="00B32AC9" w:rsidP="00BC18BC">
    <w:pPr>
      <w:pStyle w:val="Heading1"/>
      <w:spacing w:before="120" w:after="120"/>
      <w:contextualSpacing/>
      <w:jc w:val="right"/>
      <w:rPr>
        <w:rFonts w:ascii="Times New Roman" w:hAnsi="Times New Roman" w:cs="Times New Roman"/>
        <w:sz w:val="24"/>
        <w:szCs w:val="24"/>
        <w:shd w:val="clear" w:color="auto" w:fill="FFFFF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0AD9" w14:textId="3BA3CB12" w:rsidR="00B32AC9" w:rsidRDefault="00B32AC9" w:rsidP="0323277E">
    <w:pPr>
      <w:pStyle w:val="Header"/>
    </w:pPr>
  </w:p>
</w:hdr>
</file>

<file path=word/intelligence2.xml><?xml version="1.0" encoding="utf-8"?>
<int2:intelligence xmlns:int2="http://schemas.microsoft.com/office/intelligence/2020/intelligence" xmlns:oel="http://schemas.microsoft.com/office/2019/extlst">
  <int2:observations>
    <int2:textHash int2:hashCode="bRbl+ygGbsCN1Y" int2:id="+WYbQu/V">
      <int2:state int2:value="Rejected" int2:type="LegacyProofing"/>
    </int2:textHash>
    <int2:textHash int2:hashCode="ws1/6iQHOeWVUu" int2:id="42VLSHZP">
      <int2:state int2:value="Rejected" int2:type="LegacyProofing"/>
    </int2:textHash>
    <int2:textHash int2:hashCode="NkPdJ9i9g1wpGP" int2:id="BXZqfVTf">
      <int2:state int2:value="Rejected" int2:type="AugLoop_Text_Critique"/>
    </int2:textHash>
    <int2:textHash int2:hashCode="1KBog+sZnwTxQg" int2:id="EH+p19o3">
      <int2:state int2:value="Rejected" int2:type="LegacyProofing"/>
    </int2:textHash>
    <int2:textHash int2:hashCode="RmgKZl0ISEoohg" int2:id="Et8OEqXp">
      <int2:state int2:value="Rejected" int2:type="LegacyProofing"/>
    </int2:textHash>
    <int2:textHash int2:hashCode="nqhklpaOcw2say" int2:id="LdnDvlVg">
      <int2:state int2:value="Rejected" int2:type="LegacyProofing"/>
    </int2:textHash>
    <int2:textHash int2:hashCode="FiNCzSReCiV7Qq" int2:id="MBAl0ona">
      <int2:state int2:value="Rejected" int2:type="AugLoop_Text_Critique"/>
    </int2:textHash>
    <int2:textHash int2:hashCode="H3chk1WyDwhjyr" int2:id="MpC1isQ5">
      <int2:state int2:value="Rejected" int2:type="AugLoop_Text_Critique"/>
    </int2:textHash>
    <int2:textHash int2:hashCode="GwJWQkJ6l7EqK8" int2:id="QZQfGgnb">
      <int2:state int2:value="Rejected" int2:type="LegacyProofing"/>
    </int2:textHash>
    <int2:textHash int2:hashCode="F7+m+sIs6ZP2Up" int2:id="UI4HpYRb">
      <int2:state int2:value="Rejected" int2:type="LegacyProofing"/>
    </int2:textHash>
    <int2:textHash int2:hashCode="0lXQ0GySJQ8tJA" int2:id="VaQSizYm">
      <int2:state int2:value="Rejected" int2:type="AugLoop_Text_Critique"/>
    </int2:textHash>
    <int2:textHash int2:hashCode="e0dMsLOcF3PXGS" int2:id="Xx/j9Jve">
      <int2:state int2:value="Rejected" int2:type="AugLoop_Text_Critique"/>
    </int2:textHash>
    <int2:textHash int2:hashCode="xgDzA50uAYUN6A" int2:id="czxYigF9">
      <int2:state int2:value="Rejected" int2:type="AugLoop_Text_Critique"/>
    </int2:textHash>
    <int2:textHash int2:hashCode="eB7TNL1qMkn3G0" int2:id="d5dmNvFL">
      <int2:state int2:value="Rejected" int2:type="LegacyProofing"/>
    </int2:textHash>
    <int2:textHash int2:hashCode="ZdGjZKcdQXLN1H" int2:id="dY4J5Wvr">
      <int2:state int2:value="Rejected" int2:type="AugLoop_Text_Critique"/>
    </int2:textHash>
    <int2:textHash int2:hashCode="qtlU30nYcrjyPl" int2:id="drs7HEiq">
      <int2:state int2:value="Rejected" int2:type="LegacyProofing"/>
    </int2:textHash>
    <int2:textHash int2:hashCode="P2B8KuwiFVUSTI" int2:id="eCbkA+Qu">
      <int2:state int2:value="Rejected" int2:type="AugLoop_Text_Critique"/>
    </int2:textHash>
    <int2:textHash int2:hashCode="AhRB4qs6Dn2AQs" int2:id="fQsiAjjO">
      <int2:state int2:value="Rejected" int2:type="AugLoop_Text_Critique"/>
    </int2:textHash>
    <int2:textHash int2:hashCode="l/ocVLsFUaKv13" int2:id="jVd/3G7V">
      <int2:state int2:value="Rejected" int2:type="LegacyProofing"/>
    </int2:textHash>
    <int2:textHash int2:hashCode="gF5UwzK+aw3pwO" int2:id="rj/eZCgF">
      <int2:state int2:value="Rejected" int2:type="LegacyProofing"/>
    </int2:textHash>
    <int2:textHash int2:hashCode="ziEy+P+JLHHIjX" int2:id="sJzDPQS1">
      <int2:state int2:value="Rejected" int2:type="LegacyProofing"/>
    </int2:textHash>
    <int2:textHash int2:hashCode="mRxRKMviIKMYf0" int2:id="w6a/aPyZ">
      <int2:state int2:value="Rejected" int2:type="AugLoop_Text_Critique"/>
    </int2:textHash>
    <int2:textHash int2:hashCode="cfwPU6h/rq3Z3V" int2:id="wZdviAP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64CB3C"/>
    <w:lvl w:ilvl="0">
      <w:start w:val="1"/>
      <w:numFmt w:val="lowerLetter"/>
      <w:pStyle w:val="ListNumber2"/>
      <w:lvlText w:val="%1."/>
      <w:lvlJc w:val="left"/>
      <w:pPr>
        <w:ind w:left="283" w:hanging="360"/>
      </w:pPr>
    </w:lvl>
  </w:abstractNum>
  <w:abstractNum w:abstractNumId="1" w15:restartNumberingAfterBreak="0">
    <w:nsid w:val="004C0B69"/>
    <w:multiLevelType w:val="hybridMultilevel"/>
    <w:tmpl w:val="F6CEDF7E"/>
    <w:lvl w:ilvl="0" w:tplc="841813EA">
      <w:start w:val="1"/>
      <w:numFmt w:val="bullet"/>
      <w:lvlText w:val=""/>
      <w:lvlJc w:val="left"/>
      <w:pPr>
        <w:ind w:left="720" w:hanging="360"/>
      </w:pPr>
      <w:rPr>
        <w:rFonts w:ascii="Symbol" w:hAnsi="Symbol" w:hint="default"/>
      </w:rPr>
    </w:lvl>
    <w:lvl w:ilvl="1" w:tplc="47BA29F2">
      <w:start w:val="1"/>
      <w:numFmt w:val="bullet"/>
      <w:lvlText w:val="o"/>
      <w:lvlJc w:val="left"/>
      <w:pPr>
        <w:ind w:left="1440" w:hanging="360"/>
      </w:pPr>
      <w:rPr>
        <w:rFonts w:ascii="Courier New" w:hAnsi="Courier New" w:hint="default"/>
      </w:rPr>
    </w:lvl>
    <w:lvl w:ilvl="2" w:tplc="9C7473DA">
      <w:start w:val="1"/>
      <w:numFmt w:val="bullet"/>
      <w:lvlText w:val=""/>
      <w:lvlJc w:val="left"/>
      <w:pPr>
        <w:ind w:left="2160" w:hanging="360"/>
      </w:pPr>
      <w:rPr>
        <w:rFonts w:ascii="Wingdings" w:hAnsi="Wingdings" w:hint="default"/>
      </w:rPr>
    </w:lvl>
    <w:lvl w:ilvl="3" w:tplc="16BEB99E">
      <w:start w:val="1"/>
      <w:numFmt w:val="bullet"/>
      <w:lvlText w:val=""/>
      <w:lvlJc w:val="left"/>
      <w:pPr>
        <w:ind w:left="2880" w:hanging="360"/>
      </w:pPr>
      <w:rPr>
        <w:rFonts w:ascii="Symbol" w:hAnsi="Symbol" w:hint="default"/>
      </w:rPr>
    </w:lvl>
    <w:lvl w:ilvl="4" w:tplc="56B8218A">
      <w:start w:val="1"/>
      <w:numFmt w:val="bullet"/>
      <w:lvlText w:val="o"/>
      <w:lvlJc w:val="left"/>
      <w:pPr>
        <w:ind w:left="3600" w:hanging="360"/>
      </w:pPr>
      <w:rPr>
        <w:rFonts w:ascii="Courier New" w:hAnsi="Courier New" w:hint="default"/>
      </w:rPr>
    </w:lvl>
    <w:lvl w:ilvl="5" w:tplc="1F9873DE">
      <w:start w:val="1"/>
      <w:numFmt w:val="bullet"/>
      <w:lvlText w:val=""/>
      <w:lvlJc w:val="left"/>
      <w:pPr>
        <w:ind w:left="4320" w:hanging="360"/>
      </w:pPr>
      <w:rPr>
        <w:rFonts w:ascii="Wingdings" w:hAnsi="Wingdings" w:hint="default"/>
      </w:rPr>
    </w:lvl>
    <w:lvl w:ilvl="6" w:tplc="895E7B78">
      <w:start w:val="1"/>
      <w:numFmt w:val="bullet"/>
      <w:lvlText w:val=""/>
      <w:lvlJc w:val="left"/>
      <w:pPr>
        <w:ind w:left="5040" w:hanging="360"/>
      </w:pPr>
      <w:rPr>
        <w:rFonts w:ascii="Symbol" w:hAnsi="Symbol" w:hint="default"/>
      </w:rPr>
    </w:lvl>
    <w:lvl w:ilvl="7" w:tplc="38DEE5B2">
      <w:start w:val="1"/>
      <w:numFmt w:val="bullet"/>
      <w:lvlText w:val="o"/>
      <w:lvlJc w:val="left"/>
      <w:pPr>
        <w:ind w:left="5760" w:hanging="360"/>
      </w:pPr>
      <w:rPr>
        <w:rFonts w:ascii="Courier New" w:hAnsi="Courier New" w:hint="default"/>
      </w:rPr>
    </w:lvl>
    <w:lvl w:ilvl="8" w:tplc="8530E0A2">
      <w:start w:val="1"/>
      <w:numFmt w:val="bullet"/>
      <w:lvlText w:val=""/>
      <w:lvlJc w:val="left"/>
      <w:pPr>
        <w:ind w:left="6480" w:hanging="360"/>
      </w:pPr>
      <w:rPr>
        <w:rFonts w:ascii="Wingdings" w:hAnsi="Wingdings" w:hint="default"/>
      </w:rPr>
    </w:lvl>
  </w:abstractNum>
  <w:abstractNum w:abstractNumId="2" w15:restartNumberingAfterBreak="0">
    <w:nsid w:val="035E6F13"/>
    <w:multiLevelType w:val="hybridMultilevel"/>
    <w:tmpl w:val="F8127CDA"/>
    <w:lvl w:ilvl="0" w:tplc="B3D09F60">
      <w:start w:val="2"/>
      <w:numFmt w:val="decimal"/>
      <w:lvlText w:val="%1."/>
      <w:lvlJc w:val="left"/>
      <w:pPr>
        <w:tabs>
          <w:tab w:val="num" w:pos="720"/>
        </w:tabs>
        <w:ind w:left="720" w:hanging="360"/>
      </w:pPr>
    </w:lvl>
    <w:lvl w:ilvl="1" w:tplc="C6D43ABC" w:tentative="1">
      <w:start w:val="1"/>
      <w:numFmt w:val="decimal"/>
      <w:lvlText w:val="%2."/>
      <w:lvlJc w:val="left"/>
      <w:pPr>
        <w:tabs>
          <w:tab w:val="num" w:pos="1440"/>
        </w:tabs>
        <w:ind w:left="1440" w:hanging="360"/>
      </w:pPr>
    </w:lvl>
    <w:lvl w:ilvl="2" w:tplc="BE567D6E" w:tentative="1">
      <w:start w:val="1"/>
      <w:numFmt w:val="decimal"/>
      <w:lvlText w:val="%3."/>
      <w:lvlJc w:val="left"/>
      <w:pPr>
        <w:tabs>
          <w:tab w:val="num" w:pos="2160"/>
        </w:tabs>
        <w:ind w:left="2160" w:hanging="360"/>
      </w:pPr>
    </w:lvl>
    <w:lvl w:ilvl="3" w:tplc="6BBC9894" w:tentative="1">
      <w:start w:val="1"/>
      <w:numFmt w:val="decimal"/>
      <w:lvlText w:val="%4."/>
      <w:lvlJc w:val="left"/>
      <w:pPr>
        <w:tabs>
          <w:tab w:val="num" w:pos="2880"/>
        </w:tabs>
        <w:ind w:left="2880" w:hanging="360"/>
      </w:pPr>
    </w:lvl>
    <w:lvl w:ilvl="4" w:tplc="F40299C4" w:tentative="1">
      <w:start w:val="1"/>
      <w:numFmt w:val="decimal"/>
      <w:lvlText w:val="%5."/>
      <w:lvlJc w:val="left"/>
      <w:pPr>
        <w:tabs>
          <w:tab w:val="num" w:pos="3600"/>
        </w:tabs>
        <w:ind w:left="3600" w:hanging="360"/>
      </w:pPr>
    </w:lvl>
    <w:lvl w:ilvl="5" w:tplc="8822E906" w:tentative="1">
      <w:start w:val="1"/>
      <w:numFmt w:val="decimal"/>
      <w:lvlText w:val="%6."/>
      <w:lvlJc w:val="left"/>
      <w:pPr>
        <w:tabs>
          <w:tab w:val="num" w:pos="4320"/>
        </w:tabs>
        <w:ind w:left="4320" w:hanging="360"/>
      </w:pPr>
    </w:lvl>
    <w:lvl w:ilvl="6" w:tplc="492EB7D2" w:tentative="1">
      <w:start w:val="1"/>
      <w:numFmt w:val="decimal"/>
      <w:lvlText w:val="%7."/>
      <w:lvlJc w:val="left"/>
      <w:pPr>
        <w:tabs>
          <w:tab w:val="num" w:pos="5040"/>
        </w:tabs>
        <w:ind w:left="5040" w:hanging="360"/>
      </w:pPr>
    </w:lvl>
    <w:lvl w:ilvl="7" w:tplc="A6C6A79A" w:tentative="1">
      <w:start w:val="1"/>
      <w:numFmt w:val="decimal"/>
      <w:lvlText w:val="%8."/>
      <w:lvlJc w:val="left"/>
      <w:pPr>
        <w:tabs>
          <w:tab w:val="num" w:pos="5760"/>
        </w:tabs>
        <w:ind w:left="5760" w:hanging="360"/>
      </w:pPr>
    </w:lvl>
    <w:lvl w:ilvl="8" w:tplc="325C4650" w:tentative="1">
      <w:start w:val="1"/>
      <w:numFmt w:val="decimal"/>
      <w:lvlText w:val="%9."/>
      <w:lvlJc w:val="left"/>
      <w:pPr>
        <w:tabs>
          <w:tab w:val="num" w:pos="6480"/>
        </w:tabs>
        <w:ind w:left="6480" w:hanging="360"/>
      </w:pPr>
    </w:lvl>
  </w:abstractNum>
  <w:abstractNum w:abstractNumId="3" w15:restartNumberingAfterBreak="0">
    <w:nsid w:val="03737BB4"/>
    <w:multiLevelType w:val="multilevel"/>
    <w:tmpl w:val="0D105E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4154FAE"/>
    <w:multiLevelType w:val="hybridMultilevel"/>
    <w:tmpl w:val="16E48FAA"/>
    <w:lvl w:ilvl="0" w:tplc="04D0D742">
      <w:start w:val="5"/>
      <w:numFmt w:val="decimal"/>
      <w:lvlText w:val="%1."/>
      <w:lvlJc w:val="left"/>
      <w:pPr>
        <w:tabs>
          <w:tab w:val="num" w:pos="720"/>
        </w:tabs>
        <w:ind w:left="720" w:hanging="360"/>
      </w:pPr>
    </w:lvl>
    <w:lvl w:ilvl="1" w:tplc="C0E47670" w:tentative="1">
      <w:start w:val="1"/>
      <w:numFmt w:val="decimal"/>
      <w:lvlText w:val="%2."/>
      <w:lvlJc w:val="left"/>
      <w:pPr>
        <w:tabs>
          <w:tab w:val="num" w:pos="1440"/>
        </w:tabs>
        <w:ind w:left="1440" w:hanging="360"/>
      </w:pPr>
    </w:lvl>
    <w:lvl w:ilvl="2" w:tplc="15BC1B6A" w:tentative="1">
      <w:start w:val="1"/>
      <w:numFmt w:val="decimal"/>
      <w:lvlText w:val="%3."/>
      <w:lvlJc w:val="left"/>
      <w:pPr>
        <w:tabs>
          <w:tab w:val="num" w:pos="2160"/>
        </w:tabs>
        <w:ind w:left="2160" w:hanging="360"/>
      </w:pPr>
    </w:lvl>
    <w:lvl w:ilvl="3" w:tplc="2E028AE0" w:tentative="1">
      <w:start w:val="1"/>
      <w:numFmt w:val="decimal"/>
      <w:lvlText w:val="%4."/>
      <w:lvlJc w:val="left"/>
      <w:pPr>
        <w:tabs>
          <w:tab w:val="num" w:pos="2880"/>
        </w:tabs>
        <w:ind w:left="2880" w:hanging="360"/>
      </w:pPr>
    </w:lvl>
    <w:lvl w:ilvl="4" w:tplc="45680E22" w:tentative="1">
      <w:start w:val="1"/>
      <w:numFmt w:val="decimal"/>
      <w:lvlText w:val="%5."/>
      <w:lvlJc w:val="left"/>
      <w:pPr>
        <w:tabs>
          <w:tab w:val="num" w:pos="3600"/>
        </w:tabs>
        <w:ind w:left="3600" w:hanging="360"/>
      </w:pPr>
    </w:lvl>
    <w:lvl w:ilvl="5" w:tplc="A5202B00" w:tentative="1">
      <w:start w:val="1"/>
      <w:numFmt w:val="decimal"/>
      <w:lvlText w:val="%6."/>
      <w:lvlJc w:val="left"/>
      <w:pPr>
        <w:tabs>
          <w:tab w:val="num" w:pos="4320"/>
        </w:tabs>
        <w:ind w:left="4320" w:hanging="360"/>
      </w:pPr>
    </w:lvl>
    <w:lvl w:ilvl="6" w:tplc="F64A1FBE" w:tentative="1">
      <w:start w:val="1"/>
      <w:numFmt w:val="decimal"/>
      <w:lvlText w:val="%7."/>
      <w:lvlJc w:val="left"/>
      <w:pPr>
        <w:tabs>
          <w:tab w:val="num" w:pos="5040"/>
        </w:tabs>
        <w:ind w:left="5040" w:hanging="360"/>
      </w:pPr>
    </w:lvl>
    <w:lvl w:ilvl="7" w:tplc="1EDE7C1A" w:tentative="1">
      <w:start w:val="1"/>
      <w:numFmt w:val="decimal"/>
      <w:lvlText w:val="%8."/>
      <w:lvlJc w:val="left"/>
      <w:pPr>
        <w:tabs>
          <w:tab w:val="num" w:pos="5760"/>
        </w:tabs>
        <w:ind w:left="5760" w:hanging="360"/>
      </w:pPr>
    </w:lvl>
    <w:lvl w:ilvl="8" w:tplc="987EAECE" w:tentative="1">
      <w:start w:val="1"/>
      <w:numFmt w:val="decimal"/>
      <w:lvlText w:val="%9."/>
      <w:lvlJc w:val="left"/>
      <w:pPr>
        <w:tabs>
          <w:tab w:val="num" w:pos="6480"/>
        </w:tabs>
        <w:ind w:left="6480" w:hanging="360"/>
      </w:pPr>
    </w:lvl>
  </w:abstractNum>
  <w:abstractNum w:abstractNumId="5" w15:restartNumberingAfterBreak="0">
    <w:nsid w:val="04696709"/>
    <w:multiLevelType w:val="hybridMultilevel"/>
    <w:tmpl w:val="06309C0A"/>
    <w:lvl w:ilvl="0" w:tplc="95A0BDF6">
      <w:start w:val="1"/>
      <w:numFmt w:val="decimal"/>
      <w:lvlText w:val="%1."/>
      <w:lvlJc w:val="left"/>
      <w:pPr>
        <w:ind w:left="720" w:hanging="360"/>
      </w:pPr>
    </w:lvl>
    <w:lvl w:ilvl="1" w:tplc="FB6E3AB8">
      <w:start w:val="1"/>
      <w:numFmt w:val="lowerLetter"/>
      <w:lvlText w:val="%2."/>
      <w:lvlJc w:val="left"/>
      <w:pPr>
        <w:ind w:left="1440" w:hanging="360"/>
      </w:pPr>
    </w:lvl>
    <w:lvl w:ilvl="2" w:tplc="F1EEEFE6">
      <w:start w:val="1"/>
      <w:numFmt w:val="lowerRoman"/>
      <w:lvlText w:val="%3."/>
      <w:lvlJc w:val="right"/>
      <w:pPr>
        <w:ind w:left="2160" w:hanging="180"/>
      </w:pPr>
    </w:lvl>
    <w:lvl w:ilvl="3" w:tplc="0AF236B0">
      <w:start w:val="1"/>
      <w:numFmt w:val="decimal"/>
      <w:lvlText w:val="%4."/>
      <w:lvlJc w:val="left"/>
      <w:pPr>
        <w:ind w:left="2880" w:hanging="360"/>
      </w:pPr>
    </w:lvl>
    <w:lvl w:ilvl="4" w:tplc="6770AF7C">
      <w:start w:val="1"/>
      <w:numFmt w:val="lowerLetter"/>
      <w:lvlText w:val="%5."/>
      <w:lvlJc w:val="left"/>
      <w:pPr>
        <w:ind w:left="3600" w:hanging="360"/>
      </w:pPr>
    </w:lvl>
    <w:lvl w:ilvl="5" w:tplc="C576E404">
      <w:start w:val="1"/>
      <w:numFmt w:val="lowerRoman"/>
      <w:lvlText w:val="%6."/>
      <w:lvlJc w:val="right"/>
      <w:pPr>
        <w:ind w:left="4320" w:hanging="180"/>
      </w:pPr>
    </w:lvl>
    <w:lvl w:ilvl="6" w:tplc="EC725C22">
      <w:start w:val="1"/>
      <w:numFmt w:val="decimal"/>
      <w:lvlText w:val="%7."/>
      <w:lvlJc w:val="left"/>
      <w:pPr>
        <w:ind w:left="5040" w:hanging="360"/>
      </w:pPr>
    </w:lvl>
    <w:lvl w:ilvl="7" w:tplc="1E122452">
      <w:start w:val="1"/>
      <w:numFmt w:val="lowerLetter"/>
      <w:lvlText w:val="%8."/>
      <w:lvlJc w:val="left"/>
      <w:pPr>
        <w:ind w:left="5760" w:hanging="360"/>
      </w:pPr>
    </w:lvl>
    <w:lvl w:ilvl="8" w:tplc="E2124E78">
      <w:start w:val="1"/>
      <w:numFmt w:val="lowerRoman"/>
      <w:lvlText w:val="%9."/>
      <w:lvlJc w:val="right"/>
      <w:pPr>
        <w:ind w:left="6480" w:hanging="180"/>
      </w:pPr>
    </w:lvl>
  </w:abstractNum>
  <w:abstractNum w:abstractNumId="6" w15:restartNumberingAfterBreak="0">
    <w:nsid w:val="06887FCF"/>
    <w:multiLevelType w:val="hybridMultilevel"/>
    <w:tmpl w:val="03E4CEC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C57FA"/>
    <w:multiLevelType w:val="hybridMultilevel"/>
    <w:tmpl w:val="2E3868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0A13A6"/>
    <w:multiLevelType w:val="hybridMultilevel"/>
    <w:tmpl w:val="06566CB0"/>
    <w:lvl w:ilvl="0" w:tplc="90BA9378">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FF4332D"/>
    <w:multiLevelType w:val="hybridMultilevel"/>
    <w:tmpl w:val="421E0D1C"/>
    <w:lvl w:ilvl="0" w:tplc="BB08BCBE">
      <w:start w:val="1"/>
      <w:numFmt w:val="bullet"/>
      <w:lvlText w:val=""/>
      <w:lvlJc w:val="left"/>
      <w:pPr>
        <w:ind w:left="720" w:hanging="360"/>
      </w:pPr>
      <w:rPr>
        <w:rFonts w:ascii="Symbol" w:hAnsi="Symbol" w:hint="default"/>
      </w:rPr>
    </w:lvl>
    <w:lvl w:ilvl="1" w:tplc="36F6F722">
      <w:start w:val="1"/>
      <w:numFmt w:val="bullet"/>
      <w:lvlText w:val="o"/>
      <w:lvlJc w:val="left"/>
      <w:pPr>
        <w:ind w:left="1440" w:hanging="360"/>
      </w:pPr>
      <w:rPr>
        <w:rFonts w:ascii="Courier New" w:hAnsi="Courier New" w:hint="default"/>
      </w:rPr>
    </w:lvl>
    <w:lvl w:ilvl="2" w:tplc="74AA170C">
      <w:start w:val="1"/>
      <w:numFmt w:val="bullet"/>
      <w:lvlText w:val=""/>
      <w:lvlJc w:val="left"/>
      <w:pPr>
        <w:ind w:left="2160" w:hanging="360"/>
      </w:pPr>
      <w:rPr>
        <w:rFonts w:ascii="Wingdings" w:hAnsi="Wingdings" w:hint="default"/>
      </w:rPr>
    </w:lvl>
    <w:lvl w:ilvl="3" w:tplc="986008D0">
      <w:start w:val="1"/>
      <w:numFmt w:val="bullet"/>
      <w:lvlText w:val=""/>
      <w:lvlJc w:val="left"/>
      <w:pPr>
        <w:ind w:left="2880" w:hanging="360"/>
      </w:pPr>
      <w:rPr>
        <w:rFonts w:ascii="Symbol" w:hAnsi="Symbol" w:hint="default"/>
      </w:rPr>
    </w:lvl>
    <w:lvl w:ilvl="4" w:tplc="5CEC5F0A">
      <w:start w:val="1"/>
      <w:numFmt w:val="bullet"/>
      <w:lvlText w:val="o"/>
      <w:lvlJc w:val="left"/>
      <w:pPr>
        <w:ind w:left="3600" w:hanging="360"/>
      </w:pPr>
      <w:rPr>
        <w:rFonts w:ascii="Courier New" w:hAnsi="Courier New" w:hint="default"/>
      </w:rPr>
    </w:lvl>
    <w:lvl w:ilvl="5" w:tplc="99FCD73C">
      <w:start w:val="1"/>
      <w:numFmt w:val="bullet"/>
      <w:lvlText w:val=""/>
      <w:lvlJc w:val="left"/>
      <w:pPr>
        <w:ind w:left="4320" w:hanging="360"/>
      </w:pPr>
      <w:rPr>
        <w:rFonts w:ascii="Wingdings" w:hAnsi="Wingdings" w:hint="default"/>
      </w:rPr>
    </w:lvl>
    <w:lvl w:ilvl="6" w:tplc="951CDAA8">
      <w:start w:val="1"/>
      <w:numFmt w:val="bullet"/>
      <w:lvlText w:val=""/>
      <w:lvlJc w:val="left"/>
      <w:pPr>
        <w:ind w:left="5040" w:hanging="360"/>
      </w:pPr>
      <w:rPr>
        <w:rFonts w:ascii="Symbol" w:hAnsi="Symbol" w:hint="default"/>
      </w:rPr>
    </w:lvl>
    <w:lvl w:ilvl="7" w:tplc="EC5E51AE">
      <w:start w:val="1"/>
      <w:numFmt w:val="bullet"/>
      <w:lvlText w:val="o"/>
      <w:lvlJc w:val="left"/>
      <w:pPr>
        <w:ind w:left="5760" w:hanging="360"/>
      </w:pPr>
      <w:rPr>
        <w:rFonts w:ascii="Courier New" w:hAnsi="Courier New" w:hint="default"/>
      </w:rPr>
    </w:lvl>
    <w:lvl w:ilvl="8" w:tplc="0C741E14">
      <w:start w:val="1"/>
      <w:numFmt w:val="bullet"/>
      <w:lvlText w:val=""/>
      <w:lvlJc w:val="left"/>
      <w:pPr>
        <w:ind w:left="6480" w:hanging="360"/>
      </w:pPr>
      <w:rPr>
        <w:rFonts w:ascii="Wingdings" w:hAnsi="Wingdings" w:hint="default"/>
      </w:rPr>
    </w:lvl>
  </w:abstractNum>
  <w:abstractNum w:abstractNumId="10" w15:restartNumberingAfterBreak="0">
    <w:nsid w:val="113E3238"/>
    <w:multiLevelType w:val="hybridMultilevel"/>
    <w:tmpl w:val="A2C25E18"/>
    <w:lvl w:ilvl="0" w:tplc="36DE3EB4">
      <w:start w:val="1"/>
      <w:numFmt w:val="bullet"/>
      <w:lvlText w:val=""/>
      <w:lvlJc w:val="left"/>
      <w:pPr>
        <w:ind w:left="720" w:hanging="360"/>
      </w:pPr>
      <w:rPr>
        <w:rFonts w:ascii="Symbol" w:hAnsi="Symbol" w:hint="default"/>
      </w:rPr>
    </w:lvl>
    <w:lvl w:ilvl="1" w:tplc="F45E41D0">
      <w:start w:val="1"/>
      <w:numFmt w:val="bullet"/>
      <w:lvlText w:val="o"/>
      <w:lvlJc w:val="left"/>
      <w:pPr>
        <w:ind w:left="1440" w:hanging="360"/>
      </w:pPr>
      <w:rPr>
        <w:rFonts w:ascii="Courier New" w:hAnsi="Courier New" w:hint="default"/>
      </w:rPr>
    </w:lvl>
    <w:lvl w:ilvl="2" w:tplc="18F6D578">
      <w:start w:val="1"/>
      <w:numFmt w:val="bullet"/>
      <w:lvlText w:val=""/>
      <w:lvlJc w:val="left"/>
      <w:pPr>
        <w:ind w:left="2160" w:hanging="360"/>
      </w:pPr>
      <w:rPr>
        <w:rFonts w:ascii="Wingdings" w:hAnsi="Wingdings" w:hint="default"/>
      </w:rPr>
    </w:lvl>
    <w:lvl w:ilvl="3" w:tplc="1428C94C">
      <w:start w:val="1"/>
      <w:numFmt w:val="bullet"/>
      <w:lvlText w:val=""/>
      <w:lvlJc w:val="left"/>
      <w:pPr>
        <w:ind w:left="2880" w:hanging="360"/>
      </w:pPr>
      <w:rPr>
        <w:rFonts w:ascii="Symbol" w:hAnsi="Symbol" w:hint="default"/>
      </w:rPr>
    </w:lvl>
    <w:lvl w:ilvl="4" w:tplc="F18C1BC4">
      <w:start w:val="1"/>
      <w:numFmt w:val="bullet"/>
      <w:lvlText w:val="o"/>
      <w:lvlJc w:val="left"/>
      <w:pPr>
        <w:ind w:left="3600" w:hanging="360"/>
      </w:pPr>
      <w:rPr>
        <w:rFonts w:ascii="Courier New" w:hAnsi="Courier New" w:hint="default"/>
      </w:rPr>
    </w:lvl>
    <w:lvl w:ilvl="5" w:tplc="7958BA24">
      <w:start w:val="1"/>
      <w:numFmt w:val="bullet"/>
      <w:lvlText w:val=""/>
      <w:lvlJc w:val="left"/>
      <w:pPr>
        <w:ind w:left="4320" w:hanging="360"/>
      </w:pPr>
      <w:rPr>
        <w:rFonts w:ascii="Wingdings" w:hAnsi="Wingdings" w:hint="default"/>
      </w:rPr>
    </w:lvl>
    <w:lvl w:ilvl="6" w:tplc="962EF7D6">
      <w:start w:val="1"/>
      <w:numFmt w:val="bullet"/>
      <w:lvlText w:val=""/>
      <w:lvlJc w:val="left"/>
      <w:pPr>
        <w:ind w:left="5040" w:hanging="360"/>
      </w:pPr>
      <w:rPr>
        <w:rFonts w:ascii="Symbol" w:hAnsi="Symbol" w:hint="default"/>
      </w:rPr>
    </w:lvl>
    <w:lvl w:ilvl="7" w:tplc="909EA7EA">
      <w:start w:val="1"/>
      <w:numFmt w:val="bullet"/>
      <w:lvlText w:val="o"/>
      <w:lvlJc w:val="left"/>
      <w:pPr>
        <w:ind w:left="5760" w:hanging="360"/>
      </w:pPr>
      <w:rPr>
        <w:rFonts w:ascii="Courier New" w:hAnsi="Courier New" w:hint="default"/>
      </w:rPr>
    </w:lvl>
    <w:lvl w:ilvl="8" w:tplc="33E0A11C">
      <w:start w:val="1"/>
      <w:numFmt w:val="bullet"/>
      <w:lvlText w:val=""/>
      <w:lvlJc w:val="left"/>
      <w:pPr>
        <w:ind w:left="6480" w:hanging="360"/>
      </w:pPr>
      <w:rPr>
        <w:rFonts w:ascii="Wingdings" w:hAnsi="Wingdings" w:hint="default"/>
      </w:rPr>
    </w:lvl>
  </w:abstractNum>
  <w:abstractNum w:abstractNumId="11" w15:restartNumberingAfterBreak="0">
    <w:nsid w:val="13E728C8"/>
    <w:multiLevelType w:val="hybridMultilevel"/>
    <w:tmpl w:val="7C5652C2"/>
    <w:lvl w:ilvl="0" w:tplc="1E7608AC">
      <w:start w:val="1"/>
      <w:numFmt w:val="bullet"/>
      <w:lvlText w:val="o"/>
      <w:lvlJc w:val="left"/>
      <w:pPr>
        <w:ind w:left="720" w:hanging="360"/>
      </w:pPr>
      <w:rPr>
        <w:rFonts w:ascii="Courier New" w:hAnsi="Courier New" w:hint="default"/>
      </w:rPr>
    </w:lvl>
    <w:lvl w:ilvl="1" w:tplc="5A027732">
      <w:start w:val="1"/>
      <w:numFmt w:val="bullet"/>
      <w:lvlText w:val="o"/>
      <w:lvlJc w:val="left"/>
      <w:pPr>
        <w:ind w:left="1440" w:hanging="360"/>
      </w:pPr>
      <w:rPr>
        <w:rFonts w:ascii="Courier New" w:hAnsi="Courier New" w:hint="default"/>
      </w:rPr>
    </w:lvl>
    <w:lvl w:ilvl="2" w:tplc="5FB29F90">
      <w:start w:val="1"/>
      <w:numFmt w:val="bullet"/>
      <w:lvlText w:val=""/>
      <w:lvlJc w:val="left"/>
      <w:pPr>
        <w:ind w:left="2160" w:hanging="360"/>
      </w:pPr>
      <w:rPr>
        <w:rFonts w:ascii="Wingdings" w:hAnsi="Wingdings" w:hint="default"/>
      </w:rPr>
    </w:lvl>
    <w:lvl w:ilvl="3" w:tplc="E4CAC152">
      <w:start w:val="1"/>
      <w:numFmt w:val="bullet"/>
      <w:lvlText w:val=""/>
      <w:lvlJc w:val="left"/>
      <w:pPr>
        <w:ind w:left="2880" w:hanging="360"/>
      </w:pPr>
      <w:rPr>
        <w:rFonts w:ascii="Symbol" w:hAnsi="Symbol" w:hint="default"/>
      </w:rPr>
    </w:lvl>
    <w:lvl w:ilvl="4" w:tplc="E1947480">
      <w:start w:val="1"/>
      <w:numFmt w:val="bullet"/>
      <w:lvlText w:val="o"/>
      <w:lvlJc w:val="left"/>
      <w:pPr>
        <w:ind w:left="3600" w:hanging="360"/>
      </w:pPr>
      <w:rPr>
        <w:rFonts w:ascii="Courier New" w:hAnsi="Courier New" w:hint="default"/>
      </w:rPr>
    </w:lvl>
    <w:lvl w:ilvl="5" w:tplc="C47C546A">
      <w:start w:val="1"/>
      <w:numFmt w:val="bullet"/>
      <w:lvlText w:val=""/>
      <w:lvlJc w:val="left"/>
      <w:pPr>
        <w:ind w:left="4320" w:hanging="360"/>
      </w:pPr>
      <w:rPr>
        <w:rFonts w:ascii="Wingdings" w:hAnsi="Wingdings" w:hint="default"/>
      </w:rPr>
    </w:lvl>
    <w:lvl w:ilvl="6" w:tplc="BE68423E">
      <w:start w:val="1"/>
      <w:numFmt w:val="bullet"/>
      <w:lvlText w:val=""/>
      <w:lvlJc w:val="left"/>
      <w:pPr>
        <w:ind w:left="5040" w:hanging="360"/>
      </w:pPr>
      <w:rPr>
        <w:rFonts w:ascii="Symbol" w:hAnsi="Symbol" w:hint="default"/>
      </w:rPr>
    </w:lvl>
    <w:lvl w:ilvl="7" w:tplc="AEC08272">
      <w:start w:val="1"/>
      <w:numFmt w:val="bullet"/>
      <w:lvlText w:val="o"/>
      <w:lvlJc w:val="left"/>
      <w:pPr>
        <w:ind w:left="5760" w:hanging="360"/>
      </w:pPr>
      <w:rPr>
        <w:rFonts w:ascii="Courier New" w:hAnsi="Courier New" w:hint="default"/>
      </w:rPr>
    </w:lvl>
    <w:lvl w:ilvl="8" w:tplc="CF161250">
      <w:start w:val="1"/>
      <w:numFmt w:val="bullet"/>
      <w:lvlText w:val=""/>
      <w:lvlJc w:val="left"/>
      <w:pPr>
        <w:ind w:left="6480" w:hanging="360"/>
      </w:pPr>
      <w:rPr>
        <w:rFonts w:ascii="Wingdings" w:hAnsi="Wingdings" w:hint="default"/>
      </w:rPr>
    </w:lvl>
  </w:abstractNum>
  <w:abstractNum w:abstractNumId="12" w15:restartNumberingAfterBreak="0">
    <w:nsid w:val="144D7C1F"/>
    <w:multiLevelType w:val="multilevel"/>
    <w:tmpl w:val="5E127334"/>
    <w:lvl w:ilvl="0">
      <w:start w:val="1"/>
      <w:numFmt w:val="decimal"/>
      <w:lvlText w:val="%1."/>
      <w:lvlJc w:val="left"/>
      <w:pPr>
        <w:ind w:left="360" w:hanging="360"/>
      </w:pPr>
      <w:rPr>
        <w:b/>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EB1FD6"/>
    <w:multiLevelType w:val="hybridMultilevel"/>
    <w:tmpl w:val="207A5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E7466"/>
    <w:multiLevelType w:val="hybridMultilevel"/>
    <w:tmpl w:val="8A78A3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1709CA"/>
    <w:multiLevelType w:val="hybridMultilevel"/>
    <w:tmpl w:val="710A07A2"/>
    <w:lvl w:ilvl="0" w:tplc="52BC5C90">
      <w:start w:val="1"/>
      <w:numFmt w:val="decimal"/>
      <w:lvlText w:val="%1."/>
      <w:lvlJc w:val="left"/>
      <w:pPr>
        <w:ind w:left="720" w:hanging="360"/>
      </w:pPr>
    </w:lvl>
    <w:lvl w:ilvl="1" w:tplc="90B857DE">
      <w:start w:val="1"/>
      <w:numFmt w:val="lowerLetter"/>
      <w:lvlText w:val="%2."/>
      <w:lvlJc w:val="left"/>
      <w:pPr>
        <w:ind w:left="1440" w:hanging="360"/>
      </w:pPr>
    </w:lvl>
    <w:lvl w:ilvl="2" w:tplc="65BAE528">
      <w:start w:val="1"/>
      <w:numFmt w:val="lowerRoman"/>
      <w:lvlText w:val="%3."/>
      <w:lvlJc w:val="right"/>
      <w:pPr>
        <w:ind w:left="2160" w:hanging="180"/>
      </w:pPr>
    </w:lvl>
    <w:lvl w:ilvl="3" w:tplc="C870F7D4">
      <w:start w:val="1"/>
      <w:numFmt w:val="decimal"/>
      <w:lvlText w:val="%4."/>
      <w:lvlJc w:val="left"/>
      <w:pPr>
        <w:ind w:left="2880" w:hanging="360"/>
      </w:pPr>
    </w:lvl>
    <w:lvl w:ilvl="4" w:tplc="1636818C">
      <w:start w:val="1"/>
      <w:numFmt w:val="lowerLetter"/>
      <w:lvlText w:val="%5."/>
      <w:lvlJc w:val="left"/>
      <w:pPr>
        <w:ind w:left="3600" w:hanging="360"/>
      </w:pPr>
    </w:lvl>
    <w:lvl w:ilvl="5" w:tplc="708C1D5C">
      <w:start w:val="1"/>
      <w:numFmt w:val="lowerRoman"/>
      <w:lvlText w:val="%6."/>
      <w:lvlJc w:val="right"/>
      <w:pPr>
        <w:ind w:left="4320" w:hanging="180"/>
      </w:pPr>
    </w:lvl>
    <w:lvl w:ilvl="6" w:tplc="D8A012F2">
      <w:start w:val="1"/>
      <w:numFmt w:val="decimal"/>
      <w:lvlText w:val="%7."/>
      <w:lvlJc w:val="left"/>
      <w:pPr>
        <w:ind w:left="5040" w:hanging="360"/>
      </w:pPr>
    </w:lvl>
    <w:lvl w:ilvl="7" w:tplc="2716E4F2">
      <w:start w:val="1"/>
      <w:numFmt w:val="lowerLetter"/>
      <w:lvlText w:val="%8."/>
      <w:lvlJc w:val="left"/>
      <w:pPr>
        <w:ind w:left="5760" w:hanging="360"/>
      </w:pPr>
    </w:lvl>
    <w:lvl w:ilvl="8" w:tplc="DCF66976">
      <w:start w:val="1"/>
      <w:numFmt w:val="lowerRoman"/>
      <w:lvlText w:val="%9."/>
      <w:lvlJc w:val="right"/>
      <w:pPr>
        <w:ind w:left="6480" w:hanging="180"/>
      </w:pPr>
    </w:lvl>
  </w:abstractNum>
  <w:abstractNum w:abstractNumId="16" w15:restartNumberingAfterBreak="0">
    <w:nsid w:val="18C7336F"/>
    <w:multiLevelType w:val="hybridMultilevel"/>
    <w:tmpl w:val="D47E7B4C"/>
    <w:lvl w:ilvl="0" w:tplc="0C090001">
      <w:start w:val="1"/>
      <w:numFmt w:val="bullet"/>
      <w:lvlText w:val=""/>
      <w:lvlJc w:val="left"/>
      <w:pPr>
        <w:ind w:left="720" w:hanging="360"/>
      </w:pPr>
      <w:rPr>
        <w:rFonts w:ascii="Symbol" w:hAnsi="Symbol" w:hint="default"/>
      </w:rPr>
    </w:lvl>
    <w:lvl w:ilvl="1" w:tplc="5A027732">
      <w:start w:val="1"/>
      <w:numFmt w:val="bullet"/>
      <w:lvlText w:val="o"/>
      <w:lvlJc w:val="left"/>
      <w:pPr>
        <w:ind w:left="1440" w:hanging="360"/>
      </w:pPr>
      <w:rPr>
        <w:rFonts w:ascii="Courier New" w:hAnsi="Courier New" w:hint="default"/>
      </w:rPr>
    </w:lvl>
    <w:lvl w:ilvl="2" w:tplc="5FB29F90">
      <w:start w:val="1"/>
      <w:numFmt w:val="bullet"/>
      <w:lvlText w:val=""/>
      <w:lvlJc w:val="left"/>
      <w:pPr>
        <w:ind w:left="2160" w:hanging="360"/>
      </w:pPr>
      <w:rPr>
        <w:rFonts w:ascii="Wingdings" w:hAnsi="Wingdings" w:hint="default"/>
      </w:rPr>
    </w:lvl>
    <w:lvl w:ilvl="3" w:tplc="E4CAC152">
      <w:start w:val="1"/>
      <w:numFmt w:val="bullet"/>
      <w:lvlText w:val=""/>
      <w:lvlJc w:val="left"/>
      <w:pPr>
        <w:ind w:left="2880" w:hanging="360"/>
      </w:pPr>
      <w:rPr>
        <w:rFonts w:ascii="Symbol" w:hAnsi="Symbol" w:hint="default"/>
      </w:rPr>
    </w:lvl>
    <w:lvl w:ilvl="4" w:tplc="E1947480">
      <w:start w:val="1"/>
      <w:numFmt w:val="bullet"/>
      <w:lvlText w:val="o"/>
      <w:lvlJc w:val="left"/>
      <w:pPr>
        <w:ind w:left="3600" w:hanging="360"/>
      </w:pPr>
      <w:rPr>
        <w:rFonts w:ascii="Courier New" w:hAnsi="Courier New" w:hint="default"/>
      </w:rPr>
    </w:lvl>
    <w:lvl w:ilvl="5" w:tplc="C47C546A">
      <w:start w:val="1"/>
      <w:numFmt w:val="bullet"/>
      <w:lvlText w:val=""/>
      <w:lvlJc w:val="left"/>
      <w:pPr>
        <w:ind w:left="4320" w:hanging="360"/>
      </w:pPr>
      <w:rPr>
        <w:rFonts w:ascii="Wingdings" w:hAnsi="Wingdings" w:hint="default"/>
      </w:rPr>
    </w:lvl>
    <w:lvl w:ilvl="6" w:tplc="BE68423E">
      <w:start w:val="1"/>
      <w:numFmt w:val="bullet"/>
      <w:lvlText w:val=""/>
      <w:lvlJc w:val="left"/>
      <w:pPr>
        <w:ind w:left="5040" w:hanging="360"/>
      </w:pPr>
      <w:rPr>
        <w:rFonts w:ascii="Symbol" w:hAnsi="Symbol" w:hint="default"/>
      </w:rPr>
    </w:lvl>
    <w:lvl w:ilvl="7" w:tplc="AEC08272">
      <w:start w:val="1"/>
      <w:numFmt w:val="bullet"/>
      <w:lvlText w:val="o"/>
      <w:lvlJc w:val="left"/>
      <w:pPr>
        <w:ind w:left="5760" w:hanging="360"/>
      </w:pPr>
      <w:rPr>
        <w:rFonts w:ascii="Courier New" w:hAnsi="Courier New" w:hint="default"/>
      </w:rPr>
    </w:lvl>
    <w:lvl w:ilvl="8" w:tplc="CF161250">
      <w:start w:val="1"/>
      <w:numFmt w:val="bullet"/>
      <w:lvlText w:val=""/>
      <w:lvlJc w:val="left"/>
      <w:pPr>
        <w:ind w:left="6480" w:hanging="360"/>
      </w:pPr>
      <w:rPr>
        <w:rFonts w:ascii="Wingdings" w:hAnsi="Wingdings" w:hint="default"/>
      </w:rPr>
    </w:lvl>
  </w:abstractNum>
  <w:abstractNum w:abstractNumId="17" w15:restartNumberingAfterBreak="0">
    <w:nsid w:val="19A87700"/>
    <w:multiLevelType w:val="hybridMultilevel"/>
    <w:tmpl w:val="30CEA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C9736F"/>
    <w:multiLevelType w:val="hybridMultilevel"/>
    <w:tmpl w:val="898E9CD0"/>
    <w:lvl w:ilvl="0" w:tplc="7EDC65E6">
      <w:start w:val="1"/>
      <w:numFmt w:val="bullet"/>
      <w:lvlText w:val=""/>
      <w:lvlJc w:val="left"/>
      <w:pPr>
        <w:ind w:left="720" w:hanging="360"/>
      </w:pPr>
      <w:rPr>
        <w:rFonts w:ascii="Symbol" w:hAnsi="Symbol" w:hint="default"/>
      </w:rPr>
    </w:lvl>
    <w:lvl w:ilvl="1" w:tplc="BD02A912">
      <w:start w:val="1"/>
      <w:numFmt w:val="bullet"/>
      <w:lvlText w:val="o"/>
      <w:lvlJc w:val="left"/>
      <w:pPr>
        <w:ind w:left="1440" w:hanging="360"/>
      </w:pPr>
      <w:rPr>
        <w:rFonts w:ascii="Courier New" w:hAnsi="Courier New" w:hint="default"/>
      </w:rPr>
    </w:lvl>
    <w:lvl w:ilvl="2" w:tplc="8CEEF6B8">
      <w:start w:val="1"/>
      <w:numFmt w:val="bullet"/>
      <w:lvlText w:val=""/>
      <w:lvlJc w:val="left"/>
      <w:pPr>
        <w:ind w:left="2160" w:hanging="360"/>
      </w:pPr>
      <w:rPr>
        <w:rFonts w:ascii="Wingdings" w:hAnsi="Wingdings" w:hint="default"/>
      </w:rPr>
    </w:lvl>
    <w:lvl w:ilvl="3" w:tplc="A4DE6C6A">
      <w:start w:val="1"/>
      <w:numFmt w:val="bullet"/>
      <w:lvlText w:val=""/>
      <w:lvlJc w:val="left"/>
      <w:pPr>
        <w:ind w:left="2880" w:hanging="360"/>
      </w:pPr>
      <w:rPr>
        <w:rFonts w:ascii="Symbol" w:hAnsi="Symbol" w:hint="default"/>
      </w:rPr>
    </w:lvl>
    <w:lvl w:ilvl="4" w:tplc="B770C144">
      <w:start w:val="1"/>
      <w:numFmt w:val="bullet"/>
      <w:lvlText w:val="o"/>
      <w:lvlJc w:val="left"/>
      <w:pPr>
        <w:ind w:left="3600" w:hanging="360"/>
      </w:pPr>
      <w:rPr>
        <w:rFonts w:ascii="Courier New" w:hAnsi="Courier New" w:hint="default"/>
      </w:rPr>
    </w:lvl>
    <w:lvl w:ilvl="5" w:tplc="E6B2E460">
      <w:start w:val="1"/>
      <w:numFmt w:val="bullet"/>
      <w:lvlText w:val=""/>
      <w:lvlJc w:val="left"/>
      <w:pPr>
        <w:ind w:left="4320" w:hanging="360"/>
      </w:pPr>
      <w:rPr>
        <w:rFonts w:ascii="Wingdings" w:hAnsi="Wingdings" w:hint="default"/>
      </w:rPr>
    </w:lvl>
    <w:lvl w:ilvl="6" w:tplc="CBFAC7C6">
      <w:start w:val="1"/>
      <w:numFmt w:val="bullet"/>
      <w:lvlText w:val=""/>
      <w:lvlJc w:val="left"/>
      <w:pPr>
        <w:ind w:left="5040" w:hanging="360"/>
      </w:pPr>
      <w:rPr>
        <w:rFonts w:ascii="Symbol" w:hAnsi="Symbol" w:hint="default"/>
      </w:rPr>
    </w:lvl>
    <w:lvl w:ilvl="7" w:tplc="756EA2DA">
      <w:start w:val="1"/>
      <w:numFmt w:val="bullet"/>
      <w:lvlText w:val="o"/>
      <w:lvlJc w:val="left"/>
      <w:pPr>
        <w:ind w:left="5760" w:hanging="360"/>
      </w:pPr>
      <w:rPr>
        <w:rFonts w:ascii="Courier New" w:hAnsi="Courier New" w:hint="default"/>
      </w:rPr>
    </w:lvl>
    <w:lvl w:ilvl="8" w:tplc="02387AD6">
      <w:start w:val="1"/>
      <w:numFmt w:val="bullet"/>
      <w:lvlText w:val=""/>
      <w:lvlJc w:val="left"/>
      <w:pPr>
        <w:ind w:left="6480" w:hanging="360"/>
      </w:pPr>
      <w:rPr>
        <w:rFonts w:ascii="Wingdings" w:hAnsi="Wingdings" w:hint="default"/>
      </w:rPr>
    </w:lvl>
  </w:abstractNum>
  <w:abstractNum w:abstractNumId="19" w15:restartNumberingAfterBreak="0">
    <w:nsid w:val="1CA23572"/>
    <w:multiLevelType w:val="hybridMultilevel"/>
    <w:tmpl w:val="3AECB99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4F1937"/>
    <w:multiLevelType w:val="hybridMultilevel"/>
    <w:tmpl w:val="2B86130A"/>
    <w:lvl w:ilvl="0" w:tplc="E67A7D66">
      <w:start w:val="1"/>
      <w:numFmt w:val="bullet"/>
      <w:lvlText w:val=""/>
      <w:lvlJc w:val="left"/>
      <w:pPr>
        <w:ind w:left="720" w:hanging="360"/>
      </w:pPr>
      <w:rPr>
        <w:rFonts w:ascii="Symbol" w:hAnsi="Symbol" w:hint="default"/>
      </w:rPr>
    </w:lvl>
    <w:lvl w:ilvl="1" w:tplc="108E6778">
      <w:start w:val="1"/>
      <w:numFmt w:val="bullet"/>
      <w:lvlText w:val="o"/>
      <w:lvlJc w:val="left"/>
      <w:pPr>
        <w:ind w:left="1440" w:hanging="360"/>
      </w:pPr>
      <w:rPr>
        <w:rFonts w:ascii="Courier New" w:hAnsi="Courier New" w:hint="default"/>
      </w:rPr>
    </w:lvl>
    <w:lvl w:ilvl="2" w:tplc="CF685064">
      <w:start w:val="1"/>
      <w:numFmt w:val="bullet"/>
      <w:lvlText w:val=""/>
      <w:lvlJc w:val="left"/>
      <w:pPr>
        <w:ind w:left="2160" w:hanging="360"/>
      </w:pPr>
      <w:rPr>
        <w:rFonts w:ascii="Wingdings" w:hAnsi="Wingdings" w:hint="default"/>
      </w:rPr>
    </w:lvl>
    <w:lvl w:ilvl="3" w:tplc="8326C988">
      <w:start w:val="1"/>
      <w:numFmt w:val="bullet"/>
      <w:lvlText w:val=""/>
      <w:lvlJc w:val="left"/>
      <w:pPr>
        <w:ind w:left="2880" w:hanging="360"/>
      </w:pPr>
      <w:rPr>
        <w:rFonts w:ascii="Symbol" w:hAnsi="Symbol" w:hint="default"/>
      </w:rPr>
    </w:lvl>
    <w:lvl w:ilvl="4" w:tplc="EC3408C4">
      <w:start w:val="1"/>
      <w:numFmt w:val="bullet"/>
      <w:lvlText w:val="o"/>
      <w:lvlJc w:val="left"/>
      <w:pPr>
        <w:ind w:left="3600" w:hanging="360"/>
      </w:pPr>
      <w:rPr>
        <w:rFonts w:ascii="Courier New" w:hAnsi="Courier New" w:hint="default"/>
      </w:rPr>
    </w:lvl>
    <w:lvl w:ilvl="5" w:tplc="CC52EB14">
      <w:start w:val="1"/>
      <w:numFmt w:val="bullet"/>
      <w:lvlText w:val=""/>
      <w:lvlJc w:val="left"/>
      <w:pPr>
        <w:ind w:left="4320" w:hanging="360"/>
      </w:pPr>
      <w:rPr>
        <w:rFonts w:ascii="Wingdings" w:hAnsi="Wingdings" w:hint="default"/>
      </w:rPr>
    </w:lvl>
    <w:lvl w:ilvl="6" w:tplc="1040B17C">
      <w:start w:val="1"/>
      <w:numFmt w:val="bullet"/>
      <w:lvlText w:val=""/>
      <w:lvlJc w:val="left"/>
      <w:pPr>
        <w:ind w:left="5040" w:hanging="360"/>
      </w:pPr>
      <w:rPr>
        <w:rFonts w:ascii="Symbol" w:hAnsi="Symbol" w:hint="default"/>
      </w:rPr>
    </w:lvl>
    <w:lvl w:ilvl="7" w:tplc="7C1005EA">
      <w:start w:val="1"/>
      <w:numFmt w:val="bullet"/>
      <w:lvlText w:val="o"/>
      <w:lvlJc w:val="left"/>
      <w:pPr>
        <w:ind w:left="5760" w:hanging="360"/>
      </w:pPr>
      <w:rPr>
        <w:rFonts w:ascii="Courier New" w:hAnsi="Courier New" w:hint="default"/>
      </w:rPr>
    </w:lvl>
    <w:lvl w:ilvl="8" w:tplc="2140027A">
      <w:start w:val="1"/>
      <w:numFmt w:val="bullet"/>
      <w:lvlText w:val=""/>
      <w:lvlJc w:val="left"/>
      <w:pPr>
        <w:ind w:left="6480" w:hanging="360"/>
      </w:pPr>
      <w:rPr>
        <w:rFonts w:ascii="Wingdings" w:hAnsi="Wingdings" w:hint="default"/>
      </w:rPr>
    </w:lvl>
  </w:abstractNum>
  <w:abstractNum w:abstractNumId="21" w15:restartNumberingAfterBreak="0">
    <w:nsid w:val="1E246FCE"/>
    <w:multiLevelType w:val="hybridMultilevel"/>
    <w:tmpl w:val="38EAE8B4"/>
    <w:lvl w:ilvl="0" w:tplc="6428D740">
      <w:start w:val="1"/>
      <w:numFmt w:val="bullet"/>
      <w:lvlText w:val=""/>
      <w:lvlJc w:val="left"/>
      <w:pPr>
        <w:ind w:left="720" w:hanging="360"/>
      </w:pPr>
      <w:rPr>
        <w:rFonts w:ascii="Symbol" w:hAnsi="Symbol" w:hint="default"/>
      </w:rPr>
    </w:lvl>
    <w:lvl w:ilvl="1" w:tplc="5A027732">
      <w:start w:val="1"/>
      <w:numFmt w:val="bullet"/>
      <w:lvlText w:val="o"/>
      <w:lvlJc w:val="left"/>
      <w:pPr>
        <w:ind w:left="1440" w:hanging="360"/>
      </w:pPr>
      <w:rPr>
        <w:rFonts w:ascii="Courier New" w:hAnsi="Courier New" w:hint="default"/>
      </w:rPr>
    </w:lvl>
    <w:lvl w:ilvl="2" w:tplc="5FB29F90">
      <w:start w:val="1"/>
      <w:numFmt w:val="bullet"/>
      <w:lvlText w:val=""/>
      <w:lvlJc w:val="left"/>
      <w:pPr>
        <w:ind w:left="2160" w:hanging="360"/>
      </w:pPr>
      <w:rPr>
        <w:rFonts w:ascii="Wingdings" w:hAnsi="Wingdings" w:hint="default"/>
      </w:rPr>
    </w:lvl>
    <w:lvl w:ilvl="3" w:tplc="E4CAC152">
      <w:start w:val="1"/>
      <w:numFmt w:val="bullet"/>
      <w:lvlText w:val=""/>
      <w:lvlJc w:val="left"/>
      <w:pPr>
        <w:ind w:left="2880" w:hanging="360"/>
      </w:pPr>
      <w:rPr>
        <w:rFonts w:ascii="Symbol" w:hAnsi="Symbol" w:hint="default"/>
      </w:rPr>
    </w:lvl>
    <w:lvl w:ilvl="4" w:tplc="E1947480">
      <w:start w:val="1"/>
      <w:numFmt w:val="bullet"/>
      <w:lvlText w:val="o"/>
      <w:lvlJc w:val="left"/>
      <w:pPr>
        <w:ind w:left="3600" w:hanging="360"/>
      </w:pPr>
      <w:rPr>
        <w:rFonts w:ascii="Courier New" w:hAnsi="Courier New" w:hint="default"/>
      </w:rPr>
    </w:lvl>
    <w:lvl w:ilvl="5" w:tplc="C47C546A">
      <w:start w:val="1"/>
      <w:numFmt w:val="bullet"/>
      <w:lvlText w:val=""/>
      <w:lvlJc w:val="left"/>
      <w:pPr>
        <w:ind w:left="4320" w:hanging="360"/>
      </w:pPr>
      <w:rPr>
        <w:rFonts w:ascii="Wingdings" w:hAnsi="Wingdings" w:hint="default"/>
      </w:rPr>
    </w:lvl>
    <w:lvl w:ilvl="6" w:tplc="BE68423E">
      <w:start w:val="1"/>
      <w:numFmt w:val="bullet"/>
      <w:lvlText w:val=""/>
      <w:lvlJc w:val="left"/>
      <w:pPr>
        <w:ind w:left="5040" w:hanging="360"/>
      </w:pPr>
      <w:rPr>
        <w:rFonts w:ascii="Symbol" w:hAnsi="Symbol" w:hint="default"/>
      </w:rPr>
    </w:lvl>
    <w:lvl w:ilvl="7" w:tplc="AEC08272">
      <w:start w:val="1"/>
      <w:numFmt w:val="bullet"/>
      <w:lvlText w:val="o"/>
      <w:lvlJc w:val="left"/>
      <w:pPr>
        <w:ind w:left="5760" w:hanging="360"/>
      </w:pPr>
      <w:rPr>
        <w:rFonts w:ascii="Courier New" w:hAnsi="Courier New" w:hint="default"/>
      </w:rPr>
    </w:lvl>
    <w:lvl w:ilvl="8" w:tplc="CF161250">
      <w:start w:val="1"/>
      <w:numFmt w:val="bullet"/>
      <w:lvlText w:val=""/>
      <w:lvlJc w:val="left"/>
      <w:pPr>
        <w:ind w:left="6480" w:hanging="360"/>
      </w:pPr>
      <w:rPr>
        <w:rFonts w:ascii="Wingdings" w:hAnsi="Wingdings" w:hint="default"/>
      </w:rPr>
    </w:lvl>
  </w:abstractNum>
  <w:abstractNum w:abstractNumId="22" w15:restartNumberingAfterBreak="0">
    <w:nsid w:val="1EB42847"/>
    <w:multiLevelType w:val="hybridMultilevel"/>
    <w:tmpl w:val="E75A0890"/>
    <w:lvl w:ilvl="0" w:tplc="0C09000F">
      <w:start w:val="1"/>
      <w:numFmt w:val="decimal"/>
      <w:lvlText w:val="%1."/>
      <w:lvlJc w:val="left"/>
      <w:pPr>
        <w:ind w:left="754" w:hanging="360"/>
      </w:pPr>
    </w:lvl>
    <w:lvl w:ilvl="1" w:tplc="0C090019">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23" w15:restartNumberingAfterBreak="0">
    <w:nsid w:val="2086735F"/>
    <w:multiLevelType w:val="hybridMultilevel"/>
    <w:tmpl w:val="F1420D32"/>
    <w:styleLink w:val="TableBullets"/>
    <w:lvl w:ilvl="0" w:tplc="BABE840C">
      <w:start w:val="1"/>
      <w:numFmt w:val="bullet"/>
      <w:pStyle w:val="TableBullet"/>
      <w:lvlText w:val=""/>
      <w:lvlJc w:val="left"/>
      <w:pPr>
        <w:tabs>
          <w:tab w:val="num" w:pos="170"/>
        </w:tabs>
        <w:ind w:left="170" w:hanging="170"/>
      </w:pPr>
      <w:rPr>
        <w:rFonts w:ascii="Symbol" w:hAnsi="Symbol" w:hint="default"/>
      </w:rPr>
    </w:lvl>
    <w:lvl w:ilvl="1" w:tplc="29FAAB16">
      <w:start w:val="1"/>
      <w:numFmt w:val="bullet"/>
      <w:lvlText w:val="o"/>
      <w:lvlJc w:val="left"/>
      <w:pPr>
        <w:ind w:left="1440" w:hanging="360"/>
      </w:pPr>
      <w:rPr>
        <w:rFonts w:ascii="Courier New" w:hAnsi="Courier New" w:hint="default"/>
      </w:rPr>
    </w:lvl>
    <w:lvl w:ilvl="2" w:tplc="FDCE7866">
      <w:start w:val="1"/>
      <w:numFmt w:val="bullet"/>
      <w:lvlText w:val=""/>
      <w:lvlJc w:val="left"/>
      <w:pPr>
        <w:ind w:left="2160" w:hanging="360"/>
      </w:pPr>
      <w:rPr>
        <w:rFonts w:ascii="Wingdings" w:hAnsi="Wingdings" w:hint="default"/>
      </w:rPr>
    </w:lvl>
    <w:lvl w:ilvl="3" w:tplc="44EC8994">
      <w:start w:val="1"/>
      <w:numFmt w:val="bullet"/>
      <w:lvlText w:val=""/>
      <w:lvlJc w:val="left"/>
      <w:pPr>
        <w:ind w:left="2880" w:hanging="360"/>
      </w:pPr>
      <w:rPr>
        <w:rFonts w:ascii="Symbol" w:hAnsi="Symbol" w:hint="default"/>
      </w:rPr>
    </w:lvl>
    <w:lvl w:ilvl="4" w:tplc="75D61600">
      <w:start w:val="1"/>
      <w:numFmt w:val="bullet"/>
      <w:lvlText w:val="o"/>
      <w:lvlJc w:val="left"/>
      <w:pPr>
        <w:ind w:left="3600" w:hanging="360"/>
      </w:pPr>
      <w:rPr>
        <w:rFonts w:ascii="Courier New" w:hAnsi="Courier New" w:hint="default"/>
      </w:rPr>
    </w:lvl>
    <w:lvl w:ilvl="5" w:tplc="76F06F5E">
      <w:start w:val="1"/>
      <w:numFmt w:val="bullet"/>
      <w:lvlText w:val=""/>
      <w:lvlJc w:val="left"/>
      <w:pPr>
        <w:ind w:left="4320" w:hanging="360"/>
      </w:pPr>
      <w:rPr>
        <w:rFonts w:ascii="Wingdings" w:hAnsi="Wingdings" w:hint="default"/>
      </w:rPr>
    </w:lvl>
    <w:lvl w:ilvl="6" w:tplc="D69A6760">
      <w:start w:val="1"/>
      <w:numFmt w:val="bullet"/>
      <w:lvlText w:val=""/>
      <w:lvlJc w:val="left"/>
      <w:pPr>
        <w:ind w:left="5040" w:hanging="360"/>
      </w:pPr>
      <w:rPr>
        <w:rFonts w:ascii="Symbol" w:hAnsi="Symbol" w:hint="default"/>
      </w:rPr>
    </w:lvl>
    <w:lvl w:ilvl="7" w:tplc="40B484C6">
      <w:start w:val="1"/>
      <w:numFmt w:val="bullet"/>
      <w:lvlText w:val="o"/>
      <w:lvlJc w:val="left"/>
      <w:pPr>
        <w:ind w:left="5760" w:hanging="360"/>
      </w:pPr>
      <w:rPr>
        <w:rFonts w:ascii="Courier New" w:hAnsi="Courier New" w:hint="default"/>
      </w:rPr>
    </w:lvl>
    <w:lvl w:ilvl="8" w:tplc="46FEE148">
      <w:start w:val="1"/>
      <w:numFmt w:val="bullet"/>
      <w:lvlText w:val=""/>
      <w:lvlJc w:val="left"/>
      <w:pPr>
        <w:ind w:left="6480" w:hanging="360"/>
      </w:pPr>
      <w:rPr>
        <w:rFonts w:ascii="Wingdings" w:hAnsi="Wingdings" w:hint="default"/>
      </w:rPr>
    </w:lvl>
  </w:abstractNum>
  <w:abstractNum w:abstractNumId="24" w15:restartNumberingAfterBreak="0">
    <w:nsid w:val="20A50837"/>
    <w:multiLevelType w:val="hybridMultilevel"/>
    <w:tmpl w:val="905EEC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1050236"/>
    <w:multiLevelType w:val="hybridMultilevel"/>
    <w:tmpl w:val="9432AB92"/>
    <w:styleLink w:val="Sources"/>
    <w:lvl w:ilvl="0" w:tplc="34C009E2">
      <w:start w:val="1"/>
      <w:numFmt w:val="none"/>
      <w:lvlText w:val="Source:"/>
      <w:lvlJc w:val="left"/>
      <w:pPr>
        <w:tabs>
          <w:tab w:val="num" w:pos="624"/>
        </w:tabs>
        <w:ind w:left="624" w:hanging="624"/>
      </w:pPr>
      <w:rPr>
        <w:rFonts w:cs="Times New Roman" w:hint="default"/>
      </w:rPr>
    </w:lvl>
    <w:lvl w:ilvl="1" w:tplc="771AB366">
      <w:start w:val="1"/>
      <w:numFmt w:val="none"/>
      <w:lvlText w:val=""/>
      <w:lvlJc w:val="left"/>
      <w:pPr>
        <w:ind w:left="720" w:hanging="360"/>
      </w:pPr>
      <w:rPr>
        <w:rFonts w:cs="Times New Roman" w:hint="default"/>
      </w:rPr>
    </w:lvl>
    <w:lvl w:ilvl="2" w:tplc="F0C8DC2C">
      <w:start w:val="1"/>
      <w:numFmt w:val="none"/>
      <w:lvlText w:val=""/>
      <w:lvlJc w:val="left"/>
      <w:pPr>
        <w:ind w:left="1080" w:hanging="360"/>
      </w:pPr>
      <w:rPr>
        <w:rFonts w:cs="Times New Roman" w:hint="default"/>
      </w:rPr>
    </w:lvl>
    <w:lvl w:ilvl="3" w:tplc="2610891A">
      <w:start w:val="1"/>
      <w:numFmt w:val="none"/>
      <w:lvlText w:val=""/>
      <w:lvlJc w:val="left"/>
      <w:pPr>
        <w:ind w:left="1440" w:hanging="360"/>
      </w:pPr>
      <w:rPr>
        <w:rFonts w:cs="Times New Roman" w:hint="default"/>
      </w:rPr>
    </w:lvl>
    <w:lvl w:ilvl="4" w:tplc="4E440752">
      <w:start w:val="1"/>
      <w:numFmt w:val="none"/>
      <w:lvlText w:val=""/>
      <w:lvlJc w:val="left"/>
      <w:pPr>
        <w:ind w:left="1800" w:hanging="360"/>
      </w:pPr>
      <w:rPr>
        <w:rFonts w:cs="Times New Roman" w:hint="default"/>
      </w:rPr>
    </w:lvl>
    <w:lvl w:ilvl="5" w:tplc="3F504748">
      <w:start w:val="1"/>
      <w:numFmt w:val="none"/>
      <w:lvlText w:val=""/>
      <w:lvlJc w:val="left"/>
      <w:pPr>
        <w:ind w:left="2160" w:hanging="360"/>
      </w:pPr>
      <w:rPr>
        <w:rFonts w:cs="Times New Roman" w:hint="default"/>
      </w:rPr>
    </w:lvl>
    <w:lvl w:ilvl="6" w:tplc="EE1C2AB4">
      <w:start w:val="1"/>
      <w:numFmt w:val="none"/>
      <w:lvlText w:val=""/>
      <w:lvlJc w:val="left"/>
      <w:pPr>
        <w:ind w:left="2520" w:hanging="360"/>
      </w:pPr>
      <w:rPr>
        <w:rFonts w:cs="Times New Roman" w:hint="default"/>
      </w:rPr>
    </w:lvl>
    <w:lvl w:ilvl="7" w:tplc="8C9A6692">
      <w:start w:val="1"/>
      <w:numFmt w:val="none"/>
      <w:lvlText w:val=""/>
      <w:lvlJc w:val="left"/>
      <w:pPr>
        <w:ind w:left="2880" w:hanging="360"/>
      </w:pPr>
      <w:rPr>
        <w:rFonts w:cs="Times New Roman" w:hint="default"/>
      </w:rPr>
    </w:lvl>
    <w:lvl w:ilvl="8" w:tplc="5B6CAF82">
      <w:start w:val="1"/>
      <w:numFmt w:val="none"/>
      <w:lvlText w:val=""/>
      <w:lvlJc w:val="left"/>
      <w:pPr>
        <w:ind w:left="3240" w:hanging="360"/>
      </w:pPr>
      <w:rPr>
        <w:rFonts w:cs="Times New Roman" w:hint="default"/>
      </w:rPr>
    </w:lvl>
  </w:abstractNum>
  <w:abstractNum w:abstractNumId="26" w15:restartNumberingAfterBreak="0">
    <w:nsid w:val="21EE5BCA"/>
    <w:multiLevelType w:val="hybridMultilevel"/>
    <w:tmpl w:val="3BA6C760"/>
    <w:lvl w:ilvl="0" w:tplc="2528FB92">
      <w:start w:val="12"/>
      <w:numFmt w:val="decimal"/>
      <w:lvlText w:val="%1."/>
      <w:lvlJc w:val="left"/>
      <w:pPr>
        <w:tabs>
          <w:tab w:val="num" w:pos="720"/>
        </w:tabs>
        <w:ind w:left="720" w:hanging="360"/>
      </w:pPr>
    </w:lvl>
    <w:lvl w:ilvl="1" w:tplc="B3BEFEE8" w:tentative="1">
      <w:start w:val="1"/>
      <w:numFmt w:val="decimal"/>
      <w:lvlText w:val="%2."/>
      <w:lvlJc w:val="left"/>
      <w:pPr>
        <w:tabs>
          <w:tab w:val="num" w:pos="1440"/>
        </w:tabs>
        <w:ind w:left="1440" w:hanging="360"/>
      </w:pPr>
    </w:lvl>
    <w:lvl w:ilvl="2" w:tplc="A8E286CE" w:tentative="1">
      <w:start w:val="1"/>
      <w:numFmt w:val="decimal"/>
      <w:lvlText w:val="%3."/>
      <w:lvlJc w:val="left"/>
      <w:pPr>
        <w:tabs>
          <w:tab w:val="num" w:pos="2160"/>
        </w:tabs>
        <w:ind w:left="2160" w:hanging="360"/>
      </w:pPr>
    </w:lvl>
    <w:lvl w:ilvl="3" w:tplc="30688450" w:tentative="1">
      <w:start w:val="1"/>
      <w:numFmt w:val="decimal"/>
      <w:lvlText w:val="%4."/>
      <w:lvlJc w:val="left"/>
      <w:pPr>
        <w:tabs>
          <w:tab w:val="num" w:pos="2880"/>
        </w:tabs>
        <w:ind w:left="2880" w:hanging="360"/>
      </w:pPr>
    </w:lvl>
    <w:lvl w:ilvl="4" w:tplc="70F85CE8" w:tentative="1">
      <w:start w:val="1"/>
      <w:numFmt w:val="decimal"/>
      <w:lvlText w:val="%5."/>
      <w:lvlJc w:val="left"/>
      <w:pPr>
        <w:tabs>
          <w:tab w:val="num" w:pos="3600"/>
        </w:tabs>
        <w:ind w:left="3600" w:hanging="360"/>
      </w:pPr>
    </w:lvl>
    <w:lvl w:ilvl="5" w:tplc="A28EB49A" w:tentative="1">
      <w:start w:val="1"/>
      <w:numFmt w:val="decimal"/>
      <w:lvlText w:val="%6."/>
      <w:lvlJc w:val="left"/>
      <w:pPr>
        <w:tabs>
          <w:tab w:val="num" w:pos="4320"/>
        </w:tabs>
        <w:ind w:left="4320" w:hanging="360"/>
      </w:pPr>
    </w:lvl>
    <w:lvl w:ilvl="6" w:tplc="FD30DC2C" w:tentative="1">
      <w:start w:val="1"/>
      <w:numFmt w:val="decimal"/>
      <w:lvlText w:val="%7."/>
      <w:lvlJc w:val="left"/>
      <w:pPr>
        <w:tabs>
          <w:tab w:val="num" w:pos="5040"/>
        </w:tabs>
        <w:ind w:left="5040" w:hanging="360"/>
      </w:pPr>
    </w:lvl>
    <w:lvl w:ilvl="7" w:tplc="07E4F752" w:tentative="1">
      <w:start w:val="1"/>
      <w:numFmt w:val="decimal"/>
      <w:lvlText w:val="%8."/>
      <w:lvlJc w:val="left"/>
      <w:pPr>
        <w:tabs>
          <w:tab w:val="num" w:pos="5760"/>
        </w:tabs>
        <w:ind w:left="5760" w:hanging="360"/>
      </w:pPr>
    </w:lvl>
    <w:lvl w:ilvl="8" w:tplc="BAF603E0" w:tentative="1">
      <w:start w:val="1"/>
      <w:numFmt w:val="decimal"/>
      <w:lvlText w:val="%9."/>
      <w:lvlJc w:val="left"/>
      <w:pPr>
        <w:tabs>
          <w:tab w:val="num" w:pos="6480"/>
        </w:tabs>
        <w:ind w:left="6480" w:hanging="360"/>
      </w:pPr>
    </w:lvl>
  </w:abstractNum>
  <w:abstractNum w:abstractNumId="27" w15:restartNumberingAfterBreak="0">
    <w:nsid w:val="25A728C5"/>
    <w:multiLevelType w:val="hybridMultilevel"/>
    <w:tmpl w:val="8D22E904"/>
    <w:lvl w:ilvl="0" w:tplc="C7F0EBF0">
      <w:start w:val="1"/>
      <w:numFmt w:val="bullet"/>
      <w:lvlText w:val=""/>
      <w:lvlJc w:val="left"/>
      <w:pPr>
        <w:ind w:left="720" w:hanging="360"/>
      </w:pPr>
      <w:rPr>
        <w:rFonts w:ascii="Symbol" w:hAnsi="Symbol" w:hint="default"/>
      </w:rPr>
    </w:lvl>
    <w:lvl w:ilvl="1" w:tplc="DFD0CA54">
      <w:start w:val="1"/>
      <w:numFmt w:val="bullet"/>
      <w:lvlText w:val="o"/>
      <w:lvlJc w:val="left"/>
      <w:pPr>
        <w:ind w:left="1440" w:hanging="360"/>
      </w:pPr>
      <w:rPr>
        <w:rFonts w:ascii="Courier New" w:hAnsi="Courier New" w:hint="default"/>
      </w:rPr>
    </w:lvl>
    <w:lvl w:ilvl="2" w:tplc="6EB6AF24">
      <w:start w:val="1"/>
      <w:numFmt w:val="bullet"/>
      <w:lvlText w:val=""/>
      <w:lvlJc w:val="left"/>
      <w:pPr>
        <w:ind w:left="2160" w:hanging="360"/>
      </w:pPr>
      <w:rPr>
        <w:rFonts w:ascii="Wingdings" w:hAnsi="Wingdings" w:hint="default"/>
      </w:rPr>
    </w:lvl>
    <w:lvl w:ilvl="3" w:tplc="AECEC086">
      <w:start w:val="1"/>
      <w:numFmt w:val="bullet"/>
      <w:lvlText w:val=""/>
      <w:lvlJc w:val="left"/>
      <w:pPr>
        <w:ind w:left="2880" w:hanging="360"/>
      </w:pPr>
      <w:rPr>
        <w:rFonts w:ascii="Symbol" w:hAnsi="Symbol" w:hint="default"/>
      </w:rPr>
    </w:lvl>
    <w:lvl w:ilvl="4" w:tplc="788ACDCC">
      <w:start w:val="1"/>
      <w:numFmt w:val="bullet"/>
      <w:lvlText w:val="o"/>
      <w:lvlJc w:val="left"/>
      <w:pPr>
        <w:ind w:left="3600" w:hanging="360"/>
      </w:pPr>
      <w:rPr>
        <w:rFonts w:ascii="Courier New" w:hAnsi="Courier New" w:hint="default"/>
      </w:rPr>
    </w:lvl>
    <w:lvl w:ilvl="5" w:tplc="A2A03C80">
      <w:start w:val="1"/>
      <w:numFmt w:val="bullet"/>
      <w:lvlText w:val=""/>
      <w:lvlJc w:val="left"/>
      <w:pPr>
        <w:ind w:left="4320" w:hanging="360"/>
      </w:pPr>
      <w:rPr>
        <w:rFonts w:ascii="Wingdings" w:hAnsi="Wingdings" w:hint="default"/>
      </w:rPr>
    </w:lvl>
    <w:lvl w:ilvl="6" w:tplc="6DB06F00">
      <w:start w:val="1"/>
      <w:numFmt w:val="bullet"/>
      <w:lvlText w:val=""/>
      <w:lvlJc w:val="left"/>
      <w:pPr>
        <w:ind w:left="5040" w:hanging="360"/>
      </w:pPr>
      <w:rPr>
        <w:rFonts w:ascii="Symbol" w:hAnsi="Symbol" w:hint="default"/>
      </w:rPr>
    </w:lvl>
    <w:lvl w:ilvl="7" w:tplc="DEC241FC">
      <w:start w:val="1"/>
      <w:numFmt w:val="bullet"/>
      <w:lvlText w:val="o"/>
      <w:lvlJc w:val="left"/>
      <w:pPr>
        <w:ind w:left="5760" w:hanging="360"/>
      </w:pPr>
      <w:rPr>
        <w:rFonts w:ascii="Courier New" w:hAnsi="Courier New" w:hint="default"/>
      </w:rPr>
    </w:lvl>
    <w:lvl w:ilvl="8" w:tplc="F0B297F4">
      <w:start w:val="1"/>
      <w:numFmt w:val="bullet"/>
      <w:lvlText w:val=""/>
      <w:lvlJc w:val="left"/>
      <w:pPr>
        <w:ind w:left="6480" w:hanging="360"/>
      </w:pPr>
      <w:rPr>
        <w:rFonts w:ascii="Wingdings" w:hAnsi="Wingdings" w:hint="default"/>
      </w:rPr>
    </w:lvl>
  </w:abstractNum>
  <w:abstractNum w:abstractNumId="28" w15:restartNumberingAfterBreak="0">
    <w:nsid w:val="261C2758"/>
    <w:multiLevelType w:val="hybridMultilevel"/>
    <w:tmpl w:val="19FAED56"/>
    <w:lvl w:ilvl="0" w:tplc="7DB8822E">
      <w:start w:val="1"/>
      <w:numFmt w:val="decimal"/>
      <w:lvlText w:val="%1."/>
      <w:lvlJc w:val="left"/>
      <w:pPr>
        <w:tabs>
          <w:tab w:val="num" w:pos="720"/>
        </w:tabs>
        <w:ind w:left="720" w:hanging="360"/>
      </w:pPr>
    </w:lvl>
    <w:lvl w:ilvl="1" w:tplc="98CEABC8" w:tentative="1">
      <w:start w:val="1"/>
      <w:numFmt w:val="decimal"/>
      <w:lvlText w:val="%2."/>
      <w:lvlJc w:val="left"/>
      <w:pPr>
        <w:tabs>
          <w:tab w:val="num" w:pos="1440"/>
        </w:tabs>
        <w:ind w:left="1440" w:hanging="360"/>
      </w:pPr>
    </w:lvl>
    <w:lvl w:ilvl="2" w:tplc="B88A2F80" w:tentative="1">
      <w:start w:val="1"/>
      <w:numFmt w:val="decimal"/>
      <w:lvlText w:val="%3."/>
      <w:lvlJc w:val="left"/>
      <w:pPr>
        <w:tabs>
          <w:tab w:val="num" w:pos="2160"/>
        </w:tabs>
        <w:ind w:left="2160" w:hanging="360"/>
      </w:pPr>
    </w:lvl>
    <w:lvl w:ilvl="3" w:tplc="CD34C4F6" w:tentative="1">
      <w:start w:val="1"/>
      <w:numFmt w:val="decimal"/>
      <w:lvlText w:val="%4."/>
      <w:lvlJc w:val="left"/>
      <w:pPr>
        <w:tabs>
          <w:tab w:val="num" w:pos="2880"/>
        </w:tabs>
        <w:ind w:left="2880" w:hanging="360"/>
      </w:pPr>
    </w:lvl>
    <w:lvl w:ilvl="4" w:tplc="9004559E" w:tentative="1">
      <w:start w:val="1"/>
      <w:numFmt w:val="decimal"/>
      <w:lvlText w:val="%5."/>
      <w:lvlJc w:val="left"/>
      <w:pPr>
        <w:tabs>
          <w:tab w:val="num" w:pos="3600"/>
        </w:tabs>
        <w:ind w:left="3600" w:hanging="360"/>
      </w:pPr>
    </w:lvl>
    <w:lvl w:ilvl="5" w:tplc="288CE6F4" w:tentative="1">
      <w:start w:val="1"/>
      <w:numFmt w:val="decimal"/>
      <w:lvlText w:val="%6."/>
      <w:lvlJc w:val="left"/>
      <w:pPr>
        <w:tabs>
          <w:tab w:val="num" w:pos="4320"/>
        </w:tabs>
        <w:ind w:left="4320" w:hanging="360"/>
      </w:pPr>
    </w:lvl>
    <w:lvl w:ilvl="6" w:tplc="D99E3080" w:tentative="1">
      <w:start w:val="1"/>
      <w:numFmt w:val="decimal"/>
      <w:lvlText w:val="%7."/>
      <w:lvlJc w:val="left"/>
      <w:pPr>
        <w:tabs>
          <w:tab w:val="num" w:pos="5040"/>
        </w:tabs>
        <w:ind w:left="5040" w:hanging="360"/>
      </w:pPr>
    </w:lvl>
    <w:lvl w:ilvl="7" w:tplc="2F88E64E" w:tentative="1">
      <w:start w:val="1"/>
      <w:numFmt w:val="decimal"/>
      <w:lvlText w:val="%8."/>
      <w:lvlJc w:val="left"/>
      <w:pPr>
        <w:tabs>
          <w:tab w:val="num" w:pos="5760"/>
        </w:tabs>
        <w:ind w:left="5760" w:hanging="360"/>
      </w:pPr>
    </w:lvl>
    <w:lvl w:ilvl="8" w:tplc="E07694B8" w:tentative="1">
      <w:start w:val="1"/>
      <w:numFmt w:val="decimal"/>
      <w:lvlText w:val="%9."/>
      <w:lvlJc w:val="left"/>
      <w:pPr>
        <w:tabs>
          <w:tab w:val="num" w:pos="6480"/>
        </w:tabs>
        <w:ind w:left="6480" w:hanging="360"/>
      </w:pPr>
    </w:lvl>
  </w:abstractNum>
  <w:abstractNum w:abstractNumId="29" w15:restartNumberingAfterBreak="0">
    <w:nsid w:val="279373BD"/>
    <w:multiLevelType w:val="hybridMultilevel"/>
    <w:tmpl w:val="B52629BA"/>
    <w:lvl w:ilvl="0" w:tplc="FB0A46DE">
      <w:start w:val="1"/>
      <w:numFmt w:val="decimal"/>
      <w:lvlText w:val="%1."/>
      <w:lvlJc w:val="left"/>
      <w:pPr>
        <w:tabs>
          <w:tab w:val="num" w:pos="720"/>
        </w:tabs>
        <w:ind w:left="720" w:hanging="360"/>
      </w:pPr>
    </w:lvl>
    <w:lvl w:ilvl="1" w:tplc="0C603E90" w:tentative="1">
      <w:start w:val="1"/>
      <w:numFmt w:val="decimal"/>
      <w:lvlText w:val="%2."/>
      <w:lvlJc w:val="left"/>
      <w:pPr>
        <w:tabs>
          <w:tab w:val="num" w:pos="1440"/>
        </w:tabs>
        <w:ind w:left="1440" w:hanging="360"/>
      </w:pPr>
    </w:lvl>
    <w:lvl w:ilvl="2" w:tplc="96E6788C" w:tentative="1">
      <w:start w:val="1"/>
      <w:numFmt w:val="decimal"/>
      <w:lvlText w:val="%3."/>
      <w:lvlJc w:val="left"/>
      <w:pPr>
        <w:tabs>
          <w:tab w:val="num" w:pos="2160"/>
        </w:tabs>
        <w:ind w:left="2160" w:hanging="360"/>
      </w:pPr>
    </w:lvl>
    <w:lvl w:ilvl="3" w:tplc="25487DEC" w:tentative="1">
      <w:start w:val="1"/>
      <w:numFmt w:val="decimal"/>
      <w:lvlText w:val="%4."/>
      <w:lvlJc w:val="left"/>
      <w:pPr>
        <w:tabs>
          <w:tab w:val="num" w:pos="2880"/>
        </w:tabs>
        <w:ind w:left="2880" w:hanging="360"/>
      </w:pPr>
    </w:lvl>
    <w:lvl w:ilvl="4" w:tplc="5C0E1BA6" w:tentative="1">
      <w:start w:val="1"/>
      <w:numFmt w:val="decimal"/>
      <w:lvlText w:val="%5."/>
      <w:lvlJc w:val="left"/>
      <w:pPr>
        <w:tabs>
          <w:tab w:val="num" w:pos="3600"/>
        </w:tabs>
        <w:ind w:left="3600" w:hanging="360"/>
      </w:pPr>
    </w:lvl>
    <w:lvl w:ilvl="5" w:tplc="1FDCAF10" w:tentative="1">
      <w:start w:val="1"/>
      <w:numFmt w:val="decimal"/>
      <w:lvlText w:val="%6."/>
      <w:lvlJc w:val="left"/>
      <w:pPr>
        <w:tabs>
          <w:tab w:val="num" w:pos="4320"/>
        </w:tabs>
        <w:ind w:left="4320" w:hanging="360"/>
      </w:pPr>
    </w:lvl>
    <w:lvl w:ilvl="6" w:tplc="6DD63C68" w:tentative="1">
      <w:start w:val="1"/>
      <w:numFmt w:val="decimal"/>
      <w:lvlText w:val="%7."/>
      <w:lvlJc w:val="left"/>
      <w:pPr>
        <w:tabs>
          <w:tab w:val="num" w:pos="5040"/>
        </w:tabs>
        <w:ind w:left="5040" w:hanging="360"/>
      </w:pPr>
    </w:lvl>
    <w:lvl w:ilvl="7" w:tplc="C8BA41EC" w:tentative="1">
      <w:start w:val="1"/>
      <w:numFmt w:val="decimal"/>
      <w:lvlText w:val="%8."/>
      <w:lvlJc w:val="left"/>
      <w:pPr>
        <w:tabs>
          <w:tab w:val="num" w:pos="5760"/>
        </w:tabs>
        <w:ind w:left="5760" w:hanging="360"/>
      </w:pPr>
    </w:lvl>
    <w:lvl w:ilvl="8" w:tplc="67B06900" w:tentative="1">
      <w:start w:val="1"/>
      <w:numFmt w:val="decimal"/>
      <w:lvlText w:val="%9."/>
      <w:lvlJc w:val="left"/>
      <w:pPr>
        <w:tabs>
          <w:tab w:val="num" w:pos="6480"/>
        </w:tabs>
        <w:ind w:left="6480" w:hanging="360"/>
      </w:pPr>
    </w:lvl>
  </w:abstractNum>
  <w:abstractNum w:abstractNumId="3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92244D4"/>
    <w:multiLevelType w:val="hybridMultilevel"/>
    <w:tmpl w:val="9B768C16"/>
    <w:lvl w:ilvl="0" w:tplc="D0388426">
      <w:start w:val="1"/>
      <w:numFmt w:val="decimal"/>
      <w:lvlText w:val="%1."/>
      <w:lvlJc w:val="left"/>
      <w:pPr>
        <w:ind w:left="720" w:hanging="360"/>
      </w:pPr>
    </w:lvl>
    <w:lvl w:ilvl="1" w:tplc="29086AC0">
      <w:start w:val="1"/>
      <w:numFmt w:val="lowerLetter"/>
      <w:lvlText w:val="%2."/>
      <w:lvlJc w:val="left"/>
      <w:pPr>
        <w:ind w:left="1440" w:hanging="360"/>
      </w:pPr>
    </w:lvl>
    <w:lvl w:ilvl="2" w:tplc="9FA4DC88">
      <w:start w:val="1"/>
      <w:numFmt w:val="lowerRoman"/>
      <w:lvlText w:val="%3."/>
      <w:lvlJc w:val="right"/>
      <w:pPr>
        <w:ind w:left="2160" w:hanging="180"/>
      </w:pPr>
    </w:lvl>
    <w:lvl w:ilvl="3" w:tplc="DAB604C2">
      <w:start w:val="1"/>
      <w:numFmt w:val="decimal"/>
      <w:lvlText w:val="%4."/>
      <w:lvlJc w:val="left"/>
      <w:pPr>
        <w:ind w:left="2880" w:hanging="360"/>
      </w:pPr>
    </w:lvl>
    <w:lvl w:ilvl="4" w:tplc="C4C2CF58">
      <w:start w:val="1"/>
      <w:numFmt w:val="lowerLetter"/>
      <w:lvlText w:val="%5."/>
      <w:lvlJc w:val="left"/>
      <w:pPr>
        <w:ind w:left="3600" w:hanging="360"/>
      </w:pPr>
    </w:lvl>
    <w:lvl w:ilvl="5" w:tplc="166A2EAC">
      <w:start w:val="1"/>
      <w:numFmt w:val="lowerRoman"/>
      <w:lvlText w:val="%6."/>
      <w:lvlJc w:val="right"/>
      <w:pPr>
        <w:ind w:left="4320" w:hanging="180"/>
      </w:pPr>
    </w:lvl>
    <w:lvl w:ilvl="6" w:tplc="DEE6A43C">
      <w:start w:val="1"/>
      <w:numFmt w:val="decimal"/>
      <w:lvlText w:val="%7."/>
      <w:lvlJc w:val="left"/>
      <w:pPr>
        <w:ind w:left="5040" w:hanging="360"/>
      </w:pPr>
    </w:lvl>
    <w:lvl w:ilvl="7" w:tplc="1ABADAD6">
      <w:start w:val="1"/>
      <w:numFmt w:val="lowerLetter"/>
      <w:lvlText w:val="%8."/>
      <w:lvlJc w:val="left"/>
      <w:pPr>
        <w:ind w:left="5760" w:hanging="360"/>
      </w:pPr>
    </w:lvl>
    <w:lvl w:ilvl="8" w:tplc="EC1ECCD4">
      <w:start w:val="1"/>
      <w:numFmt w:val="lowerRoman"/>
      <w:lvlText w:val="%9."/>
      <w:lvlJc w:val="right"/>
      <w:pPr>
        <w:ind w:left="6480" w:hanging="180"/>
      </w:pPr>
    </w:lvl>
  </w:abstractNum>
  <w:abstractNum w:abstractNumId="32" w15:restartNumberingAfterBreak="0">
    <w:nsid w:val="2A7B7A41"/>
    <w:multiLevelType w:val="hybridMultilevel"/>
    <w:tmpl w:val="B58C6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2F0532"/>
    <w:multiLevelType w:val="hybridMultilevel"/>
    <w:tmpl w:val="E66097B2"/>
    <w:lvl w:ilvl="0" w:tplc="07DE2548">
      <w:start w:val="1"/>
      <w:numFmt w:val="bullet"/>
      <w:lvlText w:val=""/>
      <w:lvlJc w:val="left"/>
      <w:pPr>
        <w:ind w:left="360" w:hanging="360"/>
      </w:pPr>
      <w:rPr>
        <w:rFonts w:ascii="Symbol" w:hAnsi="Symbol" w:hint="default"/>
      </w:rPr>
    </w:lvl>
    <w:lvl w:ilvl="1" w:tplc="B18864FE">
      <w:start w:val="1"/>
      <w:numFmt w:val="bullet"/>
      <w:lvlText w:val="o"/>
      <w:lvlJc w:val="left"/>
      <w:pPr>
        <w:ind w:left="1080" w:hanging="360"/>
      </w:pPr>
      <w:rPr>
        <w:rFonts w:ascii="Courier New" w:hAnsi="Courier New" w:hint="default"/>
      </w:rPr>
    </w:lvl>
    <w:lvl w:ilvl="2" w:tplc="D0C4757E">
      <w:start w:val="1"/>
      <w:numFmt w:val="bullet"/>
      <w:lvlText w:val=""/>
      <w:lvlJc w:val="left"/>
      <w:pPr>
        <w:ind w:left="1800" w:hanging="360"/>
      </w:pPr>
      <w:rPr>
        <w:rFonts w:ascii="Wingdings" w:hAnsi="Wingdings" w:hint="default"/>
      </w:rPr>
    </w:lvl>
    <w:lvl w:ilvl="3" w:tplc="E02EEF40">
      <w:start w:val="1"/>
      <w:numFmt w:val="bullet"/>
      <w:lvlText w:val=""/>
      <w:lvlJc w:val="left"/>
      <w:pPr>
        <w:ind w:left="2520" w:hanging="360"/>
      </w:pPr>
      <w:rPr>
        <w:rFonts w:ascii="Symbol" w:hAnsi="Symbol" w:hint="default"/>
      </w:rPr>
    </w:lvl>
    <w:lvl w:ilvl="4" w:tplc="F386FBD8">
      <w:start w:val="1"/>
      <w:numFmt w:val="bullet"/>
      <w:lvlText w:val="o"/>
      <w:lvlJc w:val="left"/>
      <w:pPr>
        <w:ind w:left="3240" w:hanging="360"/>
      </w:pPr>
      <w:rPr>
        <w:rFonts w:ascii="Courier New" w:hAnsi="Courier New" w:hint="default"/>
      </w:rPr>
    </w:lvl>
    <w:lvl w:ilvl="5" w:tplc="25D8422C">
      <w:start w:val="1"/>
      <w:numFmt w:val="bullet"/>
      <w:lvlText w:val=""/>
      <w:lvlJc w:val="left"/>
      <w:pPr>
        <w:ind w:left="3960" w:hanging="360"/>
      </w:pPr>
      <w:rPr>
        <w:rFonts w:ascii="Wingdings" w:hAnsi="Wingdings" w:hint="default"/>
      </w:rPr>
    </w:lvl>
    <w:lvl w:ilvl="6" w:tplc="11544028">
      <w:start w:val="1"/>
      <w:numFmt w:val="bullet"/>
      <w:lvlText w:val=""/>
      <w:lvlJc w:val="left"/>
      <w:pPr>
        <w:ind w:left="4680" w:hanging="360"/>
      </w:pPr>
      <w:rPr>
        <w:rFonts w:ascii="Symbol" w:hAnsi="Symbol" w:hint="default"/>
      </w:rPr>
    </w:lvl>
    <w:lvl w:ilvl="7" w:tplc="BD1EBBA0">
      <w:start w:val="1"/>
      <w:numFmt w:val="bullet"/>
      <w:lvlText w:val="o"/>
      <w:lvlJc w:val="left"/>
      <w:pPr>
        <w:ind w:left="5400" w:hanging="360"/>
      </w:pPr>
      <w:rPr>
        <w:rFonts w:ascii="Courier New" w:hAnsi="Courier New" w:hint="default"/>
      </w:rPr>
    </w:lvl>
    <w:lvl w:ilvl="8" w:tplc="99BEB968">
      <w:start w:val="1"/>
      <w:numFmt w:val="bullet"/>
      <w:lvlText w:val=""/>
      <w:lvlJc w:val="left"/>
      <w:pPr>
        <w:ind w:left="6120" w:hanging="360"/>
      </w:pPr>
      <w:rPr>
        <w:rFonts w:ascii="Wingdings" w:hAnsi="Wingdings" w:hint="default"/>
      </w:rPr>
    </w:lvl>
  </w:abstractNum>
  <w:abstractNum w:abstractNumId="34" w15:restartNumberingAfterBreak="0">
    <w:nsid w:val="2E553CE6"/>
    <w:multiLevelType w:val="hybridMultilevel"/>
    <w:tmpl w:val="F31E8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9D726F"/>
    <w:multiLevelType w:val="hybridMultilevel"/>
    <w:tmpl w:val="DC50A2B8"/>
    <w:lvl w:ilvl="0" w:tplc="FFFFFFFF">
      <w:start w:val="1"/>
      <w:numFmt w:val="decimal"/>
      <w:lvlText w:val="%1."/>
      <w:lvlJc w:val="left"/>
      <w:pPr>
        <w:ind w:left="720" w:hanging="360"/>
      </w:pPr>
    </w:lvl>
    <w:lvl w:ilvl="1" w:tplc="55C497F2">
      <w:start w:val="1"/>
      <w:numFmt w:val="lowerLetter"/>
      <w:lvlText w:val="%2."/>
      <w:lvlJc w:val="left"/>
      <w:pPr>
        <w:ind w:left="1440" w:hanging="360"/>
      </w:pPr>
    </w:lvl>
    <w:lvl w:ilvl="2" w:tplc="8684F7E0">
      <w:start w:val="1"/>
      <w:numFmt w:val="lowerRoman"/>
      <w:lvlText w:val="%3."/>
      <w:lvlJc w:val="right"/>
      <w:pPr>
        <w:ind w:left="2160" w:hanging="180"/>
      </w:pPr>
    </w:lvl>
    <w:lvl w:ilvl="3" w:tplc="08CCBE26">
      <w:start w:val="1"/>
      <w:numFmt w:val="decimal"/>
      <w:lvlText w:val="%4."/>
      <w:lvlJc w:val="left"/>
      <w:pPr>
        <w:ind w:left="2880" w:hanging="360"/>
      </w:pPr>
    </w:lvl>
    <w:lvl w:ilvl="4" w:tplc="285E2A54">
      <w:start w:val="1"/>
      <w:numFmt w:val="lowerLetter"/>
      <w:lvlText w:val="%5."/>
      <w:lvlJc w:val="left"/>
      <w:pPr>
        <w:ind w:left="3600" w:hanging="360"/>
      </w:pPr>
    </w:lvl>
    <w:lvl w:ilvl="5" w:tplc="42AA040C">
      <w:start w:val="1"/>
      <w:numFmt w:val="lowerRoman"/>
      <w:lvlText w:val="%6."/>
      <w:lvlJc w:val="right"/>
      <w:pPr>
        <w:ind w:left="4320" w:hanging="180"/>
      </w:pPr>
    </w:lvl>
    <w:lvl w:ilvl="6" w:tplc="9378112A">
      <w:start w:val="1"/>
      <w:numFmt w:val="decimal"/>
      <w:lvlText w:val="%7."/>
      <w:lvlJc w:val="left"/>
      <w:pPr>
        <w:ind w:left="5040" w:hanging="360"/>
      </w:pPr>
    </w:lvl>
    <w:lvl w:ilvl="7" w:tplc="CD98E1E4">
      <w:start w:val="1"/>
      <w:numFmt w:val="lowerLetter"/>
      <w:lvlText w:val="%8."/>
      <w:lvlJc w:val="left"/>
      <w:pPr>
        <w:ind w:left="5760" w:hanging="360"/>
      </w:pPr>
    </w:lvl>
    <w:lvl w:ilvl="8" w:tplc="7734625A">
      <w:start w:val="1"/>
      <w:numFmt w:val="lowerRoman"/>
      <w:lvlText w:val="%9."/>
      <w:lvlJc w:val="right"/>
      <w:pPr>
        <w:ind w:left="6480" w:hanging="180"/>
      </w:pPr>
    </w:lvl>
  </w:abstractNum>
  <w:abstractNum w:abstractNumId="36" w15:restartNumberingAfterBreak="0">
    <w:nsid w:val="2FE10185"/>
    <w:multiLevelType w:val="hybridMultilevel"/>
    <w:tmpl w:val="1862C974"/>
    <w:lvl w:ilvl="0" w:tplc="183E73B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393E0C"/>
    <w:multiLevelType w:val="hybridMultilevel"/>
    <w:tmpl w:val="2D70ABEA"/>
    <w:lvl w:ilvl="0" w:tplc="B6382E78">
      <w:start w:val="8"/>
      <w:numFmt w:val="decimal"/>
      <w:lvlText w:val="%1."/>
      <w:lvlJc w:val="left"/>
      <w:pPr>
        <w:tabs>
          <w:tab w:val="num" w:pos="720"/>
        </w:tabs>
        <w:ind w:left="720" w:hanging="360"/>
      </w:pPr>
    </w:lvl>
    <w:lvl w:ilvl="1" w:tplc="18189350" w:tentative="1">
      <w:start w:val="1"/>
      <w:numFmt w:val="decimal"/>
      <w:lvlText w:val="%2."/>
      <w:lvlJc w:val="left"/>
      <w:pPr>
        <w:tabs>
          <w:tab w:val="num" w:pos="1440"/>
        </w:tabs>
        <w:ind w:left="1440" w:hanging="360"/>
      </w:pPr>
    </w:lvl>
    <w:lvl w:ilvl="2" w:tplc="CD3C2772" w:tentative="1">
      <w:start w:val="1"/>
      <w:numFmt w:val="decimal"/>
      <w:lvlText w:val="%3."/>
      <w:lvlJc w:val="left"/>
      <w:pPr>
        <w:tabs>
          <w:tab w:val="num" w:pos="2160"/>
        </w:tabs>
        <w:ind w:left="2160" w:hanging="360"/>
      </w:pPr>
    </w:lvl>
    <w:lvl w:ilvl="3" w:tplc="A85A1CEE" w:tentative="1">
      <w:start w:val="1"/>
      <w:numFmt w:val="decimal"/>
      <w:lvlText w:val="%4."/>
      <w:lvlJc w:val="left"/>
      <w:pPr>
        <w:tabs>
          <w:tab w:val="num" w:pos="2880"/>
        </w:tabs>
        <w:ind w:left="2880" w:hanging="360"/>
      </w:pPr>
    </w:lvl>
    <w:lvl w:ilvl="4" w:tplc="3EE66D72" w:tentative="1">
      <w:start w:val="1"/>
      <w:numFmt w:val="decimal"/>
      <w:lvlText w:val="%5."/>
      <w:lvlJc w:val="left"/>
      <w:pPr>
        <w:tabs>
          <w:tab w:val="num" w:pos="3600"/>
        </w:tabs>
        <w:ind w:left="3600" w:hanging="360"/>
      </w:pPr>
    </w:lvl>
    <w:lvl w:ilvl="5" w:tplc="25BA96AA" w:tentative="1">
      <w:start w:val="1"/>
      <w:numFmt w:val="decimal"/>
      <w:lvlText w:val="%6."/>
      <w:lvlJc w:val="left"/>
      <w:pPr>
        <w:tabs>
          <w:tab w:val="num" w:pos="4320"/>
        </w:tabs>
        <w:ind w:left="4320" w:hanging="360"/>
      </w:pPr>
    </w:lvl>
    <w:lvl w:ilvl="6" w:tplc="8D6039AC" w:tentative="1">
      <w:start w:val="1"/>
      <w:numFmt w:val="decimal"/>
      <w:lvlText w:val="%7."/>
      <w:lvlJc w:val="left"/>
      <w:pPr>
        <w:tabs>
          <w:tab w:val="num" w:pos="5040"/>
        </w:tabs>
        <w:ind w:left="5040" w:hanging="360"/>
      </w:pPr>
    </w:lvl>
    <w:lvl w:ilvl="7" w:tplc="F594E714" w:tentative="1">
      <w:start w:val="1"/>
      <w:numFmt w:val="decimal"/>
      <w:lvlText w:val="%8."/>
      <w:lvlJc w:val="left"/>
      <w:pPr>
        <w:tabs>
          <w:tab w:val="num" w:pos="5760"/>
        </w:tabs>
        <w:ind w:left="5760" w:hanging="360"/>
      </w:pPr>
    </w:lvl>
    <w:lvl w:ilvl="8" w:tplc="A46C4468" w:tentative="1">
      <w:start w:val="1"/>
      <w:numFmt w:val="decimal"/>
      <w:lvlText w:val="%9."/>
      <w:lvlJc w:val="left"/>
      <w:pPr>
        <w:tabs>
          <w:tab w:val="num" w:pos="6480"/>
        </w:tabs>
        <w:ind w:left="6480" w:hanging="360"/>
      </w:pPr>
    </w:lvl>
  </w:abstractNum>
  <w:abstractNum w:abstractNumId="38" w15:restartNumberingAfterBreak="0">
    <w:nsid w:val="36FD44AA"/>
    <w:multiLevelType w:val="hy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g="360"/>
      </w:pPr>
      <w:rPr>
        <w:rFonts w:ascii="Symbol" w:hAnsi="Symbol" w:hint="default"/>
      </w:rPr>
    </w:lvl>
    <w:lvl w:ilvl="2" w:tplc="D7D00356">
      <w:start w:val="1"/>
      <w:numFmt w:val="decimal"/>
      <w:lvlText w:val="%3)"/>
      <w:lvlJc w:val="left"/>
      <w:pPr>
        <w:ind w:left="2374" w:hanging="360"/>
      </w:pPr>
      <w:rPr>
        <w:rFonts w:hint="default"/>
      </w:r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9" w15:restartNumberingAfterBreak="0">
    <w:nsid w:val="398D02BB"/>
    <w:multiLevelType w:val="hybridMultilevel"/>
    <w:tmpl w:val="11B47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185A26"/>
    <w:multiLevelType w:val="hybridMultilevel"/>
    <w:tmpl w:val="7EBC6722"/>
    <w:lvl w:ilvl="0" w:tplc="10D4E096">
      <w:start w:val="1"/>
      <w:numFmt w:val="bullet"/>
      <w:lvlText w:val=""/>
      <w:lvlJc w:val="left"/>
      <w:pPr>
        <w:ind w:left="720" w:hanging="360"/>
      </w:pPr>
      <w:rPr>
        <w:rFonts w:ascii="Symbol" w:hAnsi="Symbol" w:hint="default"/>
      </w:rPr>
    </w:lvl>
    <w:lvl w:ilvl="1" w:tplc="64D82684">
      <w:start w:val="1"/>
      <w:numFmt w:val="bullet"/>
      <w:lvlText w:val="o"/>
      <w:lvlJc w:val="left"/>
      <w:pPr>
        <w:ind w:left="1440" w:hanging="360"/>
      </w:pPr>
      <w:rPr>
        <w:rFonts w:ascii="Courier New" w:hAnsi="Courier New" w:hint="default"/>
      </w:rPr>
    </w:lvl>
    <w:lvl w:ilvl="2" w:tplc="E5D6E1A0">
      <w:start w:val="1"/>
      <w:numFmt w:val="bullet"/>
      <w:lvlText w:val=""/>
      <w:lvlJc w:val="left"/>
      <w:pPr>
        <w:ind w:left="2160" w:hanging="360"/>
      </w:pPr>
      <w:rPr>
        <w:rFonts w:ascii="Wingdings" w:hAnsi="Wingdings" w:hint="default"/>
      </w:rPr>
    </w:lvl>
    <w:lvl w:ilvl="3" w:tplc="7ADA76A6">
      <w:start w:val="1"/>
      <w:numFmt w:val="bullet"/>
      <w:lvlText w:val=""/>
      <w:lvlJc w:val="left"/>
      <w:pPr>
        <w:ind w:left="2880" w:hanging="360"/>
      </w:pPr>
      <w:rPr>
        <w:rFonts w:ascii="Symbol" w:hAnsi="Symbol" w:hint="default"/>
      </w:rPr>
    </w:lvl>
    <w:lvl w:ilvl="4" w:tplc="54ACD82A">
      <w:start w:val="1"/>
      <w:numFmt w:val="bullet"/>
      <w:lvlText w:val="o"/>
      <w:lvlJc w:val="left"/>
      <w:pPr>
        <w:ind w:left="3600" w:hanging="360"/>
      </w:pPr>
      <w:rPr>
        <w:rFonts w:ascii="Courier New" w:hAnsi="Courier New" w:hint="default"/>
      </w:rPr>
    </w:lvl>
    <w:lvl w:ilvl="5" w:tplc="4A2CE0FA">
      <w:start w:val="1"/>
      <w:numFmt w:val="bullet"/>
      <w:lvlText w:val=""/>
      <w:lvlJc w:val="left"/>
      <w:pPr>
        <w:ind w:left="4320" w:hanging="360"/>
      </w:pPr>
      <w:rPr>
        <w:rFonts w:ascii="Wingdings" w:hAnsi="Wingdings" w:hint="default"/>
      </w:rPr>
    </w:lvl>
    <w:lvl w:ilvl="6" w:tplc="8EC0FE4A">
      <w:start w:val="1"/>
      <w:numFmt w:val="bullet"/>
      <w:lvlText w:val=""/>
      <w:lvlJc w:val="left"/>
      <w:pPr>
        <w:ind w:left="5040" w:hanging="360"/>
      </w:pPr>
      <w:rPr>
        <w:rFonts w:ascii="Symbol" w:hAnsi="Symbol" w:hint="default"/>
      </w:rPr>
    </w:lvl>
    <w:lvl w:ilvl="7" w:tplc="EFB8F8E6">
      <w:start w:val="1"/>
      <w:numFmt w:val="bullet"/>
      <w:lvlText w:val="o"/>
      <w:lvlJc w:val="left"/>
      <w:pPr>
        <w:ind w:left="5760" w:hanging="360"/>
      </w:pPr>
      <w:rPr>
        <w:rFonts w:ascii="Courier New" w:hAnsi="Courier New" w:hint="default"/>
      </w:rPr>
    </w:lvl>
    <w:lvl w:ilvl="8" w:tplc="18BC5BC2">
      <w:start w:val="1"/>
      <w:numFmt w:val="bullet"/>
      <w:lvlText w:val=""/>
      <w:lvlJc w:val="left"/>
      <w:pPr>
        <w:ind w:left="6480" w:hanging="360"/>
      </w:pPr>
      <w:rPr>
        <w:rFonts w:ascii="Wingdings" w:hAnsi="Wingdings" w:hint="default"/>
      </w:rPr>
    </w:lvl>
  </w:abstractNum>
  <w:abstractNum w:abstractNumId="41" w15:restartNumberingAfterBreak="0">
    <w:nsid w:val="3A785878"/>
    <w:multiLevelType w:val="hybridMultilevel"/>
    <w:tmpl w:val="909C4932"/>
    <w:lvl w:ilvl="0" w:tplc="716A5660">
      <w:start w:val="1"/>
      <w:numFmt w:val="bullet"/>
      <w:lvlText w:val=""/>
      <w:lvlJc w:val="left"/>
      <w:pPr>
        <w:ind w:left="720" w:hanging="360"/>
      </w:pPr>
      <w:rPr>
        <w:rFonts w:ascii="Symbol" w:hAnsi="Symbol" w:hint="default"/>
      </w:rPr>
    </w:lvl>
    <w:lvl w:ilvl="1" w:tplc="39BEA594">
      <w:start w:val="1"/>
      <w:numFmt w:val="bullet"/>
      <w:lvlText w:val="o"/>
      <w:lvlJc w:val="left"/>
      <w:pPr>
        <w:ind w:left="1440" w:hanging="360"/>
      </w:pPr>
      <w:rPr>
        <w:rFonts w:ascii="Courier New" w:hAnsi="Courier New" w:hint="default"/>
      </w:rPr>
    </w:lvl>
    <w:lvl w:ilvl="2" w:tplc="BD04B290">
      <w:start w:val="1"/>
      <w:numFmt w:val="bullet"/>
      <w:lvlText w:val=""/>
      <w:lvlJc w:val="left"/>
      <w:pPr>
        <w:ind w:left="2160" w:hanging="360"/>
      </w:pPr>
      <w:rPr>
        <w:rFonts w:ascii="Wingdings" w:hAnsi="Wingdings" w:hint="default"/>
      </w:rPr>
    </w:lvl>
    <w:lvl w:ilvl="3" w:tplc="C610CDDE">
      <w:start w:val="1"/>
      <w:numFmt w:val="bullet"/>
      <w:lvlText w:val=""/>
      <w:lvlJc w:val="left"/>
      <w:pPr>
        <w:ind w:left="2880" w:hanging="360"/>
      </w:pPr>
      <w:rPr>
        <w:rFonts w:ascii="Symbol" w:hAnsi="Symbol" w:hint="default"/>
      </w:rPr>
    </w:lvl>
    <w:lvl w:ilvl="4" w:tplc="6388C944">
      <w:start w:val="1"/>
      <w:numFmt w:val="bullet"/>
      <w:lvlText w:val="o"/>
      <w:lvlJc w:val="left"/>
      <w:pPr>
        <w:ind w:left="3600" w:hanging="360"/>
      </w:pPr>
      <w:rPr>
        <w:rFonts w:ascii="Courier New" w:hAnsi="Courier New" w:hint="default"/>
      </w:rPr>
    </w:lvl>
    <w:lvl w:ilvl="5" w:tplc="CBB20ADC">
      <w:start w:val="1"/>
      <w:numFmt w:val="bullet"/>
      <w:lvlText w:val=""/>
      <w:lvlJc w:val="left"/>
      <w:pPr>
        <w:ind w:left="4320" w:hanging="360"/>
      </w:pPr>
      <w:rPr>
        <w:rFonts w:ascii="Wingdings" w:hAnsi="Wingdings" w:hint="default"/>
      </w:rPr>
    </w:lvl>
    <w:lvl w:ilvl="6" w:tplc="00866264">
      <w:start w:val="1"/>
      <w:numFmt w:val="bullet"/>
      <w:lvlText w:val=""/>
      <w:lvlJc w:val="left"/>
      <w:pPr>
        <w:ind w:left="5040" w:hanging="360"/>
      </w:pPr>
      <w:rPr>
        <w:rFonts w:ascii="Symbol" w:hAnsi="Symbol" w:hint="default"/>
      </w:rPr>
    </w:lvl>
    <w:lvl w:ilvl="7" w:tplc="210882EA">
      <w:start w:val="1"/>
      <w:numFmt w:val="bullet"/>
      <w:lvlText w:val="o"/>
      <w:lvlJc w:val="left"/>
      <w:pPr>
        <w:ind w:left="5760" w:hanging="360"/>
      </w:pPr>
      <w:rPr>
        <w:rFonts w:ascii="Courier New" w:hAnsi="Courier New" w:hint="default"/>
      </w:rPr>
    </w:lvl>
    <w:lvl w:ilvl="8" w:tplc="CB2CE476">
      <w:start w:val="1"/>
      <w:numFmt w:val="bullet"/>
      <w:lvlText w:val=""/>
      <w:lvlJc w:val="left"/>
      <w:pPr>
        <w:ind w:left="6480" w:hanging="360"/>
      </w:pPr>
      <w:rPr>
        <w:rFonts w:ascii="Wingdings" w:hAnsi="Wingdings" w:hint="default"/>
      </w:rPr>
    </w:lvl>
  </w:abstractNum>
  <w:abstractNum w:abstractNumId="42" w15:restartNumberingAfterBreak="0">
    <w:nsid w:val="3B8C2DA4"/>
    <w:multiLevelType w:val="hybridMultilevel"/>
    <w:tmpl w:val="653076A2"/>
    <w:lvl w:ilvl="0" w:tplc="C63EE66C">
      <w:start w:val="1"/>
      <w:numFmt w:val="decimal"/>
      <w:lvlText w:val="%1."/>
      <w:lvlJc w:val="left"/>
      <w:pPr>
        <w:ind w:left="720" w:hanging="360"/>
      </w:pPr>
    </w:lvl>
    <w:lvl w:ilvl="1" w:tplc="75B07856">
      <w:start w:val="1"/>
      <w:numFmt w:val="lowerLetter"/>
      <w:lvlText w:val="%2."/>
      <w:lvlJc w:val="left"/>
      <w:pPr>
        <w:ind w:left="1440" w:hanging="360"/>
      </w:pPr>
    </w:lvl>
    <w:lvl w:ilvl="2" w:tplc="F014BE0A">
      <w:start w:val="1"/>
      <w:numFmt w:val="lowerRoman"/>
      <w:lvlText w:val="%3."/>
      <w:lvlJc w:val="right"/>
      <w:pPr>
        <w:ind w:left="2160" w:hanging="180"/>
      </w:pPr>
    </w:lvl>
    <w:lvl w:ilvl="3" w:tplc="0882A02C">
      <w:start w:val="1"/>
      <w:numFmt w:val="decimal"/>
      <w:lvlText w:val="%4."/>
      <w:lvlJc w:val="left"/>
      <w:pPr>
        <w:ind w:left="2880" w:hanging="360"/>
      </w:pPr>
    </w:lvl>
    <w:lvl w:ilvl="4" w:tplc="2F843ACA">
      <w:start w:val="1"/>
      <w:numFmt w:val="lowerLetter"/>
      <w:lvlText w:val="%5."/>
      <w:lvlJc w:val="left"/>
      <w:pPr>
        <w:ind w:left="3600" w:hanging="360"/>
      </w:pPr>
    </w:lvl>
    <w:lvl w:ilvl="5" w:tplc="D75EF202">
      <w:start w:val="1"/>
      <w:numFmt w:val="lowerRoman"/>
      <w:lvlText w:val="%6."/>
      <w:lvlJc w:val="right"/>
      <w:pPr>
        <w:ind w:left="4320" w:hanging="180"/>
      </w:pPr>
    </w:lvl>
    <w:lvl w:ilvl="6" w:tplc="B9D24B30">
      <w:start w:val="1"/>
      <w:numFmt w:val="decimal"/>
      <w:lvlText w:val="%7."/>
      <w:lvlJc w:val="left"/>
      <w:pPr>
        <w:ind w:left="5040" w:hanging="360"/>
      </w:pPr>
    </w:lvl>
    <w:lvl w:ilvl="7" w:tplc="D42079D6">
      <w:start w:val="1"/>
      <w:numFmt w:val="lowerLetter"/>
      <w:lvlText w:val="%8."/>
      <w:lvlJc w:val="left"/>
      <w:pPr>
        <w:ind w:left="5760" w:hanging="360"/>
      </w:pPr>
    </w:lvl>
    <w:lvl w:ilvl="8" w:tplc="853277CA">
      <w:start w:val="1"/>
      <w:numFmt w:val="lowerRoman"/>
      <w:lvlText w:val="%9."/>
      <w:lvlJc w:val="right"/>
      <w:pPr>
        <w:ind w:left="6480" w:hanging="180"/>
      </w:pPr>
    </w:lvl>
  </w:abstractNum>
  <w:abstractNum w:abstractNumId="43" w15:restartNumberingAfterBreak="0">
    <w:nsid w:val="3CB351F7"/>
    <w:multiLevelType w:val="hybridMultilevel"/>
    <w:tmpl w:val="D4E879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ECE1467"/>
    <w:multiLevelType w:val="hybridMultilevel"/>
    <w:tmpl w:val="710A07A2"/>
    <w:lvl w:ilvl="0" w:tplc="52BC5C90">
      <w:start w:val="1"/>
      <w:numFmt w:val="decimal"/>
      <w:lvlText w:val="%1."/>
      <w:lvlJc w:val="left"/>
      <w:pPr>
        <w:ind w:left="720" w:hanging="360"/>
      </w:pPr>
    </w:lvl>
    <w:lvl w:ilvl="1" w:tplc="90B857DE">
      <w:start w:val="1"/>
      <w:numFmt w:val="lowerLetter"/>
      <w:lvlText w:val="%2."/>
      <w:lvlJc w:val="left"/>
      <w:pPr>
        <w:ind w:left="1440" w:hanging="360"/>
      </w:pPr>
    </w:lvl>
    <w:lvl w:ilvl="2" w:tplc="65BAE528">
      <w:start w:val="1"/>
      <w:numFmt w:val="lowerRoman"/>
      <w:lvlText w:val="%3."/>
      <w:lvlJc w:val="right"/>
      <w:pPr>
        <w:ind w:left="2160" w:hanging="180"/>
      </w:pPr>
    </w:lvl>
    <w:lvl w:ilvl="3" w:tplc="C870F7D4">
      <w:start w:val="1"/>
      <w:numFmt w:val="decimal"/>
      <w:lvlText w:val="%4."/>
      <w:lvlJc w:val="left"/>
      <w:pPr>
        <w:ind w:left="2880" w:hanging="360"/>
      </w:pPr>
    </w:lvl>
    <w:lvl w:ilvl="4" w:tplc="1636818C">
      <w:start w:val="1"/>
      <w:numFmt w:val="lowerLetter"/>
      <w:lvlText w:val="%5."/>
      <w:lvlJc w:val="left"/>
      <w:pPr>
        <w:ind w:left="3600" w:hanging="360"/>
      </w:pPr>
    </w:lvl>
    <w:lvl w:ilvl="5" w:tplc="708C1D5C">
      <w:start w:val="1"/>
      <w:numFmt w:val="lowerRoman"/>
      <w:lvlText w:val="%6."/>
      <w:lvlJc w:val="right"/>
      <w:pPr>
        <w:ind w:left="4320" w:hanging="180"/>
      </w:pPr>
    </w:lvl>
    <w:lvl w:ilvl="6" w:tplc="D8A012F2">
      <w:start w:val="1"/>
      <w:numFmt w:val="decimal"/>
      <w:lvlText w:val="%7."/>
      <w:lvlJc w:val="left"/>
      <w:pPr>
        <w:ind w:left="5040" w:hanging="360"/>
      </w:pPr>
    </w:lvl>
    <w:lvl w:ilvl="7" w:tplc="2716E4F2">
      <w:start w:val="1"/>
      <w:numFmt w:val="lowerLetter"/>
      <w:lvlText w:val="%8."/>
      <w:lvlJc w:val="left"/>
      <w:pPr>
        <w:ind w:left="5760" w:hanging="360"/>
      </w:pPr>
    </w:lvl>
    <w:lvl w:ilvl="8" w:tplc="DCF66976">
      <w:start w:val="1"/>
      <w:numFmt w:val="lowerRoman"/>
      <w:lvlText w:val="%9."/>
      <w:lvlJc w:val="right"/>
      <w:pPr>
        <w:ind w:left="6480" w:hanging="180"/>
      </w:pPr>
    </w:lvl>
  </w:abstractNum>
  <w:abstractNum w:abstractNumId="45" w15:restartNumberingAfterBreak="0">
    <w:nsid w:val="3FEE4FB1"/>
    <w:multiLevelType w:val="hybridMultilevel"/>
    <w:tmpl w:val="FFFFFFFF"/>
    <w:lvl w:ilvl="0" w:tplc="198C8680">
      <w:start w:val="1"/>
      <w:numFmt w:val="bullet"/>
      <w:lvlText w:val=""/>
      <w:lvlJc w:val="left"/>
      <w:pPr>
        <w:ind w:left="720" w:hanging="360"/>
      </w:pPr>
      <w:rPr>
        <w:rFonts w:ascii="Wingdings" w:hAnsi="Wingdings" w:hint="default"/>
      </w:rPr>
    </w:lvl>
    <w:lvl w:ilvl="1" w:tplc="600E62D4">
      <w:start w:val="1"/>
      <w:numFmt w:val="bullet"/>
      <w:lvlText w:val="o"/>
      <w:lvlJc w:val="left"/>
      <w:pPr>
        <w:ind w:left="1440" w:hanging="360"/>
      </w:pPr>
      <w:rPr>
        <w:rFonts w:ascii="Courier New" w:hAnsi="Courier New" w:hint="default"/>
      </w:rPr>
    </w:lvl>
    <w:lvl w:ilvl="2" w:tplc="D324ACB2">
      <w:start w:val="1"/>
      <w:numFmt w:val="bullet"/>
      <w:lvlText w:val=""/>
      <w:lvlJc w:val="left"/>
      <w:pPr>
        <w:ind w:left="2160" w:hanging="360"/>
      </w:pPr>
      <w:rPr>
        <w:rFonts w:ascii="Wingdings" w:hAnsi="Wingdings" w:hint="default"/>
      </w:rPr>
    </w:lvl>
    <w:lvl w:ilvl="3" w:tplc="B820309A">
      <w:start w:val="1"/>
      <w:numFmt w:val="bullet"/>
      <w:lvlText w:val=""/>
      <w:lvlJc w:val="left"/>
      <w:pPr>
        <w:ind w:left="2880" w:hanging="360"/>
      </w:pPr>
      <w:rPr>
        <w:rFonts w:ascii="Symbol" w:hAnsi="Symbol" w:hint="default"/>
      </w:rPr>
    </w:lvl>
    <w:lvl w:ilvl="4" w:tplc="0E5E6D9C">
      <w:start w:val="1"/>
      <w:numFmt w:val="bullet"/>
      <w:lvlText w:val="o"/>
      <w:lvlJc w:val="left"/>
      <w:pPr>
        <w:ind w:left="3600" w:hanging="360"/>
      </w:pPr>
      <w:rPr>
        <w:rFonts w:ascii="Courier New" w:hAnsi="Courier New" w:hint="default"/>
      </w:rPr>
    </w:lvl>
    <w:lvl w:ilvl="5" w:tplc="6E483832">
      <w:start w:val="1"/>
      <w:numFmt w:val="bullet"/>
      <w:lvlText w:val=""/>
      <w:lvlJc w:val="left"/>
      <w:pPr>
        <w:ind w:left="4320" w:hanging="360"/>
      </w:pPr>
      <w:rPr>
        <w:rFonts w:ascii="Wingdings" w:hAnsi="Wingdings" w:hint="default"/>
      </w:rPr>
    </w:lvl>
    <w:lvl w:ilvl="6" w:tplc="2482F87E">
      <w:start w:val="1"/>
      <w:numFmt w:val="bullet"/>
      <w:lvlText w:val=""/>
      <w:lvlJc w:val="left"/>
      <w:pPr>
        <w:ind w:left="5040" w:hanging="360"/>
      </w:pPr>
      <w:rPr>
        <w:rFonts w:ascii="Symbol" w:hAnsi="Symbol" w:hint="default"/>
      </w:rPr>
    </w:lvl>
    <w:lvl w:ilvl="7" w:tplc="9564C93E">
      <w:start w:val="1"/>
      <w:numFmt w:val="bullet"/>
      <w:lvlText w:val="o"/>
      <w:lvlJc w:val="left"/>
      <w:pPr>
        <w:ind w:left="5760" w:hanging="360"/>
      </w:pPr>
      <w:rPr>
        <w:rFonts w:ascii="Courier New" w:hAnsi="Courier New" w:hint="default"/>
      </w:rPr>
    </w:lvl>
    <w:lvl w:ilvl="8" w:tplc="0C38FC40">
      <w:start w:val="1"/>
      <w:numFmt w:val="bullet"/>
      <w:lvlText w:val=""/>
      <w:lvlJc w:val="left"/>
      <w:pPr>
        <w:ind w:left="6480" w:hanging="360"/>
      </w:pPr>
      <w:rPr>
        <w:rFonts w:ascii="Wingdings" w:hAnsi="Wingdings" w:hint="default"/>
      </w:rPr>
    </w:lvl>
  </w:abstractNum>
  <w:abstractNum w:abstractNumId="46" w15:restartNumberingAfterBreak="0">
    <w:nsid w:val="423D6F15"/>
    <w:multiLevelType w:val="hybridMultilevel"/>
    <w:tmpl w:val="A7E6C3A8"/>
    <w:lvl w:ilvl="0" w:tplc="81948C34">
      <w:start w:val="4"/>
      <w:numFmt w:val="decimal"/>
      <w:lvlText w:val="%1."/>
      <w:lvlJc w:val="left"/>
      <w:pPr>
        <w:tabs>
          <w:tab w:val="num" w:pos="720"/>
        </w:tabs>
        <w:ind w:left="720" w:hanging="360"/>
      </w:pPr>
    </w:lvl>
    <w:lvl w:ilvl="1" w:tplc="208C197A" w:tentative="1">
      <w:start w:val="1"/>
      <w:numFmt w:val="decimal"/>
      <w:lvlText w:val="%2."/>
      <w:lvlJc w:val="left"/>
      <w:pPr>
        <w:tabs>
          <w:tab w:val="num" w:pos="1440"/>
        </w:tabs>
        <w:ind w:left="1440" w:hanging="360"/>
      </w:pPr>
    </w:lvl>
    <w:lvl w:ilvl="2" w:tplc="E3F8494C" w:tentative="1">
      <w:start w:val="1"/>
      <w:numFmt w:val="decimal"/>
      <w:lvlText w:val="%3."/>
      <w:lvlJc w:val="left"/>
      <w:pPr>
        <w:tabs>
          <w:tab w:val="num" w:pos="2160"/>
        </w:tabs>
        <w:ind w:left="2160" w:hanging="360"/>
      </w:pPr>
    </w:lvl>
    <w:lvl w:ilvl="3" w:tplc="47B42CB8" w:tentative="1">
      <w:start w:val="1"/>
      <w:numFmt w:val="decimal"/>
      <w:lvlText w:val="%4."/>
      <w:lvlJc w:val="left"/>
      <w:pPr>
        <w:tabs>
          <w:tab w:val="num" w:pos="2880"/>
        </w:tabs>
        <w:ind w:left="2880" w:hanging="360"/>
      </w:pPr>
    </w:lvl>
    <w:lvl w:ilvl="4" w:tplc="D32CE7AE" w:tentative="1">
      <w:start w:val="1"/>
      <w:numFmt w:val="decimal"/>
      <w:lvlText w:val="%5."/>
      <w:lvlJc w:val="left"/>
      <w:pPr>
        <w:tabs>
          <w:tab w:val="num" w:pos="3600"/>
        </w:tabs>
        <w:ind w:left="3600" w:hanging="360"/>
      </w:pPr>
    </w:lvl>
    <w:lvl w:ilvl="5" w:tplc="BA5E308E" w:tentative="1">
      <w:start w:val="1"/>
      <w:numFmt w:val="decimal"/>
      <w:lvlText w:val="%6."/>
      <w:lvlJc w:val="left"/>
      <w:pPr>
        <w:tabs>
          <w:tab w:val="num" w:pos="4320"/>
        </w:tabs>
        <w:ind w:left="4320" w:hanging="360"/>
      </w:pPr>
    </w:lvl>
    <w:lvl w:ilvl="6" w:tplc="335821A2" w:tentative="1">
      <w:start w:val="1"/>
      <w:numFmt w:val="decimal"/>
      <w:lvlText w:val="%7."/>
      <w:lvlJc w:val="left"/>
      <w:pPr>
        <w:tabs>
          <w:tab w:val="num" w:pos="5040"/>
        </w:tabs>
        <w:ind w:left="5040" w:hanging="360"/>
      </w:pPr>
    </w:lvl>
    <w:lvl w:ilvl="7" w:tplc="CCE4C9B0" w:tentative="1">
      <w:start w:val="1"/>
      <w:numFmt w:val="decimal"/>
      <w:lvlText w:val="%8."/>
      <w:lvlJc w:val="left"/>
      <w:pPr>
        <w:tabs>
          <w:tab w:val="num" w:pos="5760"/>
        </w:tabs>
        <w:ind w:left="5760" w:hanging="360"/>
      </w:pPr>
    </w:lvl>
    <w:lvl w:ilvl="8" w:tplc="EF065482" w:tentative="1">
      <w:start w:val="1"/>
      <w:numFmt w:val="decimal"/>
      <w:lvlText w:val="%9."/>
      <w:lvlJc w:val="left"/>
      <w:pPr>
        <w:tabs>
          <w:tab w:val="num" w:pos="6480"/>
        </w:tabs>
        <w:ind w:left="6480" w:hanging="360"/>
      </w:pPr>
    </w:lvl>
  </w:abstractNum>
  <w:abstractNum w:abstractNumId="47" w15:restartNumberingAfterBreak="0">
    <w:nsid w:val="4265682E"/>
    <w:multiLevelType w:val="hybridMultilevel"/>
    <w:tmpl w:val="6E74B694"/>
    <w:styleLink w:val="Bullets"/>
    <w:lvl w:ilvl="0" w:tplc="B8506974">
      <w:start w:val="1"/>
      <w:numFmt w:val="bullet"/>
      <w:pStyle w:val="ListBullet"/>
      <w:lvlText w:val=""/>
      <w:lvlJc w:val="left"/>
      <w:pPr>
        <w:tabs>
          <w:tab w:val="num" w:pos="199"/>
        </w:tabs>
        <w:ind w:left="199" w:hanging="199"/>
      </w:pPr>
      <w:rPr>
        <w:rFonts w:ascii="Symbol" w:hAnsi="Symbol" w:hint="default"/>
      </w:rPr>
    </w:lvl>
    <w:lvl w:ilvl="1" w:tplc="024C6892">
      <w:start w:val="1"/>
      <w:numFmt w:val="bullet"/>
      <w:pStyle w:val="ListBullet2"/>
      <w:lvlText w:val="–"/>
      <w:lvlJc w:val="left"/>
      <w:pPr>
        <w:tabs>
          <w:tab w:val="num" w:pos="397"/>
        </w:tabs>
        <w:ind w:left="397" w:hanging="198"/>
      </w:pPr>
      <w:rPr>
        <w:rFonts w:ascii="Arial" w:hAnsi="Arial" w:hint="default"/>
      </w:rPr>
    </w:lvl>
    <w:lvl w:ilvl="2" w:tplc="27B6D328">
      <w:start w:val="1"/>
      <w:numFmt w:val="bullet"/>
      <w:lvlText w:val="–"/>
      <w:lvlJc w:val="left"/>
      <w:pPr>
        <w:tabs>
          <w:tab w:val="num" w:pos="595"/>
        </w:tabs>
        <w:ind w:left="595" w:hanging="198"/>
      </w:pPr>
      <w:rPr>
        <w:rFonts w:ascii="Arial" w:hAnsi="Arial" w:hint="default"/>
      </w:rPr>
    </w:lvl>
    <w:lvl w:ilvl="3" w:tplc="5088F7E6">
      <w:start w:val="1"/>
      <w:numFmt w:val="none"/>
      <w:lvlText w:val=""/>
      <w:lvlJc w:val="left"/>
      <w:pPr>
        <w:ind w:left="2880" w:hanging="360"/>
      </w:pPr>
      <w:rPr>
        <w:rFonts w:cs="Times New Roman" w:hint="default"/>
      </w:rPr>
    </w:lvl>
    <w:lvl w:ilvl="4" w:tplc="C2B4F3EE">
      <w:start w:val="1"/>
      <w:numFmt w:val="none"/>
      <w:lvlText w:val=""/>
      <w:lvlJc w:val="left"/>
      <w:pPr>
        <w:ind w:left="3600" w:hanging="360"/>
      </w:pPr>
      <w:rPr>
        <w:rFonts w:cs="Times New Roman" w:hint="default"/>
      </w:rPr>
    </w:lvl>
    <w:lvl w:ilvl="5" w:tplc="7D3848B0">
      <w:start w:val="1"/>
      <w:numFmt w:val="none"/>
      <w:lvlText w:val=""/>
      <w:lvlJc w:val="left"/>
      <w:pPr>
        <w:ind w:left="4320" w:hanging="360"/>
      </w:pPr>
      <w:rPr>
        <w:rFonts w:cs="Times New Roman" w:hint="default"/>
      </w:rPr>
    </w:lvl>
    <w:lvl w:ilvl="6" w:tplc="DA465728">
      <w:start w:val="1"/>
      <w:numFmt w:val="none"/>
      <w:lvlText w:val=""/>
      <w:lvlJc w:val="left"/>
      <w:pPr>
        <w:ind w:left="5040" w:hanging="360"/>
      </w:pPr>
      <w:rPr>
        <w:rFonts w:cs="Times New Roman" w:hint="default"/>
      </w:rPr>
    </w:lvl>
    <w:lvl w:ilvl="7" w:tplc="1756B768">
      <w:start w:val="1"/>
      <w:numFmt w:val="none"/>
      <w:lvlText w:val=""/>
      <w:lvlJc w:val="left"/>
      <w:pPr>
        <w:ind w:left="5760" w:hanging="360"/>
      </w:pPr>
      <w:rPr>
        <w:rFonts w:cs="Times New Roman" w:hint="default"/>
      </w:rPr>
    </w:lvl>
    <w:lvl w:ilvl="8" w:tplc="A092AC3C">
      <w:start w:val="1"/>
      <w:numFmt w:val="none"/>
      <w:lvlText w:val=""/>
      <w:lvlJc w:val="left"/>
      <w:pPr>
        <w:ind w:left="6480" w:hanging="360"/>
      </w:pPr>
      <w:rPr>
        <w:rFonts w:cs="Times New Roman" w:hint="default"/>
      </w:rPr>
    </w:lvl>
  </w:abstractNum>
  <w:abstractNum w:abstractNumId="48" w15:restartNumberingAfterBreak="0">
    <w:nsid w:val="434317FC"/>
    <w:multiLevelType w:val="hybridMultilevel"/>
    <w:tmpl w:val="BAE2282E"/>
    <w:lvl w:ilvl="0" w:tplc="B29C7A2E">
      <w:start w:val="1"/>
      <w:numFmt w:val="decimal"/>
      <w:lvlText w:val="%1."/>
      <w:lvlJc w:val="left"/>
      <w:pPr>
        <w:ind w:left="720" w:hanging="360"/>
      </w:pPr>
    </w:lvl>
    <w:lvl w:ilvl="1" w:tplc="D50E1254">
      <w:start w:val="1"/>
      <w:numFmt w:val="lowerLetter"/>
      <w:lvlText w:val="%2."/>
      <w:lvlJc w:val="left"/>
      <w:pPr>
        <w:ind w:left="1440" w:hanging="360"/>
      </w:pPr>
    </w:lvl>
    <w:lvl w:ilvl="2" w:tplc="65EEC682">
      <w:start w:val="1"/>
      <w:numFmt w:val="lowerRoman"/>
      <w:lvlText w:val="%3."/>
      <w:lvlJc w:val="right"/>
      <w:pPr>
        <w:ind w:left="2160" w:hanging="180"/>
      </w:pPr>
    </w:lvl>
    <w:lvl w:ilvl="3" w:tplc="E9D052C4">
      <w:start w:val="1"/>
      <w:numFmt w:val="decimal"/>
      <w:lvlText w:val="%4."/>
      <w:lvlJc w:val="left"/>
      <w:pPr>
        <w:ind w:left="2880" w:hanging="360"/>
      </w:pPr>
    </w:lvl>
    <w:lvl w:ilvl="4" w:tplc="868C137C">
      <w:start w:val="1"/>
      <w:numFmt w:val="lowerLetter"/>
      <w:lvlText w:val="%5."/>
      <w:lvlJc w:val="left"/>
      <w:pPr>
        <w:ind w:left="3600" w:hanging="360"/>
      </w:pPr>
    </w:lvl>
    <w:lvl w:ilvl="5" w:tplc="EC340EB8">
      <w:start w:val="1"/>
      <w:numFmt w:val="lowerRoman"/>
      <w:lvlText w:val="%6."/>
      <w:lvlJc w:val="right"/>
      <w:pPr>
        <w:ind w:left="4320" w:hanging="180"/>
      </w:pPr>
    </w:lvl>
    <w:lvl w:ilvl="6" w:tplc="110E8D56">
      <w:start w:val="1"/>
      <w:numFmt w:val="decimal"/>
      <w:lvlText w:val="%7."/>
      <w:lvlJc w:val="left"/>
      <w:pPr>
        <w:ind w:left="5040" w:hanging="360"/>
      </w:pPr>
    </w:lvl>
    <w:lvl w:ilvl="7" w:tplc="ADDEA99C">
      <w:start w:val="1"/>
      <w:numFmt w:val="lowerLetter"/>
      <w:lvlText w:val="%8."/>
      <w:lvlJc w:val="left"/>
      <w:pPr>
        <w:ind w:left="5760" w:hanging="360"/>
      </w:pPr>
    </w:lvl>
    <w:lvl w:ilvl="8" w:tplc="4088EAE0">
      <w:start w:val="1"/>
      <w:numFmt w:val="lowerRoman"/>
      <w:lvlText w:val="%9."/>
      <w:lvlJc w:val="right"/>
      <w:pPr>
        <w:ind w:left="6480" w:hanging="180"/>
      </w:pPr>
    </w:lvl>
  </w:abstractNum>
  <w:abstractNum w:abstractNumId="49" w15:restartNumberingAfterBreak="0">
    <w:nsid w:val="43D73ED1"/>
    <w:multiLevelType w:val="hybridMultilevel"/>
    <w:tmpl w:val="2D02303A"/>
    <w:lvl w:ilvl="0" w:tplc="CA72EF3A">
      <w:start w:val="9"/>
      <w:numFmt w:val="decimal"/>
      <w:lvlText w:val="%1."/>
      <w:lvlJc w:val="left"/>
      <w:pPr>
        <w:tabs>
          <w:tab w:val="num" w:pos="720"/>
        </w:tabs>
        <w:ind w:left="720" w:hanging="360"/>
      </w:pPr>
    </w:lvl>
    <w:lvl w:ilvl="1" w:tplc="18388DF0" w:tentative="1">
      <w:start w:val="1"/>
      <w:numFmt w:val="decimal"/>
      <w:lvlText w:val="%2."/>
      <w:lvlJc w:val="left"/>
      <w:pPr>
        <w:tabs>
          <w:tab w:val="num" w:pos="1440"/>
        </w:tabs>
        <w:ind w:left="1440" w:hanging="360"/>
      </w:pPr>
    </w:lvl>
    <w:lvl w:ilvl="2" w:tplc="D8D4FFA4" w:tentative="1">
      <w:start w:val="1"/>
      <w:numFmt w:val="decimal"/>
      <w:lvlText w:val="%3."/>
      <w:lvlJc w:val="left"/>
      <w:pPr>
        <w:tabs>
          <w:tab w:val="num" w:pos="2160"/>
        </w:tabs>
        <w:ind w:left="2160" w:hanging="360"/>
      </w:pPr>
    </w:lvl>
    <w:lvl w:ilvl="3" w:tplc="E076BA66" w:tentative="1">
      <w:start w:val="1"/>
      <w:numFmt w:val="decimal"/>
      <w:lvlText w:val="%4."/>
      <w:lvlJc w:val="left"/>
      <w:pPr>
        <w:tabs>
          <w:tab w:val="num" w:pos="2880"/>
        </w:tabs>
        <w:ind w:left="2880" w:hanging="360"/>
      </w:pPr>
    </w:lvl>
    <w:lvl w:ilvl="4" w:tplc="6ED0A9CC" w:tentative="1">
      <w:start w:val="1"/>
      <w:numFmt w:val="decimal"/>
      <w:lvlText w:val="%5."/>
      <w:lvlJc w:val="left"/>
      <w:pPr>
        <w:tabs>
          <w:tab w:val="num" w:pos="3600"/>
        </w:tabs>
        <w:ind w:left="3600" w:hanging="360"/>
      </w:pPr>
    </w:lvl>
    <w:lvl w:ilvl="5" w:tplc="7C7C028E" w:tentative="1">
      <w:start w:val="1"/>
      <w:numFmt w:val="decimal"/>
      <w:lvlText w:val="%6."/>
      <w:lvlJc w:val="left"/>
      <w:pPr>
        <w:tabs>
          <w:tab w:val="num" w:pos="4320"/>
        </w:tabs>
        <w:ind w:left="4320" w:hanging="360"/>
      </w:pPr>
    </w:lvl>
    <w:lvl w:ilvl="6" w:tplc="47F26AC4" w:tentative="1">
      <w:start w:val="1"/>
      <w:numFmt w:val="decimal"/>
      <w:lvlText w:val="%7."/>
      <w:lvlJc w:val="left"/>
      <w:pPr>
        <w:tabs>
          <w:tab w:val="num" w:pos="5040"/>
        </w:tabs>
        <w:ind w:left="5040" w:hanging="360"/>
      </w:pPr>
    </w:lvl>
    <w:lvl w:ilvl="7" w:tplc="61846962" w:tentative="1">
      <w:start w:val="1"/>
      <w:numFmt w:val="decimal"/>
      <w:lvlText w:val="%8."/>
      <w:lvlJc w:val="left"/>
      <w:pPr>
        <w:tabs>
          <w:tab w:val="num" w:pos="5760"/>
        </w:tabs>
        <w:ind w:left="5760" w:hanging="360"/>
      </w:pPr>
    </w:lvl>
    <w:lvl w:ilvl="8" w:tplc="7664567A" w:tentative="1">
      <w:start w:val="1"/>
      <w:numFmt w:val="decimal"/>
      <w:lvlText w:val="%9."/>
      <w:lvlJc w:val="left"/>
      <w:pPr>
        <w:tabs>
          <w:tab w:val="num" w:pos="6480"/>
        </w:tabs>
        <w:ind w:left="6480" w:hanging="360"/>
      </w:pPr>
    </w:lvl>
  </w:abstractNum>
  <w:abstractNum w:abstractNumId="50" w15:restartNumberingAfterBreak="0">
    <w:nsid w:val="4A23631B"/>
    <w:multiLevelType w:val="hybridMultilevel"/>
    <w:tmpl w:val="A676866A"/>
    <w:lvl w:ilvl="0" w:tplc="1062ED1C">
      <w:start w:val="1"/>
      <w:numFmt w:val="bullet"/>
      <w:lvlText w:val=""/>
      <w:lvlJc w:val="left"/>
      <w:pPr>
        <w:ind w:left="720" w:hanging="360"/>
      </w:pPr>
      <w:rPr>
        <w:rFonts w:ascii="Wingdings" w:hAnsi="Wingdings" w:hint="default"/>
      </w:rPr>
    </w:lvl>
    <w:lvl w:ilvl="1" w:tplc="D1424E66">
      <w:start w:val="1"/>
      <w:numFmt w:val="bullet"/>
      <w:lvlText w:val="o"/>
      <w:lvlJc w:val="left"/>
      <w:pPr>
        <w:ind w:left="1440" w:hanging="360"/>
      </w:pPr>
      <w:rPr>
        <w:rFonts w:ascii="Courier New" w:hAnsi="Courier New" w:hint="default"/>
      </w:rPr>
    </w:lvl>
    <w:lvl w:ilvl="2" w:tplc="367C8118">
      <w:start w:val="1"/>
      <w:numFmt w:val="bullet"/>
      <w:lvlText w:val=""/>
      <w:lvlJc w:val="left"/>
      <w:pPr>
        <w:ind w:left="2160" w:hanging="360"/>
      </w:pPr>
      <w:rPr>
        <w:rFonts w:ascii="Wingdings" w:hAnsi="Wingdings" w:hint="default"/>
      </w:rPr>
    </w:lvl>
    <w:lvl w:ilvl="3" w:tplc="E550CF16">
      <w:start w:val="1"/>
      <w:numFmt w:val="bullet"/>
      <w:lvlText w:val=""/>
      <w:lvlJc w:val="left"/>
      <w:pPr>
        <w:ind w:left="2880" w:hanging="360"/>
      </w:pPr>
      <w:rPr>
        <w:rFonts w:ascii="Symbol" w:hAnsi="Symbol" w:hint="default"/>
      </w:rPr>
    </w:lvl>
    <w:lvl w:ilvl="4" w:tplc="26DC4F06">
      <w:start w:val="1"/>
      <w:numFmt w:val="bullet"/>
      <w:lvlText w:val="o"/>
      <w:lvlJc w:val="left"/>
      <w:pPr>
        <w:ind w:left="3600" w:hanging="360"/>
      </w:pPr>
      <w:rPr>
        <w:rFonts w:ascii="Courier New" w:hAnsi="Courier New" w:hint="default"/>
      </w:rPr>
    </w:lvl>
    <w:lvl w:ilvl="5" w:tplc="3328E346">
      <w:start w:val="1"/>
      <w:numFmt w:val="bullet"/>
      <w:lvlText w:val=""/>
      <w:lvlJc w:val="left"/>
      <w:pPr>
        <w:ind w:left="4320" w:hanging="360"/>
      </w:pPr>
      <w:rPr>
        <w:rFonts w:ascii="Wingdings" w:hAnsi="Wingdings" w:hint="default"/>
      </w:rPr>
    </w:lvl>
    <w:lvl w:ilvl="6" w:tplc="B836A07E">
      <w:start w:val="1"/>
      <w:numFmt w:val="bullet"/>
      <w:lvlText w:val=""/>
      <w:lvlJc w:val="left"/>
      <w:pPr>
        <w:ind w:left="5040" w:hanging="360"/>
      </w:pPr>
      <w:rPr>
        <w:rFonts w:ascii="Symbol" w:hAnsi="Symbol" w:hint="default"/>
      </w:rPr>
    </w:lvl>
    <w:lvl w:ilvl="7" w:tplc="7EEECCC4">
      <w:start w:val="1"/>
      <w:numFmt w:val="bullet"/>
      <w:lvlText w:val="o"/>
      <w:lvlJc w:val="left"/>
      <w:pPr>
        <w:ind w:left="5760" w:hanging="360"/>
      </w:pPr>
      <w:rPr>
        <w:rFonts w:ascii="Courier New" w:hAnsi="Courier New" w:hint="default"/>
      </w:rPr>
    </w:lvl>
    <w:lvl w:ilvl="8" w:tplc="FA4240D0">
      <w:start w:val="1"/>
      <w:numFmt w:val="bullet"/>
      <w:lvlText w:val=""/>
      <w:lvlJc w:val="left"/>
      <w:pPr>
        <w:ind w:left="6480" w:hanging="360"/>
      </w:pPr>
      <w:rPr>
        <w:rFonts w:ascii="Wingdings" w:hAnsi="Wingdings" w:hint="default"/>
      </w:rPr>
    </w:lvl>
  </w:abstractNum>
  <w:abstractNum w:abstractNumId="51" w15:restartNumberingAfterBreak="0">
    <w:nsid w:val="4BB81883"/>
    <w:multiLevelType w:val="hybridMultilevel"/>
    <w:tmpl w:val="42F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E5006D0"/>
    <w:multiLevelType w:val="hybridMultilevel"/>
    <w:tmpl w:val="0F4082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06C1294"/>
    <w:multiLevelType w:val="hybridMultilevel"/>
    <w:tmpl w:val="B746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A67471"/>
    <w:multiLevelType w:val="hybridMultilevel"/>
    <w:tmpl w:val="3BF0F8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32D32FD"/>
    <w:multiLevelType w:val="hybridMultilevel"/>
    <w:tmpl w:val="DBF2609E"/>
    <w:lvl w:ilvl="0" w:tplc="D6143D60">
      <w:start w:val="1"/>
      <w:numFmt w:val="bullet"/>
      <w:lvlText w:val=""/>
      <w:lvlJc w:val="left"/>
      <w:pPr>
        <w:ind w:left="720" w:hanging="360"/>
      </w:pPr>
      <w:rPr>
        <w:rFonts w:ascii="Symbol" w:hAnsi="Symbol" w:hint="default"/>
      </w:rPr>
    </w:lvl>
    <w:lvl w:ilvl="1" w:tplc="1E7608AC">
      <w:start w:val="1"/>
      <w:numFmt w:val="bullet"/>
      <w:lvlText w:val="o"/>
      <w:lvlJc w:val="left"/>
      <w:pPr>
        <w:ind w:left="1440" w:hanging="360"/>
      </w:pPr>
      <w:rPr>
        <w:rFonts w:ascii="Courier New" w:hAnsi="Courier New" w:hint="default"/>
      </w:rPr>
    </w:lvl>
    <w:lvl w:ilvl="2" w:tplc="02AE0ED0">
      <w:start w:val="1"/>
      <w:numFmt w:val="bullet"/>
      <w:lvlText w:val=""/>
      <w:lvlJc w:val="left"/>
      <w:pPr>
        <w:ind w:left="2160" w:hanging="360"/>
      </w:pPr>
      <w:rPr>
        <w:rFonts w:ascii="Wingdings" w:hAnsi="Wingdings" w:hint="default"/>
      </w:rPr>
    </w:lvl>
    <w:lvl w:ilvl="3" w:tplc="7D0CA148">
      <w:start w:val="1"/>
      <w:numFmt w:val="bullet"/>
      <w:lvlText w:val=""/>
      <w:lvlJc w:val="left"/>
      <w:pPr>
        <w:ind w:left="2880" w:hanging="360"/>
      </w:pPr>
      <w:rPr>
        <w:rFonts w:ascii="Symbol" w:hAnsi="Symbol" w:hint="default"/>
      </w:rPr>
    </w:lvl>
    <w:lvl w:ilvl="4" w:tplc="DC180A3A">
      <w:start w:val="1"/>
      <w:numFmt w:val="bullet"/>
      <w:lvlText w:val="o"/>
      <w:lvlJc w:val="left"/>
      <w:pPr>
        <w:ind w:left="3600" w:hanging="360"/>
      </w:pPr>
      <w:rPr>
        <w:rFonts w:ascii="Courier New" w:hAnsi="Courier New" w:hint="default"/>
      </w:rPr>
    </w:lvl>
    <w:lvl w:ilvl="5" w:tplc="A3965ADC">
      <w:start w:val="1"/>
      <w:numFmt w:val="bullet"/>
      <w:lvlText w:val=""/>
      <w:lvlJc w:val="left"/>
      <w:pPr>
        <w:ind w:left="4320" w:hanging="360"/>
      </w:pPr>
      <w:rPr>
        <w:rFonts w:ascii="Wingdings" w:hAnsi="Wingdings" w:hint="default"/>
      </w:rPr>
    </w:lvl>
    <w:lvl w:ilvl="6" w:tplc="00FE52C0">
      <w:start w:val="1"/>
      <w:numFmt w:val="bullet"/>
      <w:lvlText w:val=""/>
      <w:lvlJc w:val="left"/>
      <w:pPr>
        <w:ind w:left="5040" w:hanging="360"/>
      </w:pPr>
      <w:rPr>
        <w:rFonts w:ascii="Symbol" w:hAnsi="Symbol" w:hint="default"/>
      </w:rPr>
    </w:lvl>
    <w:lvl w:ilvl="7" w:tplc="E3525E54">
      <w:start w:val="1"/>
      <w:numFmt w:val="bullet"/>
      <w:lvlText w:val="o"/>
      <w:lvlJc w:val="left"/>
      <w:pPr>
        <w:ind w:left="5760" w:hanging="360"/>
      </w:pPr>
      <w:rPr>
        <w:rFonts w:ascii="Courier New" w:hAnsi="Courier New" w:hint="default"/>
      </w:rPr>
    </w:lvl>
    <w:lvl w:ilvl="8" w:tplc="0F823568">
      <w:start w:val="1"/>
      <w:numFmt w:val="bullet"/>
      <w:lvlText w:val=""/>
      <w:lvlJc w:val="left"/>
      <w:pPr>
        <w:ind w:left="6480" w:hanging="360"/>
      </w:pPr>
      <w:rPr>
        <w:rFonts w:ascii="Wingdings" w:hAnsi="Wingdings" w:hint="default"/>
      </w:rPr>
    </w:lvl>
  </w:abstractNum>
  <w:abstractNum w:abstractNumId="56" w15:restartNumberingAfterBreak="0">
    <w:nsid w:val="54A056AF"/>
    <w:multiLevelType w:val="hybridMultilevel"/>
    <w:tmpl w:val="A16642F2"/>
    <w:lvl w:ilvl="0" w:tplc="F5FA2780">
      <w:start w:val="3"/>
      <w:numFmt w:val="decimal"/>
      <w:lvlText w:val="%1."/>
      <w:lvlJc w:val="left"/>
      <w:pPr>
        <w:tabs>
          <w:tab w:val="num" w:pos="720"/>
        </w:tabs>
        <w:ind w:left="720" w:hanging="360"/>
      </w:pPr>
    </w:lvl>
    <w:lvl w:ilvl="1" w:tplc="A8E25DD0" w:tentative="1">
      <w:start w:val="1"/>
      <w:numFmt w:val="decimal"/>
      <w:lvlText w:val="%2."/>
      <w:lvlJc w:val="left"/>
      <w:pPr>
        <w:tabs>
          <w:tab w:val="num" w:pos="1440"/>
        </w:tabs>
        <w:ind w:left="1440" w:hanging="360"/>
      </w:pPr>
    </w:lvl>
    <w:lvl w:ilvl="2" w:tplc="7C72903E" w:tentative="1">
      <w:start w:val="1"/>
      <w:numFmt w:val="decimal"/>
      <w:lvlText w:val="%3."/>
      <w:lvlJc w:val="left"/>
      <w:pPr>
        <w:tabs>
          <w:tab w:val="num" w:pos="2160"/>
        </w:tabs>
        <w:ind w:left="2160" w:hanging="360"/>
      </w:pPr>
    </w:lvl>
    <w:lvl w:ilvl="3" w:tplc="000406C6" w:tentative="1">
      <w:start w:val="1"/>
      <w:numFmt w:val="decimal"/>
      <w:lvlText w:val="%4."/>
      <w:lvlJc w:val="left"/>
      <w:pPr>
        <w:tabs>
          <w:tab w:val="num" w:pos="2880"/>
        </w:tabs>
        <w:ind w:left="2880" w:hanging="360"/>
      </w:pPr>
    </w:lvl>
    <w:lvl w:ilvl="4" w:tplc="21EA5756" w:tentative="1">
      <w:start w:val="1"/>
      <w:numFmt w:val="decimal"/>
      <w:lvlText w:val="%5."/>
      <w:lvlJc w:val="left"/>
      <w:pPr>
        <w:tabs>
          <w:tab w:val="num" w:pos="3600"/>
        </w:tabs>
        <w:ind w:left="3600" w:hanging="360"/>
      </w:pPr>
    </w:lvl>
    <w:lvl w:ilvl="5" w:tplc="FBC42478" w:tentative="1">
      <w:start w:val="1"/>
      <w:numFmt w:val="decimal"/>
      <w:lvlText w:val="%6."/>
      <w:lvlJc w:val="left"/>
      <w:pPr>
        <w:tabs>
          <w:tab w:val="num" w:pos="4320"/>
        </w:tabs>
        <w:ind w:left="4320" w:hanging="360"/>
      </w:pPr>
    </w:lvl>
    <w:lvl w:ilvl="6" w:tplc="64688166" w:tentative="1">
      <w:start w:val="1"/>
      <w:numFmt w:val="decimal"/>
      <w:lvlText w:val="%7."/>
      <w:lvlJc w:val="left"/>
      <w:pPr>
        <w:tabs>
          <w:tab w:val="num" w:pos="5040"/>
        </w:tabs>
        <w:ind w:left="5040" w:hanging="360"/>
      </w:pPr>
    </w:lvl>
    <w:lvl w:ilvl="7" w:tplc="AB4ABF26" w:tentative="1">
      <w:start w:val="1"/>
      <w:numFmt w:val="decimal"/>
      <w:lvlText w:val="%8."/>
      <w:lvlJc w:val="left"/>
      <w:pPr>
        <w:tabs>
          <w:tab w:val="num" w:pos="5760"/>
        </w:tabs>
        <w:ind w:left="5760" w:hanging="360"/>
      </w:pPr>
    </w:lvl>
    <w:lvl w:ilvl="8" w:tplc="B5306BCE" w:tentative="1">
      <w:start w:val="1"/>
      <w:numFmt w:val="decimal"/>
      <w:lvlText w:val="%9."/>
      <w:lvlJc w:val="left"/>
      <w:pPr>
        <w:tabs>
          <w:tab w:val="num" w:pos="6480"/>
        </w:tabs>
        <w:ind w:left="6480" w:hanging="360"/>
      </w:pPr>
    </w:lvl>
  </w:abstractNum>
  <w:abstractNum w:abstractNumId="57" w15:restartNumberingAfterBreak="0">
    <w:nsid w:val="54DF2774"/>
    <w:multiLevelType w:val="hybridMultilevel"/>
    <w:tmpl w:val="4434F30A"/>
    <w:lvl w:ilvl="0" w:tplc="ABD216D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5D055E4"/>
    <w:multiLevelType w:val="hybridMultilevel"/>
    <w:tmpl w:val="9EBC35B2"/>
    <w:lvl w:ilvl="0" w:tplc="3DAC540A">
      <w:start w:val="1"/>
      <w:numFmt w:val="bullet"/>
      <w:lvlText w:val=""/>
      <w:lvlJc w:val="left"/>
      <w:pPr>
        <w:ind w:left="720" w:hanging="360"/>
      </w:pPr>
      <w:rPr>
        <w:rFonts w:ascii="Wingdings" w:hAnsi="Wingdings" w:hint="default"/>
      </w:rPr>
    </w:lvl>
    <w:lvl w:ilvl="1" w:tplc="89B2F7FE">
      <w:start w:val="1"/>
      <w:numFmt w:val="bullet"/>
      <w:lvlText w:val="o"/>
      <w:lvlJc w:val="left"/>
      <w:pPr>
        <w:ind w:left="1440" w:hanging="360"/>
      </w:pPr>
      <w:rPr>
        <w:rFonts w:ascii="Courier New" w:hAnsi="Courier New" w:hint="default"/>
      </w:rPr>
    </w:lvl>
    <w:lvl w:ilvl="2" w:tplc="90E88E82">
      <w:start w:val="1"/>
      <w:numFmt w:val="bullet"/>
      <w:lvlText w:val=""/>
      <w:lvlJc w:val="left"/>
      <w:pPr>
        <w:ind w:left="2160" w:hanging="360"/>
      </w:pPr>
      <w:rPr>
        <w:rFonts w:ascii="Wingdings" w:hAnsi="Wingdings" w:hint="default"/>
      </w:rPr>
    </w:lvl>
    <w:lvl w:ilvl="3" w:tplc="B80C1F5A">
      <w:start w:val="1"/>
      <w:numFmt w:val="bullet"/>
      <w:lvlText w:val=""/>
      <w:lvlJc w:val="left"/>
      <w:pPr>
        <w:ind w:left="2880" w:hanging="360"/>
      </w:pPr>
      <w:rPr>
        <w:rFonts w:ascii="Symbol" w:hAnsi="Symbol" w:hint="default"/>
      </w:rPr>
    </w:lvl>
    <w:lvl w:ilvl="4" w:tplc="1E48EFE0">
      <w:start w:val="1"/>
      <w:numFmt w:val="bullet"/>
      <w:lvlText w:val="o"/>
      <w:lvlJc w:val="left"/>
      <w:pPr>
        <w:ind w:left="3600" w:hanging="360"/>
      </w:pPr>
      <w:rPr>
        <w:rFonts w:ascii="Courier New" w:hAnsi="Courier New" w:hint="default"/>
      </w:rPr>
    </w:lvl>
    <w:lvl w:ilvl="5" w:tplc="F3BE883A">
      <w:start w:val="1"/>
      <w:numFmt w:val="bullet"/>
      <w:lvlText w:val=""/>
      <w:lvlJc w:val="left"/>
      <w:pPr>
        <w:ind w:left="4320" w:hanging="360"/>
      </w:pPr>
      <w:rPr>
        <w:rFonts w:ascii="Wingdings" w:hAnsi="Wingdings" w:hint="default"/>
      </w:rPr>
    </w:lvl>
    <w:lvl w:ilvl="6" w:tplc="871E0DF4">
      <w:start w:val="1"/>
      <w:numFmt w:val="bullet"/>
      <w:lvlText w:val=""/>
      <w:lvlJc w:val="left"/>
      <w:pPr>
        <w:ind w:left="5040" w:hanging="360"/>
      </w:pPr>
      <w:rPr>
        <w:rFonts w:ascii="Symbol" w:hAnsi="Symbol" w:hint="default"/>
      </w:rPr>
    </w:lvl>
    <w:lvl w:ilvl="7" w:tplc="CCF8F0BE">
      <w:start w:val="1"/>
      <w:numFmt w:val="bullet"/>
      <w:lvlText w:val="o"/>
      <w:lvlJc w:val="left"/>
      <w:pPr>
        <w:ind w:left="5760" w:hanging="360"/>
      </w:pPr>
      <w:rPr>
        <w:rFonts w:ascii="Courier New" w:hAnsi="Courier New" w:hint="default"/>
      </w:rPr>
    </w:lvl>
    <w:lvl w:ilvl="8" w:tplc="411E6F8E">
      <w:start w:val="1"/>
      <w:numFmt w:val="bullet"/>
      <w:lvlText w:val=""/>
      <w:lvlJc w:val="left"/>
      <w:pPr>
        <w:ind w:left="6480" w:hanging="360"/>
      </w:pPr>
      <w:rPr>
        <w:rFonts w:ascii="Wingdings" w:hAnsi="Wingdings" w:hint="default"/>
      </w:rPr>
    </w:lvl>
  </w:abstractNum>
  <w:abstractNum w:abstractNumId="59" w15:restartNumberingAfterBreak="0">
    <w:nsid w:val="573C64F1"/>
    <w:multiLevelType w:val="hybridMultilevel"/>
    <w:tmpl w:val="4678F36A"/>
    <w:lvl w:ilvl="0" w:tplc="0C09000F">
      <w:start w:val="1"/>
      <w:numFmt w:val="decimal"/>
      <w:lvlText w:val="%1."/>
      <w:lvlJc w:val="left"/>
      <w:pPr>
        <w:ind w:left="754" w:hanging="360"/>
      </w:pPr>
    </w:lvl>
    <w:lvl w:ilvl="1" w:tplc="0C090019">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60" w15:restartNumberingAfterBreak="0">
    <w:nsid w:val="57BF0FD8"/>
    <w:multiLevelType w:val="hybridMultilevel"/>
    <w:tmpl w:val="F3327382"/>
    <w:lvl w:ilvl="0" w:tplc="0C090001">
      <w:start w:val="1"/>
      <w:numFmt w:val="bullet"/>
      <w:lvlText w:val=""/>
      <w:lvlJc w:val="left"/>
      <w:pPr>
        <w:ind w:left="720" w:hanging="360"/>
      </w:pPr>
      <w:rPr>
        <w:rFonts w:ascii="Symbol" w:hAnsi="Symbol" w:hint="default"/>
      </w:rPr>
    </w:lvl>
    <w:lvl w:ilvl="1" w:tplc="90B857DE">
      <w:start w:val="1"/>
      <w:numFmt w:val="lowerLetter"/>
      <w:lvlText w:val="%2."/>
      <w:lvlJc w:val="left"/>
      <w:pPr>
        <w:ind w:left="1440" w:hanging="360"/>
      </w:pPr>
    </w:lvl>
    <w:lvl w:ilvl="2" w:tplc="65BAE528">
      <w:start w:val="1"/>
      <w:numFmt w:val="lowerRoman"/>
      <w:lvlText w:val="%3."/>
      <w:lvlJc w:val="right"/>
      <w:pPr>
        <w:ind w:left="2160" w:hanging="180"/>
      </w:pPr>
    </w:lvl>
    <w:lvl w:ilvl="3" w:tplc="C870F7D4">
      <w:start w:val="1"/>
      <w:numFmt w:val="decimal"/>
      <w:lvlText w:val="%4."/>
      <w:lvlJc w:val="left"/>
      <w:pPr>
        <w:ind w:left="2880" w:hanging="360"/>
      </w:pPr>
    </w:lvl>
    <w:lvl w:ilvl="4" w:tplc="1636818C">
      <w:start w:val="1"/>
      <w:numFmt w:val="lowerLetter"/>
      <w:lvlText w:val="%5."/>
      <w:lvlJc w:val="left"/>
      <w:pPr>
        <w:ind w:left="3600" w:hanging="360"/>
      </w:pPr>
    </w:lvl>
    <w:lvl w:ilvl="5" w:tplc="708C1D5C">
      <w:start w:val="1"/>
      <w:numFmt w:val="lowerRoman"/>
      <w:lvlText w:val="%6."/>
      <w:lvlJc w:val="right"/>
      <w:pPr>
        <w:ind w:left="4320" w:hanging="180"/>
      </w:pPr>
    </w:lvl>
    <w:lvl w:ilvl="6" w:tplc="D8A012F2">
      <w:start w:val="1"/>
      <w:numFmt w:val="decimal"/>
      <w:lvlText w:val="%7."/>
      <w:lvlJc w:val="left"/>
      <w:pPr>
        <w:ind w:left="5040" w:hanging="360"/>
      </w:pPr>
    </w:lvl>
    <w:lvl w:ilvl="7" w:tplc="2716E4F2">
      <w:start w:val="1"/>
      <w:numFmt w:val="lowerLetter"/>
      <w:lvlText w:val="%8."/>
      <w:lvlJc w:val="left"/>
      <w:pPr>
        <w:ind w:left="5760" w:hanging="360"/>
      </w:pPr>
    </w:lvl>
    <w:lvl w:ilvl="8" w:tplc="DCF66976">
      <w:start w:val="1"/>
      <w:numFmt w:val="lowerRoman"/>
      <w:lvlText w:val="%9."/>
      <w:lvlJc w:val="right"/>
      <w:pPr>
        <w:ind w:left="6480" w:hanging="180"/>
      </w:pPr>
    </w:lvl>
  </w:abstractNum>
  <w:abstractNum w:abstractNumId="61" w15:restartNumberingAfterBreak="0">
    <w:nsid w:val="57D83558"/>
    <w:multiLevelType w:val="hybridMultilevel"/>
    <w:tmpl w:val="4DAE8E72"/>
    <w:lvl w:ilvl="0" w:tplc="A8065B98">
      <w:start w:val="10"/>
      <w:numFmt w:val="decimal"/>
      <w:lvlText w:val="%1."/>
      <w:lvlJc w:val="left"/>
      <w:pPr>
        <w:tabs>
          <w:tab w:val="num" w:pos="720"/>
        </w:tabs>
        <w:ind w:left="720" w:hanging="360"/>
      </w:pPr>
    </w:lvl>
    <w:lvl w:ilvl="1" w:tplc="312CCA08" w:tentative="1">
      <w:start w:val="1"/>
      <w:numFmt w:val="decimal"/>
      <w:lvlText w:val="%2."/>
      <w:lvlJc w:val="left"/>
      <w:pPr>
        <w:tabs>
          <w:tab w:val="num" w:pos="1440"/>
        </w:tabs>
        <w:ind w:left="1440" w:hanging="360"/>
      </w:pPr>
    </w:lvl>
    <w:lvl w:ilvl="2" w:tplc="1A8CEB46" w:tentative="1">
      <w:start w:val="1"/>
      <w:numFmt w:val="decimal"/>
      <w:lvlText w:val="%3."/>
      <w:lvlJc w:val="left"/>
      <w:pPr>
        <w:tabs>
          <w:tab w:val="num" w:pos="2160"/>
        </w:tabs>
        <w:ind w:left="2160" w:hanging="360"/>
      </w:pPr>
    </w:lvl>
    <w:lvl w:ilvl="3" w:tplc="7C3A305A" w:tentative="1">
      <w:start w:val="1"/>
      <w:numFmt w:val="decimal"/>
      <w:lvlText w:val="%4."/>
      <w:lvlJc w:val="left"/>
      <w:pPr>
        <w:tabs>
          <w:tab w:val="num" w:pos="2880"/>
        </w:tabs>
        <w:ind w:left="2880" w:hanging="360"/>
      </w:pPr>
    </w:lvl>
    <w:lvl w:ilvl="4" w:tplc="5C0A72BA" w:tentative="1">
      <w:start w:val="1"/>
      <w:numFmt w:val="decimal"/>
      <w:lvlText w:val="%5."/>
      <w:lvlJc w:val="left"/>
      <w:pPr>
        <w:tabs>
          <w:tab w:val="num" w:pos="3600"/>
        </w:tabs>
        <w:ind w:left="3600" w:hanging="360"/>
      </w:pPr>
    </w:lvl>
    <w:lvl w:ilvl="5" w:tplc="D0141E66" w:tentative="1">
      <w:start w:val="1"/>
      <w:numFmt w:val="decimal"/>
      <w:lvlText w:val="%6."/>
      <w:lvlJc w:val="left"/>
      <w:pPr>
        <w:tabs>
          <w:tab w:val="num" w:pos="4320"/>
        </w:tabs>
        <w:ind w:left="4320" w:hanging="360"/>
      </w:pPr>
    </w:lvl>
    <w:lvl w:ilvl="6" w:tplc="B5086D02" w:tentative="1">
      <w:start w:val="1"/>
      <w:numFmt w:val="decimal"/>
      <w:lvlText w:val="%7."/>
      <w:lvlJc w:val="left"/>
      <w:pPr>
        <w:tabs>
          <w:tab w:val="num" w:pos="5040"/>
        </w:tabs>
        <w:ind w:left="5040" w:hanging="360"/>
      </w:pPr>
    </w:lvl>
    <w:lvl w:ilvl="7" w:tplc="4E0A3992" w:tentative="1">
      <w:start w:val="1"/>
      <w:numFmt w:val="decimal"/>
      <w:lvlText w:val="%8."/>
      <w:lvlJc w:val="left"/>
      <w:pPr>
        <w:tabs>
          <w:tab w:val="num" w:pos="5760"/>
        </w:tabs>
        <w:ind w:left="5760" w:hanging="360"/>
      </w:pPr>
    </w:lvl>
    <w:lvl w:ilvl="8" w:tplc="F154C214" w:tentative="1">
      <w:start w:val="1"/>
      <w:numFmt w:val="decimal"/>
      <w:lvlText w:val="%9."/>
      <w:lvlJc w:val="left"/>
      <w:pPr>
        <w:tabs>
          <w:tab w:val="num" w:pos="6480"/>
        </w:tabs>
        <w:ind w:left="6480" w:hanging="360"/>
      </w:pPr>
    </w:lvl>
  </w:abstractNum>
  <w:abstractNum w:abstractNumId="62" w15:restartNumberingAfterBreak="0">
    <w:nsid w:val="5825517F"/>
    <w:multiLevelType w:val="hybridMultilevel"/>
    <w:tmpl w:val="A6A8EB12"/>
    <w:lvl w:ilvl="0" w:tplc="3F0ADDA6">
      <w:start w:val="1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2A72CC"/>
    <w:multiLevelType w:val="hybridMultilevel"/>
    <w:tmpl w:val="FFFFFFFF"/>
    <w:lvl w:ilvl="0" w:tplc="AB6A8708">
      <w:start w:val="1"/>
      <w:numFmt w:val="bullet"/>
      <w:lvlText w:val=""/>
      <w:lvlJc w:val="left"/>
      <w:pPr>
        <w:ind w:left="720" w:hanging="360"/>
      </w:pPr>
      <w:rPr>
        <w:rFonts w:ascii="Symbol" w:hAnsi="Symbol" w:hint="default"/>
      </w:rPr>
    </w:lvl>
    <w:lvl w:ilvl="1" w:tplc="B282BA54">
      <w:start w:val="1"/>
      <w:numFmt w:val="bullet"/>
      <w:lvlText w:val="o"/>
      <w:lvlJc w:val="left"/>
      <w:pPr>
        <w:ind w:left="1440" w:hanging="360"/>
      </w:pPr>
      <w:rPr>
        <w:rFonts w:ascii="Courier New" w:hAnsi="Courier New" w:hint="default"/>
      </w:rPr>
    </w:lvl>
    <w:lvl w:ilvl="2" w:tplc="DC4A808A">
      <w:start w:val="1"/>
      <w:numFmt w:val="bullet"/>
      <w:lvlText w:val=""/>
      <w:lvlJc w:val="left"/>
      <w:pPr>
        <w:ind w:left="2160" w:hanging="360"/>
      </w:pPr>
      <w:rPr>
        <w:rFonts w:ascii="Wingdings" w:hAnsi="Wingdings" w:hint="default"/>
      </w:rPr>
    </w:lvl>
    <w:lvl w:ilvl="3" w:tplc="8BEEC584">
      <w:start w:val="1"/>
      <w:numFmt w:val="bullet"/>
      <w:lvlText w:val=""/>
      <w:lvlJc w:val="left"/>
      <w:pPr>
        <w:ind w:left="2880" w:hanging="360"/>
      </w:pPr>
      <w:rPr>
        <w:rFonts w:ascii="Symbol" w:hAnsi="Symbol" w:hint="default"/>
      </w:rPr>
    </w:lvl>
    <w:lvl w:ilvl="4" w:tplc="DE9CBFE6">
      <w:start w:val="1"/>
      <w:numFmt w:val="bullet"/>
      <w:lvlText w:val="o"/>
      <w:lvlJc w:val="left"/>
      <w:pPr>
        <w:ind w:left="3600" w:hanging="360"/>
      </w:pPr>
      <w:rPr>
        <w:rFonts w:ascii="Courier New" w:hAnsi="Courier New" w:hint="default"/>
      </w:rPr>
    </w:lvl>
    <w:lvl w:ilvl="5" w:tplc="6542EFD8">
      <w:start w:val="1"/>
      <w:numFmt w:val="bullet"/>
      <w:lvlText w:val=""/>
      <w:lvlJc w:val="left"/>
      <w:pPr>
        <w:ind w:left="4320" w:hanging="360"/>
      </w:pPr>
      <w:rPr>
        <w:rFonts w:ascii="Wingdings" w:hAnsi="Wingdings" w:hint="default"/>
      </w:rPr>
    </w:lvl>
    <w:lvl w:ilvl="6" w:tplc="B2F024A6">
      <w:start w:val="1"/>
      <w:numFmt w:val="bullet"/>
      <w:lvlText w:val=""/>
      <w:lvlJc w:val="left"/>
      <w:pPr>
        <w:ind w:left="5040" w:hanging="360"/>
      </w:pPr>
      <w:rPr>
        <w:rFonts w:ascii="Symbol" w:hAnsi="Symbol" w:hint="default"/>
      </w:rPr>
    </w:lvl>
    <w:lvl w:ilvl="7" w:tplc="72FA8436">
      <w:start w:val="1"/>
      <w:numFmt w:val="bullet"/>
      <w:lvlText w:val="o"/>
      <w:lvlJc w:val="left"/>
      <w:pPr>
        <w:ind w:left="5760" w:hanging="360"/>
      </w:pPr>
      <w:rPr>
        <w:rFonts w:ascii="Courier New" w:hAnsi="Courier New" w:hint="default"/>
      </w:rPr>
    </w:lvl>
    <w:lvl w:ilvl="8" w:tplc="A2484CBA">
      <w:start w:val="1"/>
      <w:numFmt w:val="bullet"/>
      <w:lvlText w:val=""/>
      <w:lvlJc w:val="left"/>
      <w:pPr>
        <w:ind w:left="6480" w:hanging="360"/>
      </w:pPr>
      <w:rPr>
        <w:rFonts w:ascii="Wingdings" w:hAnsi="Wingdings" w:hint="default"/>
      </w:rPr>
    </w:lvl>
  </w:abstractNum>
  <w:abstractNum w:abstractNumId="64" w15:restartNumberingAfterBreak="0">
    <w:nsid w:val="5A1767B6"/>
    <w:multiLevelType w:val="hybridMultilevel"/>
    <w:tmpl w:val="14C8A526"/>
    <w:styleLink w:val="Numbers"/>
    <w:lvl w:ilvl="0" w:tplc="3132A8FC">
      <w:start w:val="1"/>
      <w:numFmt w:val="decimal"/>
      <w:pStyle w:val="ListNumber"/>
      <w:lvlText w:val="%1."/>
      <w:lvlJc w:val="left"/>
      <w:pPr>
        <w:tabs>
          <w:tab w:val="num" w:pos="227"/>
        </w:tabs>
        <w:ind w:left="227" w:hanging="227"/>
      </w:pPr>
      <w:rPr>
        <w:rFonts w:cs="Times New Roman" w:hint="default"/>
      </w:rPr>
    </w:lvl>
    <w:lvl w:ilvl="1" w:tplc="5EE00E80">
      <w:start w:val="1"/>
      <w:numFmt w:val="none"/>
      <w:lvlText w:val=""/>
      <w:lvlJc w:val="left"/>
      <w:pPr>
        <w:ind w:left="1440" w:hanging="360"/>
      </w:pPr>
      <w:rPr>
        <w:rFonts w:cs="Times New Roman" w:hint="default"/>
      </w:rPr>
    </w:lvl>
    <w:lvl w:ilvl="2" w:tplc="A628F3D8">
      <w:start w:val="1"/>
      <w:numFmt w:val="none"/>
      <w:lvlText w:val=""/>
      <w:lvlJc w:val="right"/>
      <w:pPr>
        <w:ind w:left="2160" w:hanging="180"/>
      </w:pPr>
      <w:rPr>
        <w:rFonts w:cs="Times New Roman" w:hint="default"/>
      </w:rPr>
    </w:lvl>
    <w:lvl w:ilvl="3" w:tplc="465E1554">
      <w:start w:val="1"/>
      <w:numFmt w:val="none"/>
      <w:lvlText w:val=""/>
      <w:lvlJc w:val="left"/>
      <w:pPr>
        <w:ind w:left="2880" w:hanging="360"/>
      </w:pPr>
      <w:rPr>
        <w:rFonts w:cs="Times New Roman" w:hint="default"/>
      </w:rPr>
    </w:lvl>
    <w:lvl w:ilvl="4" w:tplc="A3F4364A">
      <w:start w:val="1"/>
      <w:numFmt w:val="none"/>
      <w:lvlText w:val=""/>
      <w:lvlJc w:val="left"/>
      <w:pPr>
        <w:ind w:left="3600" w:hanging="360"/>
      </w:pPr>
      <w:rPr>
        <w:rFonts w:cs="Times New Roman" w:hint="default"/>
      </w:rPr>
    </w:lvl>
    <w:lvl w:ilvl="5" w:tplc="1E422302">
      <w:start w:val="1"/>
      <w:numFmt w:val="none"/>
      <w:lvlText w:val=""/>
      <w:lvlJc w:val="right"/>
      <w:pPr>
        <w:ind w:left="4320" w:hanging="180"/>
      </w:pPr>
      <w:rPr>
        <w:rFonts w:cs="Times New Roman" w:hint="default"/>
      </w:rPr>
    </w:lvl>
    <w:lvl w:ilvl="6" w:tplc="5FC81818">
      <w:start w:val="1"/>
      <w:numFmt w:val="none"/>
      <w:lvlText w:val=""/>
      <w:lvlJc w:val="left"/>
      <w:pPr>
        <w:ind w:left="5040" w:hanging="360"/>
      </w:pPr>
      <w:rPr>
        <w:rFonts w:cs="Times New Roman" w:hint="default"/>
      </w:rPr>
    </w:lvl>
    <w:lvl w:ilvl="7" w:tplc="B10CA3DC">
      <w:start w:val="1"/>
      <w:numFmt w:val="none"/>
      <w:lvlText w:val=""/>
      <w:lvlJc w:val="left"/>
      <w:pPr>
        <w:ind w:left="5760" w:hanging="360"/>
      </w:pPr>
      <w:rPr>
        <w:rFonts w:cs="Times New Roman" w:hint="default"/>
      </w:rPr>
    </w:lvl>
    <w:lvl w:ilvl="8" w:tplc="DE9452D2">
      <w:start w:val="1"/>
      <w:numFmt w:val="none"/>
      <w:lvlText w:val=""/>
      <w:lvlJc w:val="right"/>
      <w:pPr>
        <w:ind w:left="6480" w:hanging="180"/>
      </w:pPr>
      <w:rPr>
        <w:rFonts w:cs="Times New Roman" w:hint="default"/>
      </w:rPr>
    </w:lvl>
  </w:abstractNum>
  <w:abstractNum w:abstractNumId="65" w15:restartNumberingAfterBreak="0">
    <w:nsid w:val="5CA20D8E"/>
    <w:multiLevelType w:val="hybridMultilevel"/>
    <w:tmpl w:val="5B043B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35213A6"/>
    <w:multiLevelType w:val="hybridMultilevel"/>
    <w:tmpl w:val="D2102784"/>
    <w:lvl w:ilvl="0" w:tplc="52BC5C90">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5F5434C"/>
    <w:multiLevelType w:val="hybridMultilevel"/>
    <w:tmpl w:val="062ACA3A"/>
    <w:lvl w:ilvl="0" w:tplc="0C090001">
      <w:start w:val="1"/>
      <w:numFmt w:val="bullet"/>
      <w:lvlText w:val=""/>
      <w:lvlJc w:val="left"/>
      <w:pPr>
        <w:ind w:left="720" w:hanging="360"/>
      </w:pPr>
      <w:rPr>
        <w:rFonts w:ascii="Symbol" w:hAnsi="Symbol" w:hint="default"/>
      </w:rPr>
    </w:lvl>
    <w:lvl w:ilvl="1" w:tplc="29086AC0">
      <w:start w:val="1"/>
      <w:numFmt w:val="lowerLetter"/>
      <w:lvlText w:val="%2."/>
      <w:lvlJc w:val="left"/>
      <w:pPr>
        <w:ind w:left="1440" w:hanging="360"/>
      </w:pPr>
    </w:lvl>
    <w:lvl w:ilvl="2" w:tplc="9FA4DC88">
      <w:start w:val="1"/>
      <w:numFmt w:val="lowerRoman"/>
      <w:lvlText w:val="%3."/>
      <w:lvlJc w:val="right"/>
      <w:pPr>
        <w:ind w:left="2160" w:hanging="180"/>
      </w:pPr>
    </w:lvl>
    <w:lvl w:ilvl="3" w:tplc="DAB604C2">
      <w:start w:val="1"/>
      <w:numFmt w:val="decimal"/>
      <w:lvlText w:val="%4."/>
      <w:lvlJc w:val="left"/>
      <w:pPr>
        <w:ind w:left="2880" w:hanging="360"/>
      </w:pPr>
    </w:lvl>
    <w:lvl w:ilvl="4" w:tplc="C4C2CF58">
      <w:start w:val="1"/>
      <w:numFmt w:val="lowerLetter"/>
      <w:lvlText w:val="%5."/>
      <w:lvlJc w:val="left"/>
      <w:pPr>
        <w:ind w:left="3600" w:hanging="360"/>
      </w:pPr>
    </w:lvl>
    <w:lvl w:ilvl="5" w:tplc="166A2EAC">
      <w:start w:val="1"/>
      <w:numFmt w:val="lowerRoman"/>
      <w:lvlText w:val="%6."/>
      <w:lvlJc w:val="right"/>
      <w:pPr>
        <w:ind w:left="4320" w:hanging="180"/>
      </w:pPr>
    </w:lvl>
    <w:lvl w:ilvl="6" w:tplc="DEE6A43C">
      <w:start w:val="1"/>
      <w:numFmt w:val="decimal"/>
      <w:lvlText w:val="%7."/>
      <w:lvlJc w:val="left"/>
      <w:pPr>
        <w:ind w:left="5040" w:hanging="360"/>
      </w:pPr>
    </w:lvl>
    <w:lvl w:ilvl="7" w:tplc="1ABADAD6">
      <w:start w:val="1"/>
      <w:numFmt w:val="lowerLetter"/>
      <w:lvlText w:val="%8."/>
      <w:lvlJc w:val="left"/>
      <w:pPr>
        <w:ind w:left="5760" w:hanging="360"/>
      </w:pPr>
    </w:lvl>
    <w:lvl w:ilvl="8" w:tplc="EC1ECCD4">
      <w:start w:val="1"/>
      <w:numFmt w:val="lowerRoman"/>
      <w:lvlText w:val="%9."/>
      <w:lvlJc w:val="right"/>
      <w:pPr>
        <w:ind w:left="6480" w:hanging="180"/>
      </w:pPr>
    </w:lvl>
  </w:abstractNum>
  <w:abstractNum w:abstractNumId="69" w15:restartNumberingAfterBreak="0">
    <w:nsid w:val="67E50BE9"/>
    <w:multiLevelType w:val="hybridMultilevel"/>
    <w:tmpl w:val="2E6669BE"/>
    <w:lvl w:ilvl="0" w:tplc="FBA20FA6">
      <w:start w:val="1"/>
      <w:numFmt w:val="bullet"/>
      <w:lvlText w:val=""/>
      <w:lvlJc w:val="left"/>
      <w:pPr>
        <w:ind w:left="720" w:hanging="360"/>
      </w:pPr>
      <w:rPr>
        <w:rFonts w:ascii="Wingdings" w:hAnsi="Wingdings" w:hint="default"/>
      </w:rPr>
    </w:lvl>
    <w:lvl w:ilvl="1" w:tplc="CD6EAA26">
      <w:start w:val="1"/>
      <w:numFmt w:val="bullet"/>
      <w:lvlText w:val="o"/>
      <w:lvlJc w:val="left"/>
      <w:pPr>
        <w:ind w:left="1440" w:hanging="360"/>
      </w:pPr>
      <w:rPr>
        <w:rFonts w:ascii="Courier New" w:hAnsi="Courier New" w:hint="default"/>
      </w:rPr>
    </w:lvl>
    <w:lvl w:ilvl="2" w:tplc="F7981640">
      <w:start w:val="1"/>
      <w:numFmt w:val="bullet"/>
      <w:lvlText w:val=""/>
      <w:lvlJc w:val="left"/>
      <w:pPr>
        <w:ind w:left="2160" w:hanging="360"/>
      </w:pPr>
      <w:rPr>
        <w:rFonts w:ascii="Wingdings" w:hAnsi="Wingdings" w:hint="default"/>
      </w:rPr>
    </w:lvl>
    <w:lvl w:ilvl="3" w:tplc="EE0E16EC">
      <w:start w:val="1"/>
      <w:numFmt w:val="bullet"/>
      <w:lvlText w:val=""/>
      <w:lvlJc w:val="left"/>
      <w:pPr>
        <w:ind w:left="2880" w:hanging="360"/>
      </w:pPr>
      <w:rPr>
        <w:rFonts w:ascii="Symbol" w:hAnsi="Symbol" w:hint="default"/>
      </w:rPr>
    </w:lvl>
    <w:lvl w:ilvl="4" w:tplc="D71A9B98">
      <w:start w:val="1"/>
      <w:numFmt w:val="bullet"/>
      <w:lvlText w:val="o"/>
      <w:lvlJc w:val="left"/>
      <w:pPr>
        <w:ind w:left="3600" w:hanging="360"/>
      </w:pPr>
      <w:rPr>
        <w:rFonts w:ascii="Courier New" w:hAnsi="Courier New" w:hint="default"/>
      </w:rPr>
    </w:lvl>
    <w:lvl w:ilvl="5" w:tplc="A5B6A33A">
      <w:start w:val="1"/>
      <w:numFmt w:val="bullet"/>
      <w:lvlText w:val=""/>
      <w:lvlJc w:val="left"/>
      <w:pPr>
        <w:ind w:left="4320" w:hanging="360"/>
      </w:pPr>
      <w:rPr>
        <w:rFonts w:ascii="Wingdings" w:hAnsi="Wingdings" w:hint="default"/>
      </w:rPr>
    </w:lvl>
    <w:lvl w:ilvl="6" w:tplc="95CE6EC8">
      <w:start w:val="1"/>
      <w:numFmt w:val="bullet"/>
      <w:lvlText w:val=""/>
      <w:lvlJc w:val="left"/>
      <w:pPr>
        <w:ind w:left="5040" w:hanging="360"/>
      </w:pPr>
      <w:rPr>
        <w:rFonts w:ascii="Symbol" w:hAnsi="Symbol" w:hint="default"/>
      </w:rPr>
    </w:lvl>
    <w:lvl w:ilvl="7" w:tplc="6B2AB1D4">
      <w:start w:val="1"/>
      <w:numFmt w:val="bullet"/>
      <w:lvlText w:val="o"/>
      <w:lvlJc w:val="left"/>
      <w:pPr>
        <w:ind w:left="5760" w:hanging="360"/>
      </w:pPr>
      <w:rPr>
        <w:rFonts w:ascii="Courier New" w:hAnsi="Courier New" w:hint="default"/>
      </w:rPr>
    </w:lvl>
    <w:lvl w:ilvl="8" w:tplc="C3A64F94">
      <w:start w:val="1"/>
      <w:numFmt w:val="bullet"/>
      <w:lvlText w:val=""/>
      <w:lvlJc w:val="left"/>
      <w:pPr>
        <w:ind w:left="6480" w:hanging="360"/>
      </w:pPr>
      <w:rPr>
        <w:rFonts w:ascii="Wingdings" w:hAnsi="Wingdings" w:hint="default"/>
      </w:rPr>
    </w:lvl>
  </w:abstractNum>
  <w:abstractNum w:abstractNumId="70" w15:restartNumberingAfterBreak="0">
    <w:nsid w:val="68996A1F"/>
    <w:multiLevelType w:val="hybridMultilevel"/>
    <w:tmpl w:val="4383567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6CEA0E32"/>
    <w:multiLevelType w:val="multilevel"/>
    <w:tmpl w:val="2C30AE1E"/>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2" w15:restartNumberingAfterBreak="0">
    <w:nsid w:val="6D3A1C4B"/>
    <w:multiLevelType w:val="hybridMultilevel"/>
    <w:tmpl w:val="1D8C019C"/>
    <w:lvl w:ilvl="0" w:tplc="FDDEBC8E">
      <w:start w:val="1"/>
      <w:numFmt w:val="bullet"/>
      <w:lvlText w:val=""/>
      <w:lvlJc w:val="left"/>
      <w:pPr>
        <w:ind w:left="720" w:hanging="360"/>
      </w:pPr>
      <w:rPr>
        <w:rFonts w:ascii="Symbol" w:hAnsi="Symbol" w:hint="default"/>
      </w:rPr>
    </w:lvl>
    <w:lvl w:ilvl="1" w:tplc="46AA70EC">
      <w:start w:val="1"/>
      <w:numFmt w:val="bullet"/>
      <w:lvlText w:val="o"/>
      <w:lvlJc w:val="left"/>
      <w:pPr>
        <w:ind w:left="1440" w:hanging="360"/>
      </w:pPr>
      <w:rPr>
        <w:rFonts w:ascii="Courier New" w:hAnsi="Courier New" w:hint="default"/>
      </w:rPr>
    </w:lvl>
    <w:lvl w:ilvl="2" w:tplc="69FA2620">
      <w:start w:val="1"/>
      <w:numFmt w:val="bullet"/>
      <w:lvlText w:val=""/>
      <w:lvlJc w:val="left"/>
      <w:pPr>
        <w:ind w:left="2160" w:hanging="360"/>
      </w:pPr>
      <w:rPr>
        <w:rFonts w:ascii="Wingdings" w:hAnsi="Wingdings" w:hint="default"/>
      </w:rPr>
    </w:lvl>
    <w:lvl w:ilvl="3" w:tplc="025265C8">
      <w:start w:val="1"/>
      <w:numFmt w:val="bullet"/>
      <w:lvlText w:val=""/>
      <w:lvlJc w:val="left"/>
      <w:pPr>
        <w:ind w:left="2880" w:hanging="360"/>
      </w:pPr>
      <w:rPr>
        <w:rFonts w:ascii="Symbol" w:hAnsi="Symbol" w:hint="default"/>
      </w:rPr>
    </w:lvl>
    <w:lvl w:ilvl="4" w:tplc="32985F88">
      <w:start w:val="1"/>
      <w:numFmt w:val="bullet"/>
      <w:lvlText w:val="o"/>
      <w:lvlJc w:val="left"/>
      <w:pPr>
        <w:ind w:left="3600" w:hanging="360"/>
      </w:pPr>
      <w:rPr>
        <w:rFonts w:ascii="Courier New" w:hAnsi="Courier New" w:hint="default"/>
      </w:rPr>
    </w:lvl>
    <w:lvl w:ilvl="5" w:tplc="3A567BBE">
      <w:start w:val="1"/>
      <w:numFmt w:val="bullet"/>
      <w:lvlText w:val=""/>
      <w:lvlJc w:val="left"/>
      <w:pPr>
        <w:ind w:left="4320" w:hanging="360"/>
      </w:pPr>
      <w:rPr>
        <w:rFonts w:ascii="Wingdings" w:hAnsi="Wingdings" w:hint="default"/>
      </w:rPr>
    </w:lvl>
    <w:lvl w:ilvl="6" w:tplc="90E40C42">
      <w:start w:val="1"/>
      <w:numFmt w:val="bullet"/>
      <w:lvlText w:val=""/>
      <w:lvlJc w:val="left"/>
      <w:pPr>
        <w:ind w:left="5040" w:hanging="360"/>
      </w:pPr>
      <w:rPr>
        <w:rFonts w:ascii="Symbol" w:hAnsi="Symbol" w:hint="default"/>
      </w:rPr>
    </w:lvl>
    <w:lvl w:ilvl="7" w:tplc="B78CEF74">
      <w:start w:val="1"/>
      <w:numFmt w:val="bullet"/>
      <w:lvlText w:val="o"/>
      <w:lvlJc w:val="left"/>
      <w:pPr>
        <w:ind w:left="5760" w:hanging="360"/>
      </w:pPr>
      <w:rPr>
        <w:rFonts w:ascii="Courier New" w:hAnsi="Courier New" w:hint="default"/>
      </w:rPr>
    </w:lvl>
    <w:lvl w:ilvl="8" w:tplc="B83EC2A6">
      <w:start w:val="1"/>
      <w:numFmt w:val="bullet"/>
      <w:lvlText w:val=""/>
      <w:lvlJc w:val="left"/>
      <w:pPr>
        <w:ind w:left="6480" w:hanging="360"/>
      </w:pPr>
      <w:rPr>
        <w:rFonts w:ascii="Wingdings" w:hAnsi="Wingdings" w:hint="default"/>
      </w:rPr>
    </w:lvl>
  </w:abstractNum>
  <w:abstractNum w:abstractNumId="73" w15:restartNumberingAfterBreak="0">
    <w:nsid w:val="6DBD2E8E"/>
    <w:multiLevelType w:val="hybridMultilevel"/>
    <w:tmpl w:val="E1BC90CA"/>
    <w:lvl w:ilvl="0" w:tplc="FC24A77C">
      <w:start w:val="1"/>
      <w:numFmt w:val="decimal"/>
      <w:lvlText w:val="%1."/>
      <w:lvlJc w:val="left"/>
      <w:pPr>
        <w:ind w:left="754" w:hanging="360"/>
      </w:pPr>
      <w:rPr>
        <w:rFonts w:asciiTheme="minorHAnsi" w:hAnsiTheme="minorHAnsi" w:cstheme="minorHAnsi" w:hint="default"/>
      </w:rPr>
    </w:lvl>
    <w:lvl w:ilvl="1" w:tplc="0C090019">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74" w15:restartNumberingAfterBreak="0">
    <w:nsid w:val="6EE170BA"/>
    <w:multiLevelType w:val="hybridMultilevel"/>
    <w:tmpl w:val="B540019E"/>
    <w:lvl w:ilvl="0" w:tplc="7B167ABC">
      <w:start w:val="1"/>
      <w:numFmt w:val="decimal"/>
      <w:lvlText w:val="%1."/>
      <w:lvlJc w:val="left"/>
      <w:pPr>
        <w:ind w:left="360" w:hanging="360"/>
      </w:pPr>
    </w:lvl>
    <w:lvl w:ilvl="1" w:tplc="1B60A9E4">
      <w:start w:val="1"/>
      <w:numFmt w:val="lowerLetter"/>
      <w:lvlText w:val="%2."/>
      <w:lvlJc w:val="left"/>
      <w:pPr>
        <w:ind w:left="1080" w:hanging="360"/>
      </w:pPr>
    </w:lvl>
    <w:lvl w:ilvl="2" w:tplc="1564F814">
      <w:start w:val="1"/>
      <w:numFmt w:val="lowerRoman"/>
      <w:lvlText w:val="%3."/>
      <w:lvlJc w:val="right"/>
      <w:pPr>
        <w:ind w:left="1800" w:hanging="180"/>
      </w:pPr>
    </w:lvl>
    <w:lvl w:ilvl="3" w:tplc="CF023684">
      <w:start w:val="1"/>
      <w:numFmt w:val="decimal"/>
      <w:lvlText w:val="%4."/>
      <w:lvlJc w:val="left"/>
      <w:pPr>
        <w:ind w:left="2520" w:hanging="360"/>
      </w:pPr>
    </w:lvl>
    <w:lvl w:ilvl="4" w:tplc="B338DABC">
      <w:start w:val="1"/>
      <w:numFmt w:val="lowerLetter"/>
      <w:lvlText w:val="%5."/>
      <w:lvlJc w:val="left"/>
      <w:pPr>
        <w:ind w:left="3240" w:hanging="360"/>
      </w:pPr>
    </w:lvl>
    <w:lvl w:ilvl="5" w:tplc="10E8D128">
      <w:start w:val="1"/>
      <w:numFmt w:val="lowerRoman"/>
      <w:lvlText w:val="%6."/>
      <w:lvlJc w:val="right"/>
      <w:pPr>
        <w:ind w:left="3960" w:hanging="180"/>
      </w:pPr>
    </w:lvl>
    <w:lvl w:ilvl="6" w:tplc="66927B60">
      <w:start w:val="1"/>
      <w:numFmt w:val="decimal"/>
      <w:lvlText w:val="%7."/>
      <w:lvlJc w:val="left"/>
      <w:pPr>
        <w:ind w:left="4680" w:hanging="360"/>
      </w:pPr>
    </w:lvl>
    <w:lvl w:ilvl="7" w:tplc="772C6A1E">
      <w:start w:val="1"/>
      <w:numFmt w:val="lowerLetter"/>
      <w:lvlText w:val="%8."/>
      <w:lvlJc w:val="left"/>
      <w:pPr>
        <w:ind w:left="5400" w:hanging="360"/>
      </w:pPr>
    </w:lvl>
    <w:lvl w:ilvl="8" w:tplc="62862000">
      <w:start w:val="1"/>
      <w:numFmt w:val="lowerRoman"/>
      <w:lvlText w:val="%9."/>
      <w:lvlJc w:val="right"/>
      <w:pPr>
        <w:ind w:left="6120" w:hanging="180"/>
      </w:pPr>
    </w:lvl>
  </w:abstractNum>
  <w:abstractNum w:abstractNumId="75" w15:restartNumberingAfterBreak="0">
    <w:nsid w:val="6F1B4163"/>
    <w:multiLevelType w:val="hybridMultilevel"/>
    <w:tmpl w:val="725EE3F8"/>
    <w:lvl w:ilvl="0" w:tplc="A3BC11A4">
      <w:start w:val="7"/>
      <w:numFmt w:val="decimal"/>
      <w:lvlText w:val="%1."/>
      <w:lvlJc w:val="left"/>
      <w:pPr>
        <w:tabs>
          <w:tab w:val="num" w:pos="720"/>
        </w:tabs>
        <w:ind w:left="720" w:hanging="360"/>
      </w:pPr>
    </w:lvl>
    <w:lvl w:ilvl="1" w:tplc="3E70D79C" w:tentative="1">
      <w:start w:val="1"/>
      <w:numFmt w:val="decimal"/>
      <w:lvlText w:val="%2."/>
      <w:lvlJc w:val="left"/>
      <w:pPr>
        <w:tabs>
          <w:tab w:val="num" w:pos="1440"/>
        </w:tabs>
        <w:ind w:left="1440" w:hanging="360"/>
      </w:pPr>
    </w:lvl>
    <w:lvl w:ilvl="2" w:tplc="238620AC" w:tentative="1">
      <w:start w:val="1"/>
      <w:numFmt w:val="decimal"/>
      <w:lvlText w:val="%3."/>
      <w:lvlJc w:val="left"/>
      <w:pPr>
        <w:tabs>
          <w:tab w:val="num" w:pos="2160"/>
        </w:tabs>
        <w:ind w:left="2160" w:hanging="360"/>
      </w:pPr>
    </w:lvl>
    <w:lvl w:ilvl="3" w:tplc="AA1EC1A2" w:tentative="1">
      <w:start w:val="1"/>
      <w:numFmt w:val="decimal"/>
      <w:lvlText w:val="%4."/>
      <w:lvlJc w:val="left"/>
      <w:pPr>
        <w:tabs>
          <w:tab w:val="num" w:pos="2880"/>
        </w:tabs>
        <w:ind w:left="2880" w:hanging="360"/>
      </w:pPr>
    </w:lvl>
    <w:lvl w:ilvl="4" w:tplc="0434B18C" w:tentative="1">
      <w:start w:val="1"/>
      <w:numFmt w:val="decimal"/>
      <w:lvlText w:val="%5."/>
      <w:lvlJc w:val="left"/>
      <w:pPr>
        <w:tabs>
          <w:tab w:val="num" w:pos="3600"/>
        </w:tabs>
        <w:ind w:left="3600" w:hanging="360"/>
      </w:pPr>
    </w:lvl>
    <w:lvl w:ilvl="5" w:tplc="E4B2459C" w:tentative="1">
      <w:start w:val="1"/>
      <w:numFmt w:val="decimal"/>
      <w:lvlText w:val="%6."/>
      <w:lvlJc w:val="left"/>
      <w:pPr>
        <w:tabs>
          <w:tab w:val="num" w:pos="4320"/>
        </w:tabs>
        <w:ind w:left="4320" w:hanging="360"/>
      </w:pPr>
    </w:lvl>
    <w:lvl w:ilvl="6" w:tplc="F6781F22" w:tentative="1">
      <w:start w:val="1"/>
      <w:numFmt w:val="decimal"/>
      <w:lvlText w:val="%7."/>
      <w:lvlJc w:val="left"/>
      <w:pPr>
        <w:tabs>
          <w:tab w:val="num" w:pos="5040"/>
        </w:tabs>
        <w:ind w:left="5040" w:hanging="360"/>
      </w:pPr>
    </w:lvl>
    <w:lvl w:ilvl="7" w:tplc="B2D89BA4" w:tentative="1">
      <w:start w:val="1"/>
      <w:numFmt w:val="decimal"/>
      <w:lvlText w:val="%8."/>
      <w:lvlJc w:val="left"/>
      <w:pPr>
        <w:tabs>
          <w:tab w:val="num" w:pos="5760"/>
        </w:tabs>
        <w:ind w:left="5760" w:hanging="360"/>
      </w:pPr>
    </w:lvl>
    <w:lvl w:ilvl="8" w:tplc="6E3A2C48" w:tentative="1">
      <w:start w:val="1"/>
      <w:numFmt w:val="decimal"/>
      <w:lvlText w:val="%9."/>
      <w:lvlJc w:val="left"/>
      <w:pPr>
        <w:tabs>
          <w:tab w:val="num" w:pos="6480"/>
        </w:tabs>
        <w:ind w:left="6480" w:hanging="360"/>
      </w:pPr>
    </w:lvl>
  </w:abstractNum>
  <w:abstractNum w:abstractNumId="76" w15:restartNumberingAfterBreak="0">
    <w:nsid w:val="6F5A14E6"/>
    <w:multiLevelType w:val="hybridMultilevel"/>
    <w:tmpl w:val="C24C6426"/>
    <w:lvl w:ilvl="0" w:tplc="A2DA0DB6">
      <w:start w:val="1"/>
      <w:numFmt w:val="decimal"/>
      <w:lvlText w:val="%1."/>
      <w:lvlJc w:val="left"/>
      <w:pPr>
        <w:ind w:left="720" w:hanging="360"/>
      </w:pPr>
    </w:lvl>
    <w:lvl w:ilvl="1" w:tplc="3A7CF798">
      <w:start w:val="1"/>
      <w:numFmt w:val="lowerLetter"/>
      <w:lvlText w:val="%2."/>
      <w:lvlJc w:val="left"/>
      <w:pPr>
        <w:ind w:left="1440" w:hanging="360"/>
      </w:pPr>
    </w:lvl>
    <w:lvl w:ilvl="2" w:tplc="14288644">
      <w:start w:val="1"/>
      <w:numFmt w:val="lowerRoman"/>
      <w:lvlText w:val="%3."/>
      <w:lvlJc w:val="right"/>
      <w:pPr>
        <w:ind w:left="2160" w:hanging="180"/>
      </w:pPr>
    </w:lvl>
    <w:lvl w:ilvl="3" w:tplc="86748EB0">
      <w:start w:val="1"/>
      <w:numFmt w:val="decimal"/>
      <w:lvlText w:val="%4."/>
      <w:lvlJc w:val="left"/>
      <w:pPr>
        <w:ind w:left="2880" w:hanging="360"/>
      </w:pPr>
    </w:lvl>
    <w:lvl w:ilvl="4" w:tplc="90185518">
      <w:start w:val="1"/>
      <w:numFmt w:val="lowerLetter"/>
      <w:lvlText w:val="%5."/>
      <w:lvlJc w:val="left"/>
      <w:pPr>
        <w:ind w:left="3600" w:hanging="360"/>
      </w:pPr>
    </w:lvl>
    <w:lvl w:ilvl="5" w:tplc="E5208CCE">
      <w:start w:val="1"/>
      <w:numFmt w:val="lowerRoman"/>
      <w:lvlText w:val="%6."/>
      <w:lvlJc w:val="right"/>
      <w:pPr>
        <w:ind w:left="4320" w:hanging="180"/>
      </w:pPr>
    </w:lvl>
    <w:lvl w:ilvl="6" w:tplc="3D4C1C6C">
      <w:start w:val="1"/>
      <w:numFmt w:val="decimal"/>
      <w:lvlText w:val="%7."/>
      <w:lvlJc w:val="left"/>
      <w:pPr>
        <w:ind w:left="5040" w:hanging="360"/>
      </w:pPr>
    </w:lvl>
    <w:lvl w:ilvl="7" w:tplc="A1F23150">
      <w:start w:val="1"/>
      <w:numFmt w:val="lowerLetter"/>
      <w:lvlText w:val="%8."/>
      <w:lvlJc w:val="left"/>
      <w:pPr>
        <w:ind w:left="5760" w:hanging="360"/>
      </w:pPr>
    </w:lvl>
    <w:lvl w:ilvl="8" w:tplc="536CEB4A">
      <w:start w:val="1"/>
      <w:numFmt w:val="lowerRoman"/>
      <w:lvlText w:val="%9."/>
      <w:lvlJc w:val="right"/>
      <w:pPr>
        <w:ind w:left="6480" w:hanging="180"/>
      </w:pPr>
    </w:lvl>
  </w:abstractNum>
  <w:abstractNum w:abstractNumId="77" w15:restartNumberingAfterBreak="0">
    <w:nsid w:val="70646A54"/>
    <w:multiLevelType w:val="hybridMultilevel"/>
    <w:tmpl w:val="A6F47A34"/>
    <w:lvl w:ilvl="0" w:tplc="39AA8C20">
      <w:start w:val="6"/>
      <w:numFmt w:val="decimal"/>
      <w:lvlText w:val="%1."/>
      <w:lvlJc w:val="left"/>
      <w:pPr>
        <w:tabs>
          <w:tab w:val="num" w:pos="720"/>
        </w:tabs>
        <w:ind w:left="720" w:hanging="360"/>
      </w:pPr>
    </w:lvl>
    <w:lvl w:ilvl="1" w:tplc="197649E0" w:tentative="1">
      <w:start w:val="1"/>
      <w:numFmt w:val="decimal"/>
      <w:lvlText w:val="%2."/>
      <w:lvlJc w:val="left"/>
      <w:pPr>
        <w:tabs>
          <w:tab w:val="num" w:pos="1440"/>
        </w:tabs>
        <w:ind w:left="1440" w:hanging="360"/>
      </w:pPr>
    </w:lvl>
    <w:lvl w:ilvl="2" w:tplc="7AE42336" w:tentative="1">
      <w:start w:val="1"/>
      <w:numFmt w:val="decimal"/>
      <w:lvlText w:val="%3."/>
      <w:lvlJc w:val="left"/>
      <w:pPr>
        <w:tabs>
          <w:tab w:val="num" w:pos="2160"/>
        </w:tabs>
        <w:ind w:left="2160" w:hanging="360"/>
      </w:pPr>
    </w:lvl>
    <w:lvl w:ilvl="3" w:tplc="27265C72" w:tentative="1">
      <w:start w:val="1"/>
      <w:numFmt w:val="decimal"/>
      <w:lvlText w:val="%4."/>
      <w:lvlJc w:val="left"/>
      <w:pPr>
        <w:tabs>
          <w:tab w:val="num" w:pos="2880"/>
        </w:tabs>
        <w:ind w:left="2880" w:hanging="360"/>
      </w:pPr>
    </w:lvl>
    <w:lvl w:ilvl="4" w:tplc="F0D496DE" w:tentative="1">
      <w:start w:val="1"/>
      <w:numFmt w:val="decimal"/>
      <w:lvlText w:val="%5."/>
      <w:lvlJc w:val="left"/>
      <w:pPr>
        <w:tabs>
          <w:tab w:val="num" w:pos="3600"/>
        </w:tabs>
        <w:ind w:left="3600" w:hanging="360"/>
      </w:pPr>
    </w:lvl>
    <w:lvl w:ilvl="5" w:tplc="5B80C72E" w:tentative="1">
      <w:start w:val="1"/>
      <w:numFmt w:val="decimal"/>
      <w:lvlText w:val="%6."/>
      <w:lvlJc w:val="left"/>
      <w:pPr>
        <w:tabs>
          <w:tab w:val="num" w:pos="4320"/>
        </w:tabs>
        <w:ind w:left="4320" w:hanging="360"/>
      </w:pPr>
    </w:lvl>
    <w:lvl w:ilvl="6" w:tplc="E488C6BE" w:tentative="1">
      <w:start w:val="1"/>
      <w:numFmt w:val="decimal"/>
      <w:lvlText w:val="%7."/>
      <w:lvlJc w:val="left"/>
      <w:pPr>
        <w:tabs>
          <w:tab w:val="num" w:pos="5040"/>
        </w:tabs>
        <w:ind w:left="5040" w:hanging="360"/>
      </w:pPr>
    </w:lvl>
    <w:lvl w:ilvl="7" w:tplc="F69A0BE8" w:tentative="1">
      <w:start w:val="1"/>
      <w:numFmt w:val="decimal"/>
      <w:lvlText w:val="%8."/>
      <w:lvlJc w:val="left"/>
      <w:pPr>
        <w:tabs>
          <w:tab w:val="num" w:pos="5760"/>
        </w:tabs>
        <w:ind w:left="5760" w:hanging="360"/>
      </w:pPr>
    </w:lvl>
    <w:lvl w:ilvl="8" w:tplc="22F8EA94" w:tentative="1">
      <w:start w:val="1"/>
      <w:numFmt w:val="decimal"/>
      <w:lvlText w:val="%9."/>
      <w:lvlJc w:val="left"/>
      <w:pPr>
        <w:tabs>
          <w:tab w:val="num" w:pos="6480"/>
        </w:tabs>
        <w:ind w:left="6480" w:hanging="360"/>
      </w:pPr>
    </w:lvl>
  </w:abstractNum>
  <w:abstractNum w:abstractNumId="78" w15:restartNumberingAfterBreak="0">
    <w:nsid w:val="71CD27E3"/>
    <w:multiLevelType w:val="hybridMultilevel"/>
    <w:tmpl w:val="82A8EFF0"/>
    <w:lvl w:ilvl="0" w:tplc="8A24EC3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80" w15:restartNumberingAfterBreak="0">
    <w:nsid w:val="787572F0"/>
    <w:multiLevelType w:val="hybridMultilevel"/>
    <w:tmpl w:val="7AF0DD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90A4767"/>
    <w:multiLevelType w:val="hybridMultilevel"/>
    <w:tmpl w:val="C04CBFEC"/>
    <w:lvl w:ilvl="0" w:tplc="0C09000F">
      <w:start w:val="1"/>
      <w:numFmt w:val="decimal"/>
      <w:lvlText w:val="%1."/>
      <w:lvlJc w:val="left"/>
      <w:pPr>
        <w:ind w:left="754" w:hanging="360"/>
      </w:pPr>
    </w:lvl>
    <w:lvl w:ilvl="1" w:tplc="0C090019">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82" w15:restartNumberingAfterBreak="0">
    <w:nsid w:val="79701140"/>
    <w:multiLevelType w:val="hybridMultilevel"/>
    <w:tmpl w:val="05CCB8D0"/>
    <w:lvl w:ilvl="0" w:tplc="ADDEC5B8">
      <w:start w:val="11"/>
      <w:numFmt w:val="decimal"/>
      <w:lvlText w:val="%1."/>
      <w:lvlJc w:val="left"/>
      <w:pPr>
        <w:tabs>
          <w:tab w:val="num" w:pos="720"/>
        </w:tabs>
        <w:ind w:left="720" w:hanging="360"/>
      </w:pPr>
    </w:lvl>
    <w:lvl w:ilvl="1" w:tplc="CB287004" w:tentative="1">
      <w:start w:val="1"/>
      <w:numFmt w:val="decimal"/>
      <w:lvlText w:val="%2."/>
      <w:lvlJc w:val="left"/>
      <w:pPr>
        <w:tabs>
          <w:tab w:val="num" w:pos="1440"/>
        </w:tabs>
        <w:ind w:left="1440" w:hanging="360"/>
      </w:pPr>
    </w:lvl>
    <w:lvl w:ilvl="2" w:tplc="C5DE8550" w:tentative="1">
      <w:start w:val="1"/>
      <w:numFmt w:val="decimal"/>
      <w:lvlText w:val="%3."/>
      <w:lvlJc w:val="left"/>
      <w:pPr>
        <w:tabs>
          <w:tab w:val="num" w:pos="2160"/>
        </w:tabs>
        <w:ind w:left="2160" w:hanging="360"/>
      </w:pPr>
    </w:lvl>
    <w:lvl w:ilvl="3" w:tplc="DDF20E46" w:tentative="1">
      <w:start w:val="1"/>
      <w:numFmt w:val="decimal"/>
      <w:lvlText w:val="%4."/>
      <w:lvlJc w:val="left"/>
      <w:pPr>
        <w:tabs>
          <w:tab w:val="num" w:pos="2880"/>
        </w:tabs>
        <w:ind w:left="2880" w:hanging="360"/>
      </w:pPr>
    </w:lvl>
    <w:lvl w:ilvl="4" w:tplc="0580527C" w:tentative="1">
      <w:start w:val="1"/>
      <w:numFmt w:val="decimal"/>
      <w:lvlText w:val="%5."/>
      <w:lvlJc w:val="left"/>
      <w:pPr>
        <w:tabs>
          <w:tab w:val="num" w:pos="3600"/>
        </w:tabs>
        <w:ind w:left="3600" w:hanging="360"/>
      </w:pPr>
    </w:lvl>
    <w:lvl w:ilvl="5" w:tplc="CC9C24BC" w:tentative="1">
      <w:start w:val="1"/>
      <w:numFmt w:val="decimal"/>
      <w:lvlText w:val="%6."/>
      <w:lvlJc w:val="left"/>
      <w:pPr>
        <w:tabs>
          <w:tab w:val="num" w:pos="4320"/>
        </w:tabs>
        <w:ind w:left="4320" w:hanging="360"/>
      </w:pPr>
    </w:lvl>
    <w:lvl w:ilvl="6" w:tplc="A0765746" w:tentative="1">
      <w:start w:val="1"/>
      <w:numFmt w:val="decimal"/>
      <w:lvlText w:val="%7."/>
      <w:lvlJc w:val="left"/>
      <w:pPr>
        <w:tabs>
          <w:tab w:val="num" w:pos="5040"/>
        </w:tabs>
        <w:ind w:left="5040" w:hanging="360"/>
      </w:pPr>
    </w:lvl>
    <w:lvl w:ilvl="7" w:tplc="A50684AE" w:tentative="1">
      <w:start w:val="1"/>
      <w:numFmt w:val="decimal"/>
      <w:lvlText w:val="%8."/>
      <w:lvlJc w:val="left"/>
      <w:pPr>
        <w:tabs>
          <w:tab w:val="num" w:pos="5760"/>
        </w:tabs>
        <w:ind w:left="5760" w:hanging="360"/>
      </w:pPr>
    </w:lvl>
    <w:lvl w:ilvl="8" w:tplc="A1A24456" w:tentative="1">
      <w:start w:val="1"/>
      <w:numFmt w:val="decimal"/>
      <w:lvlText w:val="%9."/>
      <w:lvlJc w:val="left"/>
      <w:pPr>
        <w:tabs>
          <w:tab w:val="num" w:pos="6480"/>
        </w:tabs>
        <w:ind w:left="6480" w:hanging="360"/>
      </w:pPr>
    </w:lvl>
  </w:abstractNum>
  <w:abstractNum w:abstractNumId="83" w15:restartNumberingAfterBreak="0">
    <w:nsid w:val="79D70CA7"/>
    <w:multiLevelType w:val="hybridMultilevel"/>
    <w:tmpl w:val="3D2E5B50"/>
    <w:lvl w:ilvl="0" w:tplc="821CEF66">
      <w:start w:val="1"/>
      <w:numFmt w:val="decimal"/>
      <w:lvlText w:val="%1."/>
      <w:lvlJc w:val="left"/>
      <w:pPr>
        <w:ind w:left="720" w:hanging="360"/>
      </w:pPr>
    </w:lvl>
    <w:lvl w:ilvl="1" w:tplc="BA3075F4">
      <w:start w:val="1"/>
      <w:numFmt w:val="lowerLetter"/>
      <w:lvlText w:val="%2."/>
      <w:lvlJc w:val="left"/>
      <w:pPr>
        <w:ind w:left="1440" w:hanging="360"/>
      </w:pPr>
    </w:lvl>
    <w:lvl w:ilvl="2" w:tplc="91701D4C">
      <w:start w:val="1"/>
      <w:numFmt w:val="lowerRoman"/>
      <w:lvlText w:val="%3."/>
      <w:lvlJc w:val="right"/>
      <w:pPr>
        <w:ind w:left="2160" w:hanging="180"/>
      </w:pPr>
    </w:lvl>
    <w:lvl w:ilvl="3" w:tplc="3F24B6BE">
      <w:start w:val="1"/>
      <w:numFmt w:val="decimal"/>
      <w:lvlText w:val="%4."/>
      <w:lvlJc w:val="left"/>
      <w:pPr>
        <w:ind w:left="2880" w:hanging="360"/>
      </w:pPr>
    </w:lvl>
    <w:lvl w:ilvl="4" w:tplc="0BEA6C06">
      <w:start w:val="1"/>
      <w:numFmt w:val="lowerLetter"/>
      <w:lvlText w:val="%5."/>
      <w:lvlJc w:val="left"/>
      <w:pPr>
        <w:ind w:left="3600" w:hanging="360"/>
      </w:pPr>
    </w:lvl>
    <w:lvl w:ilvl="5" w:tplc="A9A46A50">
      <w:start w:val="1"/>
      <w:numFmt w:val="lowerRoman"/>
      <w:lvlText w:val="%6."/>
      <w:lvlJc w:val="right"/>
      <w:pPr>
        <w:ind w:left="4320" w:hanging="180"/>
      </w:pPr>
    </w:lvl>
    <w:lvl w:ilvl="6" w:tplc="E594E1B0">
      <w:start w:val="1"/>
      <w:numFmt w:val="decimal"/>
      <w:lvlText w:val="%7."/>
      <w:lvlJc w:val="left"/>
      <w:pPr>
        <w:ind w:left="5040" w:hanging="360"/>
      </w:pPr>
    </w:lvl>
    <w:lvl w:ilvl="7" w:tplc="C764CCBC">
      <w:start w:val="1"/>
      <w:numFmt w:val="lowerLetter"/>
      <w:lvlText w:val="%8."/>
      <w:lvlJc w:val="left"/>
      <w:pPr>
        <w:ind w:left="5760" w:hanging="360"/>
      </w:pPr>
    </w:lvl>
    <w:lvl w:ilvl="8" w:tplc="BE22BC10">
      <w:start w:val="1"/>
      <w:numFmt w:val="lowerRoman"/>
      <w:lvlText w:val="%9."/>
      <w:lvlJc w:val="right"/>
      <w:pPr>
        <w:ind w:left="6480" w:hanging="180"/>
      </w:pPr>
    </w:lvl>
  </w:abstractNum>
  <w:abstractNum w:abstractNumId="84" w15:restartNumberingAfterBreak="0">
    <w:nsid w:val="79D82DEA"/>
    <w:multiLevelType w:val="hybridMultilevel"/>
    <w:tmpl w:val="46D494CC"/>
    <w:lvl w:ilvl="0" w:tplc="D2D4C094">
      <w:start w:val="1"/>
      <w:numFmt w:val="decimal"/>
      <w:lvlText w:val="%1."/>
      <w:lvlJc w:val="left"/>
      <w:pPr>
        <w:ind w:left="720" w:hanging="360"/>
      </w:pPr>
    </w:lvl>
    <w:lvl w:ilvl="1" w:tplc="88A809C6">
      <w:start w:val="1"/>
      <w:numFmt w:val="lowerLetter"/>
      <w:lvlText w:val="%2."/>
      <w:lvlJc w:val="left"/>
      <w:pPr>
        <w:ind w:left="1440" w:hanging="360"/>
      </w:pPr>
    </w:lvl>
    <w:lvl w:ilvl="2" w:tplc="57FCC324">
      <w:start w:val="1"/>
      <w:numFmt w:val="lowerRoman"/>
      <w:lvlText w:val="%3."/>
      <w:lvlJc w:val="right"/>
      <w:pPr>
        <w:ind w:left="2160" w:hanging="180"/>
      </w:pPr>
    </w:lvl>
    <w:lvl w:ilvl="3" w:tplc="F6EAF9C8">
      <w:start w:val="1"/>
      <w:numFmt w:val="decimal"/>
      <w:lvlText w:val="%4."/>
      <w:lvlJc w:val="left"/>
      <w:pPr>
        <w:ind w:left="2880" w:hanging="360"/>
      </w:pPr>
    </w:lvl>
    <w:lvl w:ilvl="4" w:tplc="F420F996">
      <w:start w:val="1"/>
      <w:numFmt w:val="lowerLetter"/>
      <w:lvlText w:val="%5."/>
      <w:lvlJc w:val="left"/>
      <w:pPr>
        <w:ind w:left="3600" w:hanging="360"/>
      </w:pPr>
    </w:lvl>
    <w:lvl w:ilvl="5" w:tplc="B854160A">
      <w:start w:val="1"/>
      <w:numFmt w:val="lowerRoman"/>
      <w:lvlText w:val="%6."/>
      <w:lvlJc w:val="right"/>
      <w:pPr>
        <w:ind w:left="4320" w:hanging="180"/>
      </w:pPr>
    </w:lvl>
    <w:lvl w:ilvl="6" w:tplc="FA2022B2">
      <w:start w:val="1"/>
      <w:numFmt w:val="decimal"/>
      <w:lvlText w:val="%7."/>
      <w:lvlJc w:val="left"/>
      <w:pPr>
        <w:ind w:left="5040" w:hanging="360"/>
      </w:pPr>
    </w:lvl>
    <w:lvl w:ilvl="7" w:tplc="4F7477E4">
      <w:start w:val="1"/>
      <w:numFmt w:val="lowerLetter"/>
      <w:lvlText w:val="%8."/>
      <w:lvlJc w:val="left"/>
      <w:pPr>
        <w:ind w:left="5760" w:hanging="360"/>
      </w:pPr>
    </w:lvl>
    <w:lvl w:ilvl="8" w:tplc="FDF073DE">
      <w:start w:val="1"/>
      <w:numFmt w:val="lowerRoman"/>
      <w:lvlText w:val="%9."/>
      <w:lvlJc w:val="right"/>
      <w:pPr>
        <w:ind w:left="6480" w:hanging="180"/>
      </w:pPr>
    </w:lvl>
  </w:abstractNum>
  <w:abstractNum w:abstractNumId="85" w15:restartNumberingAfterBreak="0">
    <w:nsid w:val="7AC36D11"/>
    <w:multiLevelType w:val="hybridMultilevel"/>
    <w:tmpl w:val="F1D890EE"/>
    <w:lvl w:ilvl="0" w:tplc="91608708">
      <w:start w:val="1"/>
      <w:numFmt w:val="bullet"/>
      <w:lvlText w:val=""/>
      <w:lvlJc w:val="left"/>
      <w:pPr>
        <w:ind w:left="720" w:hanging="360"/>
      </w:pPr>
      <w:rPr>
        <w:rFonts w:ascii="Symbol" w:hAnsi="Symbol" w:hint="default"/>
      </w:rPr>
    </w:lvl>
    <w:lvl w:ilvl="1" w:tplc="B664CD96">
      <w:start w:val="1"/>
      <w:numFmt w:val="bullet"/>
      <w:lvlText w:val="o"/>
      <w:lvlJc w:val="left"/>
      <w:pPr>
        <w:ind w:left="1440" w:hanging="360"/>
      </w:pPr>
      <w:rPr>
        <w:rFonts w:ascii="Courier New" w:hAnsi="Courier New" w:hint="default"/>
      </w:rPr>
    </w:lvl>
    <w:lvl w:ilvl="2" w:tplc="7778BC8E">
      <w:start w:val="1"/>
      <w:numFmt w:val="bullet"/>
      <w:lvlText w:val=""/>
      <w:lvlJc w:val="left"/>
      <w:pPr>
        <w:ind w:left="2160" w:hanging="360"/>
      </w:pPr>
      <w:rPr>
        <w:rFonts w:ascii="Wingdings" w:hAnsi="Wingdings" w:hint="default"/>
      </w:rPr>
    </w:lvl>
    <w:lvl w:ilvl="3" w:tplc="0A84BF26">
      <w:start w:val="1"/>
      <w:numFmt w:val="bullet"/>
      <w:lvlText w:val=""/>
      <w:lvlJc w:val="left"/>
      <w:pPr>
        <w:ind w:left="2880" w:hanging="360"/>
      </w:pPr>
      <w:rPr>
        <w:rFonts w:ascii="Symbol" w:hAnsi="Symbol" w:hint="default"/>
      </w:rPr>
    </w:lvl>
    <w:lvl w:ilvl="4" w:tplc="9F9CC2F2">
      <w:start w:val="1"/>
      <w:numFmt w:val="bullet"/>
      <w:lvlText w:val="o"/>
      <w:lvlJc w:val="left"/>
      <w:pPr>
        <w:ind w:left="3600" w:hanging="360"/>
      </w:pPr>
      <w:rPr>
        <w:rFonts w:ascii="Courier New" w:hAnsi="Courier New" w:hint="default"/>
      </w:rPr>
    </w:lvl>
    <w:lvl w:ilvl="5" w:tplc="545834A2">
      <w:start w:val="1"/>
      <w:numFmt w:val="bullet"/>
      <w:lvlText w:val=""/>
      <w:lvlJc w:val="left"/>
      <w:pPr>
        <w:ind w:left="4320" w:hanging="360"/>
      </w:pPr>
      <w:rPr>
        <w:rFonts w:ascii="Wingdings" w:hAnsi="Wingdings" w:hint="default"/>
      </w:rPr>
    </w:lvl>
    <w:lvl w:ilvl="6" w:tplc="80A8131C">
      <w:start w:val="1"/>
      <w:numFmt w:val="bullet"/>
      <w:lvlText w:val=""/>
      <w:lvlJc w:val="left"/>
      <w:pPr>
        <w:ind w:left="5040" w:hanging="360"/>
      </w:pPr>
      <w:rPr>
        <w:rFonts w:ascii="Symbol" w:hAnsi="Symbol" w:hint="default"/>
      </w:rPr>
    </w:lvl>
    <w:lvl w:ilvl="7" w:tplc="5E323F22">
      <w:start w:val="1"/>
      <w:numFmt w:val="bullet"/>
      <w:lvlText w:val="o"/>
      <w:lvlJc w:val="left"/>
      <w:pPr>
        <w:ind w:left="5760" w:hanging="360"/>
      </w:pPr>
      <w:rPr>
        <w:rFonts w:ascii="Courier New" w:hAnsi="Courier New" w:hint="default"/>
      </w:rPr>
    </w:lvl>
    <w:lvl w:ilvl="8" w:tplc="8CF2BDE4">
      <w:start w:val="1"/>
      <w:numFmt w:val="bullet"/>
      <w:lvlText w:val=""/>
      <w:lvlJc w:val="left"/>
      <w:pPr>
        <w:ind w:left="6480" w:hanging="360"/>
      </w:pPr>
      <w:rPr>
        <w:rFonts w:ascii="Wingdings" w:hAnsi="Wingdings" w:hint="default"/>
      </w:rPr>
    </w:lvl>
  </w:abstractNum>
  <w:abstractNum w:abstractNumId="86" w15:restartNumberingAfterBreak="0">
    <w:nsid w:val="7E0717B6"/>
    <w:multiLevelType w:val="hybridMultilevel"/>
    <w:tmpl w:val="943C5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9"/>
  </w:num>
  <w:num w:numId="2">
    <w:abstractNumId w:val="40"/>
  </w:num>
  <w:num w:numId="3">
    <w:abstractNumId w:val="55"/>
  </w:num>
  <w:num w:numId="4">
    <w:abstractNumId w:val="9"/>
  </w:num>
  <w:num w:numId="5">
    <w:abstractNumId w:val="33"/>
  </w:num>
  <w:num w:numId="6">
    <w:abstractNumId w:val="42"/>
  </w:num>
  <w:num w:numId="7">
    <w:abstractNumId w:val="72"/>
  </w:num>
  <w:num w:numId="8">
    <w:abstractNumId w:val="85"/>
  </w:num>
  <w:num w:numId="9">
    <w:abstractNumId w:val="41"/>
  </w:num>
  <w:num w:numId="10">
    <w:abstractNumId w:val="21"/>
  </w:num>
  <w:num w:numId="11">
    <w:abstractNumId w:val="83"/>
  </w:num>
  <w:num w:numId="12">
    <w:abstractNumId w:val="5"/>
  </w:num>
  <w:num w:numId="13">
    <w:abstractNumId w:val="74"/>
  </w:num>
  <w:num w:numId="14">
    <w:abstractNumId w:val="84"/>
  </w:num>
  <w:num w:numId="15">
    <w:abstractNumId w:val="48"/>
  </w:num>
  <w:num w:numId="16">
    <w:abstractNumId w:val="27"/>
  </w:num>
  <w:num w:numId="17">
    <w:abstractNumId w:val="76"/>
  </w:num>
  <w:num w:numId="18">
    <w:abstractNumId w:val="10"/>
  </w:num>
  <w:num w:numId="19">
    <w:abstractNumId w:val="15"/>
  </w:num>
  <w:num w:numId="20">
    <w:abstractNumId w:val="31"/>
  </w:num>
  <w:num w:numId="21">
    <w:abstractNumId w:val="35"/>
  </w:num>
  <w:num w:numId="22">
    <w:abstractNumId w:val="20"/>
  </w:num>
  <w:num w:numId="23">
    <w:abstractNumId w:val="0"/>
  </w:num>
  <w:num w:numId="24">
    <w:abstractNumId w:val="47"/>
  </w:num>
  <w:num w:numId="25">
    <w:abstractNumId w:val="25"/>
  </w:num>
  <w:num w:numId="26">
    <w:abstractNumId w:val="23"/>
  </w:num>
  <w:num w:numId="27">
    <w:abstractNumId w:val="64"/>
  </w:num>
  <w:num w:numId="28">
    <w:abstractNumId w:val="79"/>
  </w:num>
  <w:num w:numId="29">
    <w:abstractNumId w:val="66"/>
  </w:num>
  <w:num w:numId="30">
    <w:abstractNumId w:val="30"/>
  </w:num>
  <w:num w:numId="31">
    <w:abstractNumId w:val="3"/>
  </w:num>
  <w:num w:numId="32">
    <w:abstractNumId w:val="81"/>
  </w:num>
  <w:num w:numId="33">
    <w:abstractNumId w:val="38"/>
  </w:num>
  <w:num w:numId="34">
    <w:abstractNumId w:val="7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num>
  <w:num w:numId="37">
    <w:abstractNumId w:val="13"/>
  </w:num>
  <w:num w:numId="38">
    <w:abstractNumId w:val="54"/>
  </w:num>
  <w:num w:numId="39">
    <w:abstractNumId w:val="86"/>
  </w:num>
  <w:num w:numId="40">
    <w:abstractNumId w:val="32"/>
  </w:num>
  <w:num w:numId="41">
    <w:abstractNumId w:val="34"/>
  </w:num>
  <w:num w:numId="42">
    <w:abstractNumId w:val="44"/>
  </w:num>
  <w:num w:numId="43">
    <w:abstractNumId w:val="60"/>
  </w:num>
  <w:num w:numId="44">
    <w:abstractNumId w:val="67"/>
  </w:num>
  <w:num w:numId="45">
    <w:abstractNumId w:val="53"/>
  </w:num>
  <w:num w:numId="46">
    <w:abstractNumId w:val="28"/>
  </w:num>
  <w:num w:numId="47">
    <w:abstractNumId w:val="2"/>
  </w:num>
  <w:num w:numId="48">
    <w:abstractNumId w:val="56"/>
  </w:num>
  <w:num w:numId="49">
    <w:abstractNumId w:val="46"/>
  </w:num>
  <w:num w:numId="50">
    <w:abstractNumId w:val="4"/>
  </w:num>
  <w:num w:numId="51">
    <w:abstractNumId w:val="77"/>
  </w:num>
  <w:num w:numId="52">
    <w:abstractNumId w:val="75"/>
  </w:num>
  <w:num w:numId="53">
    <w:abstractNumId w:val="37"/>
  </w:num>
  <w:num w:numId="54">
    <w:abstractNumId w:val="49"/>
  </w:num>
  <w:num w:numId="55">
    <w:abstractNumId w:val="61"/>
  </w:num>
  <w:num w:numId="56">
    <w:abstractNumId w:val="82"/>
  </w:num>
  <w:num w:numId="57">
    <w:abstractNumId w:val="26"/>
  </w:num>
  <w:num w:numId="58">
    <w:abstractNumId w:val="29"/>
  </w:num>
  <w:num w:numId="59">
    <w:abstractNumId w:val="59"/>
  </w:num>
  <w:num w:numId="60">
    <w:abstractNumId w:val="73"/>
  </w:num>
  <w:num w:numId="61">
    <w:abstractNumId w:val="6"/>
  </w:num>
  <w:num w:numId="62">
    <w:abstractNumId w:val="70"/>
  </w:num>
  <w:num w:numId="63">
    <w:abstractNumId w:val="19"/>
  </w:num>
  <w:num w:numId="64">
    <w:abstractNumId w:val="24"/>
  </w:num>
  <w:num w:numId="65">
    <w:abstractNumId w:val="80"/>
  </w:num>
  <w:num w:numId="66">
    <w:abstractNumId w:val="58"/>
  </w:num>
  <w:num w:numId="67">
    <w:abstractNumId w:val="18"/>
  </w:num>
  <w:num w:numId="68">
    <w:abstractNumId w:val="50"/>
  </w:num>
  <w:num w:numId="69">
    <w:abstractNumId w:val="1"/>
  </w:num>
  <w:num w:numId="70">
    <w:abstractNumId w:val="45"/>
  </w:num>
  <w:num w:numId="71">
    <w:abstractNumId w:val="63"/>
  </w:num>
  <w:num w:numId="72">
    <w:abstractNumId w:val="65"/>
  </w:num>
  <w:num w:numId="73">
    <w:abstractNumId w:val="43"/>
  </w:num>
  <w:num w:numId="74">
    <w:abstractNumId w:val="52"/>
  </w:num>
  <w:num w:numId="75">
    <w:abstractNumId w:val="14"/>
  </w:num>
  <w:num w:numId="76">
    <w:abstractNumId w:val="22"/>
  </w:num>
  <w:num w:numId="77">
    <w:abstractNumId w:val="36"/>
  </w:num>
  <w:num w:numId="78">
    <w:abstractNumId w:val="57"/>
  </w:num>
  <w:num w:numId="79">
    <w:abstractNumId w:val="68"/>
  </w:num>
  <w:num w:numId="80">
    <w:abstractNumId w:val="11"/>
  </w:num>
  <w:num w:numId="81">
    <w:abstractNumId w:val="16"/>
  </w:num>
  <w:num w:numId="82">
    <w:abstractNumId w:val="51"/>
  </w:num>
  <w:num w:numId="83">
    <w:abstractNumId w:val="17"/>
  </w:num>
  <w:num w:numId="84">
    <w:abstractNumId w:val="39"/>
  </w:num>
  <w:num w:numId="85">
    <w:abstractNumId w:val="62"/>
  </w:num>
  <w:num w:numId="86">
    <w:abstractNumId w:val="7"/>
  </w:num>
  <w:num w:numId="87">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BA"/>
    <w:rsid w:val="000007C1"/>
    <w:rsid w:val="00003743"/>
    <w:rsid w:val="00004944"/>
    <w:rsid w:val="00004DE7"/>
    <w:rsid w:val="0000608F"/>
    <w:rsid w:val="00006B55"/>
    <w:rsid w:val="00006C83"/>
    <w:rsid w:val="00007338"/>
    <w:rsid w:val="00010F8C"/>
    <w:rsid w:val="000117E7"/>
    <w:rsid w:val="000122B7"/>
    <w:rsid w:val="00012536"/>
    <w:rsid w:val="00013399"/>
    <w:rsid w:val="0001375F"/>
    <w:rsid w:val="00014319"/>
    <w:rsid w:val="00015974"/>
    <w:rsid w:val="000165EC"/>
    <w:rsid w:val="0001783E"/>
    <w:rsid w:val="0002263D"/>
    <w:rsid w:val="00022FFC"/>
    <w:rsid w:val="000231AD"/>
    <w:rsid w:val="000254C2"/>
    <w:rsid w:val="00025A2C"/>
    <w:rsid w:val="000302E6"/>
    <w:rsid w:val="000314D8"/>
    <w:rsid w:val="00031C37"/>
    <w:rsid w:val="00032C83"/>
    <w:rsid w:val="00033425"/>
    <w:rsid w:val="000338D0"/>
    <w:rsid w:val="00033E42"/>
    <w:rsid w:val="000364DC"/>
    <w:rsid w:val="0003665C"/>
    <w:rsid w:val="00037465"/>
    <w:rsid w:val="0003790E"/>
    <w:rsid w:val="00040482"/>
    <w:rsid w:val="00042472"/>
    <w:rsid w:val="00043B11"/>
    <w:rsid w:val="000448A3"/>
    <w:rsid w:val="00045C2C"/>
    <w:rsid w:val="00047CF0"/>
    <w:rsid w:val="00051453"/>
    <w:rsid w:val="000517E3"/>
    <w:rsid w:val="00052B88"/>
    <w:rsid w:val="00052E9B"/>
    <w:rsid w:val="00053BBE"/>
    <w:rsid w:val="00054DEC"/>
    <w:rsid w:val="00055E3C"/>
    <w:rsid w:val="00057BFB"/>
    <w:rsid w:val="000600C7"/>
    <w:rsid w:val="00060817"/>
    <w:rsid w:val="00061849"/>
    <w:rsid w:val="000618BC"/>
    <w:rsid w:val="00061D49"/>
    <w:rsid w:val="00062FB5"/>
    <w:rsid w:val="00064165"/>
    <w:rsid w:val="00064A0B"/>
    <w:rsid w:val="00064A1A"/>
    <w:rsid w:val="00065D3B"/>
    <w:rsid w:val="00065FE0"/>
    <w:rsid w:val="00066D76"/>
    <w:rsid w:val="00067456"/>
    <w:rsid w:val="00067769"/>
    <w:rsid w:val="00071037"/>
    <w:rsid w:val="0007107F"/>
    <w:rsid w:val="00071294"/>
    <w:rsid w:val="00071790"/>
    <w:rsid w:val="00071CA8"/>
    <w:rsid w:val="0007230F"/>
    <w:rsid w:val="00072DFD"/>
    <w:rsid w:val="00072FB0"/>
    <w:rsid w:val="0007324E"/>
    <w:rsid w:val="0007437F"/>
    <w:rsid w:val="000743FF"/>
    <w:rsid w:val="00074DC4"/>
    <w:rsid w:val="00075A91"/>
    <w:rsid w:val="00076C7B"/>
    <w:rsid w:val="000773B0"/>
    <w:rsid w:val="0008008D"/>
    <w:rsid w:val="00080AD5"/>
    <w:rsid w:val="00080F31"/>
    <w:rsid w:val="000815DF"/>
    <w:rsid w:val="00082054"/>
    <w:rsid w:val="000827F5"/>
    <w:rsid w:val="000829F5"/>
    <w:rsid w:val="00082AC6"/>
    <w:rsid w:val="00082C52"/>
    <w:rsid w:val="000836E7"/>
    <w:rsid w:val="00084BF3"/>
    <w:rsid w:val="000854C5"/>
    <w:rsid w:val="00087357"/>
    <w:rsid w:val="00087ED3"/>
    <w:rsid w:val="000900CA"/>
    <w:rsid w:val="00090D93"/>
    <w:rsid w:val="00090EB6"/>
    <w:rsid w:val="00090EF9"/>
    <w:rsid w:val="0009144B"/>
    <w:rsid w:val="000918F0"/>
    <w:rsid w:val="00092717"/>
    <w:rsid w:val="00093111"/>
    <w:rsid w:val="000943DB"/>
    <w:rsid w:val="00095916"/>
    <w:rsid w:val="00095CA7"/>
    <w:rsid w:val="0009748E"/>
    <w:rsid w:val="00097538"/>
    <w:rsid w:val="000976BB"/>
    <w:rsid w:val="000A01E6"/>
    <w:rsid w:val="000A0A23"/>
    <w:rsid w:val="000A0EB9"/>
    <w:rsid w:val="000A1C63"/>
    <w:rsid w:val="000A22F4"/>
    <w:rsid w:val="000A3F6E"/>
    <w:rsid w:val="000A4148"/>
    <w:rsid w:val="000A4D62"/>
    <w:rsid w:val="000A6976"/>
    <w:rsid w:val="000A6E6E"/>
    <w:rsid w:val="000B138C"/>
    <w:rsid w:val="000B152D"/>
    <w:rsid w:val="000B1F43"/>
    <w:rsid w:val="000B2226"/>
    <w:rsid w:val="000B2385"/>
    <w:rsid w:val="000B5106"/>
    <w:rsid w:val="000B6307"/>
    <w:rsid w:val="000B733C"/>
    <w:rsid w:val="000B7572"/>
    <w:rsid w:val="000C0F4F"/>
    <w:rsid w:val="000C1A07"/>
    <w:rsid w:val="000C2BC1"/>
    <w:rsid w:val="000C3C1C"/>
    <w:rsid w:val="000C6973"/>
    <w:rsid w:val="000D16B2"/>
    <w:rsid w:val="000D2253"/>
    <w:rsid w:val="000D341A"/>
    <w:rsid w:val="000D44FA"/>
    <w:rsid w:val="000D487C"/>
    <w:rsid w:val="000D504B"/>
    <w:rsid w:val="000E143E"/>
    <w:rsid w:val="000E2C3B"/>
    <w:rsid w:val="000E3769"/>
    <w:rsid w:val="000E3E90"/>
    <w:rsid w:val="000E459B"/>
    <w:rsid w:val="000E4774"/>
    <w:rsid w:val="000E55C8"/>
    <w:rsid w:val="000E5620"/>
    <w:rsid w:val="000E6330"/>
    <w:rsid w:val="000E6531"/>
    <w:rsid w:val="000E6D05"/>
    <w:rsid w:val="000E72C1"/>
    <w:rsid w:val="000E7317"/>
    <w:rsid w:val="000E77AD"/>
    <w:rsid w:val="000F22EF"/>
    <w:rsid w:val="000F232D"/>
    <w:rsid w:val="000F2350"/>
    <w:rsid w:val="000F3385"/>
    <w:rsid w:val="000F4367"/>
    <w:rsid w:val="000F5D00"/>
    <w:rsid w:val="000F6834"/>
    <w:rsid w:val="000F7F5C"/>
    <w:rsid w:val="00100112"/>
    <w:rsid w:val="001004AE"/>
    <w:rsid w:val="00101FA1"/>
    <w:rsid w:val="00102268"/>
    <w:rsid w:val="001025A6"/>
    <w:rsid w:val="0010357C"/>
    <w:rsid w:val="0010762A"/>
    <w:rsid w:val="00107862"/>
    <w:rsid w:val="00107E99"/>
    <w:rsid w:val="0011150D"/>
    <w:rsid w:val="00113103"/>
    <w:rsid w:val="00114A64"/>
    <w:rsid w:val="00114FFE"/>
    <w:rsid w:val="0011533B"/>
    <w:rsid w:val="00116394"/>
    <w:rsid w:val="0011733D"/>
    <w:rsid w:val="0011737D"/>
    <w:rsid w:val="001200FE"/>
    <w:rsid w:val="001203E8"/>
    <w:rsid w:val="001213D3"/>
    <w:rsid w:val="00122113"/>
    <w:rsid w:val="0012255A"/>
    <w:rsid w:val="00123A64"/>
    <w:rsid w:val="00124500"/>
    <w:rsid w:val="00124903"/>
    <w:rsid w:val="00126007"/>
    <w:rsid w:val="001279E1"/>
    <w:rsid w:val="00127EE1"/>
    <w:rsid w:val="0013051D"/>
    <w:rsid w:val="001305FC"/>
    <w:rsid w:val="00130D0C"/>
    <w:rsid w:val="00132B4B"/>
    <w:rsid w:val="00132C69"/>
    <w:rsid w:val="0013421F"/>
    <w:rsid w:val="001349BF"/>
    <w:rsid w:val="00134B6A"/>
    <w:rsid w:val="001354A8"/>
    <w:rsid w:val="0013686E"/>
    <w:rsid w:val="00136E11"/>
    <w:rsid w:val="00142792"/>
    <w:rsid w:val="001432E8"/>
    <w:rsid w:val="00144873"/>
    <w:rsid w:val="001451C0"/>
    <w:rsid w:val="0014561D"/>
    <w:rsid w:val="001476F2"/>
    <w:rsid w:val="00147F39"/>
    <w:rsid w:val="00150AC8"/>
    <w:rsid w:val="00150E6A"/>
    <w:rsid w:val="00150EB4"/>
    <w:rsid w:val="00150F80"/>
    <w:rsid w:val="001513BD"/>
    <w:rsid w:val="00151806"/>
    <w:rsid w:val="00151E5A"/>
    <w:rsid w:val="00152327"/>
    <w:rsid w:val="001531CE"/>
    <w:rsid w:val="00153DE6"/>
    <w:rsid w:val="00154820"/>
    <w:rsid w:val="00154FC5"/>
    <w:rsid w:val="00155246"/>
    <w:rsid w:val="0015613D"/>
    <w:rsid w:val="001561C7"/>
    <w:rsid w:val="00156D1D"/>
    <w:rsid w:val="001619B9"/>
    <w:rsid w:val="0016212A"/>
    <w:rsid w:val="00162184"/>
    <w:rsid w:val="001669E0"/>
    <w:rsid w:val="0017024C"/>
    <w:rsid w:val="00170425"/>
    <w:rsid w:val="00170AA3"/>
    <w:rsid w:val="00170D84"/>
    <w:rsid w:val="00171ADC"/>
    <w:rsid w:val="001728EE"/>
    <w:rsid w:val="00172E28"/>
    <w:rsid w:val="00173F75"/>
    <w:rsid w:val="00175F94"/>
    <w:rsid w:val="001765B2"/>
    <w:rsid w:val="0017675A"/>
    <w:rsid w:val="00181F25"/>
    <w:rsid w:val="00182060"/>
    <w:rsid w:val="0018263F"/>
    <w:rsid w:val="001836AA"/>
    <w:rsid w:val="00183753"/>
    <w:rsid w:val="001858CC"/>
    <w:rsid w:val="00185BB3"/>
    <w:rsid w:val="0018610A"/>
    <w:rsid w:val="00187229"/>
    <w:rsid w:val="00187F18"/>
    <w:rsid w:val="00191B5C"/>
    <w:rsid w:val="00193384"/>
    <w:rsid w:val="00193B6E"/>
    <w:rsid w:val="00194724"/>
    <w:rsid w:val="00194A68"/>
    <w:rsid w:val="001956EE"/>
    <w:rsid w:val="00195A1D"/>
    <w:rsid w:val="00195EDA"/>
    <w:rsid w:val="001978CB"/>
    <w:rsid w:val="001A1095"/>
    <w:rsid w:val="001A1946"/>
    <w:rsid w:val="001A1FBB"/>
    <w:rsid w:val="001A2EE4"/>
    <w:rsid w:val="001A333A"/>
    <w:rsid w:val="001B0514"/>
    <w:rsid w:val="001B1E82"/>
    <w:rsid w:val="001B212E"/>
    <w:rsid w:val="001B25AE"/>
    <w:rsid w:val="001B3104"/>
    <w:rsid w:val="001B3443"/>
    <w:rsid w:val="001B3475"/>
    <w:rsid w:val="001B38B3"/>
    <w:rsid w:val="001B3B23"/>
    <w:rsid w:val="001B4C27"/>
    <w:rsid w:val="001B68B7"/>
    <w:rsid w:val="001B710A"/>
    <w:rsid w:val="001B7856"/>
    <w:rsid w:val="001B7ECE"/>
    <w:rsid w:val="001C02CF"/>
    <w:rsid w:val="001C05F6"/>
    <w:rsid w:val="001C0BFF"/>
    <w:rsid w:val="001C1B7C"/>
    <w:rsid w:val="001C20A3"/>
    <w:rsid w:val="001C211E"/>
    <w:rsid w:val="001C29B0"/>
    <w:rsid w:val="001C39D3"/>
    <w:rsid w:val="001C3B8A"/>
    <w:rsid w:val="001C4990"/>
    <w:rsid w:val="001C6D11"/>
    <w:rsid w:val="001C7132"/>
    <w:rsid w:val="001C7D23"/>
    <w:rsid w:val="001D03DE"/>
    <w:rsid w:val="001D10E2"/>
    <w:rsid w:val="001D1B5B"/>
    <w:rsid w:val="001D3AAD"/>
    <w:rsid w:val="001D4C58"/>
    <w:rsid w:val="001D5292"/>
    <w:rsid w:val="001D5CC3"/>
    <w:rsid w:val="001E089F"/>
    <w:rsid w:val="001E159B"/>
    <w:rsid w:val="001E1FE4"/>
    <w:rsid w:val="001E3BE4"/>
    <w:rsid w:val="001E52EA"/>
    <w:rsid w:val="001E6AEC"/>
    <w:rsid w:val="001E6B07"/>
    <w:rsid w:val="001E6D19"/>
    <w:rsid w:val="001E6DBB"/>
    <w:rsid w:val="001E7C26"/>
    <w:rsid w:val="001E7D37"/>
    <w:rsid w:val="001E7DA4"/>
    <w:rsid w:val="001F005E"/>
    <w:rsid w:val="001F1511"/>
    <w:rsid w:val="001F1B24"/>
    <w:rsid w:val="001F33DE"/>
    <w:rsid w:val="001F3EB9"/>
    <w:rsid w:val="001F48AE"/>
    <w:rsid w:val="001F5E39"/>
    <w:rsid w:val="001F6AE5"/>
    <w:rsid w:val="001F73D2"/>
    <w:rsid w:val="001F794C"/>
    <w:rsid w:val="001F7E40"/>
    <w:rsid w:val="002005ED"/>
    <w:rsid w:val="00200EAB"/>
    <w:rsid w:val="0020577E"/>
    <w:rsid w:val="00206271"/>
    <w:rsid w:val="002104C1"/>
    <w:rsid w:val="00210596"/>
    <w:rsid w:val="00211812"/>
    <w:rsid w:val="00211DF0"/>
    <w:rsid w:val="00212B06"/>
    <w:rsid w:val="00214C51"/>
    <w:rsid w:val="0021594C"/>
    <w:rsid w:val="002170E4"/>
    <w:rsid w:val="00217C47"/>
    <w:rsid w:val="002203C4"/>
    <w:rsid w:val="002207E1"/>
    <w:rsid w:val="00220A50"/>
    <w:rsid w:val="00221AAC"/>
    <w:rsid w:val="002223F6"/>
    <w:rsid w:val="0022261E"/>
    <w:rsid w:val="00222750"/>
    <w:rsid w:val="00222994"/>
    <w:rsid w:val="00222DE4"/>
    <w:rsid w:val="002238D0"/>
    <w:rsid w:val="00224B99"/>
    <w:rsid w:val="00226B4A"/>
    <w:rsid w:val="00227698"/>
    <w:rsid w:val="0023103D"/>
    <w:rsid w:val="0023127F"/>
    <w:rsid w:val="00232ABB"/>
    <w:rsid w:val="00233A78"/>
    <w:rsid w:val="00233C34"/>
    <w:rsid w:val="0023470B"/>
    <w:rsid w:val="00236B4A"/>
    <w:rsid w:val="002400B8"/>
    <w:rsid w:val="00241188"/>
    <w:rsid w:val="00241AED"/>
    <w:rsid w:val="002439D2"/>
    <w:rsid w:val="002439FE"/>
    <w:rsid w:val="00243B3F"/>
    <w:rsid w:val="00245AF6"/>
    <w:rsid w:val="00245D87"/>
    <w:rsid w:val="002462A2"/>
    <w:rsid w:val="00247C33"/>
    <w:rsid w:val="00247FD4"/>
    <w:rsid w:val="00250218"/>
    <w:rsid w:val="00252356"/>
    <w:rsid w:val="00252BF3"/>
    <w:rsid w:val="0025307B"/>
    <w:rsid w:val="0025408F"/>
    <w:rsid w:val="0025456C"/>
    <w:rsid w:val="00254919"/>
    <w:rsid w:val="0025795B"/>
    <w:rsid w:val="00257F32"/>
    <w:rsid w:val="00260351"/>
    <w:rsid w:val="00261751"/>
    <w:rsid w:val="00262600"/>
    <w:rsid w:val="0026344B"/>
    <w:rsid w:val="002648C2"/>
    <w:rsid w:val="00264D19"/>
    <w:rsid w:val="00271240"/>
    <w:rsid w:val="002718D8"/>
    <w:rsid w:val="0027311C"/>
    <w:rsid w:val="00273A43"/>
    <w:rsid w:val="002747F5"/>
    <w:rsid w:val="00274BA3"/>
    <w:rsid w:val="00275AC0"/>
    <w:rsid w:val="00275BE9"/>
    <w:rsid w:val="0028022C"/>
    <w:rsid w:val="0028143C"/>
    <w:rsid w:val="00281A6D"/>
    <w:rsid w:val="00281DA5"/>
    <w:rsid w:val="00282D9D"/>
    <w:rsid w:val="0028627B"/>
    <w:rsid w:val="00287491"/>
    <w:rsid w:val="0029061C"/>
    <w:rsid w:val="00291F29"/>
    <w:rsid w:val="002937F7"/>
    <w:rsid w:val="0029400A"/>
    <w:rsid w:val="00294214"/>
    <w:rsid w:val="002946E0"/>
    <w:rsid w:val="00296D40"/>
    <w:rsid w:val="00297970"/>
    <w:rsid w:val="002979CD"/>
    <w:rsid w:val="00297AAD"/>
    <w:rsid w:val="002A0146"/>
    <w:rsid w:val="002A1A4B"/>
    <w:rsid w:val="002A1BFB"/>
    <w:rsid w:val="002A3FF8"/>
    <w:rsid w:val="002A4E9D"/>
    <w:rsid w:val="002A4F76"/>
    <w:rsid w:val="002A5DA3"/>
    <w:rsid w:val="002A66F2"/>
    <w:rsid w:val="002B0DAC"/>
    <w:rsid w:val="002B1C0E"/>
    <w:rsid w:val="002B2E51"/>
    <w:rsid w:val="002B32F2"/>
    <w:rsid w:val="002B3E9D"/>
    <w:rsid w:val="002B3E9F"/>
    <w:rsid w:val="002B4583"/>
    <w:rsid w:val="002B6211"/>
    <w:rsid w:val="002B66B2"/>
    <w:rsid w:val="002B6965"/>
    <w:rsid w:val="002C0236"/>
    <w:rsid w:val="002C0FE9"/>
    <w:rsid w:val="002C1A04"/>
    <w:rsid w:val="002C1BE3"/>
    <w:rsid w:val="002C1F86"/>
    <w:rsid w:val="002C2C5D"/>
    <w:rsid w:val="002C378A"/>
    <w:rsid w:val="002C4ACE"/>
    <w:rsid w:val="002C5284"/>
    <w:rsid w:val="002C5B77"/>
    <w:rsid w:val="002C65D6"/>
    <w:rsid w:val="002C6A1E"/>
    <w:rsid w:val="002C7FDD"/>
    <w:rsid w:val="002C7FF6"/>
    <w:rsid w:val="002D0299"/>
    <w:rsid w:val="002D0ECC"/>
    <w:rsid w:val="002D1308"/>
    <w:rsid w:val="002D3B85"/>
    <w:rsid w:val="002D4696"/>
    <w:rsid w:val="002D5557"/>
    <w:rsid w:val="002D5571"/>
    <w:rsid w:val="002D6C6C"/>
    <w:rsid w:val="002D6D4D"/>
    <w:rsid w:val="002E046F"/>
    <w:rsid w:val="002E0B70"/>
    <w:rsid w:val="002E17F6"/>
    <w:rsid w:val="002E1D09"/>
    <w:rsid w:val="002E1E75"/>
    <w:rsid w:val="002E1F49"/>
    <w:rsid w:val="002E215E"/>
    <w:rsid w:val="002E24D3"/>
    <w:rsid w:val="002E29D8"/>
    <w:rsid w:val="002E3904"/>
    <w:rsid w:val="002E6AF8"/>
    <w:rsid w:val="002E6FBD"/>
    <w:rsid w:val="002E7124"/>
    <w:rsid w:val="002F0215"/>
    <w:rsid w:val="002F1495"/>
    <w:rsid w:val="002F1C72"/>
    <w:rsid w:val="002F3AE3"/>
    <w:rsid w:val="002F3E75"/>
    <w:rsid w:val="002F444E"/>
    <w:rsid w:val="002F4B66"/>
    <w:rsid w:val="002F5B94"/>
    <w:rsid w:val="002F6A3F"/>
    <w:rsid w:val="003002EE"/>
    <w:rsid w:val="0030041C"/>
    <w:rsid w:val="00300947"/>
    <w:rsid w:val="00300D05"/>
    <w:rsid w:val="00301133"/>
    <w:rsid w:val="00303C72"/>
    <w:rsid w:val="0030442E"/>
    <w:rsid w:val="00304E89"/>
    <w:rsid w:val="0030516E"/>
    <w:rsid w:val="00305FCE"/>
    <w:rsid w:val="003062C1"/>
    <w:rsid w:val="003063CD"/>
    <w:rsid w:val="0030668A"/>
    <w:rsid w:val="0030786C"/>
    <w:rsid w:val="00310CDA"/>
    <w:rsid w:val="00312E62"/>
    <w:rsid w:val="003131A1"/>
    <w:rsid w:val="0031320E"/>
    <w:rsid w:val="0031323D"/>
    <w:rsid w:val="00313562"/>
    <w:rsid w:val="00316336"/>
    <w:rsid w:val="00316640"/>
    <w:rsid w:val="00316988"/>
    <w:rsid w:val="00316DD8"/>
    <w:rsid w:val="00316EDA"/>
    <w:rsid w:val="003173BF"/>
    <w:rsid w:val="00321C6F"/>
    <w:rsid w:val="0032357A"/>
    <w:rsid w:val="0032404E"/>
    <w:rsid w:val="00324541"/>
    <w:rsid w:val="003251D2"/>
    <w:rsid w:val="003257BD"/>
    <w:rsid w:val="00326B08"/>
    <w:rsid w:val="00327E8D"/>
    <w:rsid w:val="003302F1"/>
    <w:rsid w:val="00330E6C"/>
    <w:rsid w:val="0033327E"/>
    <w:rsid w:val="0033337A"/>
    <w:rsid w:val="00333462"/>
    <w:rsid w:val="00334279"/>
    <w:rsid w:val="003342C4"/>
    <w:rsid w:val="003355F5"/>
    <w:rsid w:val="003359BF"/>
    <w:rsid w:val="00335E08"/>
    <w:rsid w:val="003365BF"/>
    <w:rsid w:val="003379FE"/>
    <w:rsid w:val="00340B24"/>
    <w:rsid w:val="003417E9"/>
    <w:rsid w:val="00342728"/>
    <w:rsid w:val="00344A96"/>
    <w:rsid w:val="00345EB5"/>
    <w:rsid w:val="003467AE"/>
    <w:rsid w:val="0035073E"/>
    <w:rsid w:val="00350846"/>
    <w:rsid w:val="00350D56"/>
    <w:rsid w:val="003517E4"/>
    <w:rsid w:val="003520DA"/>
    <w:rsid w:val="0035221D"/>
    <w:rsid w:val="0035245A"/>
    <w:rsid w:val="00352C36"/>
    <w:rsid w:val="003544E3"/>
    <w:rsid w:val="003552DA"/>
    <w:rsid w:val="0035666C"/>
    <w:rsid w:val="00356C32"/>
    <w:rsid w:val="00356D99"/>
    <w:rsid w:val="00356D9F"/>
    <w:rsid w:val="00356F24"/>
    <w:rsid w:val="003575AD"/>
    <w:rsid w:val="0035795D"/>
    <w:rsid w:val="00357B14"/>
    <w:rsid w:val="00360123"/>
    <w:rsid w:val="00360D70"/>
    <w:rsid w:val="003611DE"/>
    <w:rsid w:val="00363594"/>
    <w:rsid w:val="00363F4E"/>
    <w:rsid w:val="00364C15"/>
    <w:rsid w:val="003655EB"/>
    <w:rsid w:val="003668E0"/>
    <w:rsid w:val="003670B5"/>
    <w:rsid w:val="00367824"/>
    <w:rsid w:val="00370869"/>
    <w:rsid w:val="00371394"/>
    <w:rsid w:val="0037290D"/>
    <w:rsid w:val="00372CAD"/>
    <w:rsid w:val="0037435A"/>
    <w:rsid w:val="00374681"/>
    <w:rsid w:val="00374F15"/>
    <w:rsid w:val="00375254"/>
    <w:rsid w:val="00375AAF"/>
    <w:rsid w:val="00375C89"/>
    <w:rsid w:val="00376DFB"/>
    <w:rsid w:val="003771E5"/>
    <w:rsid w:val="00381A9C"/>
    <w:rsid w:val="00381C2D"/>
    <w:rsid w:val="00382272"/>
    <w:rsid w:val="003827E9"/>
    <w:rsid w:val="003829EF"/>
    <w:rsid w:val="00383915"/>
    <w:rsid w:val="00383C61"/>
    <w:rsid w:val="00383E62"/>
    <w:rsid w:val="003842A4"/>
    <w:rsid w:val="0038546F"/>
    <w:rsid w:val="0038660C"/>
    <w:rsid w:val="00386F92"/>
    <w:rsid w:val="003874FB"/>
    <w:rsid w:val="003875B2"/>
    <w:rsid w:val="00390955"/>
    <w:rsid w:val="00390EB8"/>
    <w:rsid w:val="00390F1F"/>
    <w:rsid w:val="00391CA4"/>
    <w:rsid w:val="0039205B"/>
    <w:rsid w:val="0039231D"/>
    <w:rsid w:val="00392C2A"/>
    <w:rsid w:val="00393938"/>
    <w:rsid w:val="00395597"/>
    <w:rsid w:val="00395E7E"/>
    <w:rsid w:val="00395FC0"/>
    <w:rsid w:val="00396335"/>
    <w:rsid w:val="00397BC7"/>
    <w:rsid w:val="00397DFE"/>
    <w:rsid w:val="003A0974"/>
    <w:rsid w:val="003A1152"/>
    <w:rsid w:val="003A1674"/>
    <w:rsid w:val="003A1A44"/>
    <w:rsid w:val="003A2934"/>
    <w:rsid w:val="003A2C13"/>
    <w:rsid w:val="003A3566"/>
    <w:rsid w:val="003A35DB"/>
    <w:rsid w:val="003A4344"/>
    <w:rsid w:val="003A4995"/>
    <w:rsid w:val="003A564C"/>
    <w:rsid w:val="003B0D1D"/>
    <w:rsid w:val="003B2A00"/>
    <w:rsid w:val="003B3184"/>
    <w:rsid w:val="003B4D5C"/>
    <w:rsid w:val="003B4EA6"/>
    <w:rsid w:val="003B766F"/>
    <w:rsid w:val="003C07CA"/>
    <w:rsid w:val="003C0A90"/>
    <w:rsid w:val="003C1BE4"/>
    <w:rsid w:val="003C22AC"/>
    <w:rsid w:val="003C3253"/>
    <w:rsid w:val="003C36CC"/>
    <w:rsid w:val="003C6C98"/>
    <w:rsid w:val="003C6F30"/>
    <w:rsid w:val="003C71FE"/>
    <w:rsid w:val="003C7384"/>
    <w:rsid w:val="003D17F9"/>
    <w:rsid w:val="003D185F"/>
    <w:rsid w:val="003D205B"/>
    <w:rsid w:val="003D2354"/>
    <w:rsid w:val="003D2E39"/>
    <w:rsid w:val="003D2F74"/>
    <w:rsid w:val="003D3264"/>
    <w:rsid w:val="003D355D"/>
    <w:rsid w:val="003D360A"/>
    <w:rsid w:val="003D4223"/>
    <w:rsid w:val="003D5311"/>
    <w:rsid w:val="003D5700"/>
    <w:rsid w:val="003D6554"/>
    <w:rsid w:val="003D6B9A"/>
    <w:rsid w:val="003D7695"/>
    <w:rsid w:val="003D7E0D"/>
    <w:rsid w:val="003E0831"/>
    <w:rsid w:val="003E0990"/>
    <w:rsid w:val="003E0DED"/>
    <w:rsid w:val="003E0E66"/>
    <w:rsid w:val="003E1698"/>
    <w:rsid w:val="003E1901"/>
    <w:rsid w:val="003E1B69"/>
    <w:rsid w:val="003E2132"/>
    <w:rsid w:val="003E22B5"/>
    <w:rsid w:val="003E2F5B"/>
    <w:rsid w:val="003E36AB"/>
    <w:rsid w:val="003E43D6"/>
    <w:rsid w:val="003E44C3"/>
    <w:rsid w:val="003E66D5"/>
    <w:rsid w:val="003E6EF9"/>
    <w:rsid w:val="003F17B1"/>
    <w:rsid w:val="003F180E"/>
    <w:rsid w:val="003F1936"/>
    <w:rsid w:val="003F1C38"/>
    <w:rsid w:val="003F2205"/>
    <w:rsid w:val="003F23FF"/>
    <w:rsid w:val="003F2926"/>
    <w:rsid w:val="003F2B7E"/>
    <w:rsid w:val="003F52FC"/>
    <w:rsid w:val="003F55A1"/>
    <w:rsid w:val="003F7BE4"/>
    <w:rsid w:val="00400377"/>
    <w:rsid w:val="00400DF8"/>
    <w:rsid w:val="0040163C"/>
    <w:rsid w:val="00401B60"/>
    <w:rsid w:val="00402A23"/>
    <w:rsid w:val="00402B15"/>
    <w:rsid w:val="00403306"/>
    <w:rsid w:val="0040507C"/>
    <w:rsid w:val="00411690"/>
    <w:rsid w:val="004117B4"/>
    <w:rsid w:val="004122BD"/>
    <w:rsid w:val="0041251C"/>
    <w:rsid w:val="0041271B"/>
    <w:rsid w:val="0041445C"/>
    <w:rsid w:val="0041460F"/>
    <w:rsid w:val="00414ED9"/>
    <w:rsid w:val="00416AD2"/>
    <w:rsid w:val="00417141"/>
    <w:rsid w:val="00417B69"/>
    <w:rsid w:val="00417F92"/>
    <w:rsid w:val="00424FB0"/>
    <w:rsid w:val="00425D6F"/>
    <w:rsid w:val="00426E61"/>
    <w:rsid w:val="00426E6A"/>
    <w:rsid w:val="00431BF2"/>
    <w:rsid w:val="0043256D"/>
    <w:rsid w:val="00433CB5"/>
    <w:rsid w:val="0043400F"/>
    <w:rsid w:val="0043429A"/>
    <w:rsid w:val="00436215"/>
    <w:rsid w:val="0043632E"/>
    <w:rsid w:val="00436BA9"/>
    <w:rsid w:val="004405E5"/>
    <w:rsid w:val="00440B22"/>
    <w:rsid w:val="0044145E"/>
    <w:rsid w:val="00441FC0"/>
    <w:rsid w:val="00442C5E"/>
    <w:rsid w:val="00443170"/>
    <w:rsid w:val="0044381F"/>
    <w:rsid w:val="00445CA0"/>
    <w:rsid w:val="00446CD2"/>
    <w:rsid w:val="00446FD8"/>
    <w:rsid w:val="00450A3A"/>
    <w:rsid w:val="004510AF"/>
    <w:rsid w:val="00452A32"/>
    <w:rsid w:val="0045321A"/>
    <w:rsid w:val="004540D2"/>
    <w:rsid w:val="0045617D"/>
    <w:rsid w:val="0045666F"/>
    <w:rsid w:val="004567B7"/>
    <w:rsid w:val="004568CC"/>
    <w:rsid w:val="00457CD4"/>
    <w:rsid w:val="00457E1E"/>
    <w:rsid w:val="00457F47"/>
    <w:rsid w:val="00463DEB"/>
    <w:rsid w:val="00463FBE"/>
    <w:rsid w:val="0046583F"/>
    <w:rsid w:val="004660D2"/>
    <w:rsid w:val="00466CE6"/>
    <w:rsid w:val="0047139D"/>
    <w:rsid w:val="00472AEC"/>
    <w:rsid w:val="00472B1B"/>
    <w:rsid w:val="00474670"/>
    <w:rsid w:val="00477CA7"/>
    <w:rsid w:val="00480009"/>
    <w:rsid w:val="00480FED"/>
    <w:rsid w:val="004825BE"/>
    <w:rsid w:val="00482A1B"/>
    <w:rsid w:val="00483D3F"/>
    <w:rsid w:val="00485FBE"/>
    <w:rsid w:val="00486348"/>
    <w:rsid w:val="0048678E"/>
    <w:rsid w:val="004867E2"/>
    <w:rsid w:val="0049082E"/>
    <w:rsid w:val="00491CFF"/>
    <w:rsid w:val="00491F42"/>
    <w:rsid w:val="00492395"/>
    <w:rsid w:val="00492468"/>
    <w:rsid w:val="00492629"/>
    <w:rsid w:val="00492CBC"/>
    <w:rsid w:val="004957EF"/>
    <w:rsid w:val="0049664F"/>
    <w:rsid w:val="00497263"/>
    <w:rsid w:val="00497535"/>
    <w:rsid w:val="004A1FCC"/>
    <w:rsid w:val="004A2E4D"/>
    <w:rsid w:val="004A30C1"/>
    <w:rsid w:val="004A4456"/>
    <w:rsid w:val="004A4E85"/>
    <w:rsid w:val="004A5023"/>
    <w:rsid w:val="004A5238"/>
    <w:rsid w:val="004A5CC9"/>
    <w:rsid w:val="004A712F"/>
    <w:rsid w:val="004A7212"/>
    <w:rsid w:val="004B12E8"/>
    <w:rsid w:val="004B2313"/>
    <w:rsid w:val="004B38EA"/>
    <w:rsid w:val="004B4156"/>
    <w:rsid w:val="004B4330"/>
    <w:rsid w:val="004B6B3F"/>
    <w:rsid w:val="004C0FD5"/>
    <w:rsid w:val="004C1EA4"/>
    <w:rsid w:val="004C1EF3"/>
    <w:rsid w:val="004C1FEC"/>
    <w:rsid w:val="004C27F8"/>
    <w:rsid w:val="004C3B0A"/>
    <w:rsid w:val="004C488C"/>
    <w:rsid w:val="004C4E5C"/>
    <w:rsid w:val="004C784D"/>
    <w:rsid w:val="004D0358"/>
    <w:rsid w:val="004D039F"/>
    <w:rsid w:val="004D07A6"/>
    <w:rsid w:val="004D1386"/>
    <w:rsid w:val="004D42BA"/>
    <w:rsid w:val="004D4D66"/>
    <w:rsid w:val="004D6FB2"/>
    <w:rsid w:val="004D74BD"/>
    <w:rsid w:val="004E1C5A"/>
    <w:rsid w:val="004E1CB1"/>
    <w:rsid w:val="004E268F"/>
    <w:rsid w:val="004E48D6"/>
    <w:rsid w:val="004E68D7"/>
    <w:rsid w:val="004E7011"/>
    <w:rsid w:val="004E7114"/>
    <w:rsid w:val="004E77B6"/>
    <w:rsid w:val="004F08E9"/>
    <w:rsid w:val="004F1951"/>
    <w:rsid w:val="004F1BF6"/>
    <w:rsid w:val="004F1BFE"/>
    <w:rsid w:val="004F36B4"/>
    <w:rsid w:val="004F5DB5"/>
    <w:rsid w:val="004F7321"/>
    <w:rsid w:val="004F7467"/>
    <w:rsid w:val="004F76C7"/>
    <w:rsid w:val="0050041D"/>
    <w:rsid w:val="0050147F"/>
    <w:rsid w:val="00502284"/>
    <w:rsid w:val="005024DF"/>
    <w:rsid w:val="0050283E"/>
    <w:rsid w:val="00502A61"/>
    <w:rsid w:val="00502F6C"/>
    <w:rsid w:val="00505B99"/>
    <w:rsid w:val="00506326"/>
    <w:rsid w:val="005065DD"/>
    <w:rsid w:val="0050768A"/>
    <w:rsid w:val="005103E4"/>
    <w:rsid w:val="0051136B"/>
    <w:rsid w:val="00511774"/>
    <w:rsid w:val="00511B50"/>
    <w:rsid w:val="0051262B"/>
    <w:rsid w:val="00512F9D"/>
    <w:rsid w:val="005140BB"/>
    <w:rsid w:val="00514309"/>
    <w:rsid w:val="00514939"/>
    <w:rsid w:val="00516DC4"/>
    <w:rsid w:val="00517703"/>
    <w:rsid w:val="0051785B"/>
    <w:rsid w:val="00517E9A"/>
    <w:rsid w:val="00520459"/>
    <w:rsid w:val="00520A44"/>
    <w:rsid w:val="005220C3"/>
    <w:rsid w:val="00522E36"/>
    <w:rsid w:val="00524F15"/>
    <w:rsid w:val="005263CE"/>
    <w:rsid w:val="0052746D"/>
    <w:rsid w:val="00530239"/>
    <w:rsid w:val="00530C02"/>
    <w:rsid w:val="00531FFE"/>
    <w:rsid w:val="005326FB"/>
    <w:rsid w:val="00532DDD"/>
    <w:rsid w:val="005332B0"/>
    <w:rsid w:val="0053523A"/>
    <w:rsid w:val="00537DA2"/>
    <w:rsid w:val="00541671"/>
    <w:rsid w:val="00541E59"/>
    <w:rsid w:val="00541FE8"/>
    <w:rsid w:val="00544A02"/>
    <w:rsid w:val="00545C8F"/>
    <w:rsid w:val="00545CD9"/>
    <w:rsid w:val="00546D23"/>
    <w:rsid w:val="00547331"/>
    <w:rsid w:val="00547C5B"/>
    <w:rsid w:val="00550628"/>
    <w:rsid w:val="00550952"/>
    <w:rsid w:val="00551E87"/>
    <w:rsid w:val="005554FE"/>
    <w:rsid w:val="005556BA"/>
    <w:rsid w:val="00556556"/>
    <w:rsid w:val="00557756"/>
    <w:rsid w:val="00557AA2"/>
    <w:rsid w:val="00560577"/>
    <w:rsid w:val="00561AFD"/>
    <w:rsid w:val="00562F15"/>
    <w:rsid w:val="00563222"/>
    <w:rsid w:val="00563A63"/>
    <w:rsid w:val="005656A2"/>
    <w:rsid w:val="00565B99"/>
    <w:rsid w:val="005708FF"/>
    <w:rsid w:val="00571833"/>
    <w:rsid w:val="00572AAD"/>
    <w:rsid w:val="00573030"/>
    <w:rsid w:val="0057378E"/>
    <w:rsid w:val="00573D50"/>
    <w:rsid w:val="00576F99"/>
    <w:rsid w:val="00576FFB"/>
    <w:rsid w:val="00577FC6"/>
    <w:rsid w:val="00580536"/>
    <w:rsid w:val="0058413B"/>
    <w:rsid w:val="00584DFE"/>
    <w:rsid w:val="005851C2"/>
    <w:rsid w:val="005870DB"/>
    <w:rsid w:val="00587AE8"/>
    <w:rsid w:val="00587BD2"/>
    <w:rsid w:val="00590131"/>
    <w:rsid w:val="0059111B"/>
    <w:rsid w:val="0059260C"/>
    <w:rsid w:val="00592917"/>
    <w:rsid w:val="00593BE2"/>
    <w:rsid w:val="005942EA"/>
    <w:rsid w:val="00594BC7"/>
    <w:rsid w:val="00595A88"/>
    <w:rsid w:val="005966CA"/>
    <w:rsid w:val="00597F8B"/>
    <w:rsid w:val="005A032B"/>
    <w:rsid w:val="005A092F"/>
    <w:rsid w:val="005A0E6B"/>
    <w:rsid w:val="005A0ECC"/>
    <w:rsid w:val="005A12E4"/>
    <w:rsid w:val="005A233D"/>
    <w:rsid w:val="005A2BAA"/>
    <w:rsid w:val="005A3EF1"/>
    <w:rsid w:val="005A4A62"/>
    <w:rsid w:val="005A4F0A"/>
    <w:rsid w:val="005A50E0"/>
    <w:rsid w:val="005A51E4"/>
    <w:rsid w:val="005A5255"/>
    <w:rsid w:val="005A58D5"/>
    <w:rsid w:val="005A5BEF"/>
    <w:rsid w:val="005A614B"/>
    <w:rsid w:val="005A784C"/>
    <w:rsid w:val="005B4496"/>
    <w:rsid w:val="005B7459"/>
    <w:rsid w:val="005C14A7"/>
    <w:rsid w:val="005C19A4"/>
    <w:rsid w:val="005C1CD5"/>
    <w:rsid w:val="005C2310"/>
    <w:rsid w:val="005C48C0"/>
    <w:rsid w:val="005C4BB8"/>
    <w:rsid w:val="005C53B7"/>
    <w:rsid w:val="005C57AD"/>
    <w:rsid w:val="005C61F9"/>
    <w:rsid w:val="005C6400"/>
    <w:rsid w:val="005C6FEF"/>
    <w:rsid w:val="005C7A84"/>
    <w:rsid w:val="005D00C8"/>
    <w:rsid w:val="005D0135"/>
    <w:rsid w:val="005D0C06"/>
    <w:rsid w:val="005D12DD"/>
    <w:rsid w:val="005D29A6"/>
    <w:rsid w:val="005D2E05"/>
    <w:rsid w:val="005D3496"/>
    <w:rsid w:val="005D50FE"/>
    <w:rsid w:val="005D62DE"/>
    <w:rsid w:val="005D65E3"/>
    <w:rsid w:val="005D6734"/>
    <w:rsid w:val="005D707C"/>
    <w:rsid w:val="005D733A"/>
    <w:rsid w:val="005D7DAC"/>
    <w:rsid w:val="005E090B"/>
    <w:rsid w:val="005E0A7E"/>
    <w:rsid w:val="005E2271"/>
    <w:rsid w:val="005E2C3C"/>
    <w:rsid w:val="005E3B58"/>
    <w:rsid w:val="005E3BC9"/>
    <w:rsid w:val="005E3EB0"/>
    <w:rsid w:val="005E5A0B"/>
    <w:rsid w:val="005E67A5"/>
    <w:rsid w:val="005E740C"/>
    <w:rsid w:val="005E7C72"/>
    <w:rsid w:val="005F0FD3"/>
    <w:rsid w:val="005F40B0"/>
    <w:rsid w:val="005F49C8"/>
    <w:rsid w:val="005F4AC7"/>
    <w:rsid w:val="005F4CB7"/>
    <w:rsid w:val="005F560E"/>
    <w:rsid w:val="005F569D"/>
    <w:rsid w:val="005F605A"/>
    <w:rsid w:val="005F6509"/>
    <w:rsid w:val="005F71E4"/>
    <w:rsid w:val="005F7BDD"/>
    <w:rsid w:val="00600818"/>
    <w:rsid w:val="00600C88"/>
    <w:rsid w:val="00602193"/>
    <w:rsid w:val="00603887"/>
    <w:rsid w:val="00604395"/>
    <w:rsid w:val="00604B76"/>
    <w:rsid w:val="0060519E"/>
    <w:rsid w:val="00605B5C"/>
    <w:rsid w:val="0060669E"/>
    <w:rsid w:val="00606C7D"/>
    <w:rsid w:val="00606D2F"/>
    <w:rsid w:val="0060733A"/>
    <w:rsid w:val="0060761A"/>
    <w:rsid w:val="00610605"/>
    <w:rsid w:val="00611BE1"/>
    <w:rsid w:val="0061365D"/>
    <w:rsid w:val="0061397C"/>
    <w:rsid w:val="00614613"/>
    <w:rsid w:val="00614AE2"/>
    <w:rsid w:val="0061561E"/>
    <w:rsid w:val="00615673"/>
    <w:rsid w:val="006157AA"/>
    <w:rsid w:val="00615A74"/>
    <w:rsid w:val="00615F03"/>
    <w:rsid w:val="006165D0"/>
    <w:rsid w:val="00617536"/>
    <w:rsid w:val="006200D5"/>
    <w:rsid w:val="0062083C"/>
    <w:rsid w:val="00621283"/>
    <w:rsid w:val="006229F3"/>
    <w:rsid w:val="00623775"/>
    <w:rsid w:val="006273C7"/>
    <w:rsid w:val="00631322"/>
    <w:rsid w:val="00632576"/>
    <w:rsid w:val="006325E8"/>
    <w:rsid w:val="0063322E"/>
    <w:rsid w:val="006350B5"/>
    <w:rsid w:val="00635244"/>
    <w:rsid w:val="00635A58"/>
    <w:rsid w:val="00636ECB"/>
    <w:rsid w:val="006374DA"/>
    <w:rsid w:val="00640406"/>
    <w:rsid w:val="006421B2"/>
    <w:rsid w:val="00642745"/>
    <w:rsid w:val="006427B4"/>
    <w:rsid w:val="0064332C"/>
    <w:rsid w:val="0064391B"/>
    <w:rsid w:val="00644955"/>
    <w:rsid w:val="006453BC"/>
    <w:rsid w:val="00646F9B"/>
    <w:rsid w:val="00650542"/>
    <w:rsid w:val="00650791"/>
    <w:rsid w:val="00651120"/>
    <w:rsid w:val="00651504"/>
    <w:rsid w:val="00651577"/>
    <w:rsid w:val="00654194"/>
    <w:rsid w:val="0065587A"/>
    <w:rsid w:val="00657787"/>
    <w:rsid w:val="00657B7E"/>
    <w:rsid w:val="006607EA"/>
    <w:rsid w:val="00661156"/>
    <w:rsid w:val="00662185"/>
    <w:rsid w:val="00662BAE"/>
    <w:rsid w:val="00663EFF"/>
    <w:rsid w:val="00664EF6"/>
    <w:rsid w:val="00665134"/>
    <w:rsid w:val="0066630C"/>
    <w:rsid w:val="00667853"/>
    <w:rsid w:val="006678E5"/>
    <w:rsid w:val="00667EDD"/>
    <w:rsid w:val="00670DD1"/>
    <w:rsid w:val="00670F37"/>
    <w:rsid w:val="006710A0"/>
    <w:rsid w:val="00671407"/>
    <w:rsid w:val="00671F48"/>
    <w:rsid w:val="00674D0A"/>
    <w:rsid w:val="0067632F"/>
    <w:rsid w:val="00676D92"/>
    <w:rsid w:val="00677356"/>
    <w:rsid w:val="006774BC"/>
    <w:rsid w:val="00677707"/>
    <w:rsid w:val="00677DE7"/>
    <w:rsid w:val="0067EE9E"/>
    <w:rsid w:val="00680BED"/>
    <w:rsid w:val="006828B9"/>
    <w:rsid w:val="006875D3"/>
    <w:rsid w:val="00693603"/>
    <w:rsid w:val="00693FE7"/>
    <w:rsid w:val="0069504B"/>
    <w:rsid w:val="0069578E"/>
    <w:rsid w:val="00695BFF"/>
    <w:rsid w:val="00696940"/>
    <w:rsid w:val="00696C71"/>
    <w:rsid w:val="00697CF5"/>
    <w:rsid w:val="006A139E"/>
    <w:rsid w:val="006A1B4A"/>
    <w:rsid w:val="006A1C9A"/>
    <w:rsid w:val="006A1F48"/>
    <w:rsid w:val="006A3C3B"/>
    <w:rsid w:val="006A3D58"/>
    <w:rsid w:val="006A4F2D"/>
    <w:rsid w:val="006A57CB"/>
    <w:rsid w:val="006A7BFF"/>
    <w:rsid w:val="006ACF8B"/>
    <w:rsid w:val="006B025A"/>
    <w:rsid w:val="006B059B"/>
    <w:rsid w:val="006B0A9F"/>
    <w:rsid w:val="006B1812"/>
    <w:rsid w:val="006B2414"/>
    <w:rsid w:val="006B2614"/>
    <w:rsid w:val="006B2C8E"/>
    <w:rsid w:val="006B3282"/>
    <w:rsid w:val="006B3FD1"/>
    <w:rsid w:val="006B4135"/>
    <w:rsid w:val="006B4F3B"/>
    <w:rsid w:val="006B54F7"/>
    <w:rsid w:val="006B551A"/>
    <w:rsid w:val="006B5E43"/>
    <w:rsid w:val="006B74B9"/>
    <w:rsid w:val="006C17C1"/>
    <w:rsid w:val="006C2ACB"/>
    <w:rsid w:val="006C35EF"/>
    <w:rsid w:val="006C47C2"/>
    <w:rsid w:val="006C5EED"/>
    <w:rsid w:val="006D02EB"/>
    <w:rsid w:val="006D03B8"/>
    <w:rsid w:val="006D0B9E"/>
    <w:rsid w:val="006D0C60"/>
    <w:rsid w:val="006D1ECC"/>
    <w:rsid w:val="006D247D"/>
    <w:rsid w:val="006D3FB1"/>
    <w:rsid w:val="006D41B6"/>
    <w:rsid w:val="006D47D8"/>
    <w:rsid w:val="006D625C"/>
    <w:rsid w:val="006D6BFE"/>
    <w:rsid w:val="006D6DD5"/>
    <w:rsid w:val="006D703A"/>
    <w:rsid w:val="006D7A1C"/>
    <w:rsid w:val="006D7ECF"/>
    <w:rsid w:val="006E0724"/>
    <w:rsid w:val="006E0891"/>
    <w:rsid w:val="006E195F"/>
    <w:rsid w:val="006E25FF"/>
    <w:rsid w:val="006E2D28"/>
    <w:rsid w:val="006E38AD"/>
    <w:rsid w:val="006E3B0D"/>
    <w:rsid w:val="006E3E83"/>
    <w:rsid w:val="006E5136"/>
    <w:rsid w:val="006E5633"/>
    <w:rsid w:val="006E7DC2"/>
    <w:rsid w:val="006F06C8"/>
    <w:rsid w:val="006F1D06"/>
    <w:rsid w:val="006F39AE"/>
    <w:rsid w:val="006F3A76"/>
    <w:rsid w:val="006F3D75"/>
    <w:rsid w:val="006F3F9D"/>
    <w:rsid w:val="006F4A56"/>
    <w:rsid w:val="006F55CD"/>
    <w:rsid w:val="006F5B0F"/>
    <w:rsid w:val="006F6468"/>
    <w:rsid w:val="006FE938"/>
    <w:rsid w:val="00700966"/>
    <w:rsid w:val="00701AD5"/>
    <w:rsid w:val="00702B5E"/>
    <w:rsid w:val="0070362E"/>
    <w:rsid w:val="00704D5B"/>
    <w:rsid w:val="00705BC1"/>
    <w:rsid w:val="00705CAB"/>
    <w:rsid w:val="0070615B"/>
    <w:rsid w:val="00706A47"/>
    <w:rsid w:val="007070E7"/>
    <w:rsid w:val="007079FF"/>
    <w:rsid w:val="00707BD8"/>
    <w:rsid w:val="007109E8"/>
    <w:rsid w:val="00711147"/>
    <w:rsid w:val="007114B8"/>
    <w:rsid w:val="00712076"/>
    <w:rsid w:val="00712518"/>
    <w:rsid w:val="00712A88"/>
    <w:rsid w:val="0071382F"/>
    <w:rsid w:val="00713E74"/>
    <w:rsid w:val="00713FB9"/>
    <w:rsid w:val="00715120"/>
    <w:rsid w:val="00715DFB"/>
    <w:rsid w:val="007163A9"/>
    <w:rsid w:val="00717817"/>
    <w:rsid w:val="007202DA"/>
    <w:rsid w:val="00721D97"/>
    <w:rsid w:val="00721FC9"/>
    <w:rsid w:val="007242AB"/>
    <w:rsid w:val="0072567D"/>
    <w:rsid w:val="00725859"/>
    <w:rsid w:val="007259AF"/>
    <w:rsid w:val="00725EC6"/>
    <w:rsid w:val="00727170"/>
    <w:rsid w:val="00727239"/>
    <w:rsid w:val="007317D9"/>
    <w:rsid w:val="007318F5"/>
    <w:rsid w:val="0073330B"/>
    <w:rsid w:val="0073398A"/>
    <w:rsid w:val="00735367"/>
    <w:rsid w:val="007367DC"/>
    <w:rsid w:val="0073697E"/>
    <w:rsid w:val="00737AF9"/>
    <w:rsid w:val="0074072A"/>
    <w:rsid w:val="00740BBE"/>
    <w:rsid w:val="00740E77"/>
    <w:rsid w:val="007411F9"/>
    <w:rsid w:val="0074156F"/>
    <w:rsid w:val="00741898"/>
    <w:rsid w:val="007427F9"/>
    <w:rsid w:val="0074421E"/>
    <w:rsid w:val="00744822"/>
    <w:rsid w:val="00744B07"/>
    <w:rsid w:val="00744CCA"/>
    <w:rsid w:val="00747521"/>
    <w:rsid w:val="007505C4"/>
    <w:rsid w:val="00751308"/>
    <w:rsid w:val="0075137E"/>
    <w:rsid w:val="007521D1"/>
    <w:rsid w:val="00752FE3"/>
    <w:rsid w:val="007547CD"/>
    <w:rsid w:val="0075522D"/>
    <w:rsid w:val="00755D76"/>
    <w:rsid w:val="00756467"/>
    <w:rsid w:val="007565E6"/>
    <w:rsid w:val="00756726"/>
    <w:rsid w:val="00756A75"/>
    <w:rsid w:val="0075746B"/>
    <w:rsid w:val="00757BBA"/>
    <w:rsid w:val="00761677"/>
    <w:rsid w:val="00762AA6"/>
    <w:rsid w:val="00762C0E"/>
    <w:rsid w:val="00763108"/>
    <w:rsid w:val="00763F30"/>
    <w:rsid w:val="00765191"/>
    <w:rsid w:val="00765227"/>
    <w:rsid w:val="0076547B"/>
    <w:rsid w:val="00766336"/>
    <w:rsid w:val="00766F39"/>
    <w:rsid w:val="00771A76"/>
    <w:rsid w:val="00771D14"/>
    <w:rsid w:val="0077461C"/>
    <w:rsid w:val="00775577"/>
    <w:rsid w:val="00776497"/>
    <w:rsid w:val="007767BB"/>
    <w:rsid w:val="0077758F"/>
    <w:rsid w:val="00777F30"/>
    <w:rsid w:val="00780132"/>
    <w:rsid w:val="00780D75"/>
    <w:rsid w:val="00780F27"/>
    <w:rsid w:val="0078155A"/>
    <w:rsid w:val="007818AA"/>
    <w:rsid w:val="00781ABF"/>
    <w:rsid w:val="00781D25"/>
    <w:rsid w:val="007827C4"/>
    <w:rsid w:val="00782894"/>
    <w:rsid w:val="0078360F"/>
    <w:rsid w:val="0078378A"/>
    <w:rsid w:val="00783925"/>
    <w:rsid w:val="00783975"/>
    <w:rsid w:val="00785867"/>
    <w:rsid w:val="00786620"/>
    <w:rsid w:val="00786624"/>
    <w:rsid w:val="00786B7C"/>
    <w:rsid w:val="00786ECE"/>
    <w:rsid w:val="00786F58"/>
    <w:rsid w:val="00787287"/>
    <w:rsid w:val="00790B5A"/>
    <w:rsid w:val="00792DAF"/>
    <w:rsid w:val="007939FC"/>
    <w:rsid w:val="00794D45"/>
    <w:rsid w:val="00794E52"/>
    <w:rsid w:val="007955BA"/>
    <w:rsid w:val="00795E9E"/>
    <w:rsid w:val="0079750B"/>
    <w:rsid w:val="007A047D"/>
    <w:rsid w:val="007A0E9F"/>
    <w:rsid w:val="007A17AB"/>
    <w:rsid w:val="007A3C3A"/>
    <w:rsid w:val="007A3F1C"/>
    <w:rsid w:val="007A5052"/>
    <w:rsid w:val="007A50ED"/>
    <w:rsid w:val="007A5A72"/>
    <w:rsid w:val="007A5F07"/>
    <w:rsid w:val="007A603A"/>
    <w:rsid w:val="007A7496"/>
    <w:rsid w:val="007A7B32"/>
    <w:rsid w:val="007B167B"/>
    <w:rsid w:val="007B2C6A"/>
    <w:rsid w:val="007B348D"/>
    <w:rsid w:val="007B4215"/>
    <w:rsid w:val="007B47A4"/>
    <w:rsid w:val="007B596F"/>
    <w:rsid w:val="007B5F94"/>
    <w:rsid w:val="007B5FDA"/>
    <w:rsid w:val="007C02F3"/>
    <w:rsid w:val="007C3A40"/>
    <w:rsid w:val="007C3FDE"/>
    <w:rsid w:val="007C5DAE"/>
    <w:rsid w:val="007C5EE6"/>
    <w:rsid w:val="007C6846"/>
    <w:rsid w:val="007C70B7"/>
    <w:rsid w:val="007C775E"/>
    <w:rsid w:val="007C7843"/>
    <w:rsid w:val="007C78E9"/>
    <w:rsid w:val="007C7E88"/>
    <w:rsid w:val="007D0C80"/>
    <w:rsid w:val="007D194B"/>
    <w:rsid w:val="007D1F31"/>
    <w:rsid w:val="007D2668"/>
    <w:rsid w:val="007D2EC1"/>
    <w:rsid w:val="007D356D"/>
    <w:rsid w:val="007D63E0"/>
    <w:rsid w:val="007D7902"/>
    <w:rsid w:val="007D88C4"/>
    <w:rsid w:val="007E0582"/>
    <w:rsid w:val="007E3D8E"/>
    <w:rsid w:val="007E54C7"/>
    <w:rsid w:val="007E5704"/>
    <w:rsid w:val="007E641E"/>
    <w:rsid w:val="007E7A6D"/>
    <w:rsid w:val="007F0851"/>
    <w:rsid w:val="007F116A"/>
    <w:rsid w:val="007F53CF"/>
    <w:rsid w:val="007F5E02"/>
    <w:rsid w:val="007F7226"/>
    <w:rsid w:val="00800490"/>
    <w:rsid w:val="00800A54"/>
    <w:rsid w:val="00800BEF"/>
    <w:rsid w:val="00801748"/>
    <w:rsid w:val="00801A83"/>
    <w:rsid w:val="00801EE2"/>
    <w:rsid w:val="0080372E"/>
    <w:rsid w:val="00803D6A"/>
    <w:rsid w:val="00803F06"/>
    <w:rsid w:val="00805215"/>
    <w:rsid w:val="008069CC"/>
    <w:rsid w:val="0080727E"/>
    <w:rsid w:val="00807926"/>
    <w:rsid w:val="00807BB7"/>
    <w:rsid w:val="0081017F"/>
    <w:rsid w:val="0081058E"/>
    <w:rsid w:val="008107FD"/>
    <w:rsid w:val="0081195F"/>
    <w:rsid w:val="008133E9"/>
    <w:rsid w:val="00813E97"/>
    <w:rsid w:val="00814375"/>
    <w:rsid w:val="008154D9"/>
    <w:rsid w:val="00815A2E"/>
    <w:rsid w:val="0081600B"/>
    <w:rsid w:val="00817EDB"/>
    <w:rsid w:val="00820BBB"/>
    <w:rsid w:val="00824B84"/>
    <w:rsid w:val="00824E7F"/>
    <w:rsid w:val="0082571A"/>
    <w:rsid w:val="0082621D"/>
    <w:rsid w:val="008264EB"/>
    <w:rsid w:val="00826BFB"/>
    <w:rsid w:val="0082729A"/>
    <w:rsid w:val="00832AC9"/>
    <w:rsid w:val="00832F11"/>
    <w:rsid w:val="00833DF5"/>
    <w:rsid w:val="00835220"/>
    <w:rsid w:val="00835903"/>
    <w:rsid w:val="008361FC"/>
    <w:rsid w:val="00837BEF"/>
    <w:rsid w:val="0084301C"/>
    <w:rsid w:val="00845013"/>
    <w:rsid w:val="008509BD"/>
    <w:rsid w:val="00852094"/>
    <w:rsid w:val="00852EBE"/>
    <w:rsid w:val="00853234"/>
    <w:rsid w:val="008533F6"/>
    <w:rsid w:val="0085390C"/>
    <w:rsid w:val="00857153"/>
    <w:rsid w:val="00860687"/>
    <w:rsid w:val="00862668"/>
    <w:rsid w:val="00862AAF"/>
    <w:rsid w:val="00863C4C"/>
    <w:rsid w:val="00864DA1"/>
    <w:rsid w:val="00865BE0"/>
    <w:rsid w:val="0086682D"/>
    <w:rsid w:val="00866950"/>
    <w:rsid w:val="008712AB"/>
    <w:rsid w:val="008716E6"/>
    <w:rsid w:val="00871BCE"/>
    <w:rsid w:val="00872A1E"/>
    <w:rsid w:val="00872DE5"/>
    <w:rsid w:val="0087312D"/>
    <w:rsid w:val="00874506"/>
    <w:rsid w:val="00876660"/>
    <w:rsid w:val="00880623"/>
    <w:rsid w:val="00881803"/>
    <w:rsid w:val="00881B82"/>
    <w:rsid w:val="0088292C"/>
    <w:rsid w:val="00882D55"/>
    <w:rsid w:val="00883338"/>
    <w:rsid w:val="008836FD"/>
    <w:rsid w:val="008848D9"/>
    <w:rsid w:val="008864C1"/>
    <w:rsid w:val="00886E39"/>
    <w:rsid w:val="00887D0B"/>
    <w:rsid w:val="008918E6"/>
    <w:rsid w:val="00892168"/>
    <w:rsid w:val="0089463A"/>
    <w:rsid w:val="00895434"/>
    <w:rsid w:val="00895D98"/>
    <w:rsid w:val="00895EE3"/>
    <w:rsid w:val="00897A68"/>
    <w:rsid w:val="008A138F"/>
    <w:rsid w:val="008A1B5B"/>
    <w:rsid w:val="008A3005"/>
    <w:rsid w:val="008A38A2"/>
    <w:rsid w:val="008A43B0"/>
    <w:rsid w:val="008A5B02"/>
    <w:rsid w:val="008A69D3"/>
    <w:rsid w:val="008B12F7"/>
    <w:rsid w:val="008B215A"/>
    <w:rsid w:val="008B29FB"/>
    <w:rsid w:val="008B2E04"/>
    <w:rsid w:val="008B3E3D"/>
    <w:rsid w:val="008B433C"/>
    <w:rsid w:val="008B4F23"/>
    <w:rsid w:val="008B53F9"/>
    <w:rsid w:val="008B675A"/>
    <w:rsid w:val="008B6B17"/>
    <w:rsid w:val="008B71D8"/>
    <w:rsid w:val="008B771C"/>
    <w:rsid w:val="008B7E7F"/>
    <w:rsid w:val="008B7F23"/>
    <w:rsid w:val="008C0A14"/>
    <w:rsid w:val="008C0EDE"/>
    <w:rsid w:val="008C15F4"/>
    <w:rsid w:val="008C21E3"/>
    <w:rsid w:val="008C2286"/>
    <w:rsid w:val="008C25A6"/>
    <w:rsid w:val="008C2D7A"/>
    <w:rsid w:val="008C3961"/>
    <w:rsid w:val="008C396B"/>
    <w:rsid w:val="008C44CB"/>
    <w:rsid w:val="008C4752"/>
    <w:rsid w:val="008C4E68"/>
    <w:rsid w:val="008C5BB2"/>
    <w:rsid w:val="008C6088"/>
    <w:rsid w:val="008C711E"/>
    <w:rsid w:val="008C77C3"/>
    <w:rsid w:val="008D0013"/>
    <w:rsid w:val="008D055D"/>
    <w:rsid w:val="008D08B9"/>
    <w:rsid w:val="008D1CA5"/>
    <w:rsid w:val="008D1E4A"/>
    <w:rsid w:val="008D20E7"/>
    <w:rsid w:val="008D23C2"/>
    <w:rsid w:val="008D31E8"/>
    <w:rsid w:val="008D3C0E"/>
    <w:rsid w:val="008D5146"/>
    <w:rsid w:val="008D5321"/>
    <w:rsid w:val="008D65B0"/>
    <w:rsid w:val="008D65D9"/>
    <w:rsid w:val="008D7F56"/>
    <w:rsid w:val="008E016C"/>
    <w:rsid w:val="008E124C"/>
    <w:rsid w:val="008E1338"/>
    <w:rsid w:val="008E15CD"/>
    <w:rsid w:val="008E2AF5"/>
    <w:rsid w:val="008E340A"/>
    <w:rsid w:val="008E47E4"/>
    <w:rsid w:val="008E6534"/>
    <w:rsid w:val="008E67B0"/>
    <w:rsid w:val="008F06FE"/>
    <w:rsid w:val="008F1CA1"/>
    <w:rsid w:val="008F218A"/>
    <w:rsid w:val="008F2AD2"/>
    <w:rsid w:val="008F3754"/>
    <w:rsid w:val="008F3BA3"/>
    <w:rsid w:val="008F4B40"/>
    <w:rsid w:val="008F5E65"/>
    <w:rsid w:val="008F7097"/>
    <w:rsid w:val="008F7283"/>
    <w:rsid w:val="008F745C"/>
    <w:rsid w:val="0090052A"/>
    <w:rsid w:val="00900D33"/>
    <w:rsid w:val="009038B2"/>
    <w:rsid w:val="00903FBE"/>
    <w:rsid w:val="009041B6"/>
    <w:rsid w:val="00904AED"/>
    <w:rsid w:val="00904DC1"/>
    <w:rsid w:val="00906DA6"/>
    <w:rsid w:val="00906EB3"/>
    <w:rsid w:val="009118F3"/>
    <w:rsid w:val="00912146"/>
    <w:rsid w:val="00913BAC"/>
    <w:rsid w:val="00915828"/>
    <w:rsid w:val="00916328"/>
    <w:rsid w:val="00916A6E"/>
    <w:rsid w:val="00916C86"/>
    <w:rsid w:val="009175C2"/>
    <w:rsid w:val="00922373"/>
    <w:rsid w:val="00922A04"/>
    <w:rsid w:val="00922A36"/>
    <w:rsid w:val="009245A2"/>
    <w:rsid w:val="009264D2"/>
    <w:rsid w:val="00927FB6"/>
    <w:rsid w:val="00931D2A"/>
    <w:rsid w:val="009334CE"/>
    <w:rsid w:val="0093489E"/>
    <w:rsid w:val="00934ADF"/>
    <w:rsid w:val="00937A7A"/>
    <w:rsid w:val="00940649"/>
    <w:rsid w:val="009414F0"/>
    <w:rsid w:val="00941E16"/>
    <w:rsid w:val="00942288"/>
    <w:rsid w:val="00942D84"/>
    <w:rsid w:val="009442DD"/>
    <w:rsid w:val="00945F82"/>
    <w:rsid w:val="00947887"/>
    <w:rsid w:val="00950831"/>
    <w:rsid w:val="00950932"/>
    <w:rsid w:val="00950B4D"/>
    <w:rsid w:val="009510C9"/>
    <w:rsid w:val="009512C4"/>
    <w:rsid w:val="00951FF2"/>
    <w:rsid w:val="0095269A"/>
    <w:rsid w:val="00953813"/>
    <w:rsid w:val="009539A6"/>
    <w:rsid w:val="00953C6F"/>
    <w:rsid w:val="0095409D"/>
    <w:rsid w:val="00954292"/>
    <w:rsid w:val="00954616"/>
    <w:rsid w:val="009549C2"/>
    <w:rsid w:val="009551B0"/>
    <w:rsid w:val="00955764"/>
    <w:rsid w:val="00955C2F"/>
    <w:rsid w:val="00956093"/>
    <w:rsid w:val="00956A5F"/>
    <w:rsid w:val="00956D2A"/>
    <w:rsid w:val="00957875"/>
    <w:rsid w:val="00957E77"/>
    <w:rsid w:val="009603C7"/>
    <w:rsid w:val="00961891"/>
    <w:rsid w:val="009637F4"/>
    <w:rsid w:val="009653D3"/>
    <w:rsid w:val="0097012B"/>
    <w:rsid w:val="00970354"/>
    <w:rsid w:val="009712DD"/>
    <w:rsid w:val="00971BA0"/>
    <w:rsid w:val="00972411"/>
    <w:rsid w:val="009728DB"/>
    <w:rsid w:val="00972BAE"/>
    <w:rsid w:val="00973F67"/>
    <w:rsid w:val="009746AC"/>
    <w:rsid w:val="00974B33"/>
    <w:rsid w:val="0097537B"/>
    <w:rsid w:val="00976944"/>
    <w:rsid w:val="009773C1"/>
    <w:rsid w:val="0097765C"/>
    <w:rsid w:val="00977C95"/>
    <w:rsid w:val="00980389"/>
    <w:rsid w:val="009812EE"/>
    <w:rsid w:val="0098211D"/>
    <w:rsid w:val="00982257"/>
    <w:rsid w:val="00982664"/>
    <w:rsid w:val="0098310D"/>
    <w:rsid w:val="00984985"/>
    <w:rsid w:val="009849C9"/>
    <w:rsid w:val="00985078"/>
    <w:rsid w:val="00985A31"/>
    <w:rsid w:val="00985AAE"/>
    <w:rsid w:val="0098689A"/>
    <w:rsid w:val="00990456"/>
    <w:rsid w:val="00994436"/>
    <w:rsid w:val="00994692"/>
    <w:rsid w:val="00994BAB"/>
    <w:rsid w:val="00995A3F"/>
    <w:rsid w:val="009965EA"/>
    <w:rsid w:val="00996731"/>
    <w:rsid w:val="00996D72"/>
    <w:rsid w:val="00996E87"/>
    <w:rsid w:val="009979F3"/>
    <w:rsid w:val="009A15DC"/>
    <w:rsid w:val="009A16D0"/>
    <w:rsid w:val="009A1722"/>
    <w:rsid w:val="009A63DE"/>
    <w:rsid w:val="009A723E"/>
    <w:rsid w:val="009B03A0"/>
    <w:rsid w:val="009B1A16"/>
    <w:rsid w:val="009B26C4"/>
    <w:rsid w:val="009B392A"/>
    <w:rsid w:val="009B4D04"/>
    <w:rsid w:val="009B55AE"/>
    <w:rsid w:val="009B5896"/>
    <w:rsid w:val="009B6959"/>
    <w:rsid w:val="009B6D45"/>
    <w:rsid w:val="009B6F97"/>
    <w:rsid w:val="009B7010"/>
    <w:rsid w:val="009B70B4"/>
    <w:rsid w:val="009B7FF6"/>
    <w:rsid w:val="009C1940"/>
    <w:rsid w:val="009C2A06"/>
    <w:rsid w:val="009C325D"/>
    <w:rsid w:val="009C3276"/>
    <w:rsid w:val="009C3955"/>
    <w:rsid w:val="009C3B8E"/>
    <w:rsid w:val="009C4A6B"/>
    <w:rsid w:val="009C4DAD"/>
    <w:rsid w:val="009C4F68"/>
    <w:rsid w:val="009C5059"/>
    <w:rsid w:val="009C5F27"/>
    <w:rsid w:val="009C6CBF"/>
    <w:rsid w:val="009D07EC"/>
    <w:rsid w:val="009D1CF4"/>
    <w:rsid w:val="009D2186"/>
    <w:rsid w:val="009D33CB"/>
    <w:rsid w:val="009D3797"/>
    <w:rsid w:val="009D3D39"/>
    <w:rsid w:val="009D5BE0"/>
    <w:rsid w:val="009D6863"/>
    <w:rsid w:val="009D6990"/>
    <w:rsid w:val="009E224D"/>
    <w:rsid w:val="009E349C"/>
    <w:rsid w:val="009E436C"/>
    <w:rsid w:val="009E4815"/>
    <w:rsid w:val="009E4A1A"/>
    <w:rsid w:val="009E4F26"/>
    <w:rsid w:val="009E57EA"/>
    <w:rsid w:val="009E6477"/>
    <w:rsid w:val="009F0058"/>
    <w:rsid w:val="009F0D8E"/>
    <w:rsid w:val="009F0F7E"/>
    <w:rsid w:val="009F5B17"/>
    <w:rsid w:val="00A00AD2"/>
    <w:rsid w:val="00A00E6F"/>
    <w:rsid w:val="00A011A0"/>
    <w:rsid w:val="00A02CDA"/>
    <w:rsid w:val="00A030CF"/>
    <w:rsid w:val="00A033A6"/>
    <w:rsid w:val="00A03984"/>
    <w:rsid w:val="00A03ADE"/>
    <w:rsid w:val="00A03B49"/>
    <w:rsid w:val="00A03D7E"/>
    <w:rsid w:val="00A049C4"/>
    <w:rsid w:val="00A04FC3"/>
    <w:rsid w:val="00A05067"/>
    <w:rsid w:val="00A067AC"/>
    <w:rsid w:val="00A1034D"/>
    <w:rsid w:val="00A10EFB"/>
    <w:rsid w:val="00A11372"/>
    <w:rsid w:val="00A135B9"/>
    <w:rsid w:val="00A142A4"/>
    <w:rsid w:val="00A146FE"/>
    <w:rsid w:val="00A15014"/>
    <w:rsid w:val="00A15E2A"/>
    <w:rsid w:val="00A16A86"/>
    <w:rsid w:val="00A16B0C"/>
    <w:rsid w:val="00A20122"/>
    <w:rsid w:val="00A20493"/>
    <w:rsid w:val="00A22524"/>
    <w:rsid w:val="00A22A69"/>
    <w:rsid w:val="00A23695"/>
    <w:rsid w:val="00A238D4"/>
    <w:rsid w:val="00A24497"/>
    <w:rsid w:val="00A25953"/>
    <w:rsid w:val="00A25BEB"/>
    <w:rsid w:val="00A26906"/>
    <w:rsid w:val="00A27562"/>
    <w:rsid w:val="00A27FA1"/>
    <w:rsid w:val="00A31428"/>
    <w:rsid w:val="00A319E1"/>
    <w:rsid w:val="00A3388E"/>
    <w:rsid w:val="00A33B5D"/>
    <w:rsid w:val="00A34E14"/>
    <w:rsid w:val="00A34F08"/>
    <w:rsid w:val="00A3516E"/>
    <w:rsid w:val="00A3540B"/>
    <w:rsid w:val="00A35BC8"/>
    <w:rsid w:val="00A36467"/>
    <w:rsid w:val="00A367FA"/>
    <w:rsid w:val="00A37ECD"/>
    <w:rsid w:val="00A40FD9"/>
    <w:rsid w:val="00A41EB0"/>
    <w:rsid w:val="00A42D62"/>
    <w:rsid w:val="00A42FC9"/>
    <w:rsid w:val="00A43251"/>
    <w:rsid w:val="00A432F5"/>
    <w:rsid w:val="00A4337E"/>
    <w:rsid w:val="00A44DD3"/>
    <w:rsid w:val="00A4512D"/>
    <w:rsid w:val="00A454F6"/>
    <w:rsid w:val="00A4576B"/>
    <w:rsid w:val="00A45BE8"/>
    <w:rsid w:val="00A46EC6"/>
    <w:rsid w:val="00A4795D"/>
    <w:rsid w:val="00A50506"/>
    <w:rsid w:val="00A50688"/>
    <w:rsid w:val="00A50C82"/>
    <w:rsid w:val="00A51A12"/>
    <w:rsid w:val="00A52005"/>
    <w:rsid w:val="00A52CBA"/>
    <w:rsid w:val="00A53196"/>
    <w:rsid w:val="00A53AAB"/>
    <w:rsid w:val="00A54B4E"/>
    <w:rsid w:val="00A5593B"/>
    <w:rsid w:val="00A56A6A"/>
    <w:rsid w:val="00A57C98"/>
    <w:rsid w:val="00A57D8E"/>
    <w:rsid w:val="00A6006D"/>
    <w:rsid w:val="00A605E6"/>
    <w:rsid w:val="00A61181"/>
    <w:rsid w:val="00A64CD3"/>
    <w:rsid w:val="00A65052"/>
    <w:rsid w:val="00A65D71"/>
    <w:rsid w:val="00A65E0D"/>
    <w:rsid w:val="00A674F5"/>
    <w:rsid w:val="00A705AF"/>
    <w:rsid w:val="00A73548"/>
    <w:rsid w:val="00A738D1"/>
    <w:rsid w:val="00A74040"/>
    <w:rsid w:val="00A74FC0"/>
    <w:rsid w:val="00A75E5A"/>
    <w:rsid w:val="00A75EE3"/>
    <w:rsid w:val="00A77CFB"/>
    <w:rsid w:val="00A8019F"/>
    <w:rsid w:val="00A80D4D"/>
    <w:rsid w:val="00A81B43"/>
    <w:rsid w:val="00A82405"/>
    <w:rsid w:val="00A82B2E"/>
    <w:rsid w:val="00A82F55"/>
    <w:rsid w:val="00A844AD"/>
    <w:rsid w:val="00A84AEF"/>
    <w:rsid w:val="00A84CB1"/>
    <w:rsid w:val="00A85997"/>
    <w:rsid w:val="00A861E0"/>
    <w:rsid w:val="00A86E34"/>
    <w:rsid w:val="00A87249"/>
    <w:rsid w:val="00A9065B"/>
    <w:rsid w:val="00A909D0"/>
    <w:rsid w:val="00A90C43"/>
    <w:rsid w:val="00A90FCA"/>
    <w:rsid w:val="00A939F5"/>
    <w:rsid w:val="00A93C70"/>
    <w:rsid w:val="00A94726"/>
    <w:rsid w:val="00A94F3F"/>
    <w:rsid w:val="00A9588B"/>
    <w:rsid w:val="00A958A0"/>
    <w:rsid w:val="00A95E6F"/>
    <w:rsid w:val="00A9681B"/>
    <w:rsid w:val="00A96BCF"/>
    <w:rsid w:val="00A96C29"/>
    <w:rsid w:val="00A96E5B"/>
    <w:rsid w:val="00A97A94"/>
    <w:rsid w:val="00AA12F7"/>
    <w:rsid w:val="00AA17C0"/>
    <w:rsid w:val="00AA24BD"/>
    <w:rsid w:val="00AA3B90"/>
    <w:rsid w:val="00AA4E4C"/>
    <w:rsid w:val="00AB0094"/>
    <w:rsid w:val="00AB1CF9"/>
    <w:rsid w:val="00AB23A2"/>
    <w:rsid w:val="00AB2DB0"/>
    <w:rsid w:val="00AB61A8"/>
    <w:rsid w:val="00AB6D62"/>
    <w:rsid w:val="00AB761E"/>
    <w:rsid w:val="00AB7CF7"/>
    <w:rsid w:val="00AC02D7"/>
    <w:rsid w:val="00AC0D1C"/>
    <w:rsid w:val="00AC13EF"/>
    <w:rsid w:val="00AC26B2"/>
    <w:rsid w:val="00AC2CCB"/>
    <w:rsid w:val="00AC409E"/>
    <w:rsid w:val="00AC41A6"/>
    <w:rsid w:val="00AC7519"/>
    <w:rsid w:val="00AC7C5E"/>
    <w:rsid w:val="00AC7EE4"/>
    <w:rsid w:val="00AD6F07"/>
    <w:rsid w:val="00AE2198"/>
    <w:rsid w:val="00AE2205"/>
    <w:rsid w:val="00AE496B"/>
    <w:rsid w:val="00AE4ED9"/>
    <w:rsid w:val="00AE67DD"/>
    <w:rsid w:val="00AE79B2"/>
    <w:rsid w:val="00AE7AFD"/>
    <w:rsid w:val="00AF1160"/>
    <w:rsid w:val="00AF1E3A"/>
    <w:rsid w:val="00AF32BA"/>
    <w:rsid w:val="00AF4E31"/>
    <w:rsid w:val="00AF55FC"/>
    <w:rsid w:val="00AF5E1F"/>
    <w:rsid w:val="00AF61DB"/>
    <w:rsid w:val="00AF63BA"/>
    <w:rsid w:val="00AF6C7F"/>
    <w:rsid w:val="00AF762D"/>
    <w:rsid w:val="00B0027E"/>
    <w:rsid w:val="00B0101C"/>
    <w:rsid w:val="00B0270B"/>
    <w:rsid w:val="00B037A9"/>
    <w:rsid w:val="00B03982"/>
    <w:rsid w:val="00B03FD3"/>
    <w:rsid w:val="00B04A7B"/>
    <w:rsid w:val="00B04E4B"/>
    <w:rsid w:val="00B061ED"/>
    <w:rsid w:val="00B06575"/>
    <w:rsid w:val="00B06F8F"/>
    <w:rsid w:val="00B07F3E"/>
    <w:rsid w:val="00B108B4"/>
    <w:rsid w:val="00B10BD9"/>
    <w:rsid w:val="00B10DF3"/>
    <w:rsid w:val="00B111E7"/>
    <w:rsid w:val="00B12388"/>
    <w:rsid w:val="00B12FB8"/>
    <w:rsid w:val="00B131A0"/>
    <w:rsid w:val="00B13BE8"/>
    <w:rsid w:val="00B13F57"/>
    <w:rsid w:val="00B13FBA"/>
    <w:rsid w:val="00B159EE"/>
    <w:rsid w:val="00B17069"/>
    <w:rsid w:val="00B17A64"/>
    <w:rsid w:val="00B22BE5"/>
    <w:rsid w:val="00B23C26"/>
    <w:rsid w:val="00B25492"/>
    <w:rsid w:val="00B269D8"/>
    <w:rsid w:val="00B26B10"/>
    <w:rsid w:val="00B26BA3"/>
    <w:rsid w:val="00B27606"/>
    <w:rsid w:val="00B276FF"/>
    <w:rsid w:val="00B3144A"/>
    <w:rsid w:val="00B31A79"/>
    <w:rsid w:val="00B32AC9"/>
    <w:rsid w:val="00B32EFB"/>
    <w:rsid w:val="00B33845"/>
    <w:rsid w:val="00B338A4"/>
    <w:rsid w:val="00B33E93"/>
    <w:rsid w:val="00B346EE"/>
    <w:rsid w:val="00B37177"/>
    <w:rsid w:val="00B4019E"/>
    <w:rsid w:val="00B40608"/>
    <w:rsid w:val="00B41C67"/>
    <w:rsid w:val="00B4258D"/>
    <w:rsid w:val="00B42851"/>
    <w:rsid w:val="00B433AE"/>
    <w:rsid w:val="00B43D5E"/>
    <w:rsid w:val="00B44035"/>
    <w:rsid w:val="00B4404A"/>
    <w:rsid w:val="00B444EA"/>
    <w:rsid w:val="00B44D3C"/>
    <w:rsid w:val="00B45F99"/>
    <w:rsid w:val="00B47884"/>
    <w:rsid w:val="00B47983"/>
    <w:rsid w:val="00B47E72"/>
    <w:rsid w:val="00B51304"/>
    <w:rsid w:val="00B5325D"/>
    <w:rsid w:val="00B53621"/>
    <w:rsid w:val="00B579D1"/>
    <w:rsid w:val="00B589B6"/>
    <w:rsid w:val="00B602D1"/>
    <w:rsid w:val="00B61D4C"/>
    <w:rsid w:val="00B6219E"/>
    <w:rsid w:val="00B622A4"/>
    <w:rsid w:val="00B622BC"/>
    <w:rsid w:val="00B640FD"/>
    <w:rsid w:val="00B65A45"/>
    <w:rsid w:val="00B67080"/>
    <w:rsid w:val="00B6749F"/>
    <w:rsid w:val="00B7158A"/>
    <w:rsid w:val="00B715CA"/>
    <w:rsid w:val="00B717B8"/>
    <w:rsid w:val="00B71B4F"/>
    <w:rsid w:val="00B724C3"/>
    <w:rsid w:val="00B731E7"/>
    <w:rsid w:val="00B73500"/>
    <w:rsid w:val="00B73EF1"/>
    <w:rsid w:val="00B74906"/>
    <w:rsid w:val="00B7532E"/>
    <w:rsid w:val="00B76B3F"/>
    <w:rsid w:val="00B804B7"/>
    <w:rsid w:val="00B808EA"/>
    <w:rsid w:val="00B81F1C"/>
    <w:rsid w:val="00B8248F"/>
    <w:rsid w:val="00B831BA"/>
    <w:rsid w:val="00B83360"/>
    <w:rsid w:val="00B871FC"/>
    <w:rsid w:val="00B90063"/>
    <w:rsid w:val="00B914B2"/>
    <w:rsid w:val="00B9157E"/>
    <w:rsid w:val="00B92B51"/>
    <w:rsid w:val="00B940B5"/>
    <w:rsid w:val="00B941A2"/>
    <w:rsid w:val="00B9483A"/>
    <w:rsid w:val="00B94CC3"/>
    <w:rsid w:val="00B955EC"/>
    <w:rsid w:val="00B963C0"/>
    <w:rsid w:val="00B96453"/>
    <w:rsid w:val="00B965D4"/>
    <w:rsid w:val="00B9675E"/>
    <w:rsid w:val="00BA3121"/>
    <w:rsid w:val="00BA3B5A"/>
    <w:rsid w:val="00BA3C33"/>
    <w:rsid w:val="00BA4232"/>
    <w:rsid w:val="00BA464E"/>
    <w:rsid w:val="00BA48D5"/>
    <w:rsid w:val="00BA52A9"/>
    <w:rsid w:val="00BA5E2C"/>
    <w:rsid w:val="00BA6EA5"/>
    <w:rsid w:val="00BA736E"/>
    <w:rsid w:val="00BB1B38"/>
    <w:rsid w:val="00BB1E84"/>
    <w:rsid w:val="00BB1FC0"/>
    <w:rsid w:val="00BB22E7"/>
    <w:rsid w:val="00BB2BA9"/>
    <w:rsid w:val="00BB2E68"/>
    <w:rsid w:val="00BB30BC"/>
    <w:rsid w:val="00BB6920"/>
    <w:rsid w:val="00BB71C5"/>
    <w:rsid w:val="00BB7A05"/>
    <w:rsid w:val="00BC18BC"/>
    <w:rsid w:val="00BC1AF9"/>
    <w:rsid w:val="00BC2D7E"/>
    <w:rsid w:val="00BC2EE2"/>
    <w:rsid w:val="00BC3B51"/>
    <w:rsid w:val="00BC54D9"/>
    <w:rsid w:val="00BC58E6"/>
    <w:rsid w:val="00BC6BC7"/>
    <w:rsid w:val="00BD059E"/>
    <w:rsid w:val="00BD3A6F"/>
    <w:rsid w:val="00BD3FD4"/>
    <w:rsid w:val="00BD49F2"/>
    <w:rsid w:val="00BD4B43"/>
    <w:rsid w:val="00BD613C"/>
    <w:rsid w:val="00BE08F2"/>
    <w:rsid w:val="00BE1052"/>
    <w:rsid w:val="00BE298F"/>
    <w:rsid w:val="00BE354E"/>
    <w:rsid w:val="00BE402C"/>
    <w:rsid w:val="00BE490A"/>
    <w:rsid w:val="00BE5F81"/>
    <w:rsid w:val="00BE62F7"/>
    <w:rsid w:val="00BE6307"/>
    <w:rsid w:val="00BE6C5F"/>
    <w:rsid w:val="00BE7B72"/>
    <w:rsid w:val="00BF032F"/>
    <w:rsid w:val="00BF04CF"/>
    <w:rsid w:val="00BF04EC"/>
    <w:rsid w:val="00BF07E2"/>
    <w:rsid w:val="00BF09D7"/>
    <w:rsid w:val="00BF1402"/>
    <w:rsid w:val="00BF30D9"/>
    <w:rsid w:val="00BF3643"/>
    <w:rsid w:val="00BF476F"/>
    <w:rsid w:val="00BF4EF8"/>
    <w:rsid w:val="00BF53A6"/>
    <w:rsid w:val="00BF5E6B"/>
    <w:rsid w:val="00C00289"/>
    <w:rsid w:val="00C01C36"/>
    <w:rsid w:val="00C01D43"/>
    <w:rsid w:val="00C036E1"/>
    <w:rsid w:val="00C03E97"/>
    <w:rsid w:val="00C0410C"/>
    <w:rsid w:val="00C04182"/>
    <w:rsid w:val="00C04506"/>
    <w:rsid w:val="00C04DE7"/>
    <w:rsid w:val="00C05231"/>
    <w:rsid w:val="00C05A0E"/>
    <w:rsid w:val="00C05A4D"/>
    <w:rsid w:val="00C06D1E"/>
    <w:rsid w:val="00C07A94"/>
    <w:rsid w:val="00C104BF"/>
    <w:rsid w:val="00C107BB"/>
    <w:rsid w:val="00C12113"/>
    <w:rsid w:val="00C126B2"/>
    <w:rsid w:val="00C13753"/>
    <w:rsid w:val="00C14AC8"/>
    <w:rsid w:val="00C150C2"/>
    <w:rsid w:val="00C166C9"/>
    <w:rsid w:val="00C176C8"/>
    <w:rsid w:val="00C20DE6"/>
    <w:rsid w:val="00C21C9F"/>
    <w:rsid w:val="00C2203F"/>
    <w:rsid w:val="00C2216F"/>
    <w:rsid w:val="00C229D2"/>
    <w:rsid w:val="00C247C1"/>
    <w:rsid w:val="00C2523A"/>
    <w:rsid w:val="00C2728E"/>
    <w:rsid w:val="00C27650"/>
    <w:rsid w:val="00C2776E"/>
    <w:rsid w:val="00C30E97"/>
    <w:rsid w:val="00C327B5"/>
    <w:rsid w:val="00C32F4C"/>
    <w:rsid w:val="00C350DD"/>
    <w:rsid w:val="00C3663A"/>
    <w:rsid w:val="00C3671A"/>
    <w:rsid w:val="00C3771A"/>
    <w:rsid w:val="00C40F64"/>
    <w:rsid w:val="00C4105A"/>
    <w:rsid w:val="00C427B2"/>
    <w:rsid w:val="00C42A53"/>
    <w:rsid w:val="00C42C46"/>
    <w:rsid w:val="00C43442"/>
    <w:rsid w:val="00C43540"/>
    <w:rsid w:val="00C439E8"/>
    <w:rsid w:val="00C43E82"/>
    <w:rsid w:val="00C44462"/>
    <w:rsid w:val="00C44FAD"/>
    <w:rsid w:val="00C46EC4"/>
    <w:rsid w:val="00C472EC"/>
    <w:rsid w:val="00C5061D"/>
    <w:rsid w:val="00C51D34"/>
    <w:rsid w:val="00C52606"/>
    <w:rsid w:val="00C54A37"/>
    <w:rsid w:val="00C54B8D"/>
    <w:rsid w:val="00C550DB"/>
    <w:rsid w:val="00C5573D"/>
    <w:rsid w:val="00C55A84"/>
    <w:rsid w:val="00C5653A"/>
    <w:rsid w:val="00C57E80"/>
    <w:rsid w:val="00C6062D"/>
    <w:rsid w:val="00C61AC8"/>
    <w:rsid w:val="00C63847"/>
    <w:rsid w:val="00C63CF3"/>
    <w:rsid w:val="00C64E53"/>
    <w:rsid w:val="00C6618D"/>
    <w:rsid w:val="00C66338"/>
    <w:rsid w:val="00C6685B"/>
    <w:rsid w:val="00C668DD"/>
    <w:rsid w:val="00C66E60"/>
    <w:rsid w:val="00C67244"/>
    <w:rsid w:val="00C677AA"/>
    <w:rsid w:val="00C67E68"/>
    <w:rsid w:val="00C6AAD9"/>
    <w:rsid w:val="00C705EE"/>
    <w:rsid w:val="00C715FD"/>
    <w:rsid w:val="00C71BDF"/>
    <w:rsid w:val="00C725D7"/>
    <w:rsid w:val="00C73412"/>
    <w:rsid w:val="00C73A6C"/>
    <w:rsid w:val="00C7433C"/>
    <w:rsid w:val="00C747A7"/>
    <w:rsid w:val="00C74A69"/>
    <w:rsid w:val="00C75F01"/>
    <w:rsid w:val="00C75FCC"/>
    <w:rsid w:val="00C76B09"/>
    <w:rsid w:val="00C8272F"/>
    <w:rsid w:val="00C828C4"/>
    <w:rsid w:val="00C832A9"/>
    <w:rsid w:val="00C838A5"/>
    <w:rsid w:val="00C841A1"/>
    <w:rsid w:val="00C84F7D"/>
    <w:rsid w:val="00C85080"/>
    <w:rsid w:val="00C87314"/>
    <w:rsid w:val="00C87E49"/>
    <w:rsid w:val="00C91313"/>
    <w:rsid w:val="00C919CF"/>
    <w:rsid w:val="00C92175"/>
    <w:rsid w:val="00C927A4"/>
    <w:rsid w:val="00C930F0"/>
    <w:rsid w:val="00C948C9"/>
    <w:rsid w:val="00C956CD"/>
    <w:rsid w:val="00C95B60"/>
    <w:rsid w:val="00C975E9"/>
    <w:rsid w:val="00C97633"/>
    <w:rsid w:val="00C97C2E"/>
    <w:rsid w:val="00CA0A77"/>
    <w:rsid w:val="00CA3050"/>
    <w:rsid w:val="00CA3FB8"/>
    <w:rsid w:val="00CA49A9"/>
    <w:rsid w:val="00CA4A62"/>
    <w:rsid w:val="00CA5D3A"/>
    <w:rsid w:val="00CA631C"/>
    <w:rsid w:val="00CA6AEB"/>
    <w:rsid w:val="00CA799D"/>
    <w:rsid w:val="00CB0462"/>
    <w:rsid w:val="00CB13AC"/>
    <w:rsid w:val="00CB18DF"/>
    <w:rsid w:val="00CB1ED8"/>
    <w:rsid w:val="00CB3A8C"/>
    <w:rsid w:val="00CB3F7D"/>
    <w:rsid w:val="00CB4A56"/>
    <w:rsid w:val="00CB4CBC"/>
    <w:rsid w:val="00CB587B"/>
    <w:rsid w:val="00CB5983"/>
    <w:rsid w:val="00CB5B1A"/>
    <w:rsid w:val="00CB6460"/>
    <w:rsid w:val="00CB7D05"/>
    <w:rsid w:val="00CC44C8"/>
    <w:rsid w:val="00CC4F29"/>
    <w:rsid w:val="00CC6319"/>
    <w:rsid w:val="00CC6B69"/>
    <w:rsid w:val="00CC6C56"/>
    <w:rsid w:val="00CC707A"/>
    <w:rsid w:val="00CC7C59"/>
    <w:rsid w:val="00CC7F46"/>
    <w:rsid w:val="00CC7F88"/>
    <w:rsid w:val="00CD063E"/>
    <w:rsid w:val="00CD28C5"/>
    <w:rsid w:val="00CD2A12"/>
    <w:rsid w:val="00CD3418"/>
    <w:rsid w:val="00CD4328"/>
    <w:rsid w:val="00CD4B4B"/>
    <w:rsid w:val="00CD4F78"/>
    <w:rsid w:val="00CD6093"/>
    <w:rsid w:val="00CD7B36"/>
    <w:rsid w:val="00CD7D5F"/>
    <w:rsid w:val="00CE05EC"/>
    <w:rsid w:val="00CE09B3"/>
    <w:rsid w:val="00CE1296"/>
    <w:rsid w:val="00CE1A9D"/>
    <w:rsid w:val="00CE1CA8"/>
    <w:rsid w:val="00CE27B5"/>
    <w:rsid w:val="00CE349B"/>
    <w:rsid w:val="00CE37FA"/>
    <w:rsid w:val="00CE3A5A"/>
    <w:rsid w:val="00CE3EF8"/>
    <w:rsid w:val="00CE47AA"/>
    <w:rsid w:val="00CE4AE0"/>
    <w:rsid w:val="00CE4DFC"/>
    <w:rsid w:val="00CE5B49"/>
    <w:rsid w:val="00CE5BB5"/>
    <w:rsid w:val="00CE5EB8"/>
    <w:rsid w:val="00CE6149"/>
    <w:rsid w:val="00CE688E"/>
    <w:rsid w:val="00CE6B71"/>
    <w:rsid w:val="00CE7B0D"/>
    <w:rsid w:val="00CE7D03"/>
    <w:rsid w:val="00CF10E5"/>
    <w:rsid w:val="00CF15E2"/>
    <w:rsid w:val="00CF2587"/>
    <w:rsid w:val="00CF28E4"/>
    <w:rsid w:val="00CF2B25"/>
    <w:rsid w:val="00CF30C0"/>
    <w:rsid w:val="00CF332C"/>
    <w:rsid w:val="00CF3ADC"/>
    <w:rsid w:val="00CF4199"/>
    <w:rsid w:val="00CF4552"/>
    <w:rsid w:val="00CF6339"/>
    <w:rsid w:val="00CF6611"/>
    <w:rsid w:val="00CF6696"/>
    <w:rsid w:val="00CF696C"/>
    <w:rsid w:val="00CF7843"/>
    <w:rsid w:val="00D00A3B"/>
    <w:rsid w:val="00D00F18"/>
    <w:rsid w:val="00D0125C"/>
    <w:rsid w:val="00D017A7"/>
    <w:rsid w:val="00D01DEC"/>
    <w:rsid w:val="00D02661"/>
    <w:rsid w:val="00D02B7D"/>
    <w:rsid w:val="00D02BB1"/>
    <w:rsid w:val="00D02C3B"/>
    <w:rsid w:val="00D0345B"/>
    <w:rsid w:val="00D04463"/>
    <w:rsid w:val="00D04D3C"/>
    <w:rsid w:val="00D0545F"/>
    <w:rsid w:val="00D056EF"/>
    <w:rsid w:val="00D05838"/>
    <w:rsid w:val="00D071CE"/>
    <w:rsid w:val="00D0767E"/>
    <w:rsid w:val="00D11ADB"/>
    <w:rsid w:val="00D11B69"/>
    <w:rsid w:val="00D124A8"/>
    <w:rsid w:val="00D13637"/>
    <w:rsid w:val="00D14B57"/>
    <w:rsid w:val="00D15F64"/>
    <w:rsid w:val="00D1695B"/>
    <w:rsid w:val="00D1721F"/>
    <w:rsid w:val="00D17D8D"/>
    <w:rsid w:val="00D20D3A"/>
    <w:rsid w:val="00D20F9C"/>
    <w:rsid w:val="00D21995"/>
    <w:rsid w:val="00D21B51"/>
    <w:rsid w:val="00D21C1A"/>
    <w:rsid w:val="00D21D48"/>
    <w:rsid w:val="00D223DC"/>
    <w:rsid w:val="00D2322F"/>
    <w:rsid w:val="00D23DEF"/>
    <w:rsid w:val="00D2620F"/>
    <w:rsid w:val="00D27515"/>
    <w:rsid w:val="00D27B4B"/>
    <w:rsid w:val="00D2E5D4"/>
    <w:rsid w:val="00D2F32E"/>
    <w:rsid w:val="00D3063A"/>
    <w:rsid w:val="00D32E8B"/>
    <w:rsid w:val="00D33709"/>
    <w:rsid w:val="00D339F4"/>
    <w:rsid w:val="00D33D9E"/>
    <w:rsid w:val="00D345EE"/>
    <w:rsid w:val="00D3463C"/>
    <w:rsid w:val="00D348AA"/>
    <w:rsid w:val="00D3520A"/>
    <w:rsid w:val="00D35D91"/>
    <w:rsid w:val="00D3783A"/>
    <w:rsid w:val="00D37901"/>
    <w:rsid w:val="00D407EE"/>
    <w:rsid w:val="00D415FC"/>
    <w:rsid w:val="00D42186"/>
    <w:rsid w:val="00D42707"/>
    <w:rsid w:val="00D42817"/>
    <w:rsid w:val="00D42E33"/>
    <w:rsid w:val="00D43CB8"/>
    <w:rsid w:val="00D43E97"/>
    <w:rsid w:val="00D44D9C"/>
    <w:rsid w:val="00D44E44"/>
    <w:rsid w:val="00D46E00"/>
    <w:rsid w:val="00D470F3"/>
    <w:rsid w:val="00D4740B"/>
    <w:rsid w:val="00D47A2B"/>
    <w:rsid w:val="00D50689"/>
    <w:rsid w:val="00D52587"/>
    <w:rsid w:val="00D54737"/>
    <w:rsid w:val="00D551CE"/>
    <w:rsid w:val="00D5554B"/>
    <w:rsid w:val="00D567F0"/>
    <w:rsid w:val="00D569BF"/>
    <w:rsid w:val="00D56FB2"/>
    <w:rsid w:val="00D57BC9"/>
    <w:rsid w:val="00D57FA0"/>
    <w:rsid w:val="00D607B3"/>
    <w:rsid w:val="00D61B12"/>
    <w:rsid w:val="00D6206E"/>
    <w:rsid w:val="00D62FA9"/>
    <w:rsid w:val="00D63938"/>
    <w:rsid w:val="00D648DD"/>
    <w:rsid w:val="00D64D9F"/>
    <w:rsid w:val="00D6574F"/>
    <w:rsid w:val="00D670AD"/>
    <w:rsid w:val="00D671DA"/>
    <w:rsid w:val="00D7021D"/>
    <w:rsid w:val="00D70DE6"/>
    <w:rsid w:val="00D721C4"/>
    <w:rsid w:val="00D73CFA"/>
    <w:rsid w:val="00D757BE"/>
    <w:rsid w:val="00D767BC"/>
    <w:rsid w:val="00D76E13"/>
    <w:rsid w:val="00D77072"/>
    <w:rsid w:val="00D776BF"/>
    <w:rsid w:val="00D779CF"/>
    <w:rsid w:val="00D77A8F"/>
    <w:rsid w:val="00D8048F"/>
    <w:rsid w:val="00D80DC1"/>
    <w:rsid w:val="00D820FC"/>
    <w:rsid w:val="00D8235F"/>
    <w:rsid w:val="00D82C08"/>
    <w:rsid w:val="00D8334F"/>
    <w:rsid w:val="00D83504"/>
    <w:rsid w:val="00D839C4"/>
    <w:rsid w:val="00D8402B"/>
    <w:rsid w:val="00D84736"/>
    <w:rsid w:val="00D84C0C"/>
    <w:rsid w:val="00D8766E"/>
    <w:rsid w:val="00D917E7"/>
    <w:rsid w:val="00D921C8"/>
    <w:rsid w:val="00D93D75"/>
    <w:rsid w:val="00D94CB9"/>
    <w:rsid w:val="00D96475"/>
    <w:rsid w:val="00D96756"/>
    <w:rsid w:val="00D97C81"/>
    <w:rsid w:val="00DA10B8"/>
    <w:rsid w:val="00DA1119"/>
    <w:rsid w:val="00DA1D50"/>
    <w:rsid w:val="00DA2AB2"/>
    <w:rsid w:val="00DA3403"/>
    <w:rsid w:val="00DA3567"/>
    <w:rsid w:val="00DA378E"/>
    <w:rsid w:val="00DA386B"/>
    <w:rsid w:val="00DA4A1F"/>
    <w:rsid w:val="00DA60D6"/>
    <w:rsid w:val="00DA6524"/>
    <w:rsid w:val="00DA6C23"/>
    <w:rsid w:val="00DA7997"/>
    <w:rsid w:val="00DB0233"/>
    <w:rsid w:val="00DB081B"/>
    <w:rsid w:val="00DB0C2C"/>
    <w:rsid w:val="00DB1841"/>
    <w:rsid w:val="00DB1DE6"/>
    <w:rsid w:val="00DB282F"/>
    <w:rsid w:val="00DB2E2F"/>
    <w:rsid w:val="00DB5548"/>
    <w:rsid w:val="00DB60C3"/>
    <w:rsid w:val="00DB6944"/>
    <w:rsid w:val="00DB6ECD"/>
    <w:rsid w:val="00DB70BB"/>
    <w:rsid w:val="00DB7DC6"/>
    <w:rsid w:val="00DC0C66"/>
    <w:rsid w:val="00DC1206"/>
    <w:rsid w:val="00DC19F7"/>
    <w:rsid w:val="00DC2676"/>
    <w:rsid w:val="00DC2A57"/>
    <w:rsid w:val="00DC430D"/>
    <w:rsid w:val="00DC554E"/>
    <w:rsid w:val="00DC6D68"/>
    <w:rsid w:val="00DC7300"/>
    <w:rsid w:val="00DC74E9"/>
    <w:rsid w:val="00DD0708"/>
    <w:rsid w:val="00DD0C01"/>
    <w:rsid w:val="00DD0C74"/>
    <w:rsid w:val="00DD18AB"/>
    <w:rsid w:val="00DD1BC6"/>
    <w:rsid w:val="00DD1C93"/>
    <w:rsid w:val="00DD1EB6"/>
    <w:rsid w:val="00DD1FAB"/>
    <w:rsid w:val="00DD385F"/>
    <w:rsid w:val="00DD3D5C"/>
    <w:rsid w:val="00DD4A3D"/>
    <w:rsid w:val="00DD51F3"/>
    <w:rsid w:val="00DD5296"/>
    <w:rsid w:val="00DD53FF"/>
    <w:rsid w:val="00DD59E2"/>
    <w:rsid w:val="00DD5DC9"/>
    <w:rsid w:val="00DD61BC"/>
    <w:rsid w:val="00DE1C5D"/>
    <w:rsid w:val="00DE24BA"/>
    <w:rsid w:val="00DE452A"/>
    <w:rsid w:val="00DE49BE"/>
    <w:rsid w:val="00DE53B0"/>
    <w:rsid w:val="00DE5F70"/>
    <w:rsid w:val="00DE60FB"/>
    <w:rsid w:val="00DE66ED"/>
    <w:rsid w:val="00DE69A8"/>
    <w:rsid w:val="00DE6D06"/>
    <w:rsid w:val="00DE7E23"/>
    <w:rsid w:val="00DF023E"/>
    <w:rsid w:val="00DF20BD"/>
    <w:rsid w:val="00DF250A"/>
    <w:rsid w:val="00DF31D3"/>
    <w:rsid w:val="00DF3986"/>
    <w:rsid w:val="00DF53E2"/>
    <w:rsid w:val="00DF5CB0"/>
    <w:rsid w:val="00DF5FF0"/>
    <w:rsid w:val="00DF6102"/>
    <w:rsid w:val="00DF6ABA"/>
    <w:rsid w:val="00DF7746"/>
    <w:rsid w:val="00DFD83F"/>
    <w:rsid w:val="00E020D4"/>
    <w:rsid w:val="00E024F1"/>
    <w:rsid w:val="00E0317A"/>
    <w:rsid w:val="00E0385A"/>
    <w:rsid w:val="00E05BBA"/>
    <w:rsid w:val="00E06202"/>
    <w:rsid w:val="00E0627A"/>
    <w:rsid w:val="00E06B39"/>
    <w:rsid w:val="00E06BA0"/>
    <w:rsid w:val="00E06D87"/>
    <w:rsid w:val="00E07D80"/>
    <w:rsid w:val="00E112FA"/>
    <w:rsid w:val="00E1143D"/>
    <w:rsid w:val="00E116F1"/>
    <w:rsid w:val="00E12F95"/>
    <w:rsid w:val="00E15685"/>
    <w:rsid w:val="00E16BB0"/>
    <w:rsid w:val="00E24CCA"/>
    <w:rsid w:val="00E251F0"/>
    <w:rsid w:val="00E25B50"/>
    <w:rsid w:val="00E25B5B"/>
    <w:rsid w:val="00E26075"/>
    <w:rsid w:val="00E266FD"/>
    <w:rsid w:val="00E269B3"/>
    <w:rsid w:val="00E26F7B"/>
    <w:rsid w:val="00E31024"/>
    <w:rsid w:val="00E3438F"/>
    <w:rsid w:val="00E35936"/>
    <w:rsid w:val="00E35AE5"/>
    <w:rsid w:val="00E35DB1"/>
    <w:rsid w:val="00E36622"/>
    <w:rsid w:val="00E36E45"/>
    <w:rsid w:val="00E37934"/>
    <w:rsid w:val="00E40053"/>
    <w:rsid w:val="00E414E4"/>
    <w:rsid w:val="00E4251E"/>
    <w:rsid w:val="00E4265C"/>
    <w:rsid w:val="00E42E6A"/>
    <w:rsid w:val="00E43D8C"/>
    <w:rsid w:val="00E4677D"/>
    <w:rsid w:val="00E46D90"/>
    <w:rsid w:val="00E472C7"/>
    <w:rsid w:val="00E51998"/>
    <w:rsid w:val="00E522DE"/>
    <w:rsid w:val="00E52EF5"/>
    <w:rsid w:val="00E53A22"/>
    <w:rsid w:val="00E5403F"/>
    <w:rsid w:val="00E54ADE"/>
    <w:rsid w:val="00E54D20"/>
    <w:rsid w:val="00E56146"/>
    <w:rsid w:val="00E60A3F"/>
    <w:rsid w:val="00E61CE9"/>
    <w:rsid w:val="00E637B9"/>
    <w:rsid w:val="00E637D1"/>
    <w:rsid w:val="00E63B00"/>
    <w:rsid w:val="00E64563"/>
    <w:rsid w:val="00E650AF"/>
    <w:rsid w:val="00E6538B"/>
    <w:rsid w:val="00E6551A"/>
    <w:rsid w:val="00E6595B"/>
    <w:rsid w:val="00E659BA"/>
    <w:rsid w:val="00E72AC2"/>
    <w:rsid w:val="00E72E16"/>
    <w:rsid w:val="00E7316D"/>
    <w:rsid w:val="00E73A0F"/>
    <w:rsid w:val="00E73E88"/>
    <w:rsid w:val="00E74809"/>
    <w:rsid w:val="00E75BB8"/>
    <w:rsid w:val="00E80DB9"/>
    <w:rsid w:val="00E8180F"/>
    <w:rsid w:val="00E82EFC"/>
    <w:rsid w:val="00E84AE5"/>
    <w:rsid w:val="00E85F72"/>
    <w:rsid w:val="00E861DC"/>
    <w:rsid w:val="00E865D8"/>
    <w:rsid w:val="00E8672B"/>
    <w:rsid w:val="00E86B03"/>
    <w:rsid w:val="00E87616"/>
    <w:rsid w:val="00E87EC5"/>
    <w:rsid w:val="00E9090E"/>
    <w:rsid w:val="00E9101E"/>
    <w:rsid w:val="00E916CF"/>
    <w:rsid w:val="00E918E7"/>
    <w:rsid w:val="00E92AC4"/>
    <w:rsid w:val="00E92B38"/>
    <w:rsid w:val="00E9334F"/>
    <w:rsid w:val="00E9369F"/>
    <w:rsid w:val="00E946DB"/>
    <w:rsid w:val="00E94750"/>
    <w:rsid w:val="00E950E8"/>
    <w:rsid w:val="00E95E7F"/>
    <w:rsid w:val="00E96F6C"/>
    <w:rsid w:val="00E97B9E"/>
    <w:rsid w:val="00E97CC3"/>
    <w:rsid w:val="00E97EE8"/>
    <w:rsid w:val="00EA0263"/>
    <w:rsid w:val="00EA10F0"/>
    <w:rsid w:val="00EA26BD"/>
    <w:rsid w:val="00EA270F"/>
    <w:rsid w:val="00EA4DD7"/>
    <w:rsid w:val="00EA64B7"/>
    <w:rsid w:val="00EB0E2E"/>
    <w:rsid w:val="00EB0F93"/>
    <w:rsid w:val="00EB28BE"/>
    <w:rsid w:val="00EB2E43"/>
    <w:rsid w:val="00EB35EB"/>
    <w:rsid w:val="00EB47E1"/>
    <w:rsid w:val="00EB5829"/>
    <w:rsid w:val="00EB5DC1"/>
    <w:rsid w:val="00EB5EF8"/>
    <w:rsid w:val="00EB6331"/>
    <w:rsid w:val="00EB7437"/>
    <w:rsid w:val="00EB7823"/>
    <w:rsid w:val="00EB79B2"/>
    <w:rsid w:val="00EB7AC5"/>
    <w:rsid w:val="00EC090D"/>
    <w:rsid w:val="00EC0C9E"/>
    <w:rsid w:val="00EC0DB6"/>
    <w:rsid w:val="00EC1206"/>
    <w:rsid w:val="00EC1A2E"/>
    <w:rsid w:val="00EC42C5"/>
    <w:rsid w:val="00EC4C5E"/>
    <w:rsid w:val="00EC5D63"/>
    <w:rsid w:val="00EC6E1B"/>
    <w:rsid w:val="00EC6F76"/>
    <w:rsid w:val="00EC762E"/>
    <w:rsid w:val="00EC7D1E"/>
    <w:rsid w:val="00EC7D51"/>
    <w:rsid w:val="00ED022B"/>
    <w:rsid w:val="00ED0A04"/>
    <w:rsid w:val="00ED161E"/>
    <w:rsid w:val="00ED1CB9"/>
    <w:rsid w:val="00ED207F"/>
    <w:rsid w:val="00ED2342"/>
    <w:rsid w:val="00ED429E"/>
    <w:rsid w:val="00ED43ED"/>
    <w:rsid w:val="00ED521D"/>
    <w:rsid w:val="00ED590A"/>
    <w:rsid w:val="00ED5A66"/>
    <w:rsid w:val="00ED5D16"/>
    <w:rsid w:val="00ED6E37"/>
    <w:rsid w:val="00ED7255"/>
    <w:rsid w:val="00EE0948"/>
    <w:rsid w:val="00EE0B10"/>
    <w:rsid w:val="00EE1A22"/>
    <w:rsid w:val="00EE2021"/>
    <w:rsid w:val="00EE2329"/>
    <w:rsid w:val="00EE38D4"/>
    <w:rsid w:val="00EE4A46"/>
    <w:rsid w:val="00EE6935"/>
    <w:rsid w:val="00EE77D4"/>
    <w:rsid w:val="00EF01DE"/>
    <w:rsid w:val="00EF1EFC"/>
    <w:rsid w:val="00EF22F8"/>
    <w:rsid w:val="00EF2978"/>
    <w:rsid w:val="00EF49E5"/>
    <w:rsid w:val="00EF4EE7"/>
    <w:rsid w:val="00EF5456"/>
    <w:rsid w:val="00EF5AED"/>
    <w:rsid w:val="00EF64FB"/>
    <w:rsid w:val="00EF73C9"/>
    <w:rsid w:val="00EF7CFD"/>
    <w:rsid w:val="00F002E9"/>
    <w:rsid w:val="00F002ED"/>
    <w:rsid w:val="00F01159"/>
    <w:rsid w:val="00F01BF0"/>
    <w:rsid w:val="00F01C0E"/>
    <w:rsid w:val="00F024F5"/>
    <w:rsid w:val="00F034E9"/>
    <w:rsid w:val="00F05085"/>
    <w:rsid w:val="00F05C3E"/>
    <w:rsid w:val="00F05CA5"/>
    <w:rsid w:val="00F07D97"/>
    <w:rsid w:val="00F10395"/>
    <w:rsid w:val="00F1098B"/>
    <w:rsid w:val="00F125A9"/>
    <w:rsid w:val="00F12A85"/>
    <w:rsid w:val="00F1308C"/>
    <w:rsid w:val="00F13AE6"/>
    <w:rsid w:val="00F1467C"/>
    <w:rsid w:val="00F1480E"/>
    <w:rsid w:val="00F14936"/>
    <w:rsid w:val="00F155EC"/>
    <w:rsid w:val="00F1604F"/>
    <w:rsid w:val="00F21ACF"/>
    <w:rsid w:val="00F231DF"/>
    <w:rsid w:val="00F2417F"/>
    <w:rsid w:val="00F24BF1"/>
    <w:rsid w:val="00F256F0"/>
    <w:rsid w:val="00F26820"/>
    <w:rsid w:val="00F2D136"/>
    <w:rsid w:val="00F305C4"/>
    <w:rsid w:val="00F3150F"/>
    <w:rsid w:val="00F32134"/>
    <w:rsid w:val="00F337D3"/>
    <w:rsid w:val="00F35280"/>
    <w:rsid w:val="00F35F7F"/>
    <w:rsid w:val="00F3671A"/>
    <w:rsid w:val="00F39721"/>
    <w:rsid w:val="00F414C6"/>
    <w:rsid w:val="00F43167"/>
    <w:rsid w:val="00F43FF5"/>
    <w:rsid w:val="00F4511A"/>
    <w:rsid w:val="00F45850"/>
    <w:rsid w:val="00F45D71"/>
    <w:rsid w:val="00F467D8"/>
    <w:rsid w:val="00F46A73"/>
    <w:rsid w:val="00F51782"/>
    <w:rsid w:val="00F519AE"/>
    <w:rsid w:val="00F51CB9"/>
    <w:rsid w:val="00F52A84"/>
    <w:rsid w:val="00F53FA6"/>
    <w:rsid w:val="00F54FF2"/>
    <w:rsid w:val="00F561E7"/>
    <w:rsid w:val="00F570F0"/>
    <w:rsid w:val="00F5726F"/>
    <w:rsid w:val="00F5732D"/>
    <w:rsid w:val="00F60361"/>
    <w:rsid w:val="00F6097F"/>
    <w:rsid w:val="00F6163C"/>
    <w:rsid w:val="00F62261"/>
    <w:rsid w:val="00F64102"/>
    <w:rsid w:val="00F647D8"/>
    <w:rsid w:val="00F71166"/>
    <w:rsid w:val="00F729D1"/>
    <w:rsid w:val="00F739B9"/>
    <w:rsid w:val="00F804E8"/>
    <w:rsid w:val="00F80AD6"/>
    <w:rsid w:val="00F81048"/>
    <w:rsid w:val="00F81FAB"/>
    <w:rsid w:val="00F8238A"/>
    <w:rsid w:val="00F826E2"/>
    <w:rsid w:val="00F82FFF"/>
    <w:rsid w:val="00F83070"/>
    <w:rsid w:val="00F8314A"/>
    <w:rsid w:val="00F8317C"/>
    <w:rsid w:val="00F84366"/>
    <w:rsid w:val="00F84553"/>
    <w:rsid w:val="00F84B8B"/>
    <w:rsid w:val="00F84D86"/>
    <w:rsid w:val="00F869AD"/>
    <w:rsid w:val="00F87D72"/>
    <w:rsid w:val="00F90690"/>
    <w:rsid w:val="00F9178D"/>
    <w:rsid w:val="00F93AC4"/>
    <w:rsid w:val="00F9403A"/>
    <w:rsid w:val="00F9459E"/>
    <w:rsid w:val="00F96062"/>
    <w:rsid w:val="00F962EB"/>
    <w:rsid w:val="00F97562"/>
    <w:rsid w:val="00FA0711"/>
    <w:rsid w:val="00FA1B6F"/>
    <w:rsid w:val="00FA1E6D"/>
    <w:rsid w:val="00FA2324"/>
    <w:rsid w:val="00FA281E"/>
    <w:rsid w:val="00FA4DD0"/>
    <w:rsid w:val="00FA5880"/>
    <w:rsid w:val="00FA67D6"/>
    <w:rsid w:val="00FA76D8"/>
    <w:rsid w:val="00FA7FC0"/>
    <w:rsid w:val="00FB00CD"/>
    <w:rsid w:val="00FB0550"/>
    <w:rsid w:val="00FB1726"/>
    <w:rsid w:val="00FB226B"/>
    <w:rsid w:val="00FB355D"/>
    <w:rsid w:val="00FB461C"/>
    <w:rsid w:val="00FB4D65"/>
    <w:rsid w:val="00FB4F36"/>
    <w:rsid w:val="00FB5145"/>
    <w:rsid w:val="00FB5219"/>
    <w:rsid w:val="00FB5994"/>
    <w:rsid w:val="00FB686B"/>
    <w:rsid w:val="00FC1AC5"/>
    <w:rsid w:val="00FC27A0"/>
    <w:rsid w:val="00FC2C69"/>
    <w:rsid w:val="00FC429C"/>
    <w:rsid w:val="00FC4910"/>
    <w:rsid w:val="00FC58E3"/>
    <w:rsid w:val="00FC598F"/>
    <w:rsid w:val="00FC5F1F"/>
    <w:rsid w:val="00FC7BC7"/>
    <w:rsid w:val="00FD0979"/>
    <w:rsid w:val="00FD13A1"/>
    <w:rsid w:val="00FD1B76"/>
    <w:rsid w:val="00FD2A1C"/>
    <w:rsid w:val="00FD4745"/>
    <w:rsid w:val="00FD7382"/>
    <w:rsid w:val="00FD91A8"/>
    <w:rsid w:val="00FE0397"/>
    <w:rsid w:val="00FE30C2"/>
    <w:rsid w:val="00FE432F"/>
    <w:rsid w:val="00FE49A2"/>
    <w:rsid w:val="00FE4F87"/>
    <w:rsid w:val="00FE622C"/>
    <w:rsid w:val="00FE64EA"/>
    <w:rsid w:val="00FE7253"/>
    <w:rsid w:val="00FE7D50"/>
    <w:rsid w:val="00FF02DE"/>
    <w:rsid w:val="00FF0B87"/>
    <w:rsid w:val="00FF0CF5"/>
    <w:rsid w:val="00FF2496"/>
    <w:rsid w:val="00FF2644"/>
    <w:rsid w:val="00FF2C5B"/>
    <w:rsid w:val="00FF30C7"/>
    <w:rsid w:val="00FF34B4"/>
    <w:rsid w:val="00FF4195"/>
    <w:rsid w:val="00FF4655"/>
    <w:rsid w:val="00FF6223"/>
    <w:rsid w:val="00FF646C"/>
    <w:rsid w:val="0100748C"/>
    <w:rsid w:val="01070539"/>
    <w:rsid w:val="01145E2E"/>
    <w:rsid w:val="01191DAA"/>
    <w:rsid w:val="01253613"/>
    <w:rsid w:val="01332735"/>
    <w:rsid w:val="014FEEF9"/>
    <w:rsid w:val="01548C69"/>
    <w:rsid w:val="01558A9E"/>
    <w:rsid w:val="016CF5DA"/>
    <w:rsid w:val="0173DB02"/>
    <w:rsid w:val="017D5D1F"/>
    <w:rsid w:val="0180C986"/>
    <w:rsid w:val="018277D2"/>
    <w:rsid w:val="018F5CE7"/>
    <w:rsid w:val="0190CAEE"/>
    <w:rsid w:val="01953E69"/>
    <w:rsid w:val="01A0FA7C"/>
    <w:rsid w:val="01B67364"/>
    <w:rsid w:val="01C1FEB7"/>
    <w:rsid w:val="01C6A085"/>
    <w:rsid w:val="01D185F8"/>
    <w:rsid w:val="01D750E6"/>
    <w:rsid w:val="01D7907D"/>
    <w:rsid w:val="01E50305"/>
    <w:rsid w:val="01FC530B"/>
    <w:rsid w:val="02069844"/>
    <w:rsid w:val="020CFA17"/>
    <w:rsid w:val="021BFF33"/>
    <w:rsid w:val="022A537B"/>
    <w:rsid w:val="0235C203"/>
    <w:rsid w:val="0249BA2A"/>
    <w:rsid w:val="024F87B7"/>
    <w:rsid w:val="025D2C65"/>
    <w:rsid w:val="0262B5E9"/>
    <w:rsid w:val="0262CD9B"/>
    <w:rsid w:val="0277B4DF"/>
    <w:rsid w:val="028F9910"/>
    <w:rsid w:val="029CC115"/>
    <w:rsid w:val="02A069AC"/>
    <w:rsid w:val="02B6D05F"/>
    <w:rsid w:val="02DA76D5"/>
    <w:rsid w:val="02DBD524"/>
    <w:rsid w:val="02E4B1EC"/>
    <w:rsid w:val="02E763CB"/>
    <w:rsid w:val="02F3021D"/>
    <w:rsid w:val="02FE0C62"/>
    <w:rsid w:val="0300ED49"/>
    <w:rsid w:val="030B5598"/>
    <w:rsid w:val="0323277E"/>
    <w:rsid w:val="032E7440"/>
    <w:rsid w:val="03395835"/>
    <w:rsid w:val="034AFCA8"/>
    <w:rsid w:val="035DF608"/>
    <w:rsid w:val="036E67FA"/>
    <w:rsid w:val="03716CE3"/>
    <w:rsid w:val="03909C1B"/>
    <w:rsid w:val="0390D7F6"/>
    <w:rsid w:val="039378EE"/>
    <w:rsid w:val="0398D5EB"/>
    <w:rsid w:val="03B8AFD8"/>
    <w:rsid w:val="03C20349"/>
    <w:rsid w:val="03EEDA2C"/>
    <w:rsid w:val="03F2CB02"/>
    <w:rsid w:val="03F3B882"/>
    <w:rsid w:val="03FB17CB"/>
    <w:rsid w:val="040A6CD0"/>
    <w:rsid w:val="040B1ABA"/>
    <w:rsid w:val="040C515C"/>
    <w:rsid w:val="041216D8"/>
    <w:rsid w:val="041D3AB3"/>
    <w:rsid w:val="042CF02C"/>
    <w:rsid w:val="04369455"/>
    <w:rsid w:val="043702D4"/>
    <w:rsid w:val="04389176"/>
    <w:rsid w:val="043D0926"/>
    <w:rsid w:val="0446FF81"/>
    <w:rsid w:val="0452A96F"/>
    <w:rsid w:val="045D2070"/>
    <w:rsid w:val="0484B815"/>
    <w:rsid w:val="04855D33"/>
    <w:rsid w:val="048AB035"/>
    <w:rsid w:val="049057FB"/>
    <w:rsid w:val="04B0BFCC"/>
    <w:rsid w:val="04BCF889"/>
    <w:rsid w:val="04CF27F6"/>
    <w:rsid w:val="04D66027"/>
    <w:rsid w:val="04F65D2D"/>
    <w:rsid w:val="05104F13"/>
    <w:rsid w:val="05162AF3"/>
    <w:rsid w:val="05260A5A"/>
    <w:rsid w:val="055314D9"/>
    <w:rsid w:val="056904EE"/>
    <w:rsid w:val="0577ADC9"/>
    <w:rsid w:val="05783783"/>
    <w:rsid w:val="059A5945"/>
    <w:rsid w:val="059B0C0D"/>
    <w:rsid w:val="05B66F21"/>
    <w:rsid w:val="05B73F1C"/>
    <w:rsid w:val="05C871BD"/>
    <w:rsid w:val="05CA4DA9"/>
    <w:rsid w:val="05CC1A23"/>
    <w:rsid w:val="05D12D31"/>
    <w:rsid w:val="05F9D20C"/>
    <w:rsid w:val="0611337B"/>
    <w:rsid w:val="06137760"/>
    <w:rsid w:val="061A6BDF"/>
    <w:rsid w:val="061C6C9A"/>
    <w:rsid w:val="0626E35B"/>
    <w:rsid w:val="062A89BB"/>
    <w:rsid w:val="06308724"/>
    <w:rsid w:val="063E5B78"/>
    <w:rsid w:val="063FA95E"/>
    <w:rsid w:val="064391FA"/>
    <w:rsid w:val="0644B5A9"/>
    <w:rsid w:val="064B617D"/>
    <w:rsid w:val="065792B7"/>
    <w:rsid w:val="06599B0F"/>
    <w:rsid w:val="065AA1D3"/>
    <w:rsid w:val="06673240"/>
    <w:rsid w:val="06706FCD"/>
    <w:rsid w:val="067CC054"/>
    <w:rsid w:val="068CBB6B"/>
    <w:rsid w:val="0696F0B6"/>
    <w:rsid w:val="069D4094"/>
    <w:rsid w:val="06A01140"/>
    <w:rsid w:val="06AE7CFB"/>
    <w:rsid w:val="06C47B9F"/>
    <w:rsid w:val="06C75855"/>
    <w:rsid w:val="06CD03C9"/>
    <w:rsid w:val="06D0BABF"/>
    <w:rsid w:val="06DE4DAC"/>
    <w:rsid w:val="06F0364E"/>
    <w:rsid w:val="06F1FE48"/>
    <w:rsid w:val="06F60D2C"/>
    <w:rsid w:val="06F63CA9"/>
    <w:rsid w:val="07046661"/>
    <w:rsid w:val="070FA6AB"/>
    <w:rsid w:val="0712AB5F"/>
    <w:rsid w:val="0721B6F8"/>
    <w:rsid w:val="072511BF"/>
    <w:rsid w:val="072A548F"/>
    <w:rsid w:val="072CAF80"/>
    <w:rsid w:val="0736DC6E"/>
    <w:rsid w:val="073BD9C2"/>
    <w:rsid w:val="0741472F"/>
    <w:rsid w:val="075744B0"/>
    <w:rsid w:val="076D8627"/>
    <w:rsid w:val="077A6810"/>
    <w:rsid w:val="077DECFD"/>
    <w:rsid w:val="0786171E"/>
    <w:rsid w:val="079925F6"/>
    <w:rsid w:val="07D64123"/>
    <w:rsid w:val="07DFB4C6"/>
    <w:rsid w:val="07E1F570"/>
    <w:rsid w:val="07E5EE48"/>
    <w:rsid w:val="07F7B8BA"/>
    <w:rsid w:val="07FC0CF6"/>
    <w:rsid w:val="080AE114"/>
    <w:rsid w:val="08121612"/>
    <w:rsid w:val="081FB6B9"/>
    <w:rsid w:val="0823B312"/>
    <w:rsid w:val="08263870"/>
    <w:rsid w:val="0832438F"/>
    <w:rsid w:val="08348F1F"/>
    <w:rsid w:val="083AB575"/>
    <w:rsid w:val="083F7833"/>
    <w:rsid w:val="08404639"/>
    <w:rsid w:val="08478377"/>
    <w:rsid w:val="084786DE"/>
    <w:rsid w:val="086E96A5"/>
    <w:rsid w:val="086EF685"/>
    <w:rsid w:val="087643E4"/>
    <w:rsid w:val="08788006"/>
    <w:rsid w:val="0881DE4E"/>
    <w:rsid w:val="08828CC8"/>
    <w:rsid w:val="08ADE84F"/>
    <w:rsid w:val="08AFD83C"/>
    <w:rsid w:val="08BB6780"/>
    <w:rsid w:val="08BBA754"/>
    <w:rsid w:val="08C5F493"/>
    <w:rsid w:val="08C65D2E"/>
    <w:rsid w:val="08C896EA"/>
    <w:rsid w:val="08C8EFB1"/>
    <w:rsid w:val="08CF5D11"/>
    <w:rsid w:val="08D199D7"/>
    <w:rsid w:val="08D271E7"/>
    <w:rsid w:val="08E0F8B5"/>
    <w:rsid w:val="08E69FD0"/>
    <w:rsid w:val="08ECAA1E"/>
    <w:rsid w:val="08F3A488"/>
    <w:rsid w:val="08F9AA6F"/>
    <w:rsid w:val="08FA209A"/>
    <w:rsid w:val="08FA6127"/>
    <w:rsid w:val="090A0060"/>
    <w:rsid w:val="090C8D3A"/>
    <w:rsid w:val="0919BD5E"/>
    <w:rsid w:val="091A7004"/>
    <w:rsid w:val="09243A34"/>
    <w:rsid w:val="09452FBD"/>
    <w:rsid w:val="0962097E"/>
    <w:rsid w:val="096CF863"/>
    <w:rsid w:val="09963F60"/>
    <w:rsid w:val="09967A77"/>
    <w:rsid w:val="099FE7DA"/>
    <w:rsid w:val="09A39408"/>
    <w:rsid w:val="09A59A0E"/>
    <w:rsid w:val="09ABBB6E"/>
    <w:rsid w:val="09B6A831"/>
    <w:rsid w:val="09CCBF2A"/>
    <w:rsid w:val="09D1F722"/>
    <w:rsid w:val="09DDFA01"/>
    <w:rsid w:val="09E20508"/>
    <w:rsid w:val="09E390D2"/>
    <w:rsid w:val="0A0004D0"/>
    <w:rsid w:val="0A03DEDE"/>
    <w:rsid w:val="0A07AC28"/>
    <w:rsid w:val="0A18780F"/>
    <w:rsid w:val="0A2374C2"/>
    <w:rsid w:val="0A3471AD"/>
    <w:rsid w:val="0A3848BC"/>
    <w:rsid w:val="0A4EFFCC"/>
    <w:rsid w:val="0A697C67"/>
    <w:rsid w:val="0A6CEAA5"/>
    <w:rsid w:val="0A738E12"/>
    <w:rsid w:val="0A796DC8"/>
    <w:rsid w:val="0ABA9EFE"/>
    <w:rsid w:val="0AD5B7F1"/>
    <w:rsid w:val="0ADAD32D"/>
    <w:rsid w:val="0ADB7A7F"/>
    <w:rsid w:val="0AFE4B75"/>
    <w:rsid w:val="0B238EED"/>
    <w:rsid w:val="0B2500F4"/>
    <w:rsid w:val="0B25FF50"/>
    <w:rsid w:val="0B27CE99"/>
    <w:rsid w:val="0B2BDB9B"/>
    <w:rsid w:val="0B38A738"/>
    <w:rsid w:val="0B448D5B"/>
    <w:rsid w:val="0B4CF8DB"/>
    <w:rsid w:val="0B5E35C2"/>
    <w:rsid w:val="0B610E7C"/>
    <w:rsid w:val="0B63F060"/>
    <w:rsid w:val="0B6ECBD9"/>
    <w:rsid w:val="0B788DD6"/>
    <w:rsid w:val="0B7F8367"/>
    <w:rsid w:val="0B9192BD"/>
    <w:rsid w:val="0B9459ED"/>
    <w:rsid w:val="0BA31B37"/>
    <w:rsid w:val="0BA69D47"/>
    <w:rsid w:val="0BB4F066"/>
    <w:rsid w:val="0BB67793"/>
    <w:rsid w:val="0BC66271"/>
    <w:rsid w:val="0BCF6F48"/>
    <w:rsid w:val="0BF3F65C"/>
    <w:rsid w:val="0BFEC216"/>
    <w:rsid w:val="0C193EB0"/>
    <w:rsid w:val="0C194122"/>
    <w:rsid w:val="0C1EDD3B"/>
    <w:rsid w:val="0C3A07E8"/>
    <w:rsid w:val="0C3C7503"/>
    <w:rsid w:val="0C4192A5"/>
    <w:rsid w:val="0C4F6D26"/>
    <w:rsid w:val="0C52A160"/>
    <w:rsid w:val="0C597C9C"/>
    <w:rsid w:val="0C69505A"/>
    <w:rsid w:val="0C89DAD9"/>
    <w:rsid w:val="0C89EE8A"/>
    <w:rsid w:val="0C982718"/>
    <w:rsid w:val="0CB32A74"/>
    <w:rsid w:val="0CC01A2F"/>
    <w:rsid w:val="0CDAA688"/>
    <w:rsid w:val="0CF1CCF1"/>
    <w:rsid w:val="0CFB9E3A"/>
    <w:rsid w:val="0D00381C"/>
    <w:rsid w:val="0D04EE2D"/>
    <w:rsid w:val="0D07813D"/>
    <w:rsid w:val="0D476D70"/>
    <w:rsid w:val="0D62F8B3"/>
    <w:rsid w:val="0D6458C9"/>
    <w:rsid w:val="0D6C192D"/>
    <w:rsid w:val="0D757DE2"/>
    <w:rsid w:val="0D75EC33"/>
    <w:rsid w:val="0D7C3C5E"/>
    <w:rsid w:val="0D81A890"/>
    <w:rsid w:val="0D8E0BCF"/>
    <w:rsid w:val="0D8E54DF"/>
    <w:rsid w:val="0D954EF7"/>
    <w:rsid w:val="0DB31F85"/>
    <w:rsid w:val="0DBCBAF9"/>
    <w:rsid w:val="0DBEC876"/>
    <w:rsid w:val="0DC9A0BE"/>
    <w:rsid w:val="0DCF757C"/>
    <w:rsid w:val="0DD504E4"/>
    <w:rsid w:val="0DDA3525"/>
    <w:rsid w:val="0DFB3013"/>
    <w:rsid w:val="0E1FCE4B"/>
    <w:rsid w:val="0E22C2DD"/>
    <w:rsid w:val="0E319CF0"/>
    <w:rsid w:val="0E31C8CE"/>
    <w:rsid w:val="0E4BC789"/>
    <w:rsid w:val="0E4CBECB"/>
    <w:rsid w:val="0E58315B"/>
    <w:rsid w:val="0E5DD09C"/>
    <w:rsid w:val="0E6F2174"/>
    <w:rsid w:val="0E796E0A"/>
    <w:rsid w:val="0E880FA2"/>
    <w:rsid w:val="0E9F1DF3"/>
    <w:rsid w:val="0EAF9C03"/>
    <w:rsid w:val="0EB01C8A"/>
    <w:rsid w:val="0EBBD9BC"/>
    <w:rsid w:val="0ECF08F7"/>
    <w:rsid w:val="0EDB954F"/>
    <w:rsid w:val="0EE146F1"/>
    <w:rsid w:val="0EFA1CF3"/>
    <w:rsid w:val="0F17641B"/>
    <w:rsid w:val="0F19EA32"/>
    <w:rsid w:val="0F33009D"/>
    <w:rsid w:val="0F3B293F"/>
    <w:rsid w:val="0F3F1032"/>
    <w:rsid w:val="0F50E1E4"/>
    <w:rsid w:val="0F52052C"/>
    <w:rsid w:val="0F5E3907"/>
    <w:rsid w:val="0F674F8F"/>
    <w:rsid w:val="0F6B2166"/>
    <w:rsid w:val="0F8B183F"/>
    <w:rsid w:val="0F8E6B78"/>
    <w:rsid w:val="0FBBFCF4"/>
    <w:rsid w:val="0FBD3B90"/>
    <w:rsid w:val="0FD0808D"/>
    <w:rsid w:val="0FDD9541"/>
    <w:rsid w:val="0FF6D0AB"/>
    <w:rsid w:val="1007067B"/>
    <w:rsid w:val="102B1D1A"/>
    <w:rsid w:val="10355C60"/>
    <w:rsid w:val="1037C9BB"/>
    <w:rsid w:val="104A0D3E"/>
    <w:rsid w:val="105EBD7E"/>
    <w:rsid w:val="106BAC33"/>
    <w:rsid w:val="10729201"/>
    <w:rsid w:val="108E7E63"/>
    <w:rsid w:val="109DDE55"/>
    <w:rsid w:val="10A2EAF2"/>
    <w:rsid w:val="10A30A98"/>
    <w:rsid w:val="10A42A99"/>
    <w:rsid w:val="10A85080"/>
    <w:rsid w:val="10BB3BF7"/>
    <w:rsid w:val="10D337EC"/>
    <w:rsid w:val="10E21BEB"/>
    <w:rsid w:val="10FEE9A6"/>
    <w:rsid w:val="110A94F5"/>
    <w:rsid w:val="110D790B"/>
    <w:rsid w:val="1119C5A7"/>
    <w:rsid w:val="11346124"/>
    <w:rsid w:val="11464A37"/>
    <w:rsid w:val="11523C5F"/>
    <w:rsid w:val="11665227"/>
    <w:rsid w:val="117381C4"/>
    <w:rsid w:val="117ABD84"/>
    <w:rsid w:val="117C5DDC"/>
    <w:rsid w:val="117F686B"/>
    <w:rsid w:val="1180897C"/>
    <w:rsid w:val="118207CA"/>
    <w:rsid w:val="11910814"/>
    <w:rsid w:val="11A682BD"/>
    <w:rsid w:val="11B325CF"/>
    <w:rsid w:val="11B73875"/>
    <w:rsid w:val="11C0E881"/>
    <w:rsid w:val="11D1B4F6"/>
    <w:rsid w:val="11DCB0CD"/>
    <w:rsid w:val="11DDF0B5"/>
    <w:rsid w:val="11F51A62"/>
    <w:rsid w:val="120C300D"/>
    <w:rsid w:val="121938A6"/>
    <w:rsid w:val="123163FF"/>
    <w:rsid w:val="12608FFD"/>
    <w:rsid w:val="126385CA"/>
    <w:rsid w:val="1270E01A"/>
    <w:rsid w:val="127215E6"/>
    <w:rsid w:val="127AC222"/>
    <w:rsid w:val="12938C64"/>
    <w:rsid w:val="129B79EA"/>
    <w:rsid w:val="12ACC1E5"/>
    <w:rsid w:val="12B1BAF1"/>
    <w:rsid w:val="12E48B3D"/>
    <w:rsid w:val="12EB59D1"/>
    <w:rsid w:val="130946A4"/>
    <w:rsid w:val="131BFDB7"/>
    <w:rsid w:val="131D402D"/>
    <w:rsid w:val="1331672F"/>
    <w:rsid w:val="133F08FC"/>
    <w:rsid w:val="1344589D"/>
    <w:rsid w:val="135152F6"/>
    <w:rsid w:val="1362C9C1"/>
    <w:rsid w:val="13693B52"/>
    <w:rsid w:val="136D7752"/>
    <w:rsid w:val="1374E520"/>
    <w:rsid w:val="1387235F"/>
    <w:rsid w:val="139CE04C"/>
    <w:rsid w:val="139FD02C"/>
    <w:rsid w:val="13A55073"/>
    <w:rsid w:val="13D26093"/>
    <w:rsid w:val="13D57B9C"/>
    <w:rsid w:val="13DB6AA1"/>
    <w:rsid w:val="13F2ABEA"/>
    <w:rsid w:val="13FB796F"/>
    <w:rsid w:val="1405EF24"/>
    <w:rsid w:val="14115615"/>
    <w:rsid w:val="1421C58C"/>
    <w:rsid w:val="1426D17E"/>
    <w:rsid w:val="14329697"/>
    <w:rsid w:val="1446FB14"/>
    <w:rsid w:val="14475632"/>
    <w:rsid w:val="1454D048"/>
    <w:rsid w:val="14552313"/>
    <w:rsid w:val="1456A2C6"/>
    <w:rsid w:val="1456C009"/>
    <w:rsid w:val="1457C915"/>
    <w:rsid w:val="1466C8AF"/>
    <w:rsid w:val="14725B76"/>
    <w:rsid w:val="1479BFAA"/>
    <w:rsid w:val="148DD7E1"/>
    <w:rsid w:val="14950E1D"/>
    <w:rsid w:val="14A80888"/>
    <w:rsid w:val="14AC6F73"/>
    <w:rsid w:val="14AF75B7"/>
    <w:rsid w:val="14B2F249"/>
    <w:rsid w:val="14C4FC9C"/>
    <w:rsid w:val="14CE7996"/>
    <w:rsid w:val="14DB116A"/>
    <w:rsid w:val="14EE5FF3"/>
    <w:rsid w:val="15052F1A"/>
    <w:rsid w:val="150A516A"/>
    <w:rsid w:val="15159215"/>
    <w:rsid w:val="15343DAC"/>
    <w:rsid w:val="154F28D1"/>
    <w:rsid w:val="154FA15C"/>
    <w:rsid w:val="1563C019"/>
    <w:rsid w:val="157140AD"/>
    <w:rsid w:val="157F668E"/>
    <w:rsid w:val="1588B631"/>
    <w:rsid w:val="1593F0B0"/>
    <w:rsid w:val="15A70ED9"/>
    <w:rsid w:val="15AA29C6"/>
    <w:rsid w:val="15BC426F"/>
    <w:rsid w:val="15D25916"/>
    <w:rsid w:val="15D7F3E7"/>
    <w:rsid w:val="15E72232"/>
    <w:rsid w:val="15F16028"/>
    <w:rsid w:val="16070262"/>
    <w:rsid w:val="160B8A56"/>
    <w:rsid w:val="1611C4BB"/>
    <w:rsid w:val="162C8255"/>
    <w:rsid w:val="16355B81"/>
    <w:rsid w:val="163B8E00"/>
    <w:rsid w:val="163E7FD5"/>
    <w:rsid w:val="164E92EA"/>
    <w:rsid w:val="1651F6E7"/>
    <w:rsid w:val="16646E44"/>
    <w:rsid w:val="166CCEDA"/>
    <w:rsid w:val="167A959D"/>
    <w:rsid w:val="167F1EE4"/>
    <w:rsid w:val="1681900B"/>
    <w:rsid w:val="1682D15D"/>
    <w:rsid w:val="16882CCD"/>
    <w:rsid w:val="168AB4C2"/>
    <w:rsid w:val="1690E855"/>
    <w:rsid w:val="1692D078"/>
    <w:rsid w:val="16955001"/>
    <w:rsid w:val="16D6AC1D"/>
    <w:rsid w:val="16EE944C"/>
    <w:rsid w:val="17004AE1"/>
    <w:rsid w:val="170E4987"/>
    <w:rsid w:val="17130B63"/>
    <w:rsid w:val="17136394"/>
    <w:rsid w:val="17313D62"/>
    <w:rsid w:val="17324550"/>
    <w:rsid w:val="1744B1F8"/>
    <w:rsid w:val="175BCE78"/>
    <w:rsid w:val="17651BB7"/>
    <w:rsid w:val="1766FD87"/>
    <w:rsid w:val="17772364"/>
    <w:rsid w:val="17820DD1"/>
    <w:rsid w:val="1791601C"/>
    <w:rsid w:val="1798DD68"/>
    <w:rsid w:val="179E826D"/>
    <w:rsid w:val="179EA088"/>
    <w:rsid w:val="17A12252"/>
    <w:rsid w:val="17B51C92"/>
    <w:rsid w:val="17D02EF7"/>
    <w:rsid w:val="17D2CB02"/>
    <w:rsid w:val="17DC3A2F"/>
    <w:rsid w:val="17E0AB5C"/>
    <w:rsid w:val="17E2B96C"/>
    <w:rsid w:val="17F244C6"/>
    <w:rsid w:val="181A142F"/>
    <w:rsid w:val="181D3CF3"/>
    <w:rsid w:val="182A45D5"/>
    <w:rsid w:val="182B89CE"/>
    <w:rsid w:val="182D7129"/>
    <w:rsid w:val="183DE50A"/>
    <w:rsid w:val="18496B35"/>
    <w:rsid w:val="1852249D"/>
    <w:rsid w:val="185CA048"/>
    <w:rsid w:val="185F1D2E"/>
    <w:rsid w:val="186287C0"/>
    <w:rsid w:val="18669E2B"/>
    <w:rsid w:val="1881DFC7"/>
    <w:rsid w:val="18857F92"/>
    <w:rsid w:val="1885FB77"/>
    <w:rsid w:val="1899CB55"/>
    <w:rsid w:val="18B08761"/>
    <w:rsid w:val="18C77948"/>
    <w:rsid w:val="18D66559"/>
    <w:rsid w:val="18DE7639"/>
    <w:rsid w:val="18E55E99"/>
    <w:rsid w:val="18E56890"/>
    <w:rsid w:val="18E7C772"/>
    <w:rsid w:val="18EADF51"/>
    <w:rsid w:val="18F00D7C"/>
    <w:rsid w:val="18F78401"/>
    <w:rsid w:val="18FE6433"/>
    <w:rsid w:val="18FF6293"/>
    <w:rsid w:val="1905E53C"/>
    <w:rsid w:val="192657F1"/>
    <w:rsid w:val="19265D7D"/>
    <w:rsid w:val="193473B4"/>
    <w:rsid w:val="19450E10"/>
    <w:rsid w:val="195891A9"/>
    <w:rsid w:val="195C9E42"/>
    <w:rsid w:val="196AE555"/>
    <w:rsid w:val="196EB246"/>
    <w:rsid w:val="1982B9DD"/>
    <w:rsid w:val="19858A6E"/>
    <w:rsid w:val="19957935"/>
    <w:rsid w:val="199B04BF"/>
    <w:rsid w:val="199B28CB"/>
    <w:rsid w:val="199EA119"/>
    <w:rsid w:val="19A8D48F"/>
    <w:rsid w:val="19AA11F0"/>
    <w:rsid w:val="19B6BFA6"/>
    <w:rsid w:val="19D019AF"/>
    <w:rsid w:val="19D09083"/>
    <w:rsid w:val="19DA6447"/>
    <w:rsid w:val="1A00FB40"/>
    <w:rsid w:val="1A037580"/>
    <w:rsid w:val="1A03E728"/>
    <w:rsid w:val="1A081C7F"/>
    <w:rsid w:val="1A1AC2F1"/>
    <w:rsid w:val="1A264AF7"/>
    <w:rsid w:val="1A28BD08"/>
    <w:rsid w:val="1A312F5A"/>
    <w:rsid w:val="1A418612"/>
    <w:rsid w:val="1A49CD38"/>
    <w:rsid w:val="1A51E61B"/>
    <w:rsid w:val="1A53BC85"/>
    <w:rsid w:val="1A5DA8D8"/>
    <w:rsid w:val="1A65A265"/>
    <w:rsid w:val="1A79C483"/>
    <w:rsid w:val="1A7CD68D"/>
    <w:rsid w:val="1A7F9A96"/>
    <w:rsid w:val="1A84DA9B"/>
    <w:rsid w:val="1A8EF7DA"/>
    <w:rsid w:val="1A903F34"/>
    <w:rsid w:val="1A9275BE"/>
    <w:rsid w:val="1A9BA6F1"/>
    <w:rsid w:val="1AA823C6"/>
    <w:rsid w:val="1ABE342D"/>
    <w:rsid w:val="1AC7AB4F"/>
    <w:rsid w:val="1AC98D62"/>
    <w:rsid w:val="1ACF85A9"/>
    <w:rsid w:val="1AE24274"/>
    <w:rsid w:val="1AE7AC1A"/>
    <w:rsid w:val="1AF41FAB"/>
    <w:rsid w:val="1AFE44DA"/>
    <w:rsid w:val="1B175CC7"/>
    <w:rsid w:val="1B2AFD64"/>
    <w:rsid w:val="1B301C73"/>
    <w:rsid w:val="1B360ADB"/>
    <w:rsid w:val="1B607559"/>
    <w:rsid w:val="1B68A060"/>
    <w:rsid w:val="1B736948"/>
    <w:rsid w:val="1B759712"/>
    <w:rsid w:val="1B76D162"/>
    <w:rsid w:val="1B8F81B5"/>
    <w:rsid w:val="1BA0EFFA"/>
    <w:rsid w:val="1BA115BC"/>
    <w:rsid w:val="1BA1BB97"/>
    <w:rsid w:val="1BAF8BCD"/>
    <w:rsid w:val="1BBDB98E"/>
    <w:rsid w:val="1BC14228"/>
    <w:rsid w:val="1BD0F3A4"/>
    <w:rsid w:val="1BDC2C56"/>
    <w:rsid w:val="1BE2BBD0"/>
    <w:rsid w:val="1BF4C4DB"/>
    <w:rsid w:val="1C020DC0"/>
    <w:rsid w:val="1C028AFB"/>
    <w:rsid w:val="1C049680"/>
    <w:rsid w:val="1C05B673"/>
    <w:rsid w:val="1C0972A7"/>
    <w:rsid w:val="1C13C86D"/>
    <w:rsid w:val="1C1694D6"/>
    <w:rsid w:val="1C192065"/>
    <w:rsid w:val="1C210E3F"/>
    <w:rsid w:val="1C211E72"/>
    <w:rsid w:val="1C3050E1"/>
    <w:rsid w:val="1C43F427"/>
    <w:rsid w:val="1C457FDB"/>
    <w:rsid w:val="1C6C4E8B"/>
    <w:rsid w:val="1C73D367"/>
    <w:rsid w:val="1C763C03"/>
    <w:rsid w:val="1C8E545D"/>
    <w:rsid w:val="1C8ED50E"/>
    <w:rsid w:val="1C9061FC"/>
    <w:rsid w:val="1C927627"/>
    <w:rsid w:val="1CA366D7"/>
    <w:rsid w:val="1CA70DD6"/>
    <w:rsid w:val="1CCA03AB"/>
    <w:rsid w:val="1CD17306"/>
    <w:rsid w:val="1CEFFBF1"/>
    <w:rsid w:val="1CFD3DC4"/>
    <w:rsid w:val="1CFEE91F"/>
    <w:rsid w:val="1D035770"/>
    <w:rsid w:val="1D086F2F"/>
    <w:rsid w:val="1D0B236B"/>
    <w:rsid w:val="1D0E9756"/>
    <w:rsid w:val="1D102E86"/>
    <w:rsid w:val="1D2FF73F"/>
    <w:rsid w:val="1D413D04"/>
    <w:rsid w:val="1D4E3C4B"/>
    <w:rsid w:val="1D51CE73"/>
    <w:rsid w:val="1D545184"/>
    <w:rsid w:val="1D5698DD"/>
    <w:rsid w:val="1D596124"/>
    <w:rsid w:val="1D5BDA9A"/>
    <w:rsid w:val="1D5D9FDF"/>
    <w:rsid w:val="1D5E9CA2"/>
    <w:rsid w:val="1D5FD8D1"/>
    <w:rsid w:val="1D8E5A9A"/>
    <w:rsid w:val="1D8F16D5"/>
    <w:rsid w:val="1D8FCC02"/>
    <w:rsid w:val="1D9564AB"/>
    <w:rsid w:val="1D9CC1D0"/>
    <w:rsid w:val="1DA2BED3"/>
    <w:rsid w:val="1DAC654A"/>
    <w:rsid w:val="1DADB1EC"/>
    <w:rsid w:val="1DBBA8C8"/>
    <w:rsid w:val="1DBD01DA"/>
    <w:rsid w:val="1DC702FE"/>
    <w:rsid w:val="1DCA1680"/>
    <w:rsid w:val="1DE86EBD"/>
    <w:rsid w:val="1DFD7E65"/>
    <w:rsid w:val="1E0D01D8"/>
    <w:rsid w:val="1E156B65"/>
    <w:rsid w:val="1E1B74CA"/>
    <w:rsid w:val="1E22F743"/>
    <w:rsid w:val="1E242A50"/>
    <w:rsid w:val="1E2AD2BD"/>
    <w:rsid w:val="1E2E7EBD"/>
    <w:rsid w:val="1E486108"/>
    <w:rsid w:val="1E4938F4"/>
    <w:rsid w:val="1E5662BF"/>
    <w:rsid w:val="1E5D2E5D"/>
    <w:rsid w:val="1E5F15C5"/>
    <w:rsid w:val="1E77F018"/>
    <w:rsid w:val="1E8BBD75"/>
    <w:rsid w:val="1EC20F3B"/>
    <w:rsid w:val="1EC8D30E"/>
    <w:rsid w:val="1ED039DA"/>
    <w:rsid w:val="1F0E35BE"/>
    <w:rsid w:val="1F134BA6"/>
    <w:rsid w:val="1F159353"/>
    <w:rsid w:val="1F17C204"/>
    <w:rsid w:val="1F2648D4"/>
    <w:rsid w:val="1F2F63E3"/>
    <w:rsid w:val="1F3B8A41"/>
    <w:rsid w:val="1F3BDBFD"/>
    <w:rsid w:val="1F8412A6"/>
    <w:rsid w:val="1F8D5639"/>
    <w:rsid w:val="1F99556D"/>
    <w:rsid w:val="1FA44BCA"/>
    <w:rsid w:val="1FB18B48"/>
    <w:rsid w:val="1FD41F34"/>
    <w:rsid w:val="1FDA7FF0"/>
    <w:rsid w:val="2010CF89"/>
    <w:rsid w:val="20130CCB"/>
    <w:rsid w:val="202036D8"/>
    <w:rsid w:val="2034A760"/>
    <w:rsid w:val="203D4540"/>
    <w:rsid w:val="203EEFC9"/>
    <w:rsid w:val="2045FEE3"/>
    <w:rsid w:val="2046DA6B"/>
    <w:rsid w:val="204B48CC"/>
    <w:rsid w:val="2051D3F5"/>
    <w:rsid w:val="20537F06"/>
    <w:rsid w:val="20551597"/>
    <w:rsid w:val="205BD147"/>
    <w:rsid w:val="205F031E"/>
    <w:rsid w:val="2062EA88"/>
    <w:rsid w:val="20700834"/>
    <w:rsid w:val="207FE26F"/>
    <w:rsid w:val="208A994E"/>
    <w:rsid w:val="20942C5D"/>
    <w:rsid w:val="2097B240"/>
    <w:rsid w:val="209E8564"/>
    <w:rsid w:val="209F0ED2"/>
    <w:rsid w:val="20B99319"/>
    <w:rsid w:val="20C22A61"/>
    <w:rsid w:val="20C2DA34"/>
    <w:rsid w:val="20D30B9B"/>
    <w:rsid w:val="20E7FAF0"/>
    <w:rsid w:val="20FD7D41"/>
    <w:rsid w:val="20FF06A5"/>
    <w:rsid w:val="2105A452"/>
    <w:rsid w:val="210839EB"/>
    <w:rsid w:val="2109A37C"/>
    <w:rsid w:val="211BC5D6"/>
    <w:rsid w:val="212B162B"/>
    <w:rsid w:val="21385794"/>
    <w:rsid w:val="2139129D"/>
    <w:rsid w:val="21409EBA"/>
    <w:rsid w:val="215ABBD6"/>
    <w:rsid w:val="215CEB8B"/>
    <w:rsid w:val="21680490"/>
    <w:rsid w:val="2175805D"/>
    <w:rsid w:val="217DDBF2"/>
    <w:rsid w:val="21B2FF72"/>
    <w:rsid w:val="21B5D154"/>
    <w:rsid w:val="21C1FB11"/>
    <w:rsid w:val="21CAC4C1"/>
    <w:rsid w:val="21D9BFCF"/>
    <w:rsid w:val="21E2B423"/>
    <w:rsid w:val="21EDA456"/>
    <w:rsid w:val="220021BC"/>
    <w:rsid w:val="22008375"/>
    <w:rsid w:val="2201A2C0"/>
    <w:rsid w:val="222AC102"/>
    <w:rsid w:val="222C417B"/>
    <w:rsid w:val="2246C31D"/>
    <w:rsid w:val="224C70E9"/>
    <w:rsid w:val="224EFFD2"/>
    <w:rsid w:val="225225A8"/>
    <w:rsid w:val="2254DF1D"/>
    <w:rsid w:val="226751A4"/>
    <w:rsid w:val="22692A62"/>
    <w:rsid w:val="2278B42B"/>
    <w:rsid w:val="228E1DCC"/>
    <w:rsid w:val="2291367F"/>
    <w:rsid w:val="22A3CA62"/>
    <w:rsid w:val="22A558FE"/>
    <w:rsid w:val="22AD84D2"/>
    <w:rsid w:val="22B07380"/>
    <w:rsid w:val="22B45053"/>
    <w:rsid w:val="22BA3795"/>
    <w:rsid w:val="22BA42BD"/>
    <w:rsid w:val="22C98B8E"/>
    <w:rsid w:val="22D4B8DA"/>
    <w:rsid w:val="22DCC92B"/>
    <w:rsid w:val="22DD2A64"/>
    <w:rsid w:val="22E54BB1"/>
    <w:rsid w:val="22F3DE48"/>
    <w:rsid w:val="2315E677"/>
    <w:rsid w:val="2321F41D"/>
    <w:rsid w:val="232263A7"/>
    <w:rsid w:val="232B24F8"/>
    <w:rsid w:val="232E9991"/>
    <w:rsid w:val="233F64AB"/>
    <w:rsid w:val="2349FC9E"/>
    <w:rsid w:val="2352DCC9"/>
    <w:rsid w:val="235A3FB6"/>
    <w:rsid w:val="2371A7A0"/>
    <w:rsid w:val="237541F7"/>
    <w:rsid w:val="23843EB9"/>
    <w:rsid w:val="2384A8DF"/>
    <w:rsid w:val="23878ACE"/>
    <w:rsid w:val="2394C7C4"/>
    <w:rsid w:val="23A9BDDA"/>
    <w:rsid w:val="23B1A631"/>
    <w:rsid w:val="23CED671"/>
    <w:rsid w:val="23D4C19C"/>
    <w:rsid w:val="23D78389"/>
    <w:rsid w:val="23D98BFE"/>
    <w:rsid w:val="23F07781"/>
    <w:rsid w:val="23F8B6F0"/>
    <w:rsid w:val="2404FA63"/>
    <w:rsid w:val="241874A8"/>
    <w:rsid w:val="241C60DE"/>
    <w:rsid w:val="24202FA7"/>
    <w:rsid w:val="242B292E"/>
    <w:rsid w:val="2435DDAF"/>
    <w:rsid w:val="2452C649"/>
    <w:rsid w:val="24575D9A"/>
    <w:rsid w:val="245AC656"/>
    <w:rsid w:val="246138A2"/>
    <w:rsid w:val="24668A30"/>
    <w:rsid w:val="246DAD7D"/>
    <w:rsid w:val="247B7CB9"/>
    <w:rsid w:val="2484527E"/>
    <w:rsid w:val="2493387A"/>
    <w:rsid w:val="24A50ACA"/>
    <w:rsid w:val="24BE4C76"/>
    <w:rsid w:val="24CCECB9"/>
    <w:rsid w:val="24E518F7"/>
    <w:rsid w:val="24FC1082"/>
    <w:rsid w:val="24FF389E"/>
    <w:rsid w:val="25032341"/>
    <w:rsid w:val="253176E6"/>
    <w:rsid w:val="25354E0D"/>
    <w:rsid w:val="2537F2D4"/>
    <w:rsid w:val="2541A5EF"/>
    <w:rsid w:val="254CB400"/>
    <w:rsid w:val="254D72A5"/>
    <w:rsid w:val="255DFCC5"/>
    <w:rsid w:val="2560B8A8"/>
    <w:rsid w:val="25611F09"/>
    <w:rsid w:val="256954DC"/>
    <w:rsid w:val="258BA887"/>
    <w:rsid w:val="25A6DA4E"/>
    <w:rsid w:val="25AD1652"/>
    <w:rsid w:val="25B06635"/>
    <w:rsid w:val="25B1B150"/>
    <w:rsid w:val="25C219BE"/>
    <w:rsid w:val="25C422E7"/>
    <w:rsid w:val="25DA8618"/>
    <w:rsid w:val="25DD6385"/>
    <w:rsid w:val="25ECF3BD"/>
    <w:rsid w:val="25EF2A00"/>
    <w:rsid w:val="25F49958"/>
    <w:rsid w:val="25F778DB"/>
    <w:rsid w:val="25FAD94C"/>
    <w:rsid w:val="25FD5DD0"/>
    <w:rsid w:val="260418C2"/>
    <w:rsid w:val="260C83C0"/>
    <w:rsid w:val="260E54C0"/>
    <w:rsid w:val="2617C8DB"/>
    <w:rsid w:val="262341D5"/>
    <w:rsid w:val="2627111C"/>
    <w:rsid w:val="262CFDB2"/>
    <w:rsid w:val="262DCDC5"/>
    <w:rsid w:val="26577E96"/>
    <w:rsid w:val="2657BD94"/>
    <w:rsid w:val="265958E2"/>
    <w:rsid w:val="26634F63"/>
    <w:rsid w:val="266CC61F"/>
    <w:rsid w:val="267B03ED"/>
    <w:rsid w:val="267B17D3"/>
    <w:rsid w:val="268A321F"/>
    <w:rsid w:val="269555F5"/>
    <w:rsid w:val="26961760"/>
    <w:rsid w:val="26AE9BB4"/>
    <w:rsid w:val="26B0E1C8"/>
    <w:rsid w:val="26BA58EA"/>
    <w:rsid w:val="26C31A6C"/>
    <w:rsid w:val="26C394C9"/>
    <w:rsid w:val="26CCD0B3"/>
    <w:rsid w:val="26D196AF"/>
    <w:rsid w:val="26DA334F"/>
    <w:rsid w:val="26DF7893"/>
    <w:rsid w:val="26E081CA"/>
    <w:rsid w:val="26EBFFBF"/>
    <w:rsid w:val="26FF44E9"/>
    <w:rsid w:val="2706E0BD"/>
    <w:rsid w:val="2711C7CE"/>
    <w:rsid w:val="2715774B"/>
    <w:rsid w:val="2715C2F7"/>
    <w:rsid w:val="2721F249"/>
    <w:rsid w:val="27285040"/>
    <w:rsid w:val="2728C8A1"/>
    <w:rsid w:val="272C0C59"/>
    <w:rsid w:val="27512B81"/>
    <w:rsid w:val="27625F88"/>
    <w:rsid w:val="27851470"/>
    <w:rsid w:val="2788C41E"/>
    <w:rsid w:val="278BF13E"/>
    <w:rsid w:val="27A6530D"/>
    <w:rsid w:val="27A9DEE2"/>
    <w:rsid w:val="27BA68A6"/>
    <w:rsid w:val="27BE3F28"/>
    <w:rsid w:val="27CD3BA9"/>
    <w:rsid w:val="27D8282E"/>
    <w:rsid w:val="27DC301D"/>
    <w:rsid w:val="27E72C18"/>
    <w:rsid w:val="27E7C984"/>
    <w:rsid w:val="280621B1"/>
    <w:rsid w:val="2815D7AC"/>
    <w:rsid w:val="282F2EC8"/>
    <w:rsid w:val="28485725"/>
    <w:rsid w:val="2854C5C9"/>
    <w:rsid w:val="287EEC1C"/>
    <w:rsid w:val="288F9859"/>
    <w:rsid w:val="288F9C68"/>
    <w:rsid w:val="28A16560"/>
    <w:rsid w:val="28C900E7"/>
    <w:rsid w:val="28CD38BD"/>
    <w:rsid w:val="28DE3502"/>
    <w:rsid w:val="28E1D9A9"/>
    <w:rsid w:val="28E24379"/>
    <w:rsid w:val="28EADB6B"/>
    <w:rsid w:val="2908F973"/>
    <w:rsid w:val="290F3388"/>
    <w:rsid w:val="291833DB"/>
    <w:rsid w:val="2944BA7F"/>
    <w:rsid w:val="294EB8A0"/>
    <w:rsid w:val="2951EEBF"/>
    <w:rsid w:val="2957BC1D"/>
    <w:rsid w:val="295A0F89"/>
    <w:rsid w:val="29653CBB"/>
    <w:rsid w:val="2980E5FA"/>
    <w:rsid w:val="2984F09B"/>
    <w:rsid w:val="298D0BB7"/>
    <w:rsid w:val="2995A3D9"/>
    <w:rsid w:val="299F45B6"/>
    <w:rsid w:val="29AE3A2A"/>
    <w:rsid w:val="29B9AC5D"/>
    <w:rsid w:val="29D03499"/>
    <w:rsid w:val="29DF1513"/>
    <w:rsid w:val="29E12799"/>
    <w:rsid w:val="29E1D6FB"/>
    <w:rsid w:val="29FD1432"/>
    <w:rsid w:val="2A07996F"/>
    <w:rsid w:val="2A28CD8A"/>
    <w:rsid w:val="2A3B1155"/>
    <w:rsid w:val="2A481C75"/>
    <w:rsid w:val="2A4C4733"/>
    <w:rsid w:val="2A4E9307"/>
    <w:rsid w:val="2A5058D0"/>
    <w:rsid w:val="2A59582E"/>
    <w:rsid w:val="2A5BA36D"/>
    <w:rsid w:val="2A600010"/>
    <w:rsid w:val="2A6A9DB3"/>
    <w:rsid w:val="2A787952"/>
    <w:rsid w:val="2A7B90D5"/>
    <w:rsid w:val="2A81B01B"/>
    <w:rsid w:val="2A8A90A4"/>
    <w:rsid w:val="2A9FC092"/>
    <w:rsid w:val="2AA50A33"/>
    <w:rsid w:val="2AA6C5CB"/>
    <w:rsid w:val="2AAB2B24"/>
    <w:rsid w:val="2AFEA58C"/>
    <w:rsid w:val="2B0D5BC1"/>
    <w:rsid w:val="2B0E8B41"/>
    <w:rsid w:val="2B1736DE"/>
    <w:rsid w:val="2B1F923B"/>
    <w:rsid w:val="2B2D8DFA"/>
    <w:rsid w:val="2B4027E2"/>
    <w:rsid w:val="2B4D1D84"/>
    <w:rsid w:val="2B54DC38"/>
    <w:rsid w:val="2B5AC567"/>
    <w:rsid w:val="2B8FEFD7"/>
    <w:rsid w:val="2B90B6FF"/>
    <w:rsid w:val="2BB64691"/>
    <w:rsid w:val="2BD7D924"/>
    <w:rsid w:val="2BE30974"/>
    <w:rsid w:val="2BE64048"/>
    <w:rsid w:val="2BE800E2"/>
    <w:rsid w:val="2BF8FD60"/>
    <w:rsid w:val="2C0316D2"/>
    <w:rsid w:val="2C171C98"/>
    <w:rsid w:val="2C1DAACD"/>
    <w:rsid w:val="2C2E1781"/>
    <w:rsid w:val="2C3E6DE3"/>
    <w:rsid w:val="2C48DD1A"/>
    <w:rsid w:val="2C4CF89A"/>
    <w:rsid w:val="2C524FAF"/>
    <w:rsid w:val="2C594C9C"/>
    <w:rsid w:val="2C5B2FBC"/>
    <w:rsid w:val="2C5EE22E"/>
    <w:rsid w:val="2C6C73B0"/>
    <w:rsid w:val="2C724C69"/>
    <w:rsid w:val="2C898EFE"/>
    <w:rsid w:val="2C97F0CF"/>
    <w:rsid w:val="2C9BA732"/>
    <w:rsid w:val="2C9E0E85"/>
    <w:rsid w:val="2CB79FD3"/>
    <w:rsid w:val="2CD7519E"/>
    <w:rsid w:val="2CE8FCAE"/>
    <w:rsid w:val="2CF7A961"/>
    <w:rsid w:val="2D07E890"/>
    <w:rsid w:val="2D2F3185"/>
    <w:rsid w:val="2D4417FE"/>
    <w:rsid w:val="2D445576"/>
    <w:rsid w:val="2D4C4F01"/>
    <w:rsid w:val="2D4CA170"/>
    <w:rsid w:val="2D541EDA"/>
    <w:rsid w:val="2D63BD81"/>
    <w:rsid w:val="2D6937ED"/>
    <w:rsid w:val="2D797327"/>
    <w:rsid w:val="2D7C808E"/>
    <w:rsid w:val="2D8B73FD"/>
    <w:rsid w:val="2D9AE65E"/>
    <w:rsid w:val="2D9DFE69"/>
    <w:rsid w:val="2D9E21A6"/>
    <w:rsid w:val="2DB6E475"/>
    <w:rsid w:val="2DBAE698"/>
    <w:rsid w:val="2DBDA5C9"/>
    <w:rsid w:val="2DC046EC"/>
    <w:rsid w:val="2DC09DF9"/>
    <w:rsid w:val="2DC42F9E"/>
    <w:rsid w:val="2DD4DC25"/>
    <w:rsid w:val="2DE3368A"/>
    <w:rsid w:val="2DED7A8E"/>
    <w:rsid w:val="2E036023"/>
    <w:rsid w:val="2E088DC5"/>
    <w:rsid w:val="2E169C6D"/>
    <w:rsid w:val="2E1DD9BD"/>
    <w:rsid w:val="2E301FE4"/>
    <w:rsid w:val="2E526948"/>
    <w:rsid w:val="2E53B46D"/>
    <w:rsid w:val="2E592CD4"/>
    <w:rsid w:val="2E5B5DA4"/>
    <w:rsid w:val="2E70C001"/>
    <w:rsid w:val="2E79F527"/>
    <w:rsid w:val="2E7C1BA7"/>
    <w:rsid w:val="2E7F384A"/>
    <w:rsid w:val="2E7F55B2"/>
    <w:rsid w:val="2E84E386"/>
    <w:rsid w:val="2EA808FA"/>
    <w:rsid w:val="2EADE164"/>
    <w:rsid w:val="2EB498BC"/>
    <w:rsid w:val="2EC38DDC"/>
    <w:rsid w:val="2EC3F0DE"/>
    <w:rsid w:val="2EC71F6C"/>
    <w:rsid w:val="2ED2F14A"/>
    <w:rsid w:val="2EEB4DED"/>
    <w:rsid w:val="2EED5DDA"/>
    <w:rsid w:val="2EF61B64"/>
    <w:rsid w:val="2EF851CF"/>
    <w:rsid w:val="2EFA4C32"/>
    <w:rsid w:val="2F0852B6"/>
    <w:rsid w:val="2F139FFE"/>
    <w:rsid w:val="2F190FF0"/>
    <w:rsid w:val="2F291288"/>
    <w:rsid w:val="2F294B95"/>
    <w:rsid w:val="2F2ED9D2"/>
    <w:rsid w:val="2F545257"/>
    <w:rsid w:val="2F5C9D1F"/>
    <w:rsid w:val="2F695F2F"/>
    <w:rsid w:val="2F6DF679"/>
    <w:rsid w:val="2F79FC42"/>
    <w:rsid w:val="2F7E7E54"/>
    <w:rsid w:val="2F7FD9D8"/>
    <w:rsid w:val="2F9254BD"/>
    <w:rsid w:val="2FB52ECF"/>
    <w:rsid w:val="2FB8A932"/>
    <w:rsid w:val="2FC6BC9B"/>
    <w:rsid w:val="2FCEC5CC"/>
    <w:rsid w:val="2FD6DD18"/>
    <w:rsid w:val="2FDFF893"/>
    <w:rsid w:val="2FE03B14"/>
    <w:rsid w:val="2FE1AE3F"/>
    <w:rsid w:val="2FEA537E"/>
    <w:rsid w:val="2FEC4CDF"/>
    <w:rsid w:val="3004E55D"/>
    <w:rsid w:val="3005E60E"/>
    <w:rsid w:val="3009277E"/>
    <w:rsid w:val="300CFE25"/>
    <w:rsid w:val="301430D5"/>
    <w:rsid w:val="302D6B51"/>
    <w:rsid w:val="303418DF"/>
    <w:rsid w:val="305988F0"/>
    <w:rsid w:val="30966265"/>
    <w:rsid w:val="30A48CD7"/>
    <w:rsid w:val="30AEA2C7"/>
    <w:rsid w:val="30B1DD3F"/>
    <w:rsid w:val="30B30566"/>
    <w:rsid w:val="30BB7205"/>
    <w:rsid w:val="30CCAA9F"/>
    <w:rsid w:val="30CF4194"/>
    <w:rsid w:val="31039BFC"/>
    <w:rsid w:val="31188A28"/>
    <w:rsid w:val="311C0424"/>
    <w:rsid w:val="313255A4"/>
    <w:rsid w:val="313823BF"/>
    <w:rsid w:val="314096CA"/>
    <w:rsid w:val="3146A5F1"/>
    <w:rsid w:val="31533077"/>
    <w:rsid w:val="3154273B"/>
    <w:rsid w:val="316A962D"/>
    <w:rsid w:val="316D563A"/>
    <w:rsid w:val="316FB91C"/>
    <w:rsid w:val="317191CA"/>
    <w:rsid w:val="3175315F"/>
    <w:rsid w:val="3185E189"/>
    <w:rsid w:val="31871491"/>
    <w:rsid w:val="31892014"/>
    <w:rsid w:val="3196DDCA"/>
    <w:rsid w:val="31A0A19C"/>
    <w:rsid w:val="31A4BD04"/>
    <w:rsid w:val="31A860C3"/>
    <w:rsid w:val="31C2A860"/>
    <w:rsid w:val="31C554FA"/>
    <w:rsid w:val="31D5308C"/>
    <w:rsid w:val="31D5880D"/>
    <w:rsid w:val="31E15771"/>
    <w:rsid w:val="31F52A21"/>
    <w:rsid w:val="3202E4B3"/>
    <w:rsid w:val="321823ED"/>
    <w:rsid w:val="3225BDBF"/>
    <w:rsid w:val="3230017D"/>
    <w:rsid w:val="3237E989"/>
    <w:rsid w:val="323A7369"/>
    <w:rsid w:val="323CAB8D"/>
    <w:rsid w:val="32491539"/>
    <w:rsid w:val="325F4E95"/>
    <w:rsid w:val="3269141B"/>
    <w:rsid w:val="3273658F"/>
    <w:rsid w:val="327667E9"/>
    <w:rsid w:val="327C0C12"/>
    <w:rsid w:val="3285EAE3"/>
    <w:rsid w:val="328E29B3"/>
    <w:rsid w:val="3297D7F8"/>
    <w:rsid w:val="329B133E"/>
    <w:rsid w:val="32A1C22D"/>
    <w:rsid w:val="32A45422"/>
    <w:rsid w:val="32A664F4"/>
    <w:rsid w:val="32A68D52"/>
    <w:rsid w:val="32B09A79"/>
    <w:rsid w:val="32B73B5F"/>
    <w:rsid w:val="32C051AE"/>
    <w:rsid w:val="32C0EBB1"/>
    <w:rsid w:val="32D9734F"/>
    <w:rsid w:val="32E2FC5E"/>
    <w:rsid w:val="3308E917"/>
    <w:rsid w:val="330FCD20"/>
    <w:rsid w:val="3317DBD6"/>
    <w:rsid w:val="331A37AF"/>
    <w:rsid w:val="331DE36A"/>
    <w:rsid w:val="332744E4"/>
    <w:rsid w:val="332EDF17"/>
    <w:rsid w:val="33482807"/>
    <w:rsid w:val="3350B9D4"/>
    <w:rsid w:val="3354C4BF"/>
    <w:rsid w:val="3359BDE3"/>
    <w:rsid w:val="33711976"/>
    <w:rsid w:val="33910BBB"/>
    <w:rsid w:val="33BA93A9"/>
    <w:rsid w:val="33C4D11E"/>
    <w:rsid w:val="33C8952F"/>
    <w:rsid w:val="33CC4E6F"/>
    <w:rsid w:val="33D0191F"/>
    <w:rsid w:val="33D28524"/>
    <w:rsid w:val="33D4EBF6"/>
    <w:rsid w:val="33EC1770"/>
    <w:rsid w:val="33F2E47B"/>
    <w:rsid w:val="34064A23"/>
    <w:rsid w:val="3409861F"/>
    <w:rsid w:val="341A08BB"/>
    <w:rsid w:val="34304912"/>
    <w:rsid w:val="343E47DF"/>
    <w:rsid w:val="343EFFF0"/>
    <w:rsid w:val="344E604C"/>
    <w:rsid w:val="34553F19"/>
    <w:rsid w:val="34562A48"/>
    <w:rsid w:val="345A642E"/>
    <w:rsid w:val="3469DD08"/>
    <w:rsid w:val="3484B9D3"/>
    <w:rsid w:val="34A2152C"/>
    <w:rsid w:val="34A3828A"/>
    <w:rsid w:val="34A87A8A"/>
    <w:rsid w:val="34B3160E"/>
    <w:rsid w:val="34B62C3D"/>
    <w:rsid w:val="34B9B3CB"/>
    <w:rsid w:val="34BFD8B5"/>
    <w:rsid w:val="34C799C3"/>
    <w:rsid w:val="34DE3820"/>
    <w:rsid w:val="34E6CAB3"/>
    <w:rsid w:val="34E722F3"/>
    <w:rsid w:val="34ED2443"/>
    <w:rsid w:val="34FF4AD6"/>
    <w:rsid w:val="3505FED7"/>
    <w:rsid w:val="35189303"/>
    <w:rsid w:val="351F36CF"/>
    <w:rsid w:val="352A5EFE"/>
    <w:rsid w:val="352D4130"/>
    <w:rsid w:val="3539238B"/>
    <w:rsid w:val="3556AB4C"/>
    <w:rsid w:val="355CB0FF"/>
    <w:rsid w:val="356AC550"/>
    <w:rsid w:val="356EDE8A"/>
    <w:rsid w:val="3577457B"/>
    <w:rsid w:val="35867689"/>
    <w:rsid w:val="35868C26"/>
    <w:rsid w:val="35872496"/>
    <w:rsid w:val="35885174"/>
    <w:rsid w:val="35893FB1"/>
    <w:rsid w:val="358AC976"/>
    <w:rsid w:val="359F645C"/>
    <w:rsid w:val="35A7F875"/>
    <w:rsid w:val="35DF96E7"/>
    <w:rsid w:val="35E0E469"/>
    <w:rsid w:val="35E4CB02"/>
    <w:rsid w:val="35E67B55"/>
    <w:rsid w:val="35E67EAC"/>
    <w:rsid w:val="360428FE"/>
    <w:rsid w:val="361A4227"/>
    <w:rsid w:val="361B31E1"/>
    <w:rsid w:val="3625CA3C"/>
    <w:rsid w:val="3632473D"/>
    <w:rsid w:val="363895E7"/>
    <w:rsid w:val="36586A59"/>
    <w:rsid w:val="365EE5A6"/>
    <w:rsid w:val="365FC1CB"/>
    <w:rsid w:val="366FBDE2"/>
    <w:rsid w:val="36710315"/>
    <w:rsid w:val="368A59E6"/>
    <w:rsid w:val="3692EC4B"/>
    <w:rsid w:val="36AB4681"/>
    <w:rsid w:val="36B14F08"/>
    <w:rsid w:val="36C217FC"/>
    <w:rsid w:val="36C91409"/>
    <w:rsid w:val="36CEA3FB"/>
    <w:rsid w:val="36FE723E"/>
    <w:rsid w:val="37004ABF"/>
    <w:rsid w:val="3701620E"/>
    <w:rsid w:val="37217BE0"/>
    <w:rsid w:val="37255ABB"/>
    <w:rsid w:val="37258C1C"/>
    <w:rsid w:val="3737D786"/>
    <w:rsid w:val="37425128"/>
    <w:rsid w:val="3745A61A"/>
    <w:rsid w:val="375156B8"/>
    <w:rsid w:val="3753EC5D"/>
    <w:rsid w:val="377A11A7"/>
    <w:rsid w:val="378DE899"/>
    <w:rsid w:val="379616B0"/>
    <w:rsid w:val="379CE73E"/>
    <w:rsid w:val="37AB034B"/>
    <w:rsid w:val="37B76F8A"/>
    <w:rsid w:val="37C0CF94"/>
    <w:rsid w:val="37C48486"/>
    <w:rsid w:val="37C7A6C0"/>
    <w:rsid w:val="37C9332B"/>
    <w:rsid w:val="37DABBE6"/>
    <w:rsid w:val="37DEFAA0"/>
    <w:rsid w:val="37ED78A6"/>
    <w:rsid w:val="3801A23E"/>
    <w:rsid w:val="380672BD"/>
    <w:rsid w:val="38082201"/>
    <w:rsid w:val="383835D1"/>
    <w:rsid w:val="3839EB58"/>
    <w:rsid w:val="384252A5"/>
    <w:rsid w:val="3847335B"/>
    <w:rsid w:val="385212CA"/>
    <w:rsid w:val="385E7AEF"/>
    <w:rsid w:val="385FC094"/>
    <w:rsid w:val="38645C9E"/>
    <w:rsid w:val="3871D439"/>
    <w:rsid w:val="3875CD37"/>
    <w:rsid w:val="387966F5"/>
    <w:rsid w:val="388C0897"/>
    <w:rsid w:val="388F32C2"/>
    <w:rsid w:val="388F9514"/>
    <w:rsid w:val="389446D6"/>
    <w:rsid w:val="38CD9188"/>
    <w:rsid w:val="38D0693F"/>
    <w:rsid w:val="38D9763C"/>
    <w:rsid w:val="38DD9949"/>
    <w:rsid w:val="38EB2209"/>
    <w:rsid w:val="38FC6F18"/>
    <w:rsid w:val="38FC8C60"/>
    <w:rsid w:val="390822C2"/>
    <w:rsid w:val="390CD193"/>
    <w:rsid w:val="3920E66B"/>
    <w:rsid w:val="392C4F29"/>
    <w:rsid w:val="39375D99"/>
    <w:rsid w:val="39442E16"/>
    <w:rsid w:val="394661FA"/>
    <w:rsid w:val="394A62B0"/>
    <w:rsid w:val="395ABB4E"/>
    <w:rsid w:val="397034CF"/>
    <w:rsid w:val="398E5C5B"/>
    <w:rsid w:val="3994EC10"/>
    <w:rsid w:val="399BB6A4"/>
    <w:rsid w:val="39A3CC74"/>
    <w:rsid w:val="39A88066"/>
    <w:rsid w:val="39BEBA7B"/>
    <w:rsid w:val="39CAFA46"/>
    <w:rsid w:val="39DFCF82"/>
    <w:rsid w:val="39F4F0ED"/>
    <w:rsid w:val="39FC3A28"/>
    <w:rsid w:val="3A0644BD"/>
    <w:rsid w:val="3A1528AD"/>
    <w:rsid w:val="3A1C4566"/>
    <w:rsid w:val="3A20B17D"/>
    <w:rsid w:val="3A249713"/>
    <w:rsid w:val="3A28DF14"/>
    <w:rsid w:val="3A3F1067"/>
    <w:rsid w:val="3A3F758F"/>
    <w:rsid w:val="3A44C168"/>
    <w:rsid w:val="3A488C55"/>
    <w:rsid w:val="3A647714"/>
    <w:rsid w:val="3A7955A0"/>
    <w:rsid w:val="3A9051D2"/>
    <w:rsid w:val="3AA75CDC"/>
    <w:rsid w:val="3AA9B3B2"/>
    <w:rsid w:val="3AB87C16"/>
    <w:rsid w:val="3AC69956"/>
    <w:rsid w:val="3AC7FABF"/>
    <w:rsid w:val="3AD2F845"/>
    <w:rsid w:val="3AD825A0"/>
    <w:rsid w:val="3AE0A9A3"/>
    <w:rsid w:val="3AE14483"/>
    <w:rsid w:val="3AF56733"/>
    <w:rsid w:val="3AF86B51"/>
    <w:rsid w:val="3B01DC53"/>
    <w:rsid w:val="3B0AF96E"/>
    <w:rsid w:val="3B0E55BB"/>
    <w:rsid w:val="3B1347DF"/>
    <w:rsid w:val="3B187CF6"/>
    <w:rsid w:val="3B197EEF"/>
    <w:rsid w:val="3B1E78FD"/>
    <w:rsid w:val="3B3BAB0A"/>
    <w:rsid w:val="3B4074C7"/>
    <w:rsid w:val="3B4AD206"/>
    <w:rsid w:val="3B6C45DB"/>
    <w:rsid w:val="3B6FF43D"/>
    <w:rsid w:val="3B70EDED"/>
    <w:rsid w:val="3B7E498E"/>
    <w:rsid w:val="3B84AB4F"/>
    <w:rsid w:val="3B89B38C"/>
    <w:rsid w:val="3B9CF4FC"/>
    <w:rsid w:val="3BA897C7"/>
    <w:rsid w:val="3BC1FF4C"/>
    <w:rsid w:val="3BD28443"/>
    <w:rsid w:val="3BF06FBB"/>
    <w:rsid w:val="3BFC1333"/>
    <w:rsid w:val="3C13F4C5"/>
    <w:rsid w:val="3C1DC0F8"/>
    <w:rsid w:val="3C3D0F1C"/>
    <w:rsid w:val="3C3F8D36"/>
    <w:rsid w:val="3C4F751D"/>
    <w:rsid w:val="3C50AD47"/>
    <w:rsid w:val="3C530211"/>
    <w:rsid w:val="3C54BD64"/>
    <w:rsid w:val="3C57DC1B"/>
    <w:rsid w:val="3C5995DB"/>
    <w:rsid w:val="3C5C57E6"/>
    <w:rsid w:val="3C6B13BE"/>
    <w:rsid w:val="3C8A5CBA"/>
    <w:rsid w:val="3CA4BCC1"/>
    <w:rsid w:val="3CBA40D5"/>
    <w:rsid w:val="3CBA5086"/>
    <w:rsid w:val="3CBDFCA9"/>
    <w:rsid w:val="3CC2F560"/>
    <w:rsid w:val="3CC5B011"/>
    <w:rsid w:val="3CDC30E7"/>
    <w:rsid w:val="3CDC4217"/>
    <w:rsid w:val="3CE2CD6C"/>
    <w:rsid w:val="3CEEDBEE"/>
    <w:rsid w:val="3CFB2516"/>
    <w:rsid w:val="3D148623"/>
    <w:rsid w:val="3D262813"/>
    <w:rsid w:val="3D26D618"/>
    <w:rsid w:val="3D2AA2FD"/>
    <w:rsid w:val="3D300E8B"/>
    <w:rsid w:val="3D31044A"/>
    <w:rsid w:val="3D334890"/>
    <w:rsid w:val="3D446828"/>
    <w:rsid w:val="3D4521EA"/>
    <w:rsid w:val="3D52C3D7"/>
    <w:rsid w:val="3D549B3D"/>
    <w:rsid w:val="3D54B7B5"/>
    <w:rsid w:val="3D5C75E9"/>
    <w:rsid w:val="3D5F3C53"/>
    <w:rsid w:val="3D78445A"/>
    <w:rsid w:val="3D78FA0C"/>
    <w:rsid w:val="3D818645"/>
    <w:rsid w:val="3D924551"/>
    <w:rsid w:val="3D9E6CBD"/>
    <w:rsid w:val="3DA8311C"/>
    <w:rsid w:val="3DBD6872"/>
    <w:rsid w:val="3DC82C17"/>
    <w:rsid w:val="3DC8A36B"/>
    <w:rsid w:val="3DCDC77C"/>
    <w:rsid w:val="3DFD632E"/>
    <w:rsid w:val="3E0FC662"/>
    <w:rsid w:val="3E16B6CE"/>
    <w:rsid w:val="3E25BAF2"/>
    <w:rsid w:val="3E266988"/>
    <w:rsid w:val="3E2E4EE8"/>
    <w:rsid w:val="3E46AF69"/>
    <w:rsid w:val="3E567ADB"/>
    <w:rsid w:val="3E5C1D42"/>
    <w:rsid w:val="3E640A92"/>
    <w:rsid w:val="3E64F104"/>
    <w:rsid w:val="3E9A673B"/>
    <w:rsid w:val="3EA021C7"/>
    <w:rsid w:val="3EA21DC8"/>
    <w:rsid w:val="3EB0D9F4"/>
    <w:rsid w:val="3EC4A8C8"/>
    <w:rsid w:val="3ECA71AC"/>
    <w:rsid w:val="3EE2292C"/>
    <w:rsid w:val="3EE986EE"/>
    <w:rsid w:val="3F051969"/>
    <w:rsid w:val="3F280D6C"/>
    <w:rsid w:val="3F2D5EF3"/>
    <w:rsid w:val="3F4120B3"/>
    <w:rsid w:val="3F63FC78"/>
    <w:rsid w:val="3F72CB23"/>
    <w:rsid w:val="3F7D24D5"/>
    <w:rsid w:val="3F82FE57"/>
    <w:rsid w:val="3F923778"/>
    <w:rsid w:val="3F94641C"/>
    <w:rsid w:val="3F95FEF4"/>
    <w:rsid w:val="3F998B74"/>
    <w:rsid w:val="3FA2596D"/>
    <w:rsid w:val="3FA4F9F0"/>
    <w:rsid w:val="3FA8160C"/>
    <w:rsid w:val="3FAFC908"/>
    <w:rsid w:val="3FCA5698"/>
    <w:rsid w:val="3FCC12CF"/>
    <w:rsid w:val="3FD0E428"/>
    <w:rsid w:val="3FD5EEA9"/>
    <w:rsid w:val="400789F8"/>
    <w:rsid w:val="4007CF28"/>
    <w:rsid w:val="400DDFB6"/>
    <w:rsid w:val="40103D72"/>
    <w:rsid w:val="401C1602"/>
    <w:rsid w:val="402D7FB1"/>
    <w:rsid w:val="403996D3"/>
    <w:rsid w:val="403D8FC6"/>
    <w:rsid w:val="4047BAC1"/>
    <w:rsid w:val="404BB073"/>
    <w:rsid w:val="40741855"/>
    <w:rsid w:val="407ED908"/>
    <w:rsid w:val="409B222C"/>
    <w:rsid w:val="409DACB4"/>
    <w:rsid w:val="40A7F3F3"/>
    <w:rsid w:val="40B2258E"/>
    <w:rsid w:val="40CAD739"/>
    <w:rsid w:val="40DABE58"/>
    <w:rsid w:val="40E3FF96"/>
    <w:rsid w:val="40EAF504"/>
    <w:rsid w:val="40F74717"/>
    <w:rsid w:val="41058E1E"/>
    <w:rsid w:val="4117965F"/>
    <w:rsid w:val="4122A786"/>
    <w:rsid w:val="4128A9E1"/>
    <w:rsid w:val="4128E0B2"/>
    <w:rsid w:val="412EAB8C"/>
    <w:rsid w:val="414055DA"/>
    <w:rsid w:val="415E3989"/>
    <w:rsid w:val="415E8082"/>
    <w:rsid w:val="415E9D73"/>
    <w:rsid w:val="416AAF22"/>
    <w:rsid w:val="41771939"/>
    <w:rsid w:val="41889E61"/>
    <w:rsid w:val="418A694C"/>
    <w:rsid w:val="41913F8D"/>
    <w:rsid w:val="41932F7B"/>
    <w:rsid w:val="419AE70A"/>
    <w:rsid w:val="41A85753"/>
    <w:rsid w:val="41AC3ADE"/>
    <w:rsid w:val="41C5141F"/>
    <w:rsid w:val="41CC59A4"/>
    <w:rsid w:val="41CE927B"/>
    <w:rsid w:val="41D2890B"/>
    <w:rsid w:val="41D74854"/>
    <w:rsid w:val="41E7F746"/>
    <w:rsid w:val="4205BDC2"/>
    <w:rsid w:val="4208390C"/>
    <w:rsid w:val="421BB143"/>
    <w:rsid w:val="422CF2B7"/>
    <w:rsid w:val="423700D5"/>
    <w:rsid w:val="4239DC3C"/>
    <w:rsid w:val="4252416E"/>
    <w:rsid w:val="425CC9C9"/>
    <w:rsid w:val="4268E9A3"/>
    <w:rsid w:val="4279077F"/>
    <w:rsid w:val="427D764E"/>
    <w:rsid w:val="42806DE1"/>
    <w:rsid w:val="42A6107B"/>
    <w:rsid w:val="42AEBA59"/>
    <w:rsid w:val="42CB9E5E"/>
    <w:rsid w:val="42DACAFC"/>
    <w:rsid w:val="42F1E7F9"/>
    <w:rsid w:val="431F130C"/>
    <w:rsid w:val="432103C1"/>
    <w:rsid w:val="432A775C"/>
    <w:rsid w:val="432F4A9E"/>
    <w:rsid w:val="43302501"/>
    <w:rsid w:val="43409B80"/>
    <w:rsid w:val="43560B6F"/>
    <w:rsid w:val="43647076"/>
    <w:rsid w:val="436D896B"/>
    <w:rsid w:val="4373BD0B"/>
    <w:rsid w:val="437CD3B8"/>
    <w:rsid w:val="437D9A88"/>
    <w:rsid w:val="43814818"/>
    <w:rsid w:val="43835135"/>
    <w:rsid w:val="43929A06"/>
    <w:rsid w:val="43A9091A"/>
    <w:rsid w:val="43CCA854"/>
    <w:rsid w:val="43D74279"/>
    <w:rsid w:val="43E25BB2"/>
    <w:rsid w:val="43E646AD"/>
    <w:rsid w:val="43E9D199"/>
    <w:rsid w:val="43ECB682"/>
    <w:rsid w:val="4414D7E0"/>
    <w:rsid w:val="441FE28F"/>
    <w:rsid w:val="4429A942"/>
    <w:rsid w:val="442E403B"/>
    <w:rsid w:val="444D8FBA"/>
    <w:rsid w:val="444E1CEB"/>
    <w:rsid w:val="44513A53"/>
    <w:rsid w:val="4455F6CD"/>
    <w:rsid w:val="4458A737"/>
    <w:rsid w:val="445D7420"/>
    <w:rsid w:val="4471033A"/>
    <w:rsid w:val="44728F30"/>
    <w:rsid w:val="4490E8A8"/>
    <w:rsid w:val="44A89E5A"/>
    <w:rsid w:val="44BB4127"/>
    <w:rsid w:val="44BE7066"/>
    <w:rsid w:val="44C00D5E"/>
    <w:rsid w:val="44CA4235"/>
    <w:rsid w:val="44CC4CF9"/>
    <w:rsid w:val="44D70E6A"/>
    <w:rsid w:val="44DC1F98"/>
    <w:rsid w:val="44DEC8B5"/>
    <w:rsid w:val="44E05175"/>
    <w:rsid w:val="44FA4AE2"/>
    <w:rsid w:val="44FB49FA"/>
    <w:rsid w:val="45014D0C"/>
    <w:rsid w:val="45052615"/>
    <w:rsid w:val="4515F505"/>
    <w:rsid w:val="451D402E"/>
    <w:rsid w:val="452884BE"/>
    <w:rsid w:val="45298D10"/>
    <w:rsid w:val="453BCFC2"/>
    <w:rsid w:val="454B105B"/>
    <w:rsid w:val="45501185"/>
    <w:rsid w:val="45506A3F"/>
    <w:rsid w:val="4552AABF"/>
    <w:rsid w:val="45554C3C"/>
    <w:rsid w:val="4564066D"/>
    <w:rsid w:val="4584F8DE"/>
    <w:rsid w:val="4587694C"/>
    <w:rsid w:val="45974EF0"/>
    <w:rsid w:val="45996E6C"/>
    <w:rsid w:val="459A7DAA"/>
    <w:rsid w:val="459E485C"/>
    <w:rsid w:val="45AAA947"/>
    <w:rsid w:val="45B117C5"/>
    <w:rsid w:val="45C8A3C7"/>
    <w:rsid w:val="45D4E97E"/>
    <w:rsid w:val="45E20123"/>
    <w:rsid w:val="45F82990"/>
    <w:rsid w:val="45FF7501"/>
    <w:rsid w:val="460AC5E3"/>
    <w:rsid w:val="460D8771"/>
    <w:rsid w:val="460E330D"/>
    <w:rsid w:val="461EA69F"/>
    <w:rsid w:val="462A20E8"/>
    <w:rsid w:val="46336CEA"/>
    <w:rsid w:val="4637F930"/>
    <w:rsid w:val="4639B03E"/>
    <w:rsid w:val="463BF0EC"/>
    <w:rsid w:val="4640E09C"/>
    <w:rsid w:val="4646AA57"/>
    <w:rsid w:val="46512355"/>
    <w:rsid w:val="466BD383"/>
    <w:rsid w:val="46822732"/>
    <w:rsid w:val="468AB1E2"/>
    <w:rsid w:val="46937117"/>
    <w:rsid w:val="469489D0"/>
    <w:rsid w:val="46B707B3"/>
    <w:rsid w:val="46C00688"/>
    <w:rsid w:val="46C6F8E2"/>
    <w:rsid w:val="46E82B63"/>
    <w:rsid w:val="46F53EB4"/>
    <w:rsid w:val="46FF2FAD"/>
    <w:rsid w:val="47021A89"/>
    <w:rsid w:val="4705355B"/>
    <w:rsid w:val="471450AF"/>
    <w:rsid w:val="4728EA07"/>
    <w:rsid w:val="472B649C"/>
    <w:rsid w:val="472EBC94"/>
    <w:rsid w:val="474FDF45"/>
    <w:rsid w:val="475175CF"/>
    <w:rsid w:val="47540168"/>
    <w:rsid w:val="47542D5F"/>
    <w:rsid w:val="476DFE8F"/>
    <w:rsid w:val="477731E0"/>
    <w:rsid w:val="478724FC"/>
    <w:rsid w:val="47919379"/>
    <w:rsid w:val="47A87BE9"/>
    <w:rsid w:val="47A8C2DE"/>
    <w:rsid w:val="47ABBF9E"/>
    <w:rsid w:val="47B4CF4D"/>
    <w:rsid w:val="47B7C3F2"/>
    <w:rsid w:val="47E8E2D0"/>
    <w:rsid w:val="4830578A"/>
    <w:rsid w:val="483582FB"/>
    <w:rsid w:val="48527833"/>
    <w:rsid w:val="4857B52E"/>
    <w:rsid w:val="4857B7B1"/>
    <w:rsid w:val="48583F11"/>
    <w:rsid w:val="485A5CBD"/>
    <w:rsid w:val="4869979A"/>
    <w:rsid w:val="48716BE4"/>
    <w:rsid w:val="4872BB84"/>
    <w:rsid w:val="4872C26C"/>
    <w:rsid w:val="4873D269"/>
    <w:rsid w:val="4887CA4E"/>
    <w:rsid w:val="4888DAEF"/>
    <w:rsid w:val="488F3E79"/>
    <w:rsid w:val="48AC60FA"/>
    <w:rsid w:val="48AF364B"/>
    <w:rsid w:val="48B69737"/>
    <w:rsid w:val="48BB1FBB"/>
    <w:rsid w:val="48BE4B33"/>
    <w:rsid w:val="48DC5B27"/>
    <w:rsid w:val="48E212ED"/>
    <w:rsid w:val="48E9DA0F"/>
    <w:rsid w:val="48EAC747"/>
    <w:rsid w:val="48F00DC7"/>
    <w:rsid w:val="48F303C4"/>
    <w:rsid w:val="48F8E2AC"/>
    <w:rsid w:val="48F93DE3"/>
    <w:rsid w:val="4904FD1C"/>
    <w:rsid w:val="491422D7"/>
    <w:rsid w:val="4916FA1C"/>
    <w:rsid w:val="492EFEFA"/>
    <w:rsid w:val="493548F9"/>
    <w:rsid w:val="493ABD05"/>
    <w:rsid w:val="49448E33"/>
    <w:rsid w:val="494B6ABA"/>
    <w:rsid w:val="494EF2C7"/>
    <w:rsid w:val="49539453"/>
    <w:rsid w:val="499D6C7C"/>
    <w:rsid w:val="49A8902B"/>
    <w:rsid w:val="49AAD31A"/>
    <w:rsid w:val="49B1DA6E"/>
    <w:rsid w:val="49BE64E9"/>
    <w:rsid w:val="49C4B96E"/>
    <w:rsid w:val="49E34853"/>
    <w:rsid w:val="49EA5938"/>
    <w:rsid w:val="49EDD6A2"/>
    <w:rsid w:val="4A01CB0D"/>
    <w:rsid w:val="4A0B607D"/>
    <w:rsid w:val="4A2A289F"/>
    <w:rsid w:val="4A2A8E11"/>
    <w:rsid w:val="4A355326"/>
    <w:rsid w:val="4A46AF9B"/>
    <w:rsid w:val="4A4775A2"/>
    <w:rsid w:val="4A4FAD25"/>
    <w:rsid w:val="4A55CB39"/>
    <w:rsid w:val="4A59672E"/>
    <w:rsid w:val="4A612ABC"/>
    <w:rsid w:val="4A628A6A"/>
    <w:rsid w:val="4A693446"/>
    <w:rsid w:val="4A69C4C9"/>
    <w:rsid w:val="4A71EC96"/>
    <w:rsid w:val="4A7A3793"/>
    <w:rsid w:val="4A7EC281"/>
    <w:rsid w:val="4A8EE1A2"/>
    <w:rsid w:val="4AB80255"/>
    <w:rsid w:val="4AB8A8B8"/>
    <w:rsid w:val="4AC274B4"/>
    <w:rsid w:val="4ACA4CBF"/>
    <w:rsid w:val="4ACC468C"/>
    <w:rsid w:val="4AD006B4"/>
    <w:rsid w:val="4AD23987"/>
    <w:rsid w:val="4AD816FC"/>
    <w:rsid w:val="4ADBA66D"/>
    <w:rsid w:val="4ADD11A4"/>
    <w:rsid w:val="4AF34440"/>
    <w:rsid w:val="4AF82E6C"/>
    <w:rsid w:val="4AFA5651"/>
    <w:rsid w:val="4AFC9875"/>
    <w:rsid w:val="4B02EF57"/>
    <w:rsid w:val="4B059A87"/>
    <w:rsid w:val="4B1ED65B"/>
    <w:rsid w:val="4B2E0C40"/>
    <w:rsid w:val="4B38FF53"/>
    <w:rsid w:val="4B3B8709"/>
    <w:rsid w:val="4B414924"/>
    <w:rsid w:val="4B49DE53"/>
    <w:rsid w:val="4B4B4844"/>
    <w:rsid w:val="4B4B6EF0"/>
    <w:rsid w:val="4B4C80F7"/>
    <w:rsid w:val="4B5A8F7F"/>
    <w:rsid w:val="4B5EA6C1"/>
    <w:rsid w:val="4B6089CF"/>
    <w:rsid w:val="4B66C9A0"/>
    <w:rsid w:val="4B7F47C3"/>
    <w:rsid w:val="4B808374"/>
    <w:rsid w:val="4B87C35E"/>
    <w:rsid w:val="4BAB21D8"/>
    <w:rsid w:val="4BACCD94"/>
    <w:rsid w:val="4BB17EA6"/>
    <w:rsid w:val="4BB7BE59"/>
    <w:rsid w:val="4BC7A883"/>
    <w:rsid w:val="4BE33188"/>
    <w:rsid w:val="4BE34352"/>
    <w:rsid w:val="4BEB0A07"/>
    <w:rsid w:val="4BED6B28"/>
    <w:rsid w:val="4BF63E61"/>
    <w:rsid w:val="4BFDAE3C"/>
    <w:rsid w:val="4C08D962"/>
    <w:rsid w:val="4C11CE3B"/>
    <w:rsid w:val="4C23EC3A"/>
    <w:rsid w:val="4C254AB0"/>
    <w:rsid w:val="4C29E054"/>
    <w:rsid w:val="4C313EE4"/>
    <w:rsid w:val="4C3248DB"/>
    <w:rsid w:val="4C655CEB"/>
    <w:rsid w:val="4C7EE08C"/>
    <w:rsid w:val="4C84399C"/>
    <w:rsid w:val="4C84CE79"/>
    <w:rsid w:val="4C8AC603"/>
    <w:rsid w:val="4C985CC2"/>
    <w:rsid w:val="4C98D615"/>
    <w:rsid w:val="4CA1D59A"/>
    <w:rsid w:val="4CA4DFE8"/>
    <w:rsid w:val="4CA5015D"/>
    <w:rsid w:val="4CA85AD2"/>
    <w:rsid w:val="4CA902CA"/>
    <w:rsid w:val="4CAC9F53"/>
    <w:rsid w:val="4CAF1DD1"/>
    <w:rsid w:val="4CCE13FC"/>
    <w:rsid w:val="4CD6E97D"/>
    <w:rsid w:val="4CE6DF66"/>
    <w:rsid w:val="4CE73F51"/>
    <w:rsid w:val="4CEC13D3"/>
    <w:rsid w:val="4CF3F340"/>
    <w:rsid w:val="4CFE572D"/>
    <w:rsid w:val="4D0A43FA"/>
    <w:rsid w:val="4D0C1C60"/>
    <w:rsid w:val="4D0F99F8"/>
    <w:rsid w:val="4D190C67"/>
    <w:rsid w:val="4D1AE199"/>
    <w:rsid w:val="4D23DE95"/>
    <w:rsid w:val="4D4BE333"/>
    <w:rsid w:val="4D5AAEB7"/>
    <w:rsid w:val="4D7191D6"/>
    <w:rsid w:val="4D77A3D1"/>
    <w:rsid w:val="4D805EF8"/>
    <w:rsid w:val="4D863563"/>
    <w:rsid w:val="4D9BB7F9"/>
    <w:rsid w:val="4DB037BF"/>
    <w:rsid w:val="4DB83CD9"/>
    <w:rsid w:val="4DB99980"/>
    <w:rsid w:val="4DC76D46"/>
    <w:rsid w:val="4DCC392B"/>
    <w:rsid w:val="4DD66875"/>
    <w:rsid w:val="4DDF331C"/>
    <w:rsid w:val="4DE9EC3A"/>
    <w:rsid w:val="4DF02303"/>
    <w:rsid w:val="4DF62E83"/>
    <w:rsid w:val="4E08BA1C"/>
    <w:rsid w:val="4E2C27F9"/>
    <w:rsid w:val="4E31124A"/>
    <w:rsid w:val="4E4BFBDC"/>
    <w:rsid w:val="4E5AF43B"/>
    <w:rsid w:val="4E94B20C"/>
    <w:rsid w:val="4E9C6059"/>
    <w:rsid w:val="4EA2ED5D"/>
    <w:rsid w:val="4EAB4C0A"/>
    <w:rsid w:val="4EC74F2F"/>
    <w:rsid w:val="4ECA4E82"/>
    <w:rsid w:val="4ED212D4"/>
    <w:rsid w:val="4ED97A7B"/>
    <w:rsid w:val="4EF0A9A5"/>
    <w:rsid w:val="4EF565FD"/>
    <w:rsid w:val="4EF753D6"/>
    <w:rsid w:val="4EFE6496"/>
    <w:rsid w:val="4F024C3C"/>
    <w:rsid w:val="4F02CF56"/>
    <w:rsid w:val="4F09572E"/>
    <w:rsid w:val="4F0CB69B"/>
    <w:rsid w:val="4F0D6237"/>
    <w:rsid w:val="4F21FE51"/>
    <w:rsid w:val="4F26CC95"/>
    <w:rsid w:val="4F3797B5"/>
    <w:rsid w:val="4F4A73DF"/>
    <w:rsid w:val="4F591B93"/>
    <w:rsid w:val="4F70C75E"/>
    <w:rsid w:val="4F716581"/>
    <w:rsid w:val="4F7C971B"/>
    <w:rsid w:val="4F8959BF"/>
    <w:rsid w:val="4F9D6A66"/>
    <w:rsid w:val="4F9E46B2"/>
    <w:rsid w:val="4FAB51A4"/>
    <w:rsid w:val="4FB526A8"/>
    <w:rsid w:val="4FBA92D1"/>
    <w:rsid w:val="4FC6FF2E"/>
    <w:rsid w:val="4FC773F0"/>
    <w:rsid w:val="4FC8F0E9"/>
    <w:rsid w:val="4FCFF0E7"/>
    <w:rsid w:val="4FEF789E"/>
    <w:rsid w:val="4FF3C976"/>
    <w:rsid w:val="4FF52596"/>
    <w:rsid w:val="5003DF1B"/>
    <w:rsid w:val="5011C995"/>
    <w:rsid w:val="5023EE10"/>
    <w:rsid w:val="502810F5"/>
    <w:rsid w:val="502B9402"/>
    <w:rsid w:val="5030EB6B"/>
    <w:rsid w:val="5041CBEF"/>
    <w:rsid w:val="50426711"/>
    <w:rsid w:val="50437784"/>
    <w:rsid w:val="5047524D"/>
    <w:rsid w:val="50502428"/>
    <w:rsid w:val="50546CE8"/>
    <w:rsid w:val="50562516"/>
    <w:rsid w:val="505EEE1C"/>
    <w:rsid w:val="50635CB9"/>
    <w:rsid w:val="506ABD59"/>
    <w:rsid w:val="506E44B5"/>
    <w:rsid w:val="50787B9D"/>
    <w:rsid w:val="507C0701"/>
    <w:rsid w:val="50803BBE"/>
    <w:rsid w:val="50909EBB"/>
    <w:rsid w:val="50B0DE17"/>
    <w:rsid w:val="50CCBF9E"/>
    <w:rsid w:val="50EAA772"/>
    <w:rsid w:val="50F6378A"/>
    <w:rsid w:val="51011A5A"/>
    <w:rsid w:val="511CCC6B"/>
    <w:rsid w:val="511DC996"/>
    <w:rsid w:val="511DE9E0"/>
    <w:rsid w:val="5132C58F"/>
    <w:rsid w:val="51336F1E"/>
    <w:rsid w:val="514EF774"/>
    <w:rsid w:val="514FF0AC"/>
    <w:rsid w:val="515C1295"/>
    <w:rsid w:val="517FD12D"/>
    <w:rsid w:val="51886D85"/>
    <w:rsid w:val="5192996E"/>
    <w:rsid w:val="519F7710"/>
    <w:rsid w:val="51BA5089"/>
    <w:rsid w:val="51BC0A75"/>
    <w:rsid w:val="51BFBE71"/>
    <w:rsid w:val="51C6164D"/>
    <w:rsid w:val="51CA36AE"/>
    <w:rsid w:val="51D02E9C"/>
    <w:rsid w:val="51F638A1"/>
    <w:rsid w:val="520DAC47"/>
    <w:rsid w:val="520DF981"/>
    <w:rsid w:val="5224073B"/>
    <w:rsid w:val="5232DFF0"/>
    <w:rsid w:val="523F091E"/>
    <w:rsid w:val="5245CBC3"/>
    <w:rsid w:val="526321A0"/>
    <w:rsid w:val="52756C56"/>
    <w:rsid w:val="527638AF"/>
    <w:rsid w:val="52822C2C"/>
    <w:rsid w:val="5289C7F6"/>
    <w:rsid w:val="528C32E1"/>
    <w:rsid w:val="529D1638"/>
    <w:rsid w:val="52AB4C52"/>
    <w:rsid w:val="52C33ECF"/>
    <w:rsid w:val="52D9AA81"/>
    <w:rsid w:val="52F67B40"/>
    <w:rsid w:val="52FBE821"/>
    <w:rsid w:val="53000751"/>
    <w:rsid w:val="5313F162"/>
    <w:rsid w:val="531B16C0"/>
    <w:rsid w:val="532C81C4"/>
    <w:rsid w:val="532D04B1"/>
    <w:rsid w:val="535C8F6A"/>
    <w:rsid w:val="5386F0C6"/>
    <w:rsid w:val="53893C7F"/>
    <w:rsid w:val="538AA2F9"/>
    <w:rsid w:val="538C0DAA"/>
    <w:rsid w:val="53B57B4B"/>
    <w:rsid w:val="53BDED72"/>
    <w:rsid w:val="53C75B03"/>
    <w:rsid w:val="53D0E7F0"/>
    <w:rsid w:val="53E9EA75"/>
    <w:rsid w:val="53EB5E36"/>
    <w:rsid w:val="53F7D469"/>
    <w:rsid w:val="53FDB083"/>
    <w:rsid w:val="5413560F"/>
    <w:rsid w:val="544211C1"/>
    <w:rsid w:val="544681CE"/>
    <w:rsid w:val="54481792"/>
    <w:rsid w:val="546B8E16"/>
    <w:rsid w:val="547CAE98"/>
    <w:rsid w:val="54830F59"/>
    <w:rsid w:val="548CE304"/>
    <w:rsid w:val="5490EE2C"/>
    <w:rsid w:val="549A19DD"/>
    <w:rsid w:val="54A8AD5A"/>
    <w:rsid w:val="54B8CBC2"/>
    <w:rsid w:val="54D02ACD"/>
    <w:rsid w:val="54D156B1"/>
    <w:rsid w:val="54DC64FF"/>
    <w:rsid w:val="54E5E089"/>
    <w:rsid w:val="54E9859C"/>
    <w:rsid w:val="54EC3CEF"/>
    <w:rsid w:val="54ECC930"/>
    <w:rsid w:val="54EE166A"/>
    <w:rsid w:val="54F3781B"/>
    <w:rsid w:val="54FAE588"/>
    <w:rsid w:val="54FC7A9B"/>
    <w:rsid w:val="550ECE37"/>
    <w:rsid w:val="550F0A24"/>
    <w:rsid w:val="55117FB9"/>
    <w:rsid w:val="554010D5"/>
    <w:rsid w:val="55459A43"/>
    <w:rsid w:val="559E25CE"/>
    <w:rsid w:val="55A16604"/>
    <w:rsid w:val="55BB77BF"/>
    <w:rsid w:val="55C8AE1D"/>
    <w:rsid w:val="55D65BBD"/>
    <w:rsid w:val="55D92DDB"/>
    <w:rsid w:val="55E2BB04"/>
    <w:rsid w:val="55F1B0CC"/>
    <w:rsid w:val="55F21901"/>
    <w:rsid w:val="560075F5"/>
    <w:rsid w:val="561483B4"/>
    <w:rsid w:val="56228AD6"/>
    <w:rsid w:val="56239821"/>
    <w:rsid w:val="56333F4D"/>
    <w:rsid w:val="5634C6A1"/>
    <w:rsid w:val="564E17EB"/>
    <w:rsid w:val="565BFA7B"/>
    <w:rsid w:val="5665C136"/>
    <w:rsid w:val="56734BB7"/>
    <w:rsid w:val="567CAAE6"/>
    <w:rsid w:val="5683C999"/>
    <w:rsid w:val="569B02FC"/>
    <w:rsid w:val="56A3B3F0"/>
    <w:rsid w:val="56B56F79"/>
    <w:rsid w:val="56B8033B"/>
    <w:rsid w:val="56B95B44"/>
    <w:rsid w:val="56BB8EE0"/>
    <w:rsid w:val="56C3E48E"/>
    <w:rsid w:val="56CBFC07"/>
    <w:rsid w:val="56D3BBA2"/>
    <w:rsid w:val="56E3A801"/>
    <w:rsid w:val="56EDC282"/>
    <w:rsid w:val="56F6C4D6"/>
    <w:rsid w:val="56FFBD52"/>
    <w:rsid w:val="570430D8"/>
    <w:rsid w:val="571D5155"/>
    <w:rsid w:val="572E7158"/>
    <w:rsid w:val="573A6989"/>
    <w:rsid w:val="5742527B"/>
    <w:rsid w:val="574F2BD5"/>
    <w:rsid w:val="57730DDC"/>
    <w:rsid w:val="5774FE3C"/>
    <w:rsid w:val="577BF631"/>
    <w:rsid w:val="578C3194"/>
    <w:rsid w:val="578CF3E0"/>
    <w:rsid w:val="579BDD79"/>
    <w:rsid w:val="57C814BE"/>
    <w:rsid w:val="57F074CE"/>
    <w:rsid w:val="5808ADDF"/>
    <w:rsid w:val="5808B3D1"/>
    <w:rsid w:val="580D98B7"/>
    <w:rsid w:val="581515A4"/>
    <w:rsid w:val="58217C96"/>
    <w:rsid w:val="5825E47A"/>
    <w:rsid w:val="58270EDC"/>
    <w:rsid w:val="582A1A42"/>
    <w:rsid w:val="582D7BFB"/>
    <w:rsid w:val="58354D47"/>
    <w:rsid w:val="5835C38A"/>
    <w:rsid w:val="583F62F3"/>
    <w:rsid w:val="584B2FF2"/>
    <w:rsid w:val="584BA314"/>
    <w:rsid w:val="58502949"/>
    <w:rsid w:val="58572CE3"/>
    <w:rsid w:val="58641F4A"/>
    <w:rsid w:val="5864BEBF"/>
    <w:rsid w:val="586646BC"/>
    <w:rsid w:val="58A10C16"/>
    <w:rsid w:val="58A47B10"/>
    <w:rsid w:val="58B9FCC6"/>
    <w:rsid w:val="58BAB048"/>
    <w:rsid w:val="58BD5B98"/>
    <w:rsid w:val="58C7A461"/>
    <w:rsid w:val="58CBDD1A"/>
    <w:rsid w:val="58CBF0D7"/>
    <w:rsid w:val="58CF11B2"/>
    <w:rsid w:val="58D4D141"/>
    <w:rsid w:val="58D82DC8"/>
    <w:rsid w:val="58E94BF9"/>
    <w:rsid w:val="58F6821C"/>
    <w:rsid w:val="590FB31E"/>
    <w:rsid w:val="591DF360"/>
    <w:rsid w:val="5930C637"/>
    <w:rsid w:val="5941199D"/>
    <w:rsid w:val="59444986"/>
    <w:rsid w:val="5953C45C"/>
    <w:rsid w:val="595F8F01"/>
    <w:rsid w:val="59617996"/>
    <w:rsid w:val="5963D67B"/>
    <w:rsid w:val="5964147A"/>
    <w:rsid w:val="5964E573"/>
    <w:rsid w:val="597A87C6"/>
    <w:rsid w:val="59826645"/>
    <w:rsid w:val="598828BC"/>
    <w:rsid w:val="598FCDD4"/>
    <w:rsid w:val="59A73549"/>
    <w:rsid w:val="59AF5F39"/>
    <w:rsid w:val="59C503A3"/>
    <w:rsid w:val="59C77D8A"/>
    <w:rsid w:val="59C8899C"/>
    <w:rsid w:val="59C8E987"/>
    <w:rsid w:val="59D76523"/>
    <w:rsid w:val="59DCC0B3"/>
    <w:rsid w:val="59DE3C44"/>
    <w:rsid w:val="59E1C36C"/>
    <w:rsid w:val="59EFA3FD"/>
    <w:rsid w:val="5A1A4F5C"/>
    <w:rsid w:val="5A2536FC"/>
    <w:rsid w:val="5A274702"/>
    <w:rsid w:val="5A322BD7"/>
    <w:rsid w:val="5A37D1D1"/>
    <w:rsid w:val="5A3ADD83"/>
    <w:rsid w:val="5A4E80FB"/>
    <w:rsid w:val="5A4F7427"/>
    <w:rsid w:val="5A59FB28"/>
    <w:rsid w:val="5A6AA425"/>
    <w:rsid w:val="5A6C0ED3"/>
    <w:rsid w:val="5A887BCA"/>
    <w:rsid w:val="5A9E9C68"/>
    <w:rsid w:val="5AA1430F"/>
    <w:rsid w:val="5AA49DAB"/>
    <w:rsid w:val="5AADD37B"/>
    <w:rsid w:val="5AB6B113"/>
    <w:rsid w:val="5ABF0FA5"/>
    <w:rsid w:val="5AC67D84"/>
    <w:rsid w:val="5B1307A7"/>
    <w:rsid w:val="5B1E5646"/>
    <w:rsid w:val="5B36352A"/>
    <w:rsid w:val="5B3E4111"/>
    <w:rsid w:val="5B419DE4"/>
    <w:rsid w:val="5B5E2B26"/>
    <w:rsid w:val="5B61BB04"/>
    <w:rsid w:val="5B75A28F"/>
    <w:rsid w:val="5B818035"/>
    <w:rsid w:val="5B893533"/>
    <w:rsid w:val="5B89FB38"/>
    <w:rsid w:val="5B8E6F0C"/>
    <w:rsid w:val="5B8EAE2E"/>
    <w:rsid w:val="5B8EDD55"/>
    <w:rsid w:val="5B91D542"/>
    <w:rsid w:val="5B98144E"/>
    <w:rsid w:val="5BCD3ABB"/>
    <w:rsid w:val="5BF5CB89"/>
    <w:rsid w:val="5BFA33D7"/>
    <w:rsid w:val="5C0B6609"/>
    <w:rsid w:val="5C309288"/>
    <w:rsid w:val="5C3BEE01"/>
    <w:rsid w:val="5C41DF86"/>
    <w:rsid w:val="5C4DEAEE"/>
    <w:rsid w:val="5C5E463A"/>
    <w:rsid w:val="5C62B259"/>
    <w:rsid w:val="5C662DDB"/>
    <w:rsid w:val="5C69E528"/>
    <w:rsid w:val="5C6B0411"/>
    <w:rsid w:val="5C751FE8"/>
    <w:rsid w:val="5CA1D12C"/>
    <w:rsid w:val="5CAE750F"/>
    <w:rsid w:val="5CB76777"/>
    <w:rsid w:val="5CBB9816"/>
    <w:rsid w:val="5CBC215F"/>
    <w:rsid w:val="5CC4130B"/>
    <w:rsid w:val="5CE54CC5"/>
    <w:rsid w:val="5CEFE978"/>
    <w:rsid w:val="5D006E19"/>
    <w:rsid w:val="5D3FD9A0"/>
    <w:rsid w:val="5D43C6EF"/>
    <w:rsid w:val="5D4D7507"/>
    <w:rsid w:val="5D5DA81B"/>
    <w:rsid w:val="5D5FDBCA"/>
    <w:rsid w:val="5D6092DC"/>
    <w:rsid w:val="5D63A584"/>
    <w:rsid w:val="5D68BBD4"/>
    <w:rsid w:val="5D769F79"/>
    <w:rsid w:val="5D8482EE"/>
    <w:rsid w:val="5D900F11"/>
    <w:rsid w:val="5D97F914"/>
    <w:rsid w:val="5D9A8573"/>
    <w:rsid w:val="5DA41A18"/>
    <w:rsid w:val="5DA7618C"/>
    <w:rsid w:val="5DB88A5A"/>
    <w:rsid w:val="5DB8DB44"/>
    <w:rsid w:val="5DC695D9"/>
    <w:rsid w:val="5DCF4F1C"/>
    <w:rsid w:val="5DD08739"/>
    <w:rsid w:val="5DE22716"/>
    <w:rsid w:val="5DE40DEC"/>
    <w:rsid w:val="5E05B589"/>
    <w:rsid w:val="5E133DBA"/>
    <w:rsid w:val="5E1B11E6"/>
    <w:rsid w:val="5E28E09C"/>
    <w:rsid w:val="5E290D24"/>
    <w:rsid w:val="5E4F5A9E"/>
    <w:rsid w:val="5E5BAD22"/>
    <w:rsid w:val="5E6A9438"/>
    <w:rsid w:val="5E78A638"/>
    <w:rsid w:val="5E80CAD0"/>
    <w:rsid w:val="5E99856A"/>
    <w:rsid w:val="5E9E4CC9"/>
    <w:rsid w:val="5EA6FBA3"/>
    <w:rsid w:val="5EA89188"/>
    <w:rsid w:val="5EC24281"/>
    <w:rsid w:val="5EC3FCBC"/>
    <w:rsid w:val="5ECAECCF"/>
    <w:rsid w:val="5ED28C17"/>
    <w:rsid w:val="5ED59189"/>
    <w:rsid w:val="5ED68E69"/>
    <w:rsid w:val="5EE33907"/>
    <w:rsid w:val="5EED19C9"/>
    <w:rsid w:val="5EF1F363"/>
    <w:rsid w:val="5EFDFC12"/>
    <w:rsid w:val="5F04495D"/>
    <w:rsid w:val="5F0D528C"/>
    <w:rsid w:val="5F10D340"/>
    <w:rsid w:val="5F14065B"/>
    <w:rsid w:val="5F240FCA"/>
    <w:rsid w:val="5F3A1F9C"/>
    <w:rsid w:val="5F3EFEAA"/>
    <w:rsid w:val="5F441EC5"/>
    <w:rsid w:val="5F4D68F4"/>
    <w:rsid w:val="5F5685D3"/>
    <w:rsid w:val="5F6B80A1"/>
    <w:rsid w:val="5F75CA6A"/>
    <w:rsid w:val="5F985AC1"/>
    <w:rsid w:val="5F9ED002"/>
    <w:rsid w:val="5FBB862A"/>
    <w:rsid w:val="5FD0770D"/>
    <w:rsid w:val="5FD50871"/>
    <w:rsid w:val="5FD8E96E"/>
    <w:rsid w:val="5FDA5690"/>
    <w:rsid w:val="5FF54430"/>
    <w:rsid w:val="60002008"/>
    <w:rsid w:val="6011B359"/>
    <w:rsid w:val="6011E5F8"/>
    <w:rsid w:val="60159F10"/>
    <w:rsid w:val="6016036C"/>
    <w:rsid w:val="601748F4"/>
    <w:rsid w:val="601DD0C6"/>
    <w:rsid w:val="602F0429"/>
    <w:rsid w:val="6031D95B"/>
    <w:rsid w:val="60396C9D"/>
    <w:rsid w:val="603DCC8D"/>
    <w:rsid w:val="6047F9B5"/>
    <w:rsid w:val="60485A6F"/>
    <w:rsid w:val="60507DD8"/>
    <w:rsid w:val="60596ADE"/>
    <w:rsid w:val="606578CD"/>
    <w:rsid w:val="60659573"/>
    <w:rsid w:val="6071AED7"/>
    <w:rsid w:val="60726572"/>
    <w:rsid w:val="6081758A"/>
    <w:rsid w:val="60865323"/>
    <w:rsid w:val="6099F934"/>
    <w:rsid w:val="60A05C96"/>
    <w:rsid w:val="60B149FD"/>
    <w:rsid w:val="60E64A1B"/>
    <w:rsid w:val="60E93574"/>
    <w:rsid w:val="60F4141E"/>
    <w:rsid w:val="60FCF6A9"/>
    <w:rsid w:val="6101DF0B"/>
    <w:rsid w:val="61133287"/>
    <w:rsid w:val="6119C7D8"/>
    <w:rsid w:val="611AB968"/>
    <w:rsid w:val="612AC734"/>
    <w:rsid w:val="612DD4CD"/>
    <w:rsid w:val="6136330E"/>
    <w:rsid w:val="6136B92D"/>
    <w:rsid w:val="614A3E2F"/>
    <w:rsid w:val="6153090F"/>
    <w:rsid w:val="61608AC9"/>
    <w:rsid w:val="6181DA29"/>
    <w:rsid w:val="6183C537"/>
    <w:rsid w:val="618975E3"/>
    <w:rsid w:val="618BBA4F"/>
    <w:rsid w:val="618BDBBA"/>
    <w:rsid w:val="61971C80"/>
    <w:rsid w:val="619A1E41"/>
    <w:rsid w:val="61A86E9F"/>
    <w:rsid w:val="61B96712"/>
    <w:rsid w:val="61BD375D"/>
    <w:rsid w:val="61DAFDA3"/>
    <w:rsid w:val="61DCDA50"/>
    <w:rsid w:val="61F70B8F"/>
    <w:rsid w:val="620468D0"/>
    <w:rsid w:val="620F0DFC"/>
    <w:rsid w:val="62220F69"/>
    <w:rsid w:val="622229D2"/>
    <w:rsid w:val="62252C76"/>
    <w:rsid w:val="6240CF1F"/>
    <w:rsid w:val="62473206"/>
    <w:rsid w:val="62487C26"/>
    <w:rsid w:val="6249B623"/>
    <w:rsid w:val="624B0994"/>
    <w:rsid w:val="624CEA5D"/>
    <w:rsid w:val="62680698"/>
    <w:rsid w:val="62766362"/>
    <w:rsid w:val="6278196A"/>
    <w:rsid w:val="628FD929"/>
    <w:rsid w:val="62991D53"/>
    <w:rsid w:val="629D8C7F"/>
    <w:rsid w:val="62BB2D62"/>
    <w:rsid w:val="62C9B89F"/>
    <w:rsid w:val="62F6CB13"/>
    <w:rsid w:val="62F79636"/>
    <w:rsid w:val="6324B5A0"/>
    <w:rsid w:val="63254644"/>
    <w:rsid w:val="633491E5"/>
    <w:rsid w:val="633ECC87"/>
    <w:rsid w:val="6347B8C9"/>
    <w:rsid w:val="6349C603"/>
    <w:rsid w:val="6352BD8C"/>
    <w:rsid w:val="63531447"/>
    <w:rsid w:val="6384E6D6"/>
    <w:rsid w:val="6386F894"/>
    <w:rsid w:val="6391556A"/>
    <w:rsid w:val="63992680"/>
    <w:rsid w:val="63993987"/>
    <w:rsid w:val="63997219"/>
    <w:rsid w:val="63A56EB4"/>
    <w:rsid w:val="63AAE87E"/>
    <w:rsid w:val="63B20246"/>
    <w:rsid w:val="63B7D3D2"/>
    <w:rsid w:val="63BAD265"/>
    <w:rsid w:val="63C4A411"/>
    <w:rsid w:val="63D41880"/>
    <w:rsid w:val="63DDFBFF"/>
    <w:rsid w:val="63DFAFB3"/>
    <w:rsid w:val="63E3DA08"/>
    <w:rsid w:val="63ED5498"/>
    <w:rsid w:val="63F21C11"/>
    <w:rsid w:val="63F85CA6"/>
    <w:rsid w:val="63F87155"/>
    <w:rsid w:val="63F94DEA"/>
    <w:rsid w:val="640061FD"/>
    <w:rsid w:val="641160B7"/>
    <w:rsid w:val="6417549A"/>
    <w:rsid w:val="642043BD"/>
    <w:rsid w:val="64375000"/>
    <w:rsid w:val="6447C14B"/>
    <w:rsid w:val="644C5882"/>
    <w:rsid w:val="64524B43"/>
    <w:rsid w:val="645364E9"/>
    <w:rsid w:val="646BB6AE"/>
    <w:rsid w:val="648CC3CD"/>
    <w:rsid w:val="64A611D0"/>
    <w:rsid w:val="64AB3F65"/>
    <w:rsid w:val="64ACE7AE"/>
    <w:rsid w:val="64ACEC9D"/>
    <w:rsid w:val="64AD6C8A"/>
    <w:rsid w:val="64AFA632"/>
    <w:rsid w:val="64BBCBF3"/>
    <w:rsid w:val="64C0A677"/>
    <w:rsid w:val="64CD7FAC"/>
    <w:rsid w:val="64D93A0E"/>
    <w:rsid w:val="64E3E9E4"/>
    <w:rsid w:val="64FA7227"/>
    <w:rsid w:val="64FC9722"/>
    <w:rsid w:val="650E310D"/>
    <w:rsid w:val="651FA3B4"/>
    <w:rsid w:val="652B890B"/>
    <w:rsid w:val="652EFCEC"/>
    <w:rsid w:val="65329CE6"/>
    <w:rsid w:val="65382DEF"/>
    <w:rsid w:val="654DA4F0"/>
    <w:rsid w:val="654EED8E"/>
    <w:rsid w:val="65522D44"/>
    <w:rsid w:val="655F32D7"/>
    <w:rsid w:val="65734713"/>
    <w:rsid w:val="6574AD01"/>
    <w:rsid w:val="6574E10F"/>
    <w:rsid w:val="65833662"/>
    <w:rsid w:val="65866450"/>
    <w:rsid w:val="65AC0DA7"/>
    <w:rsid w:val="65C2615C"/>
    <w:rsid w:val="65D0EEB2"/>
    <w:rsid w:val="65D10722"/>
    <w:rsid w:val="65D33DC4"/>
    <w:rsid w:val="65E22DF4"/>
    <w:rsid w:val="65E4219D"/>
    <w:rsid w:val="65F51AEE"/>
    <w:rsid w:val="6616AC93"/>
    <w:rsid w:val="66262367"/>
    <w:rsid w:val="6637B65B"/>
    <w:rsid w:val="66403684"/>
    <w:rsid w:val="664AB4DE"/>
    <w:rsid w:val="664B8F89"/>
    <w:rsid w:val="664F4150"/>
    <w:rsid w:val="665CE706"/>
    <w:rsid w:val="665E49BD"/>
    <w:rsid w:val="66726BB5"/>
    <w:rsid w:val="667A7ACD"/>
    <w:rsid w:val="668B11A6"/>
    <w:rsid w:val="6693715F"/>
    <w:rsid w:val="66AD5750"/>
    <w:rsid w:val="66AED15F"/>
    <w:rsid w:val="66E5E35D"/>
    <w:rsid w:val="66FD1647"/>
    <w:rsid w:val="6709FE6D"/>
    <w:rsid w:val="67127550"/>
    <w:rsid w:val="67139F84"/>
    <w:rsid w:val="67147EFD"/>
    <w:rsid w:val="67172686"/>
    <w:rsid w:val="671856D0"/>
    <w:rsid w:val="671D348C"/>
    <w:rsid w:val="67241177"/>
    <w:rsid w:val="67246D13"/>
    <w:rsid w:val="6725FFB6"/>
    <w:rsid w:val="6727813A"/>
    <w:rsid w:val="674B8009"/>
    <w:rsid w:val="674FF964"/>
    <w:rsid w:val="67539F65"/>
    <w:rsid w:val="6763DEFF"/>
    <w:rsid w:val="6769C8DB"/>
    <w:rsid w:val="6774052A"/>
    <w:rsid w:val="677B5573"/>
    <w:rsid w:val="67806E6A"/>
    <w:rsid w:val="6784EE8C"/>
    <w:rsid w:val="6786086E"/>
    <w:rsid w:val="6786D9DF"/>
    <w:rsid w:val="67870BF2"/>
    <w:rsid w:val="678E3B08"/>
    <w:rsid w:val="679BF8FA"/>
    <w:rsid w:val="679D29C2"/>
    <w:rsid w:val="67A11A57"/>
    <w:rsid w:val="67AAEE3C"/>
    <w:rsid w:val="67AC3056"/>
    <w:rsid w:val="67AD79A6"/>
    <w:rsid w:val="67B9104D"/>
    <w:rsid w:val="67DC06E5"/>
    <w:rsid w:val="67DDC584"/>
    <w:rsid w:val="67DF30F8"/>
    <w:rsid w:val="67E1DAB0"/>
    <w:rsid w:val="67E214E0"/>
    <w:rsid w:val="67E8C678"/>
    <w:rsid w:val="67E90682"/>
    <w:rsid w:val="67E9165F"/>
    <w:rsid w:val="67E9F84F"/>
    <w:rsid w:val="67F4C649"/>
    <w:rsid w:val="67F8548A"/>
    <w:rsid w:val="67FE283E"/>
    <w:rsid w:val="681A62E3"/>
    <w:rsid w:val="681E0EA1"/>
    <w:rsid w:val="681E2F77"/>
    <w:rsid w:val="6828A896"/>
    <w:rsid w:val="6835716E"/>
    <w:rsid w:val="683C7F84"/>
    <w:rsid w:val="683FCF0D"/>
    <w:rsid w:val="68417EC7"/>
    <w:rsid w:val="684DA54E"/>
    <w:rsid w:val="685DE752"/>
    <w:rsid w:val="68611E3A"/>
    <w:rsid w:val="68646B33"/>
    <w:rsid w:val="6864A11D"/>
    <w:rsid w:val="6868625F"/>
    <w:rsid w:val="68699E9E"/>
    <w:rsid w:val="687DDE0D"/>
    <w:rsid w:val="687EAA88"/>
    <w:rsid w:val="687EC65D"/>
    <w:rsid w:val="688AA122"/>
    <w:rsid w:val="6890D1AD"/>
    <w:rsid w:val="68936F02"/>
    <w:rsid w:val="6897BFE2"/>
    <w:rsid w:val="68A39269"/>
    <w:rsid w:val="68B37174"/>
    <w:rsid w:val="68B5B56D"/>
    <w:rsid w:val="68BCE5CB"/>
    <w:rsid w:val="68CEF87A"/>
    <w:rsid w:val="68DB0918"/>
    <w:rsid w:val="68F07CFD"/>
    <w:rsid w:val="69138141"/>
    <w:rsid w:val="691477B7"/>
    <w:rsid w:val="6924D9BD"/>
    <w:rsid w:val="6925A456"/>
    <w:rsid w:val="6929B3A6"/>
    <w:rsid w:val="692BAE75"/>
    <w:rsid w:val="692EC90A"/>
    <w:rsid w:val="692FD35A"/>
    <w:rsid w:val="6932DED3"/>
    <w:rsid w:val="693DEACC"/>
    <w:rsid w:val="69441DA5"/>
    <w:rsid w:val="695EEFD5"/>
    <w:rsid w:val="69709477"/>
    <w:rsid w:val="697361DE"/>
    <w:rsid w:val="6975C55D"/>
    <w:rsid w:val="6996DD3C"/>
    <w:rsid w:val="69A30CE8"/>
    <w:rsid w:val="69A502DD"/>
    <w:rsid w:val="69AD2ACF"/>
    <w:rsid w:val="69C32A0D"/>
    <w:rsid w:val="69C8EC28"/>
    <w:rsid w:val="69CED917"/>
    <w:rsid w:val="69D4D13E"/>
    <w:rsid w:val="69DA8FB2"/>
    <w:rsid w:val="69E10FA3"/>
    <w:rsid w:val="69EBC494"/>
    <w:rsid w:val="69F25691"/>
    <w:rsid w:val="69F57391"/>
    <w:rsid w:val="69F62676"/>
    <w:rsid w:val="6A00087D"/>
    <w:rsid w:val="6A10AF2A"/>
    <w:rsid w:val="6A10EB67"/>
    <w:rsid w:val="6A16FEAB"/>
    <w:rsid w:val="6A18AA55"/>
    <w:rsid w:val="6A19AE6E"/>
    <w:rsid w:val="6A2F82DF"/>
    <w:rsid w:val="6A35DF1E"/>
    <w:rsid w:val="6A38FAC3"/>
    <w:rsid w:val="6A3BF852"/>
    <w:rsid w:val="6A419F2F"/>
    <w:rsid w:val="6A43AAC7"/>
    <w:rsid w:val="6A47D44F"/>
    <w:rsid w:val="6A48EE6E"/>
    <w:rsid w:val="6A4D3DFE"/>
    <w:rsid w:val="6A533C75"/>
    <w:rsid w:val="6A5360C2"/>
    <w:rsid w:val="6A62BBAA"/>
    <w:rsid w:val="6A757ABD"/>
    <w:rsid w:val="6A910A97"/>
    <w:rsid w:val="6A99C497"/>
    <w:rsid w:val="6A9C9A5E"/>
    <w:rsid w:val="6AA5A735"/>
    <w:rsid w:val="6AA80C40"/>
    <w:rsid w:val="6AB3EE51"/>
    <w:rsid w:val="6AB46735"/>
    <w:rsid w:val="6ABF2C1B"/>
    <w:rsid w:val="6AD6607D"/>
    <w:rsid w:val="6ADC5FBC"/>
    <w:rsid w:val="6AE5EE37"/>
    <w:rsid w:val="6AF11D7A"/>
    <w:rsid w:val="6B0A7171"/>
    <w:rsid w:val="6B11677C"/>
    <w:rsid w:val="6B19C1B0"/>
    <w:rsid w:val="6B3DB1F1"/>
    <w:rsid w:val="6B4CD04A"/>
    <w:rsid w:val="6B4D91C5"/>
    <w:rsid w:val="6B696146"/>
    <w:rsid w:val="6B732F9C"/>
    <w:rsid w:val="6B7ABCF2"/>
    <w:rsid w:val="6B7CE004"/>
    <w:rsid w:val="6BA43865"/>
    <w:rsid w:val="6BAF4B3B"/>
    <w:rsid w:val="6BB0421E"/>
    <w:rsid w:val="6BB8ED40"/>
    <w:rsid w:val="6BBCCAC6"/>
    <w:rsid w:val="6BC03A54"/>
    <w:rsid w:val="6BC49236"/>
    <w:rsid w:val="6BC86A6F"/>
    <w:rsid w:val="6BD69FE7"/>
    <w:rsid w:val="6BE5BE3A"/>
    <w:rsid w:val="6BE87CE4"/>
    <w:rsid w:val="6BFD4AF0"/>
    <w:rsid w:val="6C0B6CF2"/>
    <w:rsid w:val="6C2632BA"/>
    <w:rsid w:val="6C3CEC1F"/>
    <w:rsid w:val="6C4FC1EA"/>
    <w:rsid w:val="6C584213"/>
    <w:rsid w:val="6C5EB023"/>
    <w:rsid w:val="6C6147FF"/>
    <w:rsid w:val="6C63E1B7"/>
    <w:rsid w:val="6CA59A27"/>
    <w:rsid w:val="6CAA770F"/>
    <w:rsid w:val="6CAFDDAA"/>
    <w:rsid w:val="6CCAD150"/>
    <w:rsid w:val="6CCD3E84"/>
    <w:rsid w:val="6CDC3BA4"/>
    <w:rsid w:val="6CE1F3F5"/>
    <w:rsid w:val="6CE65539"/>
    <w:rsid w:val="6CEC2842"/>
    <w:rsid w:val="6CEE4EB0"/>
    <w:rsid w:val="6CF1BA1B"/>
    <w:rsid w:val="6CF74E79"/>
    <w:rsid w:val="6D07BCCF"/>
    <w:rsid w:val="6D0D992E"/>
    <w:rsid w:val="6D12DAC2"/>
    <w:rsid w:val="6D17FBAD"/>
    <w:rsid w:val="6D18B065"/>
    <w:rsid w:val="6D285CFB"/>
    <w:rsid w:val="6D303D06"/>
    <w:rsid w:val="6D582833"/>
    <w:rsid w:val="6D71CD30"/>
    <w:rsid w:val="6D828ABA"/>
    <w:rsid w:val="6D8DA537"/>
    <w:rsid w:val="6DA4D2C3"/>
    <w:rsid w:val="6DAD5506"/>
    <w:rsid w:val="6DAF3753"/>
    <w:rsid w:val="6DB76DB2"/>
    <w:rsid w:val="6DBEAC2A"/>
    <w:rsid w:val="6DBFE82F"/>
    <w:rsid w:val="6DCA9523"/>
    <w:rsid w:val="6DD1C56F"/>
    <w:rsid w:val="6DDA126B"/>
    <w:rsid w:val="6DE2CF87"/>
    <w:rsid w:val="6DECDF17"/>
    <w:rsid w:val="6E106986"/>
    <w:rsid w:val="6E248ED2"/>
    <w:rsid w:val="6E4CDAEF"/>
    <w:rsid w:val="6E4DCFA5"/>
    <w:rsid w:val="6E54E5A3"/>
    <w:rsid w:val="6E66B25B"/>
    <w:rsid w:val="6E7461F2"/>
    <w:rsid w:val="6E7EF5FC"/>
    <w:rsid w:val="6E835FF7"/>
    <w:rsid w:val="6E8F8627"/>
    <w:rsid w:val="6E98A72A"/>
    <w:rsid w:val="6E9FC876"/>
    <w:rsid w:val="6EACA68A"/>
    <w:rsid w:val="6EB99179"/>
    <w:rsid w:val="6EBCEE49"/>
    <w:rsid w:val="6EC13BED"/>
    <w:rsid w:val="6EC42D5C"/>
    <w:rsid w:val="6EC589DB"/>
    <w:rsid w:val="6ECA78AA"/>
    <w:rsid w:val="6ECF13FE"/>
    <w:rsid w:val="6ED0B76C"/>
    <w:rsid w:val="6ED313E1"/>
    <w:rsid w:val="6ED3A944"/>
    <w:rsid w:val="6ED549FB"/>
    <w:rsid w:val="6EE5BF94"/>
    <w:rsid w:val="6EF0C0DB"/>
    <w:rsid w:val="6EF6FADB"/>
    <w:rsid w:val="6F118A16"/>
    <w:rsid w:val="6F1D2477"/>
    <w:rsid w:val="6F487C19"/>
    <w:rsid w:val="6F52EE2C"/>
    <w:rsid w:val="6F55C887"/>
    <w:rsid w:val="6F70F31D"/>
    <w:rsid w:val="6F763D61"/>
    <w:rsid w:val="6F82758B"/>
    <w:rsid w:val="6F99A48D"/>
    <w:rsid w:val="6FA9489B"/>
    <w:rsid w:val="6FAC8E60"/>
    <w:rsid w:val="6FB085C8"/>
    <w:rsid w:val="6FB6739F"/>
    <w:rsid w:val="6FBA2962"/>
    <w:rsid w:val="6FC25189"/>
    <w:rsid w:val="6FCC2C71"/>
    <w:rsid w:val="6FDB6076"/>
    <w:rsid w:val="6FDC7F7F"/>
    <w:rsid w:val="6FE3AE57"/>
    <w:rsid w:val="6FF3EB7D"/>
    <w:rsid w:val="70018953"/>
    <w:rsid w:val="7008856D"/>
    <w:rsid w:val="700F8090"/>
    <w:rsid w:val="7024D5B4"/>
    <w:rsid w:val="7043F40D"/>
    <w:rsid w:val="704B08C3"/>
    <w:rsid w:val="70544308"/>
    <w:rsid w:val="7061AAD0"/>
    <w:rsid w:val="70630F1C"/>
    <w:rsid w:val="70888C2B"/>
    <w:rsid w:val="708EE9EF"/>
    <w:rsid w:val="709F9127"/>
    <w:rsid w:val="70A3C5BC"/>
    <w:rsid w:val="70AEF677"/>
    <w:rsid w:val="70B01F9F"/>
    <w:rsid w:val="70B52B65"/>
    <w:rsid w:val="70B9A113"/>
    <w:rsid w:val="70BE6DE6"/>
    <w:rsid w:val="70CD5670"/>
    <w:rsid w:val="70D0FDDC"/>
    <w:rsid w:val="70D3D324"/>
    <w:rsid w:val="70DD3994"/>
    <w:rsid w:val="710685D5"/>
    <w:rsid w:val="71068DB6"/>
    <w:rsid w:val="7108BD51"/>
    <w:rsid w:val="71126F2E"/>
    <w:rsid w:val="7116BF46"/>
    <w:rsid w:val="711B9018"/>
    <w:rsid w:val="71256252"/>
    <w:rsid w:val="712890C1"/>
    <w:rsid w:val="712AE9E8"/>
    <w:rsid w:val="714BD556"/>
    <w:rsid w:val="7151623E"/>
    <w:rsid w:val="7155E6ED"/>
    <w:rsid w:val="71652838"/>
    <w:rsid w:val="7169223D"/>
    <w:rsid w:val="716A0C25"/>
    <w:rsid w:val="717C32BB"/>
    <w:rsid w:val="71810FA2"/>
    <w:rsid w:val="719243DA"/>
    <w:rsid w:val="71946B16"/>
    <w:rsid w:val="7196603D"/>
    <w:rsid w:val="71998EDE"/>
    <w:rsid w:val="71A531AD"/>
    <w:rsid w:val="71A6BF37"/>
    <w:rsid w:val="71BDBB68"/>
    <w:rsid w:val="71CF06D0"/>
    <w:rsid w:val="71EF0DD8"/>
    <w:rsid w:val="71FCD852"/>
    <w:rsid w:val="7206C4B6"/>
    <w:rsid w:val="7207418F"/>
    <w:rsid w:val="720BF1B3"/>
    <w:rsid w:val="720EDC56"/>
    <w:rsid w:val="7217ADB0"/>
    <w:rsid w:val="721DF8A1"/>
    <w:rsid w:val="722F3394"/>
    <w:rsid w:val="7232D5D7"/>
    <w:rsid w:val="72485F62"/>
    <w:rsid w:val="72497939"/>
    <w:rsid w:val="729A20E2"/>
    <w:rsid w:val="729EE3BA"/>
    <w:rsid w:val="72ABE6C7"/>
    <w:rsid w:val="72AD838E"/>
    <w:rsid w:val="72B4F942"/>
    <w:rsid w:val="72CDAE09"/>
    <w:rsid w:val="72EA07E9"/>
    <w:rsid w:val="72EDEED9"/>
    <w:rsid w:val="72EF9111"/>
    <w:rsid w:val="72EFC5D2"/>
    <w:rsid w:val="730D8E02"/>
    <w:rsid w:val="730E9B64"/>
    <w:rsid w:val="731B5032"/>
    <w:rsid w:val="73274BAA"/>
    <w:rsid w:val="73287A9A"/>
    <w:rsid w:val="732B3561"/>
    <w:rsid w:val="732E9B80"/>
    <w:rsid w:val="7336AB6D"/>
    <w:rsid w:val="733B0ECF"/>
    <w:rsid w:val="735339B2"/>
    <w:rsid w:val="735F1A43"/>
    <w:rsid w:val="7363F478"/>
    <w:rsid w:val="73650580"/>
    <w:rsid w:val="736EF642"/>
    <w:rsid w:val="73716C8C"/>
    <w:rsid w:val="737CE2DB"/>
    <w:rsid w:val="739CC695"/>
    <w:rsid w:val="73AA4859"/>
    <w:rsid w:val="73B7C62F"/>
    <w:rsid w:val="73C43168"/>
    <w:rsid w:val="73C48F6E"/>
    <w:rsid w:val="73CFD656"/>
    <w:rsid w:val="73D30597"/>
    <w:rsid w:val="73DD6867"/>
    <w:rsid w:val="73E2A1E3"/>
    <w:rsid w:val="73E900D5"/>
    <w:rsid w:val="73F1A718"/>
    <w:rsid w:val="740334A6"/>
    <w:rsid w:val="7431DD37"/>
    <w:rsid w:val="7443A9B7"/>
    <w:rsid w:val="744886AB"/>
    <w:rsid w:val="744BDB2E"/>
    <w:rsid w:val="7450714A"/>
    <w:rsid w:val="74527E53"/>
    <w:rsid w:val="74557194"/>
    <w:rsid w:val="74570E84"/>
    <w:rsid w:val="746BFDE1"/>
    <w:rsid w:val="7474196D"/>
    <w:rsid w:val="747D39FC"/>
    <w:rsid w:val="749BF8F5"/>
    <w:rsid w:val="74A42138"/>
    <w:rsid w:val="74B2C53F"/>
    <w:rsid w:val="74C8E391"/>
    <w:rsid w:val="74E35EE2"/>
    <w:rsid w:val="74FDBB6F"/>
    <w:rsid w:val="7503A7AC"/>
    <w:rsid w:val="75153C21"/>
    <w:rsid w:val="7515FA66"/>
    <w:rsid w:val="75252A24"/>
    <w:rsid w:val="755C9C93"/>
    <w:rsid w:val="7580B783"/>
    <w:rsid w:val="758BEE4D"/>
    <w:rsid w:val="75AFCE41"/>
    <w:rsid w:val="75B43DA2"/>
    <w:rsid w:val="75BC2619"/>
    <w:rsid w:val="75BD49A6"/>
    <w:rsid w:val="75CBFCCA"/>
    <w:rsid w:val="75D06BE9"/>
    <w:rsid w:val="75E16AFE"/>
    <w:rsid w:val="75EDEABB"/>
    <w:rsid w:val="75FC5A8E"/>
    <w:rsid w:val="75FE9D58"/>
    <w:rsid w:val="75FF2459"/>
    <w:rsid w:val="7601D800"/>
    <w:rsid w:val="76090201"/>
    <w:rsid w:val="766914E7"/>
    <w:rsid w:val="766AE5A5"/>
    <w:rsid w:val="767186A6"/>
    <w:rsid w:val="76829559"/>
    <w:rsid w:val="768538B1"/>
    <w:rsid w:val="7685DCAB"/>
    <w:rsid w:val="76A2114F"/>
    <w:rsid w:val="76BDCB17"/>
    <w:rsid w:val="76CE9A7A"/>
    <w:rsid w:val="76D84698"/>
    <w:rsid w:val="76D8A226"/>
    <w:rsid w:val="76D9A344"/>
    <w:rsid w:val="76E98248"/>
    <w:rsid w:val="76F2ED7F"/>
    <w:rsid w:val="76F41004"/>
    <w:rsid w:val="770B401E"/>
    <w:rsid w:val="77102264"/>
    <w:rsid w:val="7713DA22"/>
    <w:rsid w:val="7733C680"/>
    <w:rsid w:val="77347F58"/>
    <w:rsid w:val="774029E3"/>
    <w:rsid w:val="77403F60"/>
    <w:rsid w:val="77576A24"/>
    <w:rsid w:val="77584F0C"/>
    <w:rsid w:val="77595BB6"/>
    <w:rsid w:val="775AE157"/>
    <w:rsid w:val="7760F4CA"/>
    <w:rsid w:val="77739C04"/>
    <w:rsid w:val="778ABDF2"/>
    <w:rsid w:val="7792D9BE"/>
    <w:rsid w:val="77939CA1"/>
    <w:rsid w:val="77AAF8A9"/>
    <w:rsid w:val="77ABD743"/>
    <w:rsid w:val="77B345D5"/>
    <w:rsid w:val="77B71575"/>
    <w:rsid w:val="77B86BA7"/>
    <w:rsid w:val="77D945B5"/>
    <w:rsid w:val="77D9B30B"/>
    <w:rsid w:val="77DF9169"/>
    <w:rsid w:val="77E130C4"/>
    <w:rsid w:val="77E5137C"/>
    <w:rsid w:val="780717D2"/>
    <w:rsid w:val="7822ADD6"/>
    <w:rsid w:val="7827C05D"/>
    <w:rsid w:val="782DE670"/>
    <w:rsid w:val="784735C4"/>
    <w:rsid w:val="784BEF1E"/>
    <w:rsid w:val="7850FA53"/>
    <w:rsid w:val="785880FB"/>
    <w:rsid w:val="7862B809"/>
    <w:rsid w:val="7865481A"/>
    <w:rsid w:val="78860A65"/>
    <w:rsid w:val="788E9380"/>
    <w:rsid w:val="78920A49"/>
    <w:rsid w:val="78926B2C"/>
    <w:rsid w:val="78B522EF"/>
    <w:rsid w:val="78DFACFC"/>
    <w:rsid w:val="78E7E32B"/>
    <w:rsid w:val="78EC6785"/>
    <w:rsid w:val="78F3C01E"/>
    <w:rsid w:val="790F8992"/>
    <w:rsid w:val="79161B28"/>
    <w:rsid w:val="79257A78"/>
    <w:rsid w:val="792B6555"/>
    <w:rsid w:val="792FFB60"/>
    <w:rsid w:val="793814A1"/>
    <w:rsid w:val="7939F53C"/>
    <w:rsid w:val="793ABD71"/>
    <w:rsid w:val="7949A99E"/>
    <w:rsid w:val="7951B79E"/>
    <w:rsid w:val="79531B11"/>
    <w:rsid w:val="79717D9E"/>
    <w:rsid w:val="7995E896"/>
    <w:rsid w:val="799D6328"/>
    <w:rsid w:val="799F0411"/>
    <w:rsid w:val="79B4A226"/>
    <w:rsid w:val="79B85BB9"/>
    <w:rsid w:val="79E04C77"/>
    <w:rsid w:val="79F37D8A"/>
    <w:rsid w:val="79F5DEB9"/>
    <w:rsid w:val="7A055A71"/>
    <w:rsid w:val="7A0A356C"/>
    <w:rsid w:val="7A1EDCDD"/>
    <w:rsid w:val="7A299080"/>
    <w:rsid w:val="7A32AB3D"/>
    <w:rsid w:val="7A54BA8B"/>
    <w:rsid w:val="7A620BCA"/>
    <w:rsid w:val="7A64E51B"/>
    <w:rsid w:val="7A724BAB"/>
    <w:rsid w:val="7A843326"/>
    <w:rsid w:val="7A849305"/>
    <w:rsid w:val="7A8D0D7D"/>
    <w:rsid w:val="7A906FFB"/>
    <w:rsid w:val="7A98D60B"/>
    <w:rsid w:val="7AB31C3B"/>
    <w:rsid w:val="7AC4E0E2"/>
    <w:rsid w:val="7AC4E6D6"/>
    <w:rsid w:val="7ACB4069"/>
    <w:rsid w:val="7ACC7F3F"/>
    <w:rsid w:val="7AD9EEDB"/>
    <w:rsid w:val="7ADAF522"/>
    <w:rsid w:val="7AE78C15"/>
    <w:rsid w:val="7AF2912F"/>
    <w:rsid w:val="7AF5B388"/>
    <w:rsid w:val="7AF7E742"/>
    <w:rsid w:val="7B066800"/>
    <w:rsid w:val="7B07C0FE"/>
    <w:rsid w:val="7B16B2AC"/>
    <w:rsid w:val="7B481DD2"/>
    <w:rsid w:val="7B5CF2B2"/>
    <w:rsid w:val="7B65EDA0"/>
    <w:rsid w:val="7B6805FF"/>
    <w:rsid w:val="7B6BA315"/>
    <w:rsid w:val="7B81FC4C"/>
    <w:rsid w:val="7B87FF53"/>
    <w:rsid w:val="7BA3A98B"/>
    <w:rsid w:val="7BE38773"/>
    <w:rsid w:val="7BE766C6"/>
    <w:rsid w:val="7BE91D3E"/>
    <w:rsid w:val="7BEB3112"/>
    <w:rsid w:val="7BEB6CA0"/>
    <w:rsid w:val="7BF26E0D"/>
    <w:rsid w:val="7C0631B1"/>
    <w:rsid w:val="7C085C30"/>
    <w:rsid w:val="7C0981D2"/>
    <w:rsid w:val="7C125070"/>
    <w:rsid w:val="7C14D387"/>
    <w:rsid w:val="7C3695E9"/>
    <w:rsid w:val="7C51D526"/>
    <w:rsid w:val="7C549A35"/>
    <w:rsid w:val="7C5AE1C7"/>
    <w:rsid w:val="7C7F35D5"/>
    <w:rsid w:val="7C7FC177"/>
    <w:rsid w:val="7C89F7D2"/>
    <w:rsid w:val="7C8BFBA7"/>
    <w:rsid w:val="7C8E2EBF"/>
    <w:rsid w:val="7C92DCD4"/>
    <w:rsid w:val="7C95557C"/>
    <w:rsid w:val="7C9A46F5"/>
    <w:rsid w:val="7CA6AEA2"/>
    <w:rsid w:val="7CAEED72"/>
    <w:rsid w:val="7CBEE0BF"/>
    <w:rsid w:val="7CC05446"/>
    <w:rsid w:val="7CC29D47"/>
    <w:rsid w:val="7CD2CC5B"/>
    <w:rsid w:val="7CD72C20"/>
    <w:rsid w:val="7CD74F3E"/>
    <w:rsid w:val="7CD8E25D"/>
    <w:rsid w:val="7CDBBB23"/>
    <w:rsid w:val="7CE373F4"/>
    <w:rsid w:val="7CF55D10"/>
    <w:rsid w:val="7CF56D18"/>
    <w:rsid w:val="7CF869E6"/>
    <w:rsid w:val="7D16DE87"/>
    <w:rsid w:val="7D33A599"/>
    <w:rsid w:val="7D4482A7"/>
    <w:rsid w:val="7D4955A1"/>
    <w:rsid w:val="7D4D9172"/>
    <w:rsid w:val="7D5617FD"/>
    <w:rsid w:val="7D621A5E"/>
    <w:rsid w:val="7D78F0C5"/>
    <w:rsid w:val="7D892361"/>
    <w:rsid w:val="7D9AEF16"/>
    <w:rsid w:val="7DA2DACD"/>
    <w:rsid w:val="7DAE798B"/>
    <w:rsid w:val="7DC347AB"/>
    <w:rsid w:val="7DDBEA9A"/>
    <w:rsid w:val="7DE0AD03"/>
    <w:rsid w:val="7DE57788"/>
    <w:rsid w:val="7DED5803"/>
    <w:rsid w:val="7DF15456"/>
    <w:rsid w:val="7DF20AFB"/>
    <w:rsid w:val="7E045DAD"/>
    <w:rsid w:val="7E124160"/>
    <w:rsid w:val="7E15E628"/>
    <w:rsid w:val="7E16DD62"/>
    <w:rsid w:val="7E1BA24B"/>
    <w:rsid w:val="7E1DBBDB"/>
    <w:rsid w:val="7E2C1758"/>
    <w:rsid w:val="7E3749EB"/>
    <w:rsid w:val="7E37B88D"/>
    <w:rsid w:val="7E42F71F"/>
    <w:rsid w:val="7E47AC5C"/>
    <w:rsid w:val="7E49CDF7"/>
    <w:rsid w:val="7E4F72F5"/>
    <w:rsid w:val="7E531F7B"/>
    <w:rsid w:val="7E58D339"/>
    <w:rsid w:val="7E5E368C"/>
    <w:rsid w:val="7E6D3FC4"/>
    <w:rsid w:val="7E70828F"/>
    <w:rsid w:val="7E74B3E3"/>
    <w:rsid w:val="7E762A4A"/>
    <w:rsid w:val="7E7CE1EA"/>
    <w:rsid w:val="7E7FD598"/>
    <w:rsid w:val="7E83252A"/>
    <w:rsid w:val="7E83AFFD"/>
    <w:rsid w:val="7E97E427"/>
    <w:rsid w:val="7E99DE51"/>
    <w:rsid w:val="7EA27119"/>
    <w:rsid w:val="7EA32463"/>
    <w:rsid w:val="7EA43E77"/>
    <w:rsid w:val="7EA5713C"/>
    <w:rsid w:val="7EB74CF1"/>
    <w:rsid w:val="7ED16F3D"/>
    <w:rsid w:val="7EE8CE6A"/>
    <w:rsid w:val="7EF48E3F"/>
    <w:rsid w:val="7EFD2185"/>
    <w:rsid w:val="7EFF07F8"/>
    <w:rsid w:val="7F0628F9"/>
    <w:rsid w:val="7F0AB6AC"/>
    <w:rsid w:val="7F1B3449"/>
    <w:rsid w:val="7F1D8A6F"/>
    <w:rsid w:val="7F2DCFC9"/>
    <w:rsid w:val="7F3AF33E"/>
    <w:rsid w:val="7F43124C"/>
    <w:rsid w:val="7F4F73C0"/>
    <w:rsid w:val="7F59FE13"/>
    <w:rsid w:val="7F7EC59A"/>
    <w:rsid w:val="7F7F471B"/>
    <w:rsid w:val="7F830709"/>
    <w:rsid w:val="7F866838"/>
    <w:rsid w:val="7F8DE60D"/>
    <w:rsid w:val="7F9B2E66"/>
    <w:rsid w:val="7FA47EB6"/>
    <w:rsid w:val="7FBD02F2"/>
    <w:rsid w:val="7FCF39D7"/>
    <w:rsid w:val="7FDAC4EB"/>
    <w:rsid w:val="7FDE66B4"/>
    <w:rsid w:val="7FE88337"/>
    <w:rsid w:val="7FED2AAD"/>
    <w:rsid w:val="7FFFE4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F8DDBC"/>
  <w15:docId w15:val="{7C340B95-1073-4534-BD33-E360D596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uiPriority="2"/>
    <w:lsdException w:name="List 2" w:semiHidden="1" w:unhideWhenUsed="1"/>
    <w:lsdException w:name="List 3"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E31"/>
    <w:rPr>
      <w:sz w:val="24"/>
      <w:szCs w:val="24"/>
    </w:rPr>
  </w:style>
  <w:style w:type="paragraph" w:styleId="Heading1">
    <w:name w:val="heading 1"/>
    <w:basedOn w:val="Normal"/>
    <w:next w:val="Normal"/>
    <w:link w:val="Heading1Char"/>
    <w:uiPriority w:val="9"/>
    <w:qFormat/>
    <w:rsid w:val="00AF4E31"/>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AF4E31"/>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AF4E31"/>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unhideWhenUsed/>
    <w:qFormat/>
    <w:rsid w:val="00AF4E31"/>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F4E31"/>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F4E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F4E31"/>
    <w:pPr>
      <w:spacing w:before="240" w:after="60"/>
      <w:outlineLvl w:val="6"/>
    </w:pPr>
  </w:style>
  <w:style w:type="paragraph" w:styleId="Heading8">
    <w:name w:val="heading 8"/>
    <w:basedOn w:val="Normal"/>
    <w:next w:val="Normal"/>
    <w:link w:val="Heading8Char"/>
    <w:uiPriority w:val="9"/>
    <w:semiHidden/>
    <w:unhideWhenUsed/>
    <w:qFormat/>
    <w:rsid w:val="00AF4E31"/>
    <w:pPr>
      <w:spacing w:before="240" w:after="60"/>
      <w:outlineLvl w:val="7"/>
    </w:pPr>
    <w:rPr>
      <w:i/>
      <w:iCs/>
    </w:rPr>
  </w:style>
  <w:style w:type="paragraph" w:styleId="Heading9">
    <w:name w:val="heading 9"/>
    <w:basedOn w:val="Normal"/>
    <w:next w:val="Normal"/>
    <w:link w:val="Heading9Char"/>
    <w:uiPriority w:val="9"/>
    <w:semiHidden/>
    <w:unhideWhenUsed/>
    <w:qFormat/>
    <w:rsid w:val="00AF4E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4E31"/>
    <w:rPr>
      <w:rFonts w:asciiTheme="minorHAnsi" w:hAnsiTheme="minorHAnsi"/>
      <w:b/>
      <w:i/>
      <w:iCs/>
    </w:rPr>
  </w:style>
  <w:style w:type="character" w:styleId="Strong">
    <w:name w:val="Strong"/>
    <w:basedOn w:val="DefaultParagraphFont"/>
    <w:uiPriority w:val="22"/>
    <w:qFormat/>
    <w:rsid w:val="00AF4E31"/>
    <w:rPr>
      <w:b/>
      <w:bCs/>
    </w:rPr>
  </w:style>
  <w:style w:type="paragraph" w:styleId="Subtitle">
    <w:name w:val="Subtitle"/>
    <w:basedOn w:val="Normal"/>
    <w:next w:val="Normal"/>
    <w:link w:val="SubtitleChar"/>
    <w:uiPriority w:val="11"/>
    <w:qFormat/>
    <w:rsid w:val="00AF4E3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F4E31"/>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AF4E3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F4E31"/>
    <w:rPr>
      <w:rFonts w:asciiTheme="majorHAnsi" w:eastAsiaTheme="majorEastAsia" w:hAnsiTheme="majorHAnsi" w:cstheme="majorBidi"/>
      <w:b/>
      <w:bCs/>
      <w:kern w:val="28"/>
      <w:sz w:val="32"/>
      <w:szCs w:val="32"/>
    </w:rPr>
  </w:style>
  <w:style w:type="paragraph" w:styleId="NoSpacing">
    <w:name w:val="No Spacing"/>
    <w:basedOn w:val="Normal"/>
    <w:uiPriority w:val="1"/>
    <w:qFormat/>
    <w:rsid w:val="00AF4E31"/>
    <w:rPr>
      <w:szCs w:val="32"/>
    </w:rPr>
  </w:style>
  <w:style w:type="character" w:styleId="SubtleEmphasis">
    <w:name w:val="Subtle Emphasis"/>
    <w:uiPriority w:val="19"/>
    <w:qFormat/>
    <w:rsid w:val="00AF4E31"/>
    <w:rPr>
      <w:i/>
      <w:color w:val="5A5A5A" w:themeColor="text1" w:themeTint="A5"/>
    </w:rPr>
  </w:style>
  <w:style w:type="character" w:styleId="IntenseEmphasis">
    <w:name w:val="Intense Emphasis"/>
    <w:basedOn w:val="DefaultParagraphFont"/>
    <w:uiPriority w:val="21"/>
    <w:qFormat/>
    <w:rsid w:val="00AF4E31"/>
    <w:rPr>
      <w:b/>
      <w:i/>
      <w:sz w:val="24"/>
      <w:szCs w:val="24"/>
      <w:u w:val="single"/>
    </w:rPr>
  </w:style>
  <w:style w:type="paragraph" w:styleId="Quote">
    <w:name w:val="Quote"/>
    <w:basedOn w:val="Normal"/>
    <w:next w:val="Normal"/>
    <w:link w:val="QuoteChar"/>
    <w:uiPriority w:val="29"/>
    <w:qFormat/>
    <w:rsid w:val="00AF4E31"/>
    <w:rPr>
      <w:i/>
    </w:rPr>
  </w:style>
  <w:style w:type="character" w:customStyle="1" w:styleId="QuoteChar">
    <w:name w:val="Quote Char"/>
    <w:basedOn w:val="DefaultParagraphFont"/>
    <w:link w:val="Quote"/>
    <w:uiPriority w:val="29"/>
    <w:rsid w:val="00AF4E31"/>
    <w:rPr>
      <w:i/>
      <w:sz w:val="24"/>
      <w:szCs w:val="24"/>
    </w:rPr>
  </w:style>
  <w:style w:type="paragraph" w:styleId="IntenseQuote">
    <w:name w:val="Intense Quote"/>
    <w:basedOn w:val="Normal"/>
    <w:next w:val="Normal"/>
    <w:link w:val="IntenseQuoteChar"/>
    <w:uiPriority w:val="30"/>
    <w:qFormat/>
    <w:rsid w:val="00AF4E31"/>
    <w:pPr>
      <w:ind w:left="720" w:right="720"/>
    </w:pPr>
    <w:rPr>
      <w:b/>
      <w:i/>
      <w:szCs w:val="22"/>
    </w:rPr>
  </w:style>
  <w:style w:type="character" w:customStyle="1" w:styleId="IntenseQuoteChar">
    <w:name w:val="Intense Quote Char"/>
    <w:basedOn w:val="DefaultParagraphFont"/>
    <w:link w:val="IntenseQuote"/>
    <w:uiPriority w:val="30"/>
    <w:rsid w:val="00AF4E31"/>
    <w:rPr>
      <w:b/>
      <w:i/>
      <w:sz w:val="24"/>
    </w:rPr>
  </w:style>
  <w:style w:type="character" w:styleId="SubtleReference">
    <w:name w:val="Subtle Reference"/>
    <w:basedOn w:val="DefaultParagraphFont"/>
    <w:uiPriority w:val="31"/>
    <w:qFormat/>
    <w:rsid w:val="00AF4E31"/>
    <w:rPr>
      <w:sz w:val="24"/>
      <w:szCs w:val="24"/>
      <w:u w:val="single"/>
    </w:rPr>
  </w:style>
  <w:style w:type="character" w:styleId="IntenseReference">
    <w:name w:val="Intense Reference"/>
    <w:basedOn w:val="DefaultParagraphFont"/>
    <w:uiPriority w:val="32"/>
    <w:qFormat/>
    <w:rsid w:val="00AF4E31"/>
    <w:rPr>
      <w:b/>
      <w:sz w:val="24"/>
      <w:u w:val="single"/>
    </w:rPr>
  </w:style>
  <w:style w:type="character" w:styleId="BookTitle">
    <w:name w:val="Book Title"/>
    <w:basedOn w:val="DefaultParagraphFont"/>
    <w:uiPriority w:val="33"/>
    <w:qFormat/>
    <w:rsid w:val="00AF4E31"/>
    <w:rPr>
      <w:rFonts w:asciiTheme="majorHAnsi" w:eastAsiaTheme="majorEastAsia" w:hAnsiTheme="majorHAnsi"/>
      <w:b/>
      <w:i/>
      <w:sz w:val="24"/>
      <w:szCs w:val="24"/>
    </w:rPr>
  </w:style>
  <w:style w:type="paragraph" w:styleId="ListParagraph">
    <w:name w:val="List Paragraph"/>
    <w:aliases w:val="CV text,Dot pt,F5 List Paragraph,FooterText,L,List Paragraph1,List Paragraph11,List Paragraph111,List Paragraph2,Medium Grid 1 - Accent 21,NFP GP Bulleted List,Numbered Paragraph,Paragraphe de liste1,Recommendation,Table text,numbered,列出段"/>
    <w:basedOn w:val="Normal"/>
    <w:link w:val="ListParagraphChar"/>
    <w:uiPriority w:val="34"/>
    <w:qFormat/>
    <w:rsid w:val="00AF4E31"/>
    <w:pPr>
      <w:ind w:left="720"/>
      <w:contextualSpacing/>
    </w:pPr>
  </w:style>
  <w:style w:type="character" w:customStyle="1" w:styleId="apple-converted-space">
    <w:name w:val="apple-converted-space"/>
    <w:basedOn w:val="DefaultParagraphFont"/>
    <w:rsid w:val="00B940B5"/>
  </w:style>
  <w:style w:type="character" w:styleId="Hyperlink">
    <w:name w:val="Hyperlink"/>
    <w:basedOn w:val="DefaultParagraphFont"/>
    <w:uiPriority w:val="99"/>
    <w:unhideWhenUsed/>
    <w:qFormat/>
    <w:rsid w:val="00B940B5"/>
    <w:rPr>
      <w:color w:val="0000FF"/>
      <w:u w:val="single"/>
    </w:rPr>
  </w:style>
  <w:style w:type="paragraph" w:customStyle="1" w:styleId="Default">
    <w:name w:val="Default"/>
    <w:rsid w:val="004C784D"/>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491CFF"/>
    <w:rPr>
      <w:color w:val="800080" w:themeColor="followedHyperlink"/>
      <w:u w:val="single"/>
    </w:rPr>
  </w:style>
  <w:style w:type="character" w:customStyle="1" w:styleId="Heading2Char">
    <w:name w:val="Heading 2 Char"/>
    <w:basedOn w:val="DefaultParagraphFont"/>
    <w:link w:val="Heading2"/>
    <w:uiPriority w:val="9"/>
    <w:rsid w:val="00AF4E31"/>
    <w:rPr>
      <w:rFonts w:asciiTheme="majorHAnsi" w:eastAsiaTheme="majorEastAsia" w:hAnsiTheme="majorHAnsi" w:cs="Arial"/>
      <w:b/>
      <w:bCs/>
      <w:i/>
      <w:iCs/>
      <w:sz w:val="28"/>
      <w:szCs w:val="28"/>
    </w:rPr>
  </w:style>
  <w:style w:type="paragraph" w:styleId="BalloonText">
    <w:name w:val="Balloon Text"/>
    <w:basedOn w:val="Normal"/>
    <w:link w:val="BalloonTextChar"/>
    <w:rsid w:val="004C1FEC"/>
    <w:rPr>
      <w:rFonts w:ascii="Tahoma" w:hAnsi="Tahoma" w:cs="Tahoma"/>
      <w:sz w:val="16"/>
      <w:szCs w:val="16"/>
    </w:rPr>
  </w:style>
  <w:style w:type="character" w:customStyle="1" w:styleId="BalloonTextChar">
    <w:name w:val="Balloon Text Char"/>
    <w:basedOn w:val="DefaultParagraphFont"/>
    <w:link w:val="BalloonText"/>
    <w:rsid w:val="004C1FEC"/>
    <w:rPr>
      <w:rFonts w:ascii="Tahoma" w:hAnsi="Tahoma" w:cs="Tahoma"/>
      <w:sz w:val="16"/>
      <w:szCs w:val="16"/>
      <w:lang w:eastAsia="en-US"/>
    </w:rPr>
  </w:style>
  <w:style w:type="character" w:styleId="CommentReference">
    <w:name w:val="annotation reference"/>
    <w:basedOn w:val="DefaultParagraphFont"/>
    <w:uiPriority w:val="99"/>
    <w:rsid w:val="00D8048F"/>
    <w:rPr>
      <w:sz w:val="16"/>
      <w:szCs w:val="16"/>
    </w:rPr>
  </w:style>
  <w:style w:type="paragraph" w:styleId="CommentText">
    <w:name w:val="annotation text"/>
    <w:basedOn w:val="Normal"/>
    <w:link w:val="CommentTextChar"/>
    <w:uiPriority w:val="99"/>
    <w:rsid w:val="00D8048F"/>
    <w:rPr>
      <w:sz w:val="20"/>
      <w:szCs w:val="20"/>
    </w:rPr>
  </w:style>
  <w:style w:type="character" w:customStyle="1" w:styleId="CommentTextChar">
    <w:name w:val="Comment Text Char"/>
    <w:basedOn w:val="DefaultParagraphFont"/>
    <w:link w:val="CommentText"/>
    <w:uiPriority w:val="99"/>
    <w:rsid w:val="00D8048F"/>
    <w:rPr>
      <w:lang w:eastAsia="en-US"/>
    </w:rPr>
  </w:style>
  <w:style w:type="paragraph" w:styleId="CommentSubject">
    <w:name w:val="annotation subject"/>
    <w:basedOn w:val="CommentText"/>
    <w:next w:val="CommentText"/>
    <w:link w:val="CommentSubjectChar"/>
    <w:rsid w:val="00D8048F"/>
    <w:rPr>
      <w:b/>
      <w:bCs/>
    </w:rPr>
  </w:style>
  <w:style w:type="character" w:customStyle="1" w:styleId="CommentSubjectChar">
    <w:name w:val="Comment Subject Char"/>
    <w:basedOn w:val="CommentTextChar"/>
    <w:link w:val="CommentSubject"/>
    <w:rsid w:val="00D8048F"/>
    <w:rPr>
      <w:b/>
      <w:bCs/>
      <w:lang w:eastAsia="en-US"/>
    </w:rPr>
  </w:style>
  <w:style w:type="paragraph" w:styleId="EndnoteText">
    <w:name w:val="endnote text"/>
    <w:basedOn w:val="Normal"/>
    <w:link w:val="EndnoteTextChar"/>
    <w:uiPriority w:val="99"/>
    <w:unhideWhenUsed/>
    <w:rsid w:val="00D01DEC"/>
    <w:rPr>
      <w:sz w:val="20"/>
      <w:szCs w:val="20"/>
    </w:rPr>
  </w:style>
  <w:style w:type="character" w:customStyle="1" w:styleId="EndnoteTextChar">
    <w:name w:val="Endnote Text Char"/>
    <w:basedOn w:val="DefaultParagraphFont"/>
    <w:link w:val="EndnoteText"/>
    <w:uiPriority w:val="99"/>
    <w:rsid w:val="00D01DEC"/>
    <w:rPr>
      <w:lang w:eastAsia="en-US"/>
    </w:rPr>
  </w:style>
  <w:style w:type="character" w:styleId="EndnoteReference">
    <w:name w:val="endnote reference"/>
    <w:basedOn w:val="DefaultParagraphFont"/>
    <w:uiPriority w:val="99"/>
    <w:unhideWhenUsed/>
    <w:rsid w:val="00D01DEC"/>
    <w:rPr>
      <w:vertAlign w:val="superscript"/>
    </w:rPr>
  </w:style>
  <w:style w:type="paragraph" w:styleId="Revision">
    <w:name w:val="Revision"/>
    <w:hidden/>
    <w:uiPriority w:val="99"/>
    <w:semiHidden/>
    <w:rsid w:val="00C975E9"/>
    <w:rPr>
      <w:sz w:val="24"/>
      <w:szCs w:val="24"/>
      <w:lang w:eastAsia="en-US"/>
    </w:rPr>
  </w:style>
  <w:style w:type="table" w:styleId="TableGrid">
    <w:name w:val="Table Grid"/>
    <w:basedOn w:val="TableNormal"/>
    <w:uiPriority w:val="39"/>
    <w:rsid w:val="008E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3632E"/>
    <w:rPr>
      <w:color w:val="808080"/>
      <w:shd w:val="clear" w:color="auto" w:fill="E6E6E6"/>
    </w:rPr>
  </w:style>
  <w:style w:type="paragraph" w:styleId="FootnoteText">
    <w:name w:val="footnote text"/>
    <w:basedOn w:val="Normal"/>
    <w:link w:val="FootnoteTextChar"/>
    <w:uiPriority w:val="99"/>
    <w:rsid w:val="000A0EB9"/>
    <w:rPr>
      <w:rFonts w:eastAsiaTheme="minorHAnsi" w:cstheme="minorBidi"/>
      <w:sz w:val="20"/>
      <w:szCs w:val="20"/>
    </w:rPr>
  </w:style>
  <w:style w:type="character" w:customStyle="1" w:styleId="FootnoteTextChar">
    <w:name w:val="Footnote Text Char"/>
    <w:basedOn w:val="DefaultParagraphFont"/>
    <w:link w:val="FootnoteText"/>
    <w:uiPriority w:val="99"/>
    <w:rsid w:val="000A0EB9"/>
    <w:rPr>
      <w:rFonts w:asciiTheme="minorHAnsi" w:eastAsiaTheme="minorHAnsi" w:hAnsiTheme="minorHAnsi" w:cstheme="minorBidi"/>
      <w:lang w:eastAsia="en-US"/>
    </w:rPr>
  </w:style>
  <w:style w:type="character" w:styleId="FootnoteReference">
    <w:name w:val="footnote reference"/>
    <w:basedOn w:val="DefaultParagraphFont"/>
    <w:uiPriority w:val="99"/>
    <w:rsid w:val="000A0EB9"/>
    <w:rPr>
      <w:vertAlign w:val="superscript"/>
    </w:rPr>
  </w:style>
  <w:style w:type="table" w:customStyle="1" w:styleId="TableGrid1">
    <w:name w:val="Table Grid1"/>
    <w:basedOn w:val="TableNormal"/>
    <w:next w:val="TableGrid"/>
    <w:uiPriority w:val="59"/>
    <w:rsid w:val="007C7E8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E8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7E8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918F0"/>
    <w:rPr>
      <w:color w:val="808080"/>
      <w:shd w:val="clear" w:color="auto" w:fill="E6E6E6"/>
    </w:rPr>
  </w:style>
  <w:style w:type="paragraph" w:styleId="NormalWeb">
    <w:name w:val="Normal (Web)"/>
    <w:basedOn w:val="Normal"/>
    <w:uiPriority w:val="99"/>
    <w:unhideWhenUsed/>
    <w:rsid w:val="005942EA"/>
    <w:pPr>
      <w:spacing w:before="100" w:beforeAutospacing="1" w:after="100" w:afterAutospacing="1"/>
    </w:pPr>
  </w:style>
  <w:style w:type="paragraph" w:styleId="Header">
    <w:name w:val="header"/>
    <w:basedOn w:val="Normal"/>
    <w:link w:val="HeaderChar"/>
    <w:unhideWhenUsed/>
    <w:rsid w:val="00E72E16"/>
    <w:pPr>
      <w:tabs>
        <w:tab w:val="center" w:pos="4513"/>
        <w:tab w:val="right" w:pos="9026"/>
      </w:tabs>
    </w:pPr>
  </w:style>
  <w:style w:type="character" w:customStyle="1" w:styleId="HeaderChar">
    <w:name w:val="Header Char"/>
    <w:basedOn w:val="DefaultParagraphFont"/>
    <w:link w:val="Header"/>
    <w:rsid w:val="00E72E16"/>
    <w:rPr>
      <w:sz w:val="24"/>
      <w:szCs w:val="24"/>
      <w:lang w:eastAsia="en-US"/>
    </w:rPr>
  </w:style>
  <w:style w:type="paragraph" w:styleId="Footer">
    <w:name w:val="footer"/>
    <w:basedOn w:val="Normal"/>
    <w:link w:val="FooterChar"/>
    <w:uiPriority w:val="99"/>
    <w:unhideWhenUsed/>
    <w:qFormat/>
    <w:rsid w:val="00E72E16"/>
    <w:pPr>
      <w:tabs>
        <w:tab w:val="center" w:pos="4513"/>
        <w:tab w:val="right" w:pos="9026"/>
      </w:tabs>
    </w:pPr>
  </w:style>
  <w:style w:type="character" w:customStyle="1" w:styleId="FooterChar">
    <w:name w:val="Footer Char"/>
    <w:basedOn w:val="DefaultParagraphFont"/>
    <w:link w:val="Footer"/>
    <w:uiPriority w:val="99"/>
    <w:rsid w:val="00E72E16"/>
    <w:rPr>
      <w:sz w:val="24"/>
      <w:szCs w:val="24"/>
      <w:lang w:eastAsia="en-US"/>
    </w:rPr>
  </w:style>
  <w:style w:type="table" w:customStyle="1" w:styleId="GridTable4-Accent51">
    <w:name w:val="Grid Table 4 - Accent 51"/>
    <w:basedOn w:val="TableNormal"/>
    <w:uiPriority w:val="49"/>
    <w:rsid w:val="00054DE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0">
    <w:name w:val="default"/>
    <w:basedOn w:val="Normal"/>
    <w:rsid w:val="008E340A"/>
    <w:pPr>
      <w:spacing w:before="100" w:beforeAutospacing="1" w:after="100" w:afterAutospacing="1"/>
    </w:pPr>
    <w:rPr>
      <w:lang w:val="en-GB" w:eastAsia="en-GB"/>
    </w:rPr>
  </w:style>
  <w:style w:type="character" w:customStyle="1" w:styleId="UnresolvedMention3">
    <w:name w:val="Unresolved Mention3"/>
    <w:basedOn w:val="DefaultParagraphFont"/>
    <w:uiPriority w:val="99"/>
    <w:semiHidden/>
    <w:unhideWhenUsed/>
    <w:rsid w:val="002C7FDD"/>
    <w:rPr>
      <w:color w:val="605E5C"/>
      <w:shd w:val="clear" w:color="auto" w:fill="E1DFDD"/>
    </w:rPr>
  </w:style>
  <w:style w:type="character" w:customStyle="1" w:styleId="citation">
    <w:name w:val="citation"/>
    <w:basedOn w:val="DefaultParagraphFont"/>
    <w:rsid w:val="002C7FDD"/>
  </w:style>
  <w:style w:type="character" w:customStyle="1" w:styleId="doi">
    <w:name w:val="doi"/>
    <w:basedOn w:val="DefaultParagraphFont"/>
    <w:rsid w:val="002C7FDD"/>
  </w:style>
  <w:style w:type="table" w:customStyle="1" w:styleId="GridTable4-Accent52">
    <w:name w:val="Grid Table 4 - Accent 52"/>
    <w:basedOn w:val="TableNormal"/>
    <w:uiPriority w:val="49"/>
    <w:rsid w:val="008921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1">
    <w:name w:val="Grid Table 1 Light - Accent 11"/>
    <w:basedOn w:val="TableNormal"/>
    <w:uiPriority w:val="46"/>
    <w:rsid w:val="009B55A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epub-state">
    <w:name w:val="epub-state"/>
    <w:basedOn w:val="DefaultParagraphFont"/>
    <w:rsid w:val="00C05A0E"/>
  </w:style>
  <w:style w:type="character" w:customStyle="1" w:styleId="epub-date">
    <w:name w:val="epub-date"/>
    <w:basedOn w:val="DefaultParagraphFont"/>
    <w:rsid w:val="00C05A0E"/>
  </w:style>
  <w:style w:type="character" w:customStyle="1" w:styleId="authorname">
    <w:name w:val="authorname"/>
    <w:basedOn w:val="DefaultParagraphFont"/>
    <w:rsid w:val="00EE2329"/>
  </w:style>
  <w:style w:type="character" w:customStyle="1" w:styleId="u-sronly">
    <w:name w:val="u-sronly"/>
    <w:basedOn w:val="DefaultParagraphFont"/>
    <w:rsid w:val="00EE2329"/>
  </w:style>
  <w:style w:type="character" w:customStyle="1" w:styleId="journaltitle">
    <w:name w:val="journaltitle"/>
    <w:basedOn w:val="DefaultParagraphFont"/>
    <w:rsid w:val="00EE2329"/>
  </w:style>
  <w:style w:type="character" w:customStyle="1" w:styleId="journalsubtitle">
    <w:name w:val="journalsubtitle"/>
    <w:basedOn w:val="DefaultParagraphFont"/>
    <w:rsid w:val="00EE2329"/>
  </w:style>
  <w:style w:type="character" w:customStyle="1" w:styleId="articlecitationyear">
    <w:name w:val="articlecitation_year"/>
    <w:basedOn w:val="DefaultParagraphFont"/>
    <w:rsid w:val="00EE2329"/>
  </w:style>
  <w:style w:type="character" w:customStyle="1" w:styleId="articlecitationvolume">
    <w:name w:val="articlecitation_volume"/>
    <w:basedOn w:val="DefaultParagraphFont"/>
    <w:rsid w:val="00EE2329"/>
  </w:style>
  <w:style w:type="paragraph" w:customStyle="1" w:styleId="articledoi">
    <w:name w:val="articledoi"/>
    <w:basedOn w:val="Normal"/>
    <w:rsid w:val="00EE2329"/>
    <w:pPr>
      <w:spacing w:before="100" w:beforeAutospacing="1" w:after="100" w:afterAutospacing="1"/>
    </w:pPr>
    <w:rPr>
      <w:lang w:val="en-GB" w:eastAsia="en-GB"/>
    </w:rPr>
  </w:style>
  <w:style w:type="paragraph" w:customStyle="1" w:styleId="Headerurl">
    <w:name w:val="Header url"/>
    <w:basedOn w:val="Header"/>
    <w:rsid w:val="00862668"/>
    <w:pPr>
      <w:tabs>
        <w:tab w:val="clear" w:pos="4513"/>
        <w:tab w:val="clear" w:pos="9026"/>
        <w:tab w:val="center" w:pos="4153"/>
        <w:tab w:val="right" w:pos="8306"/>
      </w:tabs>
      <w:spacing w:before="120" w:after="120" w:line="264" w:lineRule="auto"/>
    </w:pPr>
    <w:rPr>
      <w:rFonts w:ascii="Calibri" w:eastAsia="Calibri" w:hAnsi="Calibri"/>
      <w:b/>
      <w:color w:val="00313C"/>
      <w:spacing w:val="16"/>
      <w:szCs w:val="22"/>
    </w:rPr>
  </w:style>
  <w:style w:type="paragraph" w:customStyle="1" w:styleId="address">
    <w:name w:val="address"/>
    <w:aliases w:val="phone,ABN"/>
    <w:basedOn w:val="Normal"/>
    <w:rsid w:val="00862668"/>
    <w:pPr>
      <w:tabs>
        <w:tab w:val="left" w:pos="284"/>
      </w:tabs>
      <w:autoSpaceDE w:val="0"/>
      <w:autoSpaceDN w:val="0"/>
      <w:adjustRightInd w:val="0"/>
      <w:spacing w:before="120" w:after="120" w:line="220" w:lineRule="atLeast"/>
      <w:textAlignment w:val="center"/>
    </w:pPr>
    <w:rPr>
      <w:rFonts w:ascii="Calibri" w:eastAsia="MS Mincho" w:hAnsi="Calibri" w:cs="GillSans Light"/>
      <w:color w:val="000000"/>
      <w:sz w:val="16"/>
      <w:szCs w:val="15"/>
      <w:lang w:val="en-GB" w:eastAsia="ja-JP"/>
    </w:rPr>
  </w:style>
  <w:style w:type="paragraph" w:customStyle="1" w:styleId="instructions">
    <w:name w:val="instructions"/>
    <w:basedOn w:val="Normal"/>
    <w:rsid w:val="00862668"/>
    <w:pPr>
      <w:spacing w:before="120" w:after="120" w:line="264" w:lineRule="auto"/>
    </w:pPr>
    <w:rPr>
      <w:rFonts w:ascii="Calibri" w:eastAsia="Calibri" w:hAnsi="Calibri" w:cs="Arial"/>
      <w:color w:val="FF0000"/>
      <w:sz w:val="18"/>
      <w:szCs w:val="20"/>
    </w:rPr>
  </w:style>
  <w:style w:type="paragraph" w:customStyle="1" w:styleId="BusinessUnitName">
    <w:name w:val="Business Unit Name"/>
    <w:rsid w:val="00862668"/>
    <w:rPr>
      <w:rFonts w:ascii="Calibri" w:hAnsi="Calibri"/>
      <w:b/>
      <w:caps/>
      <w:noProof/>
      <w:color w:val="FFFFFF"/>
      <w:spacing w:val="16"/>
      <w:szCs w:val="24"/>
      <w:lang w:eastAsia="en-US"/>
    </w:rPr>
  </w:style>
  <w:style w:type="character" w:customStyle="1" w:styleId="Heading1Char">
    <w:name w:val="Heading 1 Char"/>
    <w:basedOn w:val="DefaultParagraphFont"/>
    <w:link w:val="Heading1"/>
    <w:uiPriority w:val="9"/>
    <w:locked/>
    <w:rsid w:val="00AF4E31"/>
    <w:rPr>
      <w:rFonts w:asciiTheme="majorHAnsi" w:eastAsiaTheme="majorEastAsia" w:hAnsiTheme="majorHAnsi" w:cs="Arial"/>
      <w:b/>
      <w:bCs/>
      <w:kern w:val="32"/>
      <w:sz w:val="32"/>
      <w:szCs w:val="32"/>
    </w:rPr>
  </w:style>
  <w:style w:type="character" w:customStyle="1" w:styleId="Heading3Char">
    <w:name w:val="Heading 3 Char"/>
    <w:basedOn w:val="DefaultParagraphFont"/>
    <w:link w:val="Heading3"/>
    <w:uiPriority w:val="9"/>
    <w:locked/>
    <w:rsid w:val="00AF4E31"/>
    <w:rPr>
      <w:rFonts w:asciiTheme="majorHAnsi" w:eastAsiaTheme="majorEastAsia" w:hAnsiTheme="majorHAnsi" w:cs="Arial"/>
      <w:b/>
      <w:bCs/>
      <w:sz w:val="26"/>
      <w:szCs w:val="26"/>
    </w:rPr>
  </w:style>
  <w:style w:type="paragraph" w:styleId="ListBullet">
    <w:name w:val="List Bullet"/>
    <w:basedOn w:val="BodyText"/>
    <w:uiPriority w:val="2"/>
    <w:rsid w:val="00862668"/>
    <w:pPr>
      <w:numPr>
        <w:numId w:val="24"/>
      </w:numPr>
      <w:tabs>
        <w:tab w:val="left" w:pos="397"/>
      </w:tabs>
      <w:spacing w:before="60" w:after="60"/>
      <w:ind w:left="198" w:hanging="198"/>
    </w:pPr>
  </w:style>
  <w:style w:type="paragraph" w:styleId="ListNumber">
    <w:name w:val="List Number"/>
    <w:basedOn w:val="BodyText"/>
    <w:uiPriority w:val="2"/>
    <w:rsid w:val="00862668"/>
    <w:pPr>
      <w:numPr>
        <w:numId w:val="27"/>
      </w:numPr>
      <w:tabs>
        <w:tab w:val="clear" w:pos="227"/>
        <w:tab w:val="left" w:pos="397"/>
      </w:tabs>
      <w:ind w:left="397" w:hanging="397"/>
    </w:pPr>
  </w:style>
  <w:style w:type="paragraph" w:styleId="ListBullet2">
    <w:name w:val="List Bullet 2"/>
    <w:basedOn w:val="ListBullet"/>
    <w:uiPriority w:val="2"/>
    <w:rsid w:val="00862668"/>
    <w:pPr>
      <w:numPr>
        <w:ilvl w:val="1"/>
      </w:numPr>
      <w:tabs>
        <w:tab w:val="clear" w:pos="397"/>
        <w:tab w:val="left" w:pos="794"/>
      </w:tabs>
      <w:ind w:left="794" w:hanging="357"/>
    </w:pPr>
  </w:style>
  <w:style w:type="paragraph" w:styleId="ListBullet3">
    <w:name w:val="List Bullet 3"/>
    <w:basedOn w:val="ListBullet2"/>
    <w:uiPriority w:val="2"/>
    <w:rsid w:val="00862668"/>
    <w:pPr>
      <w:numPr>
        <w:ilvl w:val="0"/>
        <w:numId w:val="28"/>
      </w:numPr>
      <w:tabs>
        <w:tab w:val="clear" w:pos="794"/>
        <w:tab w:val="left" w:pos="851"/>
      </w:tabs>
      <w:ind w:left="1497" w:hanging="340"/>
    </w:pPr>
  </w:style>
  <w:style w:type="paragraph" w:customStyle="1" w:styleId="FigureTableSource">
    <w:name w:val="Figure/Table Source"/>
    <w:basedOn w:val="BodyText"/>
    <w:next w:val="BodyText"/>
    <w:uiPriority w:val="4"/>
    <w:rsid w:val="00862668"/>
    <w:pPr>
      <w:tabs>
        <w:tab w:val="left" w:pos="539"/>
      </w:tabs>
      <w:spacing w:after="240" w:line="180" w:lineRule="atLeast"/>
    </w:pPr>
    <w:rPr>
      <w:sz w:val="16"/>
      <w:szCs w:val="20"/>
    </w:rPr>
  </w:style>
  <w:style w:type="paragraph" w:customStyle="1" w:styleId="TableText">
    <w:name w:val="TableText"/>
    <w:basedOn w:val="Normal"/>
    <w:uiPriority w:val="5"/>
    <w:rsid w:val="00862668"/>
    <w:pPr>
      <w:spacing w:before="60" w:after="60" w:line="264" w:lineRule="auto"/>
    </w:pPr>
    <w:rPr>
      <w:rFonts w:ascii="Calibri" w:eastAsia="Calibri" w:hAnsi="Calibri"/>
      <w:color w:val="000000"/>
      <w:sz w:val="18"/>
      <w:szCs w:val="22"/>
    </w:rPr>
  </w:style>
  <w:style w:type="paragraph" w:customStyle="1" w:styleId="TableBullet">
    <w:name w:val="TableBullet"/>
    <w:basedOn w:val="TableText"/>
    <w:next w:val="TableText"/>
    <w:uiPriority w:val="5"/>
    <w:rsid w:val="00862668"/>
    <w:pPr>
      <w:numPr>
        <w:numId w:val="26"/>
      </w:numPr>
    </w:pPr>
  </w:style>
  <w:style w:type="paragraph" w:customStyle="1" w:styleId="RowHeading">
    <w:name w:val="RowHeading"/>
    <w:basedOn w:val="TableText"/>
    <w:next w:val="TableText"/>
    <w:uiPriority w:val="5"/>
    <w:rsid w:val="00862668"/>
    <w:rPr>
      <w:b/>
      <w:color w:val="auto"/>
    </w:rPr>
  </w:style>
  <w:style w:type="paragraph" w:customStyle="1" w:styleId="ColumnHeading">
    <w:name w:val="ColumnHeading"/>
    <w:basedOn w:val="TableText"/>
    <w:uiPriority w:val="5"/>
    <w:rsid w:val="00862668"/>
    <w:pPr>
      <w:spacing w:after="0" w:line="180" w:lineRule="atLeast"/>
    </w:pPr>
    <w:rPr>
      <w:b/>
      <w:caps/>
      <w:color w:val="FFFFFF"/>
      <w:sz w:val="16"/>
    </w:rPr>
  </w:style>
  <w:style w:type="paragraph" w:styleId="Caption">
    <w:name w:val="caption"/>
    <w:basedOn w:val="BodyText"/>
    <w:next w:val="BodyText"/>
    <w:uiPriority w:val="4"/>
    <w:rsid w:val="00862668"/>
    <w:pPr>
      <w:keepNext/>
      <w:spacing w:before="180" w:after="180"/>
      <w:contextualSpacing/>
    </w:pPr>
    <w:rPr>
      <w:b/>
      <w:bCs/>
      <w:color w:val="365F91" w:themeColor="accent1" w:themeShade="BF"/>
      <w:sz w:val="20"/>
      <w:szCs w:val="18"/>
    </w:rPr>
  </w:style>
  <w:style w:type="paragraph" w:styleId="BodyText">
    <w:name w:val="Body Text"/>
    <w:link w:val="BodyTextChar"/>
    <w:qFormat/>
    <w:rsid w:val="00862668"/>
    <w:pPr>
      <w:spacing w:before="120" w:after="120" w:line="264" w:lineRule="auto"/>
    </w:pPr>
    <w:rPr>
      <w:rFonts w:ascii="Calibri" w:eastAsia="Calibri" w:hAnsi="Calibri"/>
      <w:color w:val="000000"/>
      <w:sz w:val="24"/>
    </w:rPr>
  </w:style>
  <w:style w:type="character" w:customStyle="1" w:styleId="BodyTextChar">
    <w:name w:val="Body Text Char"/>
    <w:basedOn w:val="DefaultParagraphFont"/>
    <w:link w:val="BodyText"/>
    <w:rsid w:val="00862668"/>
    <w:rPr>
      <w:rFonts w:ascii="Calibri" w:eastAsia="Calibri" w:hAnsi="Calibri"/>
      <w:color w:val="000000"/>
      <w:sz w:val="24"/>
      <w:szCs w:val="22"/>
    </w:rPr>
  </w:style>
  <w:style w:type="paragraph" w:styleId="ListNumber3">
    <w:name w:val="List Number 3"/>
    <w:basedOn w:val="ListNumber2"/>
    <w:uiPriority w:val="2"/>
    <w:rsid w:val="00862668"/>
    <w:pPr>
      <w:numPr>
        <w:numId w:val="29"/>
      </w:numPr>
      <w:tabs>
        <w:tab w:val="clear" w:pos="397"/>
      </w:tabs>
      <w:ind w:left="1078" w:hanging="284"/>
    </w:pPr>
  </w:style>
  <w:style w:type="numbering" w:customStyle="1" w:styleId="TableBullets">
    <w:name w:val="TableBullets"/>
    <w:uiPriority w:val="99"/>
    <w:rsid w:val="00862668"/>
    <w:pPr>
      <w:numPr>
        <w:numId w:val="26"/>
      </w:numPr>
    </w:pPr>
  </w:style>
  <w:style w:type="numbering" w:customStyle="1" w:styleId="Sources">
    <w:name w:val="Sources"/>
    <w:rsid w:val="00862668"/>
    <w:pPr>
      <w:numPr>
        <w:numId w:val="25"/>
      </w:numPr>
    </w:pPr>
  </w:style>
  <w:style w:type="numbering" w:customStyle="1" w:styleId="Bullets">
    <w:name w:val="Bullets"/>
    <w:rsid w:val="00862668"/>
    <w:pPr>
      <w:numPr>
        <w:numId w:val="24"/>
      </w:numPr>
    </w:pPr>
  </w:style>
  <w:style w:type="numbering" w:customStyle="1" w:styleId="Numbers">
    <w:name w:val="Numbers"/>
    <w:rsid w:val="00862668"/>
    <w:pPr>
      <w:numPr>
        <w:numId w:val="27"/>
      </w:numPr>
    </w:pPr>
  </w:style>
  <w:style w:type="paragraph" w:customStyle="1" w:styleId="Equation">
    <w:name w:val="Equation"/>
    <w:basedOn w:val="BodyText"/>
    <w:next w:val="BodyText"/>
    <w:uiPriority w:val="7"/>
    <w:rsid w:val="00862668"/>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rsid w:val="00862668"/>
    <w:pPr>
      <w:numPr>
        <w:numId w:val="23"/>
      </w:numPr>
      <w:tabs>
        <w:tab w:val="left" w:pos="794"/>
      </w:tabs>
      <w:spacing w:before="60" w:after="60"/>
      <w:ind w:left="794" w:hanging="397"/>
    </w:pPr>
  </w:style>
  <w:style w:type="character" w:customStyle="1" w:styleId="Italics">
    <w:name w:val="Italics"/>
    <w:basedOn w:val="DefaultParagraphFont"/>
    <w:uiPriority w:val="3"/>
    <w:rsid w:val="00862668"/>
    <w:rPr>
      <w:i/>
    </w:rPr>
  </w:style>
  <w:style w:type="table" w:customStyle="1" w:styleId="TableCSIRO">
    <w:name w:val="Table_CSIRO"/>
    <w:basedOn w:val="TableNormal"/>
    <w:uiPriority w:val="99"/>
    <w:qFormat/>
    <w:rsid w:val="00862668"/>
    <w:rPr>
      <w:rFonts w:ascii="Calibri" w:eastAsiaTheme="minorHAnsi" w:hAnsi="Calibri"/>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862668"/>
    <w:pPr>
      <w:spacing w:before="0"/>
    </w:pPr>
  </w:style>
  <w:style w:type="character" w:customStyle="1" w:styleId="Heading4Char">
    <w:name w:val="Heading 4 Char"/>
    <w:basedOn w:val="DefaultParagraphFont"/>
    <w:link w:val="Heading4"/>
    <w:uiPriority w:val="9"/>
    <w:rsid w:val="00AF4E31"/>
    <w:rPr>
      <w:b/>
      <w:bCs/>
      <w:sz w:val="28"/>
      <w:szCs w:val="28"/>
    </w:rPr>
  </w:style>
  <w:style w:type="character" w:styleId="PageNumber">
    <w:name w:val="page number"/>
    <w:basedOn w:val="DefaultParagraphFont"/>
    <w:uiPriority w:val="99"/>
    <w:rsid w:val="00862668"/>
    <w:rPr>
      <w:rFonts w:ascii="Calibri" w:hAnsi="Calibri" w:cs="Times New Roman"/>
      <w:sz w:val="16"/>
    </w:rPr>
  </w:style>
  <w:style w:type="numbering" w:styleId="1ai">
    <w:name w:val="Outline List 1"/>
    <w:basedOn w:val="NoList"/>
    <w:uiPriority w:val="99"/>
    <w:unhideWhenUsed/>
    <w:rsid w:val="00862668"/>
    <w:pPr>
      <w:numPr>
        <w:numId w:val="30"/>
      </w:numPr>
    </w:pPr>
  </w:style>
  <w:style w:type="paragraph" w:styleId="TOCHeading">
    <w:name w:val="TOC Heading"/>
    <w:basedOn w:val="Heading1"/>
    <w:next w:val="Normal"/>
    <w:uiPriority w:val="39"/>
    <w:unhideWhenUsed/>
    <w:qFormat/>
    <w:rsid w:val="00AF4E31"/>
    <w:pPr>
      <w:outlineLvl w:val="9"/>
    </w:pPr>
    <w:rPr>
      <w:rFonts w:cstheme="majorBidi"/>
    </w:rPr>
  </w:style>
  <w:style w:type="paragraph" w:styleId="TOC1">
    <w:name w:val="toc 1"/>
    <w:basedOn w:val="Normal"/>
    <w:next w:val="Normal"/>
    <w:autoRedefine/>
    <w:uiPriority w:val="39"/>
    <w:unhideWhenUsed/>
    <w:rsid w:val="00260351"/>
    <w:pPr>
      <w:tabs>
        <w:tab w:val="left" w:pos="480"/>
        <w:tab w:val="right" w:leader="dot" w:pos="9628"/>
      </w:tabs>
      <w:spacing w:before="120" w:after="100" w:line="264" w:lineRule="auto"/>
    </w:pPr>
    <w:rPr>
      <w:rFonts w:ascii="Calibri" w:eastAsia="Calibri" w:hAnsi="Calibri"/>
      <w:noProof/>
      <w:szCs w:val="22"/>
    </w:rPr>
  </w:style>
  <w:style w:type="paragraph" w:styleId="TOC2">
    <w:name w:val="toc 2"/>
    <w:basedOn w:val="Normal"/>
    <w:next w:val="Normal"/>
    <w:autoRedefine/>
    <w:uiPriority w:val="39"/>
    <w:unhideWhenUsed/>
    <w:rsid w:val="00862668"/>
    <w:pPr>
      <w:spacing w:before="120" w:after="100" w:line="264" w:lineRule="auto"/>
      <w:ind w:left="240"/>
    </w:pPr>
    <w:rPr>
      <w:rFonts w:ascii="Calibri" w:eastAsia="Calibri" w:hAnsi="Calibri"/>
      <w:color w:val="000000"/>
      <w:szCs w:val="22"/>
    </w:rPr>
  </w:style>
  <w:style w:type="paragraph" w:styleId="TOC3">
    <w:name w:val="toc 3"/>
    <w:basedOn w:val="Normal"/>
    <w:next w:val="Normal"/>
    <w:autoRedefine/>
    <w:uiPriority w:val="39"/>
    <w:unhideWhenUsed/>
    <w:rsid w:val="00862668"/>
    <w:pPr>
      <w:spacing w:before="120" w:after="100" w:line="264" w:lineRule="auto"/>
      <w:ind w:left="480"/>
    </w:pPr>
    <w:rPr>
      <w:rFonts w:ascii="Calibri" w:eastAsia="Calibri" w:hAnsi="Calibri"/>
      <w:color w:val="000000"/>
      <w:szCs w:val="22"/>
    </w:rPr>
  </w:style>
  <w:style w:type="paragraph" w:customStyle="1" w:styleId="BackCoverContactHeading">
    <w:name w:val="BackCover ContactHeading"/>
    <w:next w:val="BackCoverContactDetails"/>
    <w:uiPriority w:val="18"/>
    <w:rsid w:val="00862668"/>
    <w:pPr>
      <w:spacing w:before="360" w:after="60"/>
    </w:pPr>
    <w:rPr>
      <w:rFonts w:ascii="Calibri" w:eastAsia="Calibri" w:hAnsi="Calibri"/>
      <w:caps/>
      <w:sz w:val="18"/>
    </w:rPr>
  </w:style>
  <w:style w:type="paragraph" w:customStyle="1" w:styleId="BackCoverContactDetails">
    <w:name w:val="BackCover ContactDetails"/>
    <w:uiPriority w:val="18"/>
    <w:rsid w:val="00862668"/>
    <w:pPr>
      <w:tabs>
        <w:tab w:val="left" w:pos="199"/>
      </w:tabs>
    </w:pPr>
    <w:rPr>
      <w:rFonts w:ascii="Calibri" w:eastAsia="Calibri" w:hAnsi="Calibri"/>
      <w:sz w:val="18"/>
    </w:rPr>
  </w:style>
  <w:style w:type="character" w:customStyle="1" w:styleId="BackCoverContactBold">
    <w:name w:val="BackCover ContactBold"/>
    <w:basedOn w:val="DefaultParagraphFont"/>
    <w:uiPriority w:val="18"/>
    <w:rsid w:val="00862668"/>
    <w:rPr>
      <w:b/>
    </w:rPr>
  </w:style>
  <w:style w:type="paragraph" w:customStyle="1" w:styleId="fsch5section">
    <w:name w:val="fsch5section"/>
    <w:basedOn w:val="Normal"/>
    <w:rsid w:val="00F97562"/>
    <w:pPr>
      <w:spacing w:before="100" w:beforeAutospacing="1" w:after="100" w:afterAutospacing="1"/>
    </w:pPr>
  </w:style>
  <w:style w:type="paragraph" w:customStyle="1" w:styleId="fsctmain">
    <w:name w:val="fsctmain"/>
    <w:basedOn w:val="Normal"/>
    <w:rsid w:val="00F97562"/>
    <w:pPr>
      <w:spacing w:before="100" w:beforeAutospacing="1" w:after="100" w:afterAutospacing="1"/>
    </w:pPr>
  </w:style>
  <w:style w:type="paragraph" w:customStyle="1" w:styleId="fscnmain">
    <w:name w:val="fscnmain"/>
    <w:basedOn w:val="Normal"/>
    <w:rsid w:val="00F97562"/>
    <w:pPr>
      <w:spacing w:before="100" w:beforeAutospacing="1" w:after="100" w:afterAutospacing="1"/>
    </w:pPr>
  </w:style>
  <w:style w:type="character" w:customStyle="1" w:styleId="Heading5Char">
    <w:name w:val="Heading 5 Char"/>
    <w:basedOn w:val="DefaultParagraphFont"/>
    <w:link w:val="Heading5"/>
    <w:uiPriority w:val="9"/>
    <w:rsid w:val="00AF4E31"/>
    <w:rPr>
      <w:b/>
      <w:bCs/>
      <w:i/>
      <w:iCs/>
      <w:sz w:val="26"/>
      <w:szCs w:val="26"/>
    </w:rPr>
  </w:style>
  <w:style w:type="character" w:customStyle="1" w:styleId="Heading6Char">
    <w:name w:val="Heading 6 Char"/>
    <w:basedOn w:val="DefaultParagraphFont"/>
    <w:link w:val="Heading6"/>
    <w:uiPriority w:val="9"/>
    <w:rsid w:val="00AF4E31"/>
    <w:rPr>
      <w:b/>
      <w:bCs/>
    </w:rPr>
  </w:style>
  <w:style w:type="character" w:customStyle="1" w:styleId="Heading7Char">
    <w:name w:val="Heading 7 Char"/>
    <w:basedOn w:val="DefaultParagraphFont"/>
    <w:link w:val="Heading7"/>
    <w:uiPriority w:val="9"/>
    <w:semiHidden/>
    <w:rsid w:val="00AF4E31"/>
    <w:rPr>
      <w:sz w:val="24"/>
      <w:szCs w:val="24"/>
    </w:rPr>
  </w:style>
  <w:style w:type="character" w:customStyle="1" w:styleId="Heading8Char">
    <w:name w:val="Heading 8 Char"/>
    <w:basedOn w:val="DefaultParagraphFont"/>
    <w:link w:val="Heading8"/>
    <w:uiPriority w:val="9"/>
    <w:semiHidden/>
    <w:rsid w:val="00AF4E31"/>
    <w:rPr>
      <w:i/>
      <w:iCs/>
      <w:sz w:val="24"/>
      <w:szCs w:val="24"/>
    </w:rPr>
  </w:style>
  <w:style w:type="character" w:customStyle="1" w:styleId="Heading9Char">
    <w:name w:val="Heading 9 Char"/>
    <w:basedOn w:val="DefaultParagraphFont"/>
    <w:link w:val="Heading9"/>
    <w:uiPriority w:val="9"/>
    <w:semiHidden/>
    <w:rsid w:val="00AF4E31"/>
    <w:rPr>
      <w:rFonts w:asciiTheme="majorHAnsi" w:eastAsiaTheme="majorEastAsia" w:hAnsiTheme="majorHAnsi"/>
    </w:rPr>
  </w:style>
  <w:style w:type="paragraph" w:customStyle="1" w:styleId="TableParagraph">
    <w:name w:val="Table Paragraph"/>
    <w:basedOn w:val="Normal"/>
    <w:uiPriority w:val="1"/>
    <w:qFormat/>
    <w:rsid w:val="00FE4F87"/>
    <w:pPr>
      <w:widowControl w:val="0"/>
      <w:autoSpaceDE w:val="0"/>
      <w:autoSpaceDN w:val="0"/>
    </w:pPr>
    <w:rPr>
      <w:rFonts w:ascii="Arial" w:eastAsia="Arial" w:hAnsi="Arial" w:cs="Arial"/>
      <w:sz w:val="22"/>
      <w:szCs w:val="22"/>
      <w:lang w:bidi="en-AU"/>
    </w:r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locked/>
    <w:rsid w:val="00D62FA9"/>
    <w:rPr>
      <w:sz w:val="24"/>
      <w:szCs w:val="24"/>
    </w:rPr>
  </w:style>
  <w:style w:type="character" w:customStyle="1" w:styleId="period">
    <w:name w:val="period"/>
    <w:basedOn w:val="DefaultParagraphFont"/>
    <w:rsid w:val="007A047D"/>
  </w:style>
  <w:style w:type="character" w:customStyle="1" w:styleId="cit">
    <w:name w:val="cit"/>
    <w:basedOn w:val="DefaultParagraphFont"/>
    <w:rsid w:val="007A047D"/>
  </w:style>
  <w:style w:type="character" w:customStyle="1" w:styleId="citation-doi">
    <w:name w:val="citation-doi"/>
    <w:basedOn w:val="DefaultParagraphFont"/>
    <w:rsid w:val="007A047D"/>
  </w:style>
  <w:style w:type="character" w:customStyle="1" w:styleId="authors-list-item2">
    <w:name w:val="authors-list-item2"/>
    <w:basedOn w:val="DefaultParagraphFont"/>
    <w:rsid w:val="007A047D"/>
  </w:style>
  <w:style w:type="character" w:customStyle="1" w:styleId="author-sup-separator">
    <w:name w:val="author-sup-separator"/>
    <w:basedOn w:val="DefaultParagraphFont"/>
    <w:rsid w:val="007A047D"/>
  </w:style>
  <w:style w:type="character" w:customStyle="1" w:styleId="comma">
    <w:name w:val="comma"/>
    <w:basedOn w:val="DefaultParagraphFont"/>
    <w:rsid w:val="007A047D"/>
  </w:style>
  <w:style w:type="character" w:customStyle="1" w:styleId="normaltextrun">
    <w:name w:val="normaltextrun"/>
    <w:basedOn w:val="DefaultParagraphFont"/>
    <w:rsid w:val="00B13BE8"/>
  </w:style>
  <w:style w:type="character" w:customStyle="1" w:styleId="eop">
    <w:name w:val="eop"/>
    <w:basedOn w:val="DefaultParagraphFont"/>
    <w:rsid w:val="003C71FE"/>
  </w:style>
  <w:style w:type="paragraph" w:customStyle="1" w:styleId="paragraph">
    <w:name w:val="paragraph"/>
    <w:basedOn w:val="Normal"/>
    <w:rsid w:val="003C71FE"/>
    <w:pPr>
      <w:spacing w:before="100" w:beforeAutospacing="1" w:after="100" w:afterAutospacing="1"/>
    </w:pPr>
    <w:rPr>
      <w:rFonts w:ascii="Times New Roman" w:eastAsia="Times New Roman" w:hAnsi="Times New Roman"/>
    </w:rPr>
  </w:style>
  <w:style w:type="character" w:customStyle="1" w:styleId="UnresolvedMention4">
    <w:name w:val="Unresolved Mention4"/>
    <w:basedOn w:val="DefaultParagraphFont"/>
    <w:uiPriority w:val="99"/>
    <w:semiHidden/>
    <w:unhideWhenUsed/>
    <w:rsid w:val="00E0317A"/>
    <w:rPr>
      <w:color w:val="605E5C"/>
      <w:shd w:val="clear" w:color="auto" w:fill="E1DFDD"/>
    </w:rPr>
  </w:style>
  <w:style w:type="character" w:customStyle="1" w:styleId="tabchar">
    <w:name w:val="tabchar"/>
    <w:basedOn w:val="DefaultParagraphFont"/>
    <w:rsid w:val="006875D3"/>
  </w:style>
  <w:style w:type="character" w:customStyle="1" w:styleId="SmartLink1">
    <w:name w:val="SmartLink1"/>
    <w:basedOn w:val="DefaultParagraphFont"/>
    <w:uiPriority w:val="99"/>
    <w:semiHidden/>
    <w:unhideWhenUsed/>
    <w:rsid w:val="00712518"/>
    <w:rPr>
      <w:color w:val="0000FF"/>
      <w:u w:val="single"/>
      <w:shd w:val="clear" w:color="auto" w:fill="F3F2F1"/>
    </w:rPr>
  </w:style>
  <w:style w:type="character" w:styleId="UnresolvedMention">
    <w:name w:val="Unresolved Mention"/>
    <w:basedOn w:val="DefaultParagraphFont"/>
    <w:uiPriority w:val="99"/>
    <w:semiHidden/>
    <w:unhideWhenUsed/>
    <w:rsid w:val="00EB7823"/>
    <w:rPr>
      <w:color w:val="605E5C"/>
      <w:shd w:val="clear" w:color="auto" w:fill="E1DFDD"/>
    </w:rPr>
  </w:style>
  <w:style w:type="table" w:customStyle="1" w:styleId="TableGrid4">
    <w:name w:val="Table Grid4"/>
    <w:basedOn w:val="TableNormal"/>
    <w:next w:val="TableGrid"/>
    <w:uiPriority w:val="39"/>
    <w:rsid w:val="00434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50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0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7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54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54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678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F826E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826E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826E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F826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170">
      <w:bodyDiv w:val="1"/>
      <w:marLeft w:val="0"/>
      <w:marRight w:val="0"/>
      <w:marTop w:val="0"/>
      <w:marBottom w:val="0"/>
      <w:divBdr>
        <w:top w:val="none" w:sz="0" w:space="0" w:color="auto"/>
        <w:left w:val="none" w:sz="0" w:space="0" w:color="auto"/>
        <w:bottom w:val="none" w:sz="0" w:space="0" w:color="auto"/>
        <w:right w:val="none" w:sz="0" w:space="0" w:color="auto"/>
      </w:divBdr>
      <w:divsChild>
        <w:div w:id="1029992163">
          <w:marLeft w:val="0"/>
          <w:marRight w:val="0"/>
          <w:marTop w:val="225"/>
          <w:marBottom w:val="225"/>
          <w:divBdr>
            <w:top w:val="none" w:sz="0" w:space="0" w:color="auto"/>
            <w:left w:val="none" w:sz="0" w:space="0" w:color="auto"/>
            <w:bottom w:val="none" w:sz="0" w:space="0" w:color="auto"/>
            <w:right w:val="none" w:sz="0" w:space="0" w:color="auto"/>
          </w:divBdr>
          <w:divsChild>
            <w:div w:id="209457221">
              <w:marLeft w:val="0"/>
              <w:marRight w:val="0"/>
              <w:marTop w:val="0"/>
              <w:marBottom w:val="0"/>
              <w:divBdr>
                <w:top w:val="none" w:sz="0" w:space="0" w:color="auto"/>
                <w:left w:val="none" w:sz="0" w:space="0" w:color="auto"/>
                <w:bottom w:val="none" w:sz="0" w:space="0" w:color="auto"/>
                <w:right w:val="none" w:sz="0" w:space="0" w:color="auto"/>
              </w:divBdr>
              <w:divsChild>
                <w:div w:id="84230996">
                  <w:marLeft w:val="0"/>
                  <w:marRight w:val="0"/>
                  <w:marTop w:val="0"/>
                  <w:marBottom w:val="0"/>
                  <w:divBdr>
                    <w:top w:val="none" w:sz="0" w:space="0" w:color="auto"/>
                    <w:left w:val="none" w:sz="0" w:space="0" w:color="auto"/>
                    <w:bottom w:val="none" w:sz="0" w:space="0" w:color="auto"/>
                    <w:right w:val="none" w:sz="0" w:space="0" w:color="auto"/>
                  </w:divBdr>
                  <w:divsChild>
                    <w:div w:id="176119004">
                      <w:marLeft w:val="0"/>
                      <w:marRight w:val="0"/>
                      <w:marTop w:val="0"/>
                      <w:marBottom w:val="0"/>
                      <w:divBdr>
                        <w:top w:val="none" w:sz="0" w:space="0" w:color="auto"/>
                        <w:left w:val="none" w:sz="0" w:space="0" w:color="auto"/>
                        <w:bottom w:val="none" w:sz="0" w:space="0" w:color="auto"/>
                        <w:right w:val="none" w:sz="0" w:space="0" w:color="auto"/>
                      </w:divBdr>
                    </w:div>
                    <w:div w:id="186136817">
                      <w:marLeft w:val="0"/>
                      <w:marRight w:val="0"/>
                      <w:marTop w:val="0"/>
                      <w:marBottom w:val="0"/>
                      <w:divBdr>
                        <w:top w:val="none" w:sz="0" w:space="0" w:color="auto"/>
                        <w:left w:val="none" w:sz="0" w:space="0" w:color="auto"/>
                        <w:bottom w:val="none" w:sz="0" w:space="0" w:color="auto"/>
                        <w:right w:val="none" w:sz="0" w:space="0" w:color="auto"/>
                      </w:divBdr>
                    </w:div>
                    <w:div w:id="252128984">
                      <w:marLeft w:val="0"/>
                      <w:marRight w:val="0"/>
                      <w:marTop w:val="0"/>
                      <w:marBottom w:val="0"/>
                      <w:divBdr>
                        <w:top w:val="none" w:sz="0" w:space="0" w:color="auto"/>
                        <w:left w:val="none" w:sz="0" w:space="0" w:color="auto"/>
                        <w:bottom w:val="none" w:sz="0" w:space="0" w:color="auto"/>
                        <w:right w:val="none" w:sz="0" w:space="0" w:color="auto"/>
                      </w:divBdr>
                    </w:div>
                    <w:div w:id="485585514">
                      <w:marLeft w:val="0"/>
                      <w:marRight w:val="0"/>
                      <w:marTop w:val="0"/>
                      <w:marBottom w:val="0"/>
                      <w:divBdr>
                        <w:top w:val="none" w:sz="0" w:space="0" w:color="auto"/>
                        <w:left w:val="none" w:sz="0" w:space="0" w:color="auto"/>
                        <w:bottom w:val="none" w:sz="0" w:space="0" w:color="auto"/>
                        <w:right w:val="none" w:sz="0" w:space="0" w:color="auto"/>
                      </w:divBdr>
                    </w:div>
                    <w:div w:id="705257115">
                      <w:marLeft w:val="0"/>
                      <w:marRight w:val="0"/>
                      <w:marTop w:val="0"/>
                      <w:marBottom w:val="0"/>
                      <w:divBdr>
                        <w:top w:val="none" w:sz="0" w:space="0" w:color="auto"/>
                        <w:left w:val="none" w:sz="0" w:space="0" w:color="auto"/>
                        <w:bottom w:val="none" w:sz="0" w:space="0" w:color="auto"/>
                        <w:right w:val="none" w:sz="0" w:space="0" w:color="auto"/>
                      </w:divBdr>
                    </w:div>
                    <w:div w:id="885801889">
                      <w:marLeft w:val="0"/>
                      <w:marRight w:val="0"/>
                      <w:marTop w:val="0"/>
                      <w:marBottom w:val="0"/>
                      <w:divBdr>
                        <w:top w:val="none" w:sz="0" w:space="0" w:color="auto"/>
                        <w:left w:val="none" w:sz="0" w:space="0" w:color="auto"/>
                        <w:bottom w:val="none" w:sz="0" w:space="0" w:color="auto"/>
                        <w:right w:val="none" w:sz="0" w:space="0" w:color="auto"/>
                      </w:divBdr>
                    </w:div>
                    <w:div w:id="17838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2319">
          <w:marLeft w:val="0"/>
          <w:marRight w:val="0"/>
          <w:marTop w:val="225"/>
          <w:marBottom w:val="225"/>
          <w:divBdr>
            <w:top w:val="none" w:sz="0" w:space="0" w:color="auto"/>
            <w:left w:val="none" w:sz="0" w:space="0" w:color="auto"/>
            <w:bottom w:val="none" w:sz="0" w:space="0" w:color="auto"/>
            <w:right w:val="none" w:sz="0" w:space="0" w:color="auto"/>
          </w:divBdr>
          <w:divsChild>
            <w:div w:id="586038924">
              <w:marLeft w:val="0"/>
              <w:marRight w:val="0"/>
              <w:marTop w:val="0"/>
              <w:marBottom w:val="0"/>
              <w:divBdr>
                <w:top w:val="none" w:sz="0" w:space="0" w:color="auto"/>
                <w:left w:val="none" w:sz="0" w:space="0" w:color="auto"/>
                <w:bottom w:val="none" w:sz="0" w:space="0" w:color="auto"/>
                <w:right w:val="none" w:sz="0" w:space="0" w:color="auto"/>
              </w:divBdr>
            </w:div>
            <w:div w:id="644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4469">
      <w:bodyDiv w:val="1"/>
      <w:marLeft w:val="0"/>
      <w:marRight w:val="0"/>
      <w:marTop w:val="0"/>
      <w:marBottom w:val="0"/>
      <w:divBdr>
        <w:top w:val="none" w:sz="0" w:space="0" w:color="auto"/>
        <w:left w:val="none" w:sz="0" w:space="0" w:color="auto"/>
        <w:bottom w:val="none" w:sz="0" w:space="0" w:color="auto"/>
        <w:right w:val="none" w:sz="0" w:space="0" w:color="auto"/>
      </w:divBdr>
    </w:div>
    <w:div w:id="105778293">
      <w:bodyDiv w:val="1"/>
      <w:marLeft w:val="0"/>
      <w:marRight w:val="0"/>
      <w:marTop w:val="0"/>
      <w:marBottom w:val="0"/>
      <w:divBdr>
        <w:top w:val="none" w:sz="0" w:space="0" w:color="auto"/>
        <w:left w:val="none" w:sz="0" w:space="0" w:color="auto"/>
        <w:bottom w:val="none" w:sz="0" w:space="0" w:color="auto"/>
        <w:right w:val="none" w:sz="0" w:space="0" w:color="auto"/>
      </w:divBdr>
      <w:divsChild>
        <w:div w:id="14503952">
          <w:marLeft w:val="0"/>
          <w:marRight w:val="0"/>
          <w:marTop w:val="0"/>
          <w:marBottom w:val="0"/>
          <w:divBdr>
            <w:top w:val="none" w:sz="0" w:space="0" w:color="auto"/>
            <w:left w:val="none" w:sz="0" w:space="0" w:color="auto"/>
            <w:bottom w:val="none" w:sz="0" w:space="0" w:color="auto"/>
            <w:right w:val="none" w:sz="0" w:space="0" w:color="auto"/>
          </w:divBdr>
          <w:divsChild>
            <w:div w:id="1083526923">
              <w:marLeft w:val="0"/>
              <w:marRight w:val="0"/>
              <w:marTop w:val="0"/>
              <w:marBottom w:val="0"/>
              <w:divBdr>
                <w:top w:val="none" w:sz="0" w:space="0" w:color="auto"/>
                <w:left w:val="none" w:sz="0" w:space="0" w:color="auto"/>
                <w:bottom w:val="none" w:sz="0" w:space="0" w:color="auto"/>
                <w:right w:val="none" w:sz="0" w:space="0" w:color="auto"/>
              </w:divBdr>
            </w:div>
          </w:divsChild>
        </w:div>
        <w:div w:id="150947831">
          <w:marLeft w:val="0"/>
          <w:marRight w:val="0"/>
          <w:marTop w:val="180"/>
          <w:marBottom w:val="0"/>
          <w:divBdr>
            <w:top w:val="none" w:sz="0" w:space="0" w:color="auto"/>
            <w:left w:val="none" w:sz="0" w:space="0" w:color="auto"/>
            <w:bottom w:val="none" w:sz="0" w:space="0" w:color="auto"/>
            <w:right w:val="none" w:sz="0" w:space="0" w:color="auto"/>
          </w:divBdr>
        </w:div>
        <w:div w:id="487092657">
          <w:marLeft w:val="0"/>
          <w:marRight w:val="0"/>
          <w:marTop w:val="0"/>
          <w:marBottom w:val="180"/>
          <w:divBdr>
            <w:top w:val="none" w:sz="0" w:space="0" w:color="auto"/>
            <w:left w:val="none" w:sz="0" w:space="0" w:color="auto"/>
            <w:bottom w:val="none" w:sz="0" w:space="0" w:color="auto"/>
            <w:right w:val="none" w:sz="0" w:space="0" w:color="auto"/>
          </w:divBdr>
        </w:div>
      </w:divsChild>
    </w:div>
    <w:div w:id="117916213">
      <w:bodyDiv w:val="1"/>
      <w:marLeft w:val="0"/>
      <w:marRight w:val="0"/>
      <w:marTop w:val="0"/>
      <w:marBottom w:val="0"/>
      <w:divBdr>
        <w:top w:val="none" w:sz="0" w:space="0" w:color="auto"/>
        <w:left w:val="none" w:sz="0" w:space="0" w:color="auto"/>
        <w:bottom w:val="none" w:sz="0" w:space="0" w:color="auto"/>
        <w:right w:val="none" w:sz="0" w:space="0" w:color="auto"/>
      </w:divBdr>
    </w:div>
    <w:div w:id="173152442">
      <w:bodyDiv w:val="1"/>
      <w:marLeft w:val="0"/>
      <w:marRight w:val="0"/>
      <w:marTop w:val="0"/>
      <w:marBottom w:val="0"/>
      <w:divBdr>
        <w:top w:val="none" w:sz="0" w:space="0" w:color="auto"/>
        <w:left w:val="none" w:sz="0" w:space="0" w:color="auto"/>
        <w:bottom w:val="none" w:sz="0" w:space="0" w:color="auto"/>
        <w:right w:val="none" w:sz="0" w:space="0" w:color="auto"/>
      </w:divBdr>
      <w:divsChild>
        <w:div w:id="1473405876">
          <w:marLeft w:val="0"/>
          <w:marRight w:val="0"/>
          <w:marTop w:val="0"/>
          <w:marBottom w:val="0"/>
          <w:divBdr>
            <w:top w:val="none" w:sz="0" w:space="0" w:color="auto"/>
            <w:left w:val="none" w:sz="0" w:space="0" w:color="auto"/>
            <w:bottom w:val="none" w:sz="0" w:space="0" w:color="auto"/>
            <w:right w:val="none" w:sz="0" w:space="0" w:color="auto"/>
          </w:divBdr>
          <w:divsChild>
            <w:div w:id="1879588000">
              <w:marLeft w:val="0"/>
              <w:marRight w:val="0"/>
              <w:marTop w:val="0"/>
              <w:marBottom w:val="0"/>
              <w:divBdr>
                <w:top w:val="none" w:sz="0" w:space="0" w:color="auto"/>
                <w:left w:val="none" w:sz="0" w:space="0" w:color="auto"/>
                <w:bottom w:val="none" w:sz="0" w:space="0" w:color="auto"/>
                <w:right w:val="none" w:sz="0" w:space="0" w:color="auto"/>
              </w:divBdr>
              <w:divsChild>
                <w:div w:id="403183353">
                  <w:marLeft w:val="0"/>
                  <w:marRight w:val="0"/>
                  <w:marTop w:val="0"/>
                  <w:marBottom w:val="0"/>
                  <w:divBdr>
                    <w:top w:val="none" w:sz="0" w:space="0" w:color="auto"/>
                    <w:left w:val="none" w:sz="0" w:space="0" w:color="auto"/>
                    <w:bottom w:val="none" w:sz="0" w:space="0" w:color="auto"/>
                    <w:right w:val="none" w:sz="0" w:space="0" w:color="auto"/>
                  </w:divBdr>
                  <w:divsChild>
                    <w:div w:id="11158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831">
      <w:bodyDiv w:val="1"/>
      <w:marLeft w:val="0"/>
      <w:marRight w:val="0"/>
      <w:marTop w:val="0"/>
      <w:marBottom w:val="0"/>
      <w:divBdr>
        <w:top w:val="none" w:sz="0" w:space="0" w:color="auto"/>
        <w:left w:val="none" w:sz="0" w:space="0" w:color="auto"/>
        <w:bottom w:val="none" w:sz="0" w:space="0" w:color="auto"/>
        <w:right w:val="none" w:sz="0" w:space="0" w:color="auto"/>
      </w:divBdr>
      <w:divsChild>
        <w:div w:id="709495654">
          <w:marLeft w:val="0"/>
          <w:marRight w:val="0"/>
          <w:marTop w:val="0"/>
          <w:marBottom w:val="0"/>
          <w:divBdr>
            <w:top w:val="none" w:sz="0" w:space="0" w:color="auto"/>
            <w:left w:val="none" w:sz="0" w:space="0" w:color="auto"/>
            <w:bottom w:val="none" w:sz="0" w:space="0" w:color="auto"/>
            <w:right w:val="none" w:sz="0" w:space="0" w:color="auto"/>
          </w:divBdr>
        </w:div>
        <w:div w:id="1131292729">
          <w:marLeft w:val="0"/>
          <w:marRight w:val="0"/>
          <w:marTop w:val="0"/>
          <w:marBottom w:val="0"/>
          <w:divBdr>
            <w:top w:val="none" w:sz="0" w:space="0" w:color="auto"/>
            <w:left w:val="none" w:sz="0" w:space="0" w:color="auto"/>
            <w:bottom w:val="none" w:sz="0" w:space="0" w:color="auto"/>
            <w:right w:val="none" w:sz="0" w:space="0" w:color="auto"/>
          </w:divBdr>
        </w:div>
        <w:div w:id="1656908788">
          <w:marLeft w:val="0"/>
          <w:marRight w:val="0"/>
          <w:marTop w:val="0"/>
          <w:marBottom w:val="0"/>
          <w:divBdr>
            <w:top w:val="none" w:sz="0" w:space="0" w:color="auto"/>
            <w:left w:val="none" w:sz="0" w:space="0" w:color="auto"/>
            <w:bottom w:val="none" w:sz="0" w:space="0" w:color="auto"/>
            <w:right w:val="none" w:sz="0" w:space="0" w:color="auto"/>
          </w:divBdr>
        </w:div>
        <w:div w:id="1796869007">
          <w:marLeft w:val="0"/>
          <w:marRight w:val="0"/>
          <w:marTop w:val="0"/>
          <w:marBottom w:val="0"/>
          <w:divBdr>
            <w:top w:val="none" w:sz="0" w:space="0" w:color="auto"/>
            <w:left w:val="none" w:sz="0" w:space="0" w:color="auto"/>
            <w:bottom w:val="none" w:sz="0" w:space="0" w:color="auto"/>
            <w:right w:val="none" w:sz="0" w:space="0" w:color="auto"/>
          </w:divBdr>
        </w:div>
        <w:div w:id="1885949205">
          <w:marLeft w:val="0"/>
          <w:marRight w:val="0"/>
          <w:marTop w:val="0"/>
          <w:marBottom w:val="0"/>
          <w:divBdr>
            <w:top w:val="none" w:sz="0" w:space="0" w:color="auto"/>
            <w:left w:val="none" w:sz="0" w:space="0" w:color="auto"/>
            <w:bottom w:val="none" w:sz="0" w:space="0" w:color="auto"/>
            <w:right w:val="none" w:sz="0" w:space="0" w:color="auto"/>
          </w:divBdr>
        </w:div>
      </w:divsChild>
    </w:div>
    <w:div w:id="335351504">
      <w:bodyDiv w:val="1"/>
      <w:marLeft w:val="0"/>
      <w:marRight w:val="0"/>
      <w:marTop w:val="0"/>
      <w:marBottom w:val="0"/>
      <w:divBdr>
        <w:top w:val="none" w:sz="0" w:space="0" w:color="auto"/>
        <w:left w:val="none" w:sz="0" w:space="0" w:color="auto"/>
        <w:bottom w:val="none" w:sz="0" w:space="0" w:color="auto"/>
        <w:right w:val="none" w:sz="0" w:space="0" w:color="auto"/>
      </w:divBdr>
    </w:div>
    <w:div w:id="375661857">
      <w:bodyDiv w:val="1"/>
      <w:marLeft w:val="0"/>
      <w:marRight w:val="0"/>
      <w:marTop w:val="0"/>
      <w:marBottom w:val="0"/>
      <w:divBdr>
        <w:top w:val="none" w:sz="0" w:space="0" w:color="auto"/>
        <w:left w:val="none" w:sz="0" w:space="0" w:color="auto"/>
        <w:bottom w:val="none" w:sz="0" w:space="0" w:color="auto"/>
        <w:right w:val="none" w:sz="0" w:space="0" w:color="auto"/>
      </w:divBdr>
      <w:divsChild>
        <w:div w:id="422800169">
          <w:marLeft w:val="0"/>
          <w:marRight w:val="0"/>
          <w:marTop w:val="0"/>
          <w:marBottom w:val="0"/>
          <w:divBdr>
            <w:top w:val="none" w:sz="0" w:space="0" w:color="auto"/>
            <w:left w:val="none" w:sz="0" w:space="0" w:color="auto"/>
            <w:bottom w:val="none" w:sz="0" w:space="0" w:color="auto"/>
            <w:right w:val="none" w:sz="0" w:space="0" w:color="auto"/>
          </w:divBdr>
          <w:divsChild>
            <w:div w:id="172770002">
              <w:marLeft w:val="0"/>
              <w:marRight w:val="0"/>
              <w:marTop w:val="0"/>
              <w:marBottom w:val="0"/>
              <w:divBdr>
                <w:top w:val="none" w:sz="0" w:space="0" w:color="auto"/>
                <w:left w:val="none" w:sz="0" w:space="0" w:color="auto"/>
                <w:bottom w:val="none" w:sz="0" w:space="0" w:color="auto"/>
                <w:right w:val="none" w:sz="0" w:space="0" w:color="auto"/>
              </w:divBdr>
            </w:div>
            <w:div w:id="276835679">
              <w:marLeft w:val="0"/>
              <w:marRight w:val="0"/>
              <w:marTop w:val="0"/>
              <w:marBottom w:val="0"/>
              <w:divBdr>
                <w:top w:val="none" w:sz="0" w:space="0" w:color="auto"/>
                <w:left w:val="none" w:sz="0" w:space="0" w:color="auto"/>
                <w:bottom w:val="none" w:sz="0" w:space="0" w:color="auto"/>
                <w:right w:val="none" w:sz="0" w:space="0" w:color="auto"/>
              </w:divBdr>
            </w:div>
          </w:divsChild>
        </w:div>
        <w:div w:id="823859787">
          <w:marLeft w:val="0"/>
          <w:marRight w:val="0"/>
          <w:marTop w:val="0"/>
          <w:marBottom w:val="0"/>
          <w:divBdr>
            <w:top w:val="none" w:sz="0" w:space="0" w:color="auto"/>
            <w:left w:val="none" w:sz="0" w:space="0" w:color="auto"/>
            <w:bottom w:val="none" w:sz="0" w:space="0" w:color="auto"/>
            <w:right w:val="none" w:sz="0" w:space="0" w:color="auto"/>
          </w:divBdr>
          <w:divsChild>
            <w:div w:id="258954073">
              <w:marLeft w:val="0"/>
              <w:marRight w:val="0"/>
              <w:marTop w:val="0"/>
              <w:marBottom w:val="0"/>
              <w:divBdr>
                <w:top w:val="none" w:sz="0" w:space="0" w:color="auto"/>
                <w:left w:val="none" w:sz="0" w:space="0" w:color="auto"/>
                <w:bottom w:val="none" w:sz="0" w:space="0" w:color="auto"/>
                <w:right w:val="none" w:sz="0" w:space="0" w:color="auto"/>
              </w:divBdr>
            </w:div>
            <w:div w:id="531891825">
              <w:marLeft w:val="0"/>
              <w:marRight w:val="0"/>
              <w:marTop w:val="0"/>
              <w:marBottom w:val="0"/>
              <w:divBdr>
                <w:top w:val="none" w:sz="0" w:space="0" w:color="auto"/>
                <w:left w:val="none" w:sz="0" w:space="0" w:color="auto"/>
                <w:bottom w:val="none" w:sz="0" w:space="0" w:color="auto"/>
                <w:right w:val="none" w:sz="0" w:space="0" w:color="auto"/>
              </w:divBdr>
            </w:div>
            <w:div w:id="568349596">
              <w:marLeft w:val="0"/>
              <w:marRight w:val="0"/>
              <w:marTop w:val="0"/>
              <w:marBottom w:val="0"/>
              <w:divBdr>
                <w:top w:val="none" w:sz="0" w:space="0" w:color="auto"/>
                <w:left w:val="none" w:sz="0" w:space="0" w:color="auto"/>
                <w:bottom w:val="none" w:sz="0" w:space="0" w:color="auto"/>
                <w:right w:val="none" w:sz="0" w:space="0" w:color="auto"/>
              </w:divBdr>
            </w:div>
            <w:div w:id="856892742">
              <w:marLeft w:val="0"/>
              <w:marRight w:val="0"/>
              <w:marTop w:val="0"/>
              <w:marBottom w:val="0"/>
              <w:divBdr>
                <w:top w:val="none" w:sz="0" w:space="0" w:color="auto"/>
                <w:left w:val="none" w:sz="0" w:space="0" w:color="auto"/>
                <w:bottom w:val="none" w:sz="0" w:space="0" w:color="auto"/>
                <w:right w:val="none" w:sz="0" w:space="0" w:color="auto"/>
              </w:divBdr>
            </w:div>
          </w:divsChild>
        </w:div>
        <w:div w:id="869293708">
          <w:marLeft w:val="0"/>
          <w:marRight w:val="0"/>
          <w:marTop w:val="0"/>
          <w:marBottom w:val="0"/>
          <w:divBdr>
            <w:top w:val="none" w:sz="0" w:space="0" w:color="auto"/>
            <w:left w:val="none" w:sz="0" w:space="0" w:color="auto"/>
            <w:bottom w:val="none" w:sz="0" w:space="0" w:color="auto"/>
            <w:right w:val="none" w:sz="0" w:space="0" w:color="auto"/>
          </w:divBdr>
          <w:divsChild>
            <w:div w:id="989404694">
              <w:marLeft w:val="0"/>
              <w:marRight w:val="0"/>
              <w:marTop w:val="0"/>
              <w:marBottom w:val="0"/>
              <w:divBdr>
                <w:top w:val="none" w:sz="0" w:space="0" w:color="auto"/>
                <w:left w:val="none" w:sz="0" w:space="0" w:color="auto"/>
                <w:bottom w:val="none" w:sz="0" w:space="0" w:color="auto"/>
                <w:right w:val="none" w:sz="0" w:space="0" w:color="auto"/>
              </w:divBdr>
            </w:div>
            <w:div w:id="995189151">
              <w:marLeft w:val="0"/>
              <w:marRight w:val="0"/>
              <w:marTop w:val="0"/>
              <w:marBottom w:val="0"/>
              <w:divBdr>
                <w:top w:val="none" w:sz="0" w:space="0" w:color="auto"/>
                <w:left w:val="none" w:sz="0" w:space="0" w:color="auto"/>
                <w:bottom w:val="none" w:sz="0" w:space="0" w:color="auto"/>
                <w:right w:val="none" w:sz="0" w:space="0" w:color="auto"/>
              </w:divBdr>
            </w:div>
          </w:divsChild>
        </w:div>
        <w:div w:id="884565810">
          <w:marLeft w:val="0"/>
          <w:marRight w:val="0"/>
          <w:marTop w:val="0"/>
          <w:marBottom w:val="0"/>
          <w:divBdr>
            <w:top w:val="none" w:sz="0" w:space="0" w:color="auto"/>
            <w:left w:val="none" w:sz="0" w:space="0" w:color="auto"/>
            <w:bottom w:val="none" w:sz="0" w:space="0" w:color="auto"/>
            <w:right w:val="none" w:sz="0" w:space="0" w:color="auto"/>
          </w:divBdr>
          <w:divsChild>
            <w:div w:id="1093630515">
              <w:marLeft w:val="0"/>
              <w:marRight w:val="0"/>
              <w:marTop w:val="0"/>
              <w:marBottom w:val="0"/>
              <w:divBdr>
                <w:top w:val="none" w:sz="0" w:space="0" w:color="auto"/>
                <w:left w:val="none" w:sz="0" w:space="0" w:color="auto"/>
                <w:bottom w:val="none" w:sz="0" w:space="0" w:color="auto"/>
                <w:right w:val="none" w:sz="0" w:space="0" w:color="auto"/>
              </w:divBdr>
            </w:div>
          </w:divsChild>
        </w:div>
        <w:div w:id="1499999780">
          <w:marLeft w:val="0"/>
          <w:marRight w:val="0"/>
          <w:marTop w:val="0"/>
          <w:marBottom w:val="0"/>
          <w:divBdr>
            <w:top w:val="none" w:sz="0" w:space="0" w:color="auto"/>
            <w:left w:val="none" w:sz="0" w:space="0" w:color="auto"/>
            <w:bottom w:val="none" w:sz="0" w:space="0" w:color="auto"/>
            <w:right w:val="none" w:sz="0" w:space="0" w:color="auto"/>
          </w:divBdr>
          <w:divsChild>
            <w:div w:id="339508171">
              <w:marLeft w:val="0"/>
              <w:marRight w:val="0"/>
              <w:marTop w:val="0"/>
              <w:marBottom w:val="0"/>
              <w:divBdr>
                <w:top w:val="none" w:sz="0" w:space="0" w:color="auto"/>
                <w:left w:val="none" w:sz="0" w:space="0" w:color="auto"/>
                <w:bottom w:val="none" w:sz="0" w:space="0" w:color="auto"/>
                <w:right w:val="none" w:sz="0" w:space="0" w:color="auto"/>
              </w:divBdr>
            </w:div>
            <w:div w:id="1651248573">
              <w:marLeft w:val="0"/>
              <w:marRight w:val="0"/>
              <w:marTop w:val="0"/>
              <w:marBottom w:val="0"/>
              <w:divBdr>
                <w:top w:val="none" w:sz="0" w:space="0" w:color="auto"/>
                <w:left w:val="none" w:sz="0" w:space="0" w:color="auto"/>
                <w:bottom w:val="none" w:sz="0" w:space="0" w:color="auto"/>
                <w:right w:val="none" w:sz="0" w:space="0" w:color="auto"/>
              </w:divBdr>
            </w:div>
          </w:divsChild>
        </w:div>
        <w:div w:id="1592079263">
          <w:marLeft w:val="0"/>
          <w:marRight w:val="0"/>
          <w:marTop w:val="0"/>
          <w:marBottom w:val="0"/>
          <w:divBdr>
            <w:top w:val="none" w:sz="0" w:space="0" w:color="auto"/>
            <w:left w:val="none" w:sz="0" w:space="0" w:color="auto"/>
            <w:bottom w:val="none" w:sz="0" w:space="0" w:color="auto"/>
            <w:right w:val="none" w:sz="0" w:space="0" w:color="auto"/>
          </w:divBdr>
          <w:divsChild>
            <w:div w:id="293876896">
              <w:marLeft w:val="0"/>
              <w:marRight w:val="0"/>
              <w:marTop w:val="0"/>
              <w:marBottom w:val="0"/>
              <w:divBdr>
                <w:top w:val="none" w:sz="0" w:space="0" w:color="auto"/>
                <w:left w:val="none" w:sz="0" w:space="0" w:color="auto"/>
                <w:bottom w:val="none" w:sz="0" w:space="0" w:color="auto"/>
                <w:right w:val="none" w:sz="0" w:space="0" w:color="auto"/>
              </w:divBdr>
            </w:div>
            <w:div w:id="1271665314">
              <w:marLeft w:val="0"/>
              <w:marRight w:val="0"/>
              <w:marTop w:val="0"/>
              <w:marBottom w:val="0"/>
              <w:divBdr>
                <w:top w:val="none" w:sz="0" w:space="0" w:color="auto"/>
                <w:left w:val="none" w:sz="0" w:space="0" w:color="auto"/>
                <w:bottom w:val="none" w:sz="0" w:space="0" w:color="auto"/>
                <w:right w:val="none" w:sz="0" w:space="0" w:color="auto"/>
              </w:divBdr>
            </w:div>
            <w:div w:id="2081978952">
              <w:marLeft w:val="0"/>
              <w:marRight w:val="0"/>
              <w:marTop w:val="0"/>
              <w:marBottom w:val="0"/>
              <w:divBdr>
                <w:top w:val="none" w:sz="0" w:space="0" w:color="auto"/>
                <w:left w:val="none" w:sz="0" w:space="0" w:color="auto"/>
                <w:bottom w:val="none" w:sz="0" w:space="0" w:color="auto"/>
                <w:right w:val="none" w:sz="0" w:space="0" w:color="auto"/>
              </w:divBdr>
            </w:div>
          </w:divsChild>
        </w:div>
        <w:div w:id="1867986400">
          <w:marLeft w:val="0"/>
          <w:marRight w:val="0"/>
          <w:marTop w:val="0"/>
          <w:marBottom w:val="0"/>
          <w:divBdr>
            <w:top w:val="none" w:sz="0" w:space="0" w:color="auto"/>
            <w:left w:val="none" w:sz="0" w:space="0" w:color="auto"/>
            <w:bottom w:val="none" w:sz="0" w:space="0" w:color="auto"/>
            <w:right w:val="none" w:sz="0" w:space="0" w:color="auto"/>
          </w:divBdr>
          <w:divsChild>
            <w:div w:id="1386566751">
              <w:marLeft w:val="0"/>
              <w:marRight w:val="0"/>
              <w:marTop w:val="0"/>
              <w:marBottom w:val="0"/>
              <w:divBdr>
                <w:top w:val="none" w:sz="0" w:space="0" w:color="auto"/>
                <w:left w:val="none" w:sz="0" w:space="0" w:color="auto"/>
                <w:bottom w:val="none" w:sz="0" w:space="0" w:color="auto"/>
                <w:right w:val="none" w:sz="0" w:space="0" w:color="auto"/>
              </w:divBdr>
            </w:div>
            <w:div w:id="2070566797">
              <w:marLeft w:val="0"/>
              <w:marRight w:val="0"/>
              <w:marTop w:val="0"/>
              <w:marBottom w:val="0"/>
              <w:divBdr>
                <w:top w:val="none" w:sz="0" w:space="0" w:color="auto"/>
                <w:left w:val="none" w:sz="0" w:space="0" w:color="auto"/>
                <w:bottom w:val="none" w:sz="0" w:space="0" w:color="auto"/>
                <w:right w:val="none" w:sz="0" w:space="0" w:color="auto"/>
              </w:divBdr>
            </w:div>
          </w:divsChild>
        </w:div>
        <w:div w:id="2010130495">
          <w:marLeft w:val="0"/>
          <w:marRight w:val="0"/>
          <w:marTop w:val="0"/>
          <w:marBottom w:val="0"/>
          <w:divBdr>
            <w:top w:val="none" w:sz="0" w:space="0" w:color="auto"/>
            <w:left w:val="none" w:sz="0" w:space="0" w:color="auto"/>
            <w:bottom w:val="none" w:sz="0" w:space="0" w:color="auto"/>
            <w:right w:val="none" w:sz="0" w:space="0" w:color="auto"/>
          </w:divBdr>
          <w:divsChild>
            <w:div w:id="10688520">
              <w:marLeft w:val="0"/>
              <w:marRight w:val="0"/>
              <w:marTop w:val="0"/>
              <w:marBottom w:val="0"/>
              <w:divBdr>
                <w:top w:val="none" w:sz="0" w:space="0" w:color="auto"/>
                <w:left w:val="none" w:sz="0" w:space="0" w:color="auto"/>
                <w:bottom w:val="none" w:sz="0" w:space="0" w:color="auto"/>
                <w:right w:val="none" w:sz="0" w:space="0" w:color="auto"/>
              </w:divBdr>
            </w:div>
            <w:div w:id="1738823372">
              <w:marLeft w:val="0"/>
              <w:marRight w:val="0"/>
              <w:marTop w:val="0"/>
              <w:marBottom w:val="0"/>
              <w:divBdr>
                <w:top w:val="none" w:sz="0" w:space="0" w:color="auto"/>
                <w:left w:val="none" w:sz="0" w:space="0" w:color="auto"/>
                <w:bottom w:val="none" w:sz="0" w:space="0" w:color="auto"/>
                <w:right w:val="none" w:sz="0" w:space="0" w:color="auto"/>
              </w:divBdr>
            </w:div>
          </w:divsChild>
        </w:div>
        <w:div w:id="2035419727">
          <w:marLeft w:val="0"/>
          <w:marRight w:val="0"/>
          <w:marTop w:val="0"/>
          <w:marBottom w:val="0"/>
          <w:divBdr>
            <w:top w:val="none" w:sz="0" w:space="0" w:color="auto"/>
            <w:left w:val="none" w:sz="0" w:space="0" w:color="auto"/>
            <w:bottom w:val="none" w:sz="0" w:space="0" w:color="auto"/>
            <w:right w:val="none" w:sz="0" w:space="0" w:color="auto"/>
          </w:divBdr>
          <w:divsChild>
            <w:div w:id="224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3178">
      <w:bodyDiv w:val="1"/>
      <w:marLeft w:val="0"/>
      <w:marRight w:val="0"/>
      <w:marTop w:val="0"/>
      <w:marBottom w:val="0"/>
      <w:divBdr>
        <w:top w:val="none" w:sz="0" w:space="0" w:color="auto"/>
        <w:left w:val="none" w:sz="0" w:space="0" w:color="auto"/>
        <w:bottom w:val="none" w:sz="0" w:space="0" w:color="auto"/>
        <w:right w:val="none" w:sz="0" w:space="0" w:color="auto"/>
      </w:divBdr>
      <w:divsChild>
        <w:div w:id="43256997">
          <w:marLeft w:val="0"/>
          <w:marRight w:val="0"/>
          <w:marTop w:val="0"/>
          <w:marBottom w:val="0"/>
          <w:divBdr>
            <w:top w:val="none" w:sz="0" w:space="0" w:color="auto"/>
            <w:left w:val="none" w:sz="0" w:space="0" w:color="auto"/>
            <w:bottom w:val="none" w:sz="0" w:space="0" w:color="auto"/>
            <w:right w:val="none" w:sz="0" w:space="0" w:color="auto"/>
          </w:divBdr>
          <w:divsChild>
            <w:div w:id="372115757">
              <w:marLeft w:val="0"/>
              <w:marRight w:val="0"/>
              <w:marTop w:val="0"/>
              <w:marBottom w:val="0"/>
              <w:divBdr>
                <w:top w:val="none" w:sz="0" w:space="0" w:color="auto"/>
                <w:left w:val="none" w:sz="0" w:space="0" w:color="auto"/>
                <w:bottom w:val="none" w:sz="0" w:space="0" w:color="auto"/>
                <w:right w:val="none" w:sz="0" w:space="0" w:color="auto"/>
              </w:divBdr>
            </w:div>
            <w:div w:id="1391884870">
              <w:marLeft w:val="0"/>
              <w:marRight w:val="0"/>
              <w:marTop w:val="0"/>
              <w:marBottom w:val="0"/>
              <w:divBdr>
                <w:top w:val="none" w:sz="0" w:space="0" w:color="auto"/>
                <w:left w:val="none" w:sz="0" w:space="0" w:color="auto"/>
                <w:bottom w:val="none" w:sz="0" w:space="0" w:color="auto"/>
                <w:right w:val="none" w:sz="0" w:space="0" w:color="auto"/>
              </w:divBdr>
            </w:div>
            <w:div w:id="1452091564">
              <w:marLeft w:val="0"/>
              <w:marRight w:val="0"/>
              <w:marTop w:val="0"/>
              <w:marBottom w:val="0"/>
              <w:divBdr>
                <w:top w:val="none" w:sz="0" w:space="0" w:color="auto"/>
                <w:left w:val="none" w:sz="0" w:space="0" w:color="auto"/>
                <w:bottom w:val="none" w:sz="0" w:space="0" w:color="auto"/>
                <w:right w:val="none" w:sz="0" w:space="0" w:color="auto"/>
              </w:divBdr>
            </w:div>
            <w:div w:id="1603102655">
              <w:marLeft w:val="0"/>
              <w:marRight w:val="0"/>
              <w:marTop w:val="0"/>
              <w:marBottom w:val="0"/>
              <w:divBdr>
                <w:top w:val="none" w:sz="0" w:space="0" w:color="auto"/>
                <w:left w:val="none" w:sz="0" w:space="0" w:color="auto"/>
                <w:bottom w:val="none" w:sz="0" w:space="0" w:color="auto"/>
                <w:right w:val="none" w:sz="0" w:space="0" w:color="auto"/>
              </w:divBdr>
            </w:div>
            <w:div w:id="2085643354">
              <w:marLeft w:val="0"/>
              <w:marRight w:val="0"/>
              <w:marTop w:val="0"/>
              <w:marBottom w:val="0"/>
              <w:divBdr>
                <w:top w:val="none" w:sz="0" w:space="0" w:color="auto"/>
                <w:left w:val="none" w:sz="0" w:space="0" w:color="auto"/>
                <w:bottom w:val="none" w:sz="0" w:space="0" w:color="auto"/>
                <w:right w:val="none" w:sz="0" w:space="0" w:color="auto"/>
              </w:divBdr>
            </w:div>
          </w:divsChild>
        </w:div>
        <w:div w:id="1610625579">
          <w:marLeft w:val="0"/>
          <w:marRight w:val="0"/>
          <w:marTop w:val="0"/>
          <w:marBottom w:val="0"/>
          <w:divBdr>
            <w:top w:val="none" w:sz="0" w:space="0" w:color="auto"/>
            <w:left w:val="none" w:sz="0" w:space="0" w:color="auto"/>
            <w:bottom w:val="none" w:sz="0" w:space="0" w:color="auto"/>
            <w:right w:val="none" w:sz="0" w:space="0" w:color="auto"/>
          </w:divBdr>
          <w:divsChild>
            <w:div w:id="462190012">
              <w:marLeft w:val="0"/>
              <w:marRight w:val="0"/>
              <w:marTop w:val="0"/>
              <w:marBottom w:val="0"/>
              <w:divBdr>
                <w:top w:val="none" w:sz="0" w:space="0" w:color="auto"/>
                <w:left w:val="none" w:sz="0" w:space="0" w:color="auto"/>
                <w:bottom w:val="none" w:sz="0" w:space="0" w:color="auto"/>
                <w:right w:val="none" w:sz="0" w:space="0" w:color="auto"/>
              </w:divBdr>
            </w:div>
            <w:div w:id="687876996">
              <w:marLeft w:val="0"/>
              <w:marRight w:val="0"/>
              <w:marTop w:val="0"/>
              <w:marBottom w:val="0"/>
              <w:divBdr>
                <w:top w:val="none" w:sz="0" w:space="0" w:color="auto"/>
                <w:left w:val="none" w:sz="0" w:space="0" w:color="auto"/>
                <w:bottom w:val="none" w:sz="0" w:space="0" w:color="auto"/>
                <w:right w:val="none" w:sz="0" w:space="0" w:color="auto"/>
              </w:divBdr>
            </w:div>
            <w:div w:id="1237590988">
              <w:marLeft w:val="0"/>
              <w:marRight w:val="0"/>
              <w:marTop w:val="0"/>
              <w:marBottom w:val="0"/>
              <w:divBdr>
                <w:top w:val="none" w:sz="0" w:space="0" w:color="auto"/>
                <w:left w:val="none" w:sz="0" w:space="0" w:color="auto"/>
                <w:bottom w:val="none" w:sz="0" w:space="0" w:color="auto"/>
                <w:right w:val="none" w:sz="0" w:space="0" w:color="auto"/>
              </w:divBdr>
            </w:div>
            <w:div w:id="1388911966">
              <w:marLeft w:val="0"/>
              <w:marRight w:val="0"/>
              <w:marTop w:val="0"/>
              <w:marBottom w:val="0"/>
              <w:divBdr>
                <w:top w:val="none" w:sz="0" w:space="0" w:color="auto"/>
                <w:left w:val="none" w:sz="0" w:space="0" w:color="auto"/>
                <w:bottom w:val="none" w:sz="0" w:space="0" w:color="auto"/>
                <w:right w:val="none" w:sz="0" w:space="0" w:color="auto"/>
              </w:divBdr>
            </w:div>
            <w:div w:id="1665623996">
              <w:marLeft w:val="0"/>
              <w:marRight w:val="0"/>
              <w:marTop w:val="0"/>
              <w:marBottom w:val="0"/>
              <w:divBdr>
                <w:top w:val="none" w:sz="0" w:space="0" w:color="auto"/>
                <w:left w:val="none" w:sz="0" w:space="0" w:color="auto"/>
                <w:bottom w:val="none" w:sz="0" w:space="0" w:color="auto"/>
                <w:right w:val="none" w:sz="0" w:space="0" w:color="auto"/>
              </w:divBdr>
            </w:div>
          </w:divsChild>
        </w:div>
        <w:div w:id="1734161726">
          <w:marLeft w:val="0"/>
          <w:marRight w:val="0"/>
          <w:marTop w:val="0"/>
          <w:marBottom w:val="0"/>
          <w:divBdr>
            <w:top w:val="none" w:sz="0" w:space="0" w:color="auto"/>
            <w:left w:val="none" w:sz="0" w:space="0" w:color="auto"/>
            <w:bottom w:val="none" w:sz="0" w:space="0" w:color="auto"/>
            <w:right w:val="none" w:sz="0" w:space="0" w:color="auto"/>
          </w:divBdr>
          <w:divsChild>
            <w:div w:id="288246479">
              <w:marLeft w:val="0"/>
              <w:marRight w:val="0"/>
              <w:marTop w:val="0"/>
              <w:marBottom w:val="0"/>
              <w:divBdr>
                <w:top w:val="none" w:sz="0" w:space="0" w:color="auto"/>
                <w:left w:val="none" w:sz="0" w:space="0" w:color="auto"/>
                <w:bottom w:val="none" w:sz="0" w:space="0" w:color="auto"/>
                <w:right w:val="none" w:sz="0" w:space="0" w:color="auto"/>
              </w:divBdr>
            </w:div>
            <w:div w:id="2075659978">
              <w:marLeft w:val="0"/>
              <w:marRight w:val="0"/>
              <w:marTop w:val="0"/>
              <w:marBottom w:val="0"/>
              <w:divBdr>
                <w:top w:val="none" w:sz="0" w:space="0" w:color="auto"/>
                <w:left w:val="none" w:sz="0" w:space="0" w:color="auto"/>
                <w:bottom w:val="none" w:sz="0" w:space="0" w:color="auto"/>
                <w:right w:val="none" w:sz="0" w:space="0" w:color="auto"/>
              </w:divBdr>
            </w:div>
          </w:divsChild>
        </w:div>
        <w:div w:id="1746030009">
          <w:marLeft w:val="0"/>
          <w:marRight w:val="0"/>
          <w:marTop w:val="0"/>
          <w:marBottom w:val="0"/>
          <w:divBdr>
            <w:top w:val="none" w:sz="0" w:space="0" w:color="auto"/>
            <w:left w:val="none" w:sz="0" w:space="0" w:color="auto"/>
            <w:bottom w:val="none" w:sz="0" w:space="0" w:color="auto"/>
            <w:right w:val="none" w:sz="0" w:space="0" w:color="auto"/>
          </w:divBdr>
          <w:divsChild>
            <w:div w:id="60711383">
              <w:marLeft w:val="0"/>
              <w:marRight w:val="0"/>
              <w:marTop w:val="0"/>
              <w:marBottom w:val="0"/>
              <w:divBdr>
                <w:top w:val="none" w:sz="0" w:space="0" w:color="auto"/>
                <w:left w:val="none" w:sz="0" w:space="0" w:color="auto"/>
                <w:bottom w:val="none" w:sz="0" w:space="0" w:color="auto"/>
                <w:right w:val="none" w:sz="0" w:space="0" w:color="auto"/>
              </w:divBdr>
            </w:div>
            <w:div w:id="740099819">
              <w:marLeft w:val="0"/>
              <w:marRight w:val="0"/>
              <w:marTop w:val="0"/>
              <w:marBottom w:val="0"/>
              <w:divBdr>
                <w:top w:val="none" w:sz="0" w:space="0" w:color="auto"/>
                <w:left w:val="none" w:sz="0" w:space="0" w:color="auto"/>
                <w:bottom w:val="none" w:sz="0" w:space="0" w:color="auto"/>
                <w:right w:val="none" w:sz="0" w:space="0" w:color="auto"/>
              </w:divBdr>
            </w:div>
            <w:div w:id="11680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4510">
      <w:bodyDiv w:val="1"/>
      <w:marLeft w:val="0"/>
      <w:marRight w:val="0"/>
      <w:marTop w:val="0"/>
      <w:marBottom w:val="0"/>
      <w:divBdr>
        <w:top w:val="none" w:sz="0" w:space="0" w:color="auto"/>
        <w:left w:val="none" w:sz="0" w:space="0" w:color="auto"/>
        <w:bottom w:val="none" w:sz="0" w:space="0" w:color="auto"/>
        <w:right w:val="none" w:sz="0" w:space="0" w:color="auto"/>
      </w:divBdr>
    </w:div>
    <w:div w:id="562331635">
      <w:bodyDiv w:val="1"/>
      <w:marLeft w:val="0"/>
      <w:marRight w:val="0"/>
      <w:marTop w:val="0"/>
      <w:marBottom w:val="0"/>
      <w:divBdr>
        <w:top w:val="none" w:sz="0" w:space="0" w:color="auto"/>
        <w:left w:val="none" w:sz="0" w:space="0" w:color="auto"/>
        <w:bottom w:val="none" w:sz="0" w:space="0" w:color="auto"/>
        <w:right w:val="none" w:sz="0" w:space="0" w:color="auto"/>
      </w:divBdr>
    </w:div>
    <w:div w:id="621377169">
      <w:bodyDiv w:val="1"/>
      <w:marLeft w:val="0"/>
      <w:marRight w:val="0"/>
      <w:marTop w:val="0"/>
      <w:marBottom w:val="0"/>
      <w:divBdr>
        <w:top w:val="none" w:sz="0" w:space="0" w:color="auto"/>
        <w:left w:val="none" w:sz="0" w:space="0" w:color="auto"/>
        <w:bottom w:val="none" w:sz="0" w:space="0" w:color="auto"/>
        <w:right w:val="none" w:sz="0" w:space="0" w:color="auto"/>
      </w:divBdr>
    </w:div>
    <w:div w:id="640883461">
      <w:bodyDiv w:val="1"/>
      <w:marLeft w:val="0"/>
      <w:marRight w:val="0"/>
      <w:marTop w:val="0"/>
      <w:marBottom w:val="0"/>
      <w:divBdr>
        <w:top w:val="none" w:sz="0" w:space="0" w:color="auto"/>
        <w:left w:val="none" w:sz="0" w:space="0" w:color="auto"/>
        <w:bottom w:val="none" w:sz="0" w:space="0" w:color="auto"/>
        <w:right w:val="none" w:sz="0" w:space="0" w:color="auto"/>
      </w:divBdr>
    </w:div>
    <w:div w:id="711685012">
      <w:bodyDiv w:val="1"/>
      <w:marLeft w:val="0"/>
      <w:marRight w:val="0"/>
      <w:marTop w:val="0"/>
      <w:marBottom w:val="0"/>
      <w:divBdr>
        <w:top w:val="none" w:sz="0" w:space="0" w:color="auto"/>
        <w:left w:val="none" w:sz="0" w:space="0" w:color="auto"/>
        <w:bottom w:val="none" w:sz="0" w:space="0" w:color="auto"/>
        <w:right w:val="none" w:sz="0" w:space="0" w:color="auto"/>
      </w:divBdr>
      <w:divsChild>
        <w:div w:id="1046444262">
          <w:marLeft w:val="0"/>
          <w:marRight w:val="0"/>
          <w:marTop w:val="0"/>
          <w:marBottom w:val="0"/>
          <w:divBdr>
            <w:top w:val="none" w:sz="0" w:space="0" w:color="auto"/>
            <w:left w:val="none" w:sz="0" w:space="0" w:color="auto"/>
            <w:bottom w:val="none" w:sz="0" w:space="0" w:color="auto"/>
            <w:right w:val="none" w:sz="0" w:space="0" w:color="auto"/>
          </w:divBdr>
          <w:divsChild>
            <w:div w:id="1129977702">
              <w:marLeft w:val="0"/>
              <w:marRight w:val="0"/>
              <w:marTop w:val="0"/>
              <w:marBottom w:val="0"/>
              <w:divBdr>
                <w:top w:val="none" w:sz="0" w:space="0" w:color="auto"/>
                <w:left w:val="none" w:sz="0" w:space="0" w:color="auto"/>
                <w:bottom w:val="none" w:sz="0" w:space="0" w:color="auto"/>
                <w:right w:val="none" w:sz="0" w:space="0" w:color="auto"/>
              </w:divBdr>
              <w:divsChild>
                <w:div w:id="1425875654">
                  <w:marLeft w:val="0"/>
                  <w:marRight w:val="0"/>
                  <w:marTop w:val="0"/>
                  <w:marBottom w:val="0"/>
                  <w:divBdr>
                    <w:top w:val="none" w:sz="0" w:space="0" w:color="auto"/>
                    <w:left w:val="none" w:sz="0" w:space="0" w:color="auto"/>
                    <w:bottom w:val="none" w:sz="0" w:space="0" w:color="auto"/>
                    <w:right w:val="none" w:sz="0" w:space="0" w:color="auto"/>
                  </w:divBdr>
                  <w:divsChild>
                    <w:div w:id="1596401896">
                      <w:marLeft w:val="0"/>
                      <w:marRight w:val="0"/>
                      <w:marTop w:val="0"/>
                      <w:marBottom w:val="0"/>
                      <w:divBdr>
                        <w:top w:val="none" w:sz="0" w:space="0" w:color="auto"/>
                        <w:left w:val="none" w:sz="0" w:space="0" w:color="auto"/>
                        <w:bottom w:val="none" w:sz="0" w:space="0" w:color="auto"/>
                        <w:right w:val="none" w:sz="0" w:space="0" w:color="auto"/>
                      </w:divBdr>
                      <w:divsChild>
                        <w:div w:id="1421217428">
                          <w:marLeft w:val="0"/>
                          <w:marRight w:val="0"/>
                          <w:marTop w:val="0"/>
                          <w:marBottom w:val="0"/>
                          <w:divBdr>
                            <w:top w:val="none" w:sz="0" w:space="0" w:color="auto"/>
                            <w:left w:val="none" w:sz="0" w:space="0" w:color="auto"/>
                            <w:bottom w:val="none" w:sz="0" w:space="0" w:color="auto"/>
                            <w:right w:val="none" w:sz="0" w:space="0" w:color="auto"/>
                          </w:divBdr>
                          <w:divsChild>
                            <w:div w:id="15622770">
                              <w:marLeft w:val="0"/>
                              <w:marRight w:val="0"/>
                              <w:marTop w:val="0"/>
                              <w:marBottom w:val="0"/>
                              <w:divBdr>
                                <w:top w:val="none" w:sz="0" w:space="0" w:color="auto"/>
                                <w:left w:val="none" w:sz="0" w:space="0" w:color="auto"/>
                                <w:bottom w:val="none" w:sz="0" w:space="0" w:color="auto"/>
                                <w:right w:val="none" w:sz="0" w:space="0" w:color="auto"/>
                              </w:divBdr>
                              <w:divsChild>
                                <w:div w:id="1883638911">
                                  <w:marLeft w:val="0"/>
                                  <w:marRight w:val="0"/>
                                  <w:marTop w:val="0"/>
                                  <w:marBottom w:val="0"/>
                                  <w:divBdr>
                                    <w:top w:val="none" w:sz="0" w:space="0" w:color="auto"/>
                                    <w:left w:val="none" w:sz="0" w:space="0" w:color="auto"/>
                                    <w:bottom w:val="none" w:sz="0" w:space="0" w:color="auto"/>
                                    <w:right w:val="none" w:sz="0" w:space="0" w:color="auto"/>
                                  </w:divBdr>
                                </w:div>
                                <w:div w:id="2061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55084">
                  <w:marLeft w:val="0"/>
                  <w:marRight w:val="0"/>
                  <w:marTop w:val="0"/>
                  <w:marBottom w:val="0"/>
                  <w:divBdr>
                    <w:top w:val="none" w:sz="0" w:space="0" w:color="auto"/>
                    <w:left w:val="none" w:sz="0" w:space="0" w:color="auto"/>
                    <w:bottom w:val="none" w:sz="0" w:space="0" w:color="auto"/>
                    <w:right w:val="none" w:sz="0" w:space="0" w:color="auto"/>
                  </w:divBdr>
                  <w:divsChild>
                    <w:div w:id="1357081380">
                      <w:marLeft w:val="0"/>
                      <w:marRight w:val="0"/>
                      <w:marTop w:val="0"/>
                      <w:marBottom w:val="0"/>
                      <w:divBdr>
                        <w:top w:val="none" w:sz="0" w:space="0" w:color="auto"/>
                        <w:left w:val="none" w:sz="0" w:space="0" w:color="auto"/>
                        <w:bottom w:val="none" w:sz="0" w:space="0" w:color="auto"/>
                        <w:right w:val="none" w:sz="0" w:space="0" w:color="auto"/>
                      </w:divBdr>
                      <w:divsChild>
                        <w:div w:id="6180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429665">
      <w:bodyDiv w:val="1"/>
      <w:marLeft w:val="0"/>
      <w:marRight w:val="0"/>
      <w:marTop w:val="0"/>
      <w:marBottom w:val="0"/>
      <w:divBdr>
        <w:top w:val="none" w:sz="0" w:space="0" w:color="auto"/>
        <w:left w:val="none" w:sz="0" w:space="0" w:color="auto"/>
        <w:bottom w:val="none" w:sz="0" w:space="0" w:color="auto"/>
        <w:right w:val="none" w:sz="0" w:space="0" w:color="auto"/>
      </w:divBdr>
    </w:div>
    <w:div w:id="714814198">
      <w:bodyDiv w:val="1"/>
      <w:marLeft w:val="0"/>
      <w:marRight w:val="0"/>
      <w:marTop w:val="0"/>
      <w:marBottom w:val="0"/>
      <w:divBdr>
        <w:top w:val="none" w:sz="0" w:space="0" w:color="auto"/>
        <w:left w:val="none" w:sz="0" w:space="0" w:color="auto"/>
        <w:bottom w:val="none" w:sz="0" w:space="0" w:color="auto"/>
        <w:right w:val="none" w:sz="0" w:space="0" w:color="auto"/>
      </w:divBdr>
    </w:div>
    <w:div w:id="934903797">
      <w:bodyDiv w:val="1"/>
      <w:marLeft w:val="0"/>
      <w:marRight w:val="0"/>
      <w:marTop w:val="0"/>
      <w:marBottom w:val="0"/>
      <w:divBdr>
        <w:top w:val="none" w:sz="0" w:space="0" w:color="auto"/>
        <w:left w:val="none" w:sz="0" w:space="0" w:color="auto"/>
        <w:bottom w:val="none" w:sz="0" w:space="0" w:color="auto"/>
        <w:right w:val="none" w:sz="0" w:space="0" w:color="auto"/>
      </w:divBdr>
    </w:div>
    <w:div w:id="979261207">
      <w:bodyDiv w:val="1"/>
      <w:marLeft w:val="0"/>
      <w:marRight w:val="0"/>
      <w:marTop w:val="0"/>
      <w:marBottom w:val="0"/>
      <w:divBdr>
        <w:top w:val="none" w:sz="0" w:space="0" w:color="auto"/>
        <w:left w:val="none" w:sz="0" w:space="0" w:color="auto"/>
        <w:bottom w:val="none" w:sz="0" w:space="0" w:color="auto"/>
        <w:right w:val="none" w:sz="0" w:space="0" w:color="auto"/>
      </w:divBdr>
    </w:div>
    <w:div w:id="1018697318">
      <w:bodyDiv w:val="1"/>
      <w:marLeft w:val="0"/>
      <w:marRight w:val="0"/>
      <w:marTop w:val="0"/>
      <w:marBottom w:val="0"/>
      <w:divBdr>
        <w:top w:val="none" w:sz="0" w:space="0" w:color="auto"/>
        <w:left w:val="none" w:sz="0" w:space="0" w:color="auto"/>
        <w:bottom w:val="none" w:sz="0" w:space="0" w:color="auto"/>
        <w:right w:val="none" w:sz="0" w:space="0" w:color="auto"/>
      </w:divBdr>
    </w:div>
    <w:div w:id="1205171138">
      <w:bodyDiv w:val="1"/>
      <w:marLeft w:val="0"/>
      <w:marRight w:val="0"/>
      <w:marTop w:val="0"/>
      <w:marBottom w:val="0"/>
      <w:divBdr>
        <w:top w:val="none" w:sz="0" w:space="0" w:color="auto"/>
        <w:left w:val="none" w:sz="0" w:space="0" w:color="auto"/>
        <w:bottom w:val="none" w:sz="0" w:space="0" w:color="auto"/>
        <w:right w:val="none" w:sz="0" w:space="0" w:color="auto"/>
      </w:divBdr>
    </w:div>
    <w:div w:id="1209416113">
      <w:bodyDiv w:val="1"/>
      <w:marLeft w:val="0"/>
      <w:marRight w:val="0"/>
      <w:marTop w:val="0"/>
      <w:marBottom w:val="0"/>
      <w:divBdr>
        <w:top w:val="none" w:sz="0" w:space="0" w:color="auto"/>
        <w:left w:val="none" w:sz="0" w:space="0" w:color="auto"/>
        <w:bottom w:val="none" w:sz="0" w:space="0" w:color="auto"/>
        <w:right w:val="none" w:sz="0" w:space="0" w:color="auto"/>
      </w:divBdr>
    </w:div>
    <w:div w:id="1300303463">
      <w:bodyDiv w:val="1"/>
      <w:marLeft w:val="0"/>
      <w:marRight w:val="0"/>
      <w:marTop w:val="0"/>
      <w:marBottom w:val="0"/>
      <w:divBdr>
        <w:top w:val="none" w:sz="0" w:space="0" w:color="auto"/>
        <w:left w:val="none" w:sz="0" w:space="0" w:color="auto"/>
        <w:bottom w:val="none" w:sz="0" w:space="0" w:color="auto"/>
        <w:right w:val="none" w:sz="0" w:space="0" w:color="auto"/>
      </w:divBdr>
      <w:divsChild>
        <w:div w:id="1560939670">
          <w:marLeft w:val="0"/>
          <w:marRight w:val="0"/>
          <w:marTop w:val="0"/>
          <w:marBottom w:val="0"/>
          <w:divBdr>
            <w:top w:val="none" w:sz="0" w:space="0" w:color="auto"/>
            <w:left w:val="none" w:sz="0" w:space="0" w:color="auto"/>
            <w:bottom w:val="none" w:sz="0" w:space="0" w:color="auto"/>
            <w:right w:val="none" w:sz="0" w:space="0" w:color="auto"/>
          </w:divBdr>
        </w:div>
        <w:div w:id="1830904087">
          <w:marLeft w:val="0"/>
          <w:marRight w:val="0"/>
          <w:marTop w:val="0"/>
          <w:marBottom w:val="149"/>
          <w:divBdr>
            <w:top w:val="none" w:sz="0" w:space="0" w:color="auto"/>
            <w:left w:val="none" w:sz="0" w:space="0" w:color="auto"/>
            <w:bottom w:val="single" w:sz="36" w:space="7" w:color="F2F2F2"/>
            <w:right w:val="none" w:sz="0" w:space="0" w:color="auto"/>
          </w:divBdr>
        </w:div>
      </w:divsChild>
    </w:div>
    <w:div w:id="1314017917">
      <w:bodyDiv w:val="1"/>
      <w:marLeft w:val="0"/>
      <w:marRight w:val="0"/>
      <w:marTop w:val="0"/>
      <w:marBottom w:val="0"/>
      <w:divBdr>
        <w:top w:val="none" w:sz="0" w:space="0" w:color="auto"/>
        <w:left w:val="none" w:sz="0" w:space="0" w:color="auto"/>
        <w:bottom w:val="none" w:sz="0" w:space="0" w:color="auto"/>
        <w:right w:val="none" w:sz="0" w:space="0" w:color="auto"/>
      </w:divBdr>
    </w:div>
    <w:div w:id="1330593308">
      <w:bodyDiv w:val="1"/>
      <w:marLeft w:val="0"/>
      <w:marRight w:val="0"/>
      <w:marTop w:val="0"/>
      <w:marBottom w:val="0"/>
      <w:divBdr>
        <w:top w:val="none" w:sz="0" w:space="0" w:color="auto"/>
        <w:left w:val="none" w:sz="0" w:space="0" w:color="auto"/>
        <w:bottom w:val="none" w:sz="0" w:space="0" w:color="auto"/>
        <w:right w:val="none" w:sz="0" w:space="0" w:color="auto"/>
      </w:divBdr>
    </w:div>
    <w:div w:id="1340423327">
      <w:bodyDiv w:val="1"/>
      <w:marLeft w:val="0"/>
      <w:marRight w:val="0"/>
      <w:marTop w:val="0"/>
      <w:marBottom w:val="0"/>
      <w:divBdr>
        <w:top w:val="none" w:sz="0" w:space="0" w:color="auto"/>
        <w:left w:val="none" w:sz="0" w:space="0" w:color="auto"/>
        <w:bottom w:val="none" w:sz="0" w:space="0" w:color="auto"/>
        <w:right w:val="none" w:sz="0" w:space="0" w:color="auto"/>
      </w:divBdr>
      <w:divsChild>
        <w:div w:id="1266108631">
          <w:marLeft w:val="0"/>
          <w:marRight w:val="0"/>
          <w:marTop w:val="0"/>
          <w:marBottom w:val="0"/>
          <w:divBdr>
            <w:top w:val="none" w:sz="0" w:space="0" w:color="auto"/>
            <w:left w:val="none" w:sz="0" w:space="0" w:color="auto"/>
            <w:bottom w:val="none" w:sz="0" w:space="0" w:color="auto"/>
            <w:right w:val="none" w:sz="0" w:space="0" w:color="auto"/>
          </w:divBdr>
        </w:div>
        <w:div w:id="2142183859">
          <w:marLeft w:val="0"/>
          <w:marRight w:val="0"/>
          <w:marTop w:val="0"/>
          <w:marBottom w:val="0"/>
          <w:divBdr>
            <w:top w:val="none" w:sz="0" w:space="0" w:color="auto"/>
            <w:left w:val="none" w:sz="0" w:space="0" w:color="auto"/>
            <w:bottom w:val="none" w:sz="0" w:space="0" w:color="auto"/>
            <w:right w:val="none" w:sz="0" w:space="0" w:color="auto"/>
          </w:divBdr>
        </w:div>
      </w:divsChild>
    </w:div>
    <w:div w:id="1411585444">
      <w:bodyDiv w:val="1"/>
      <w:marLeft w:val="0"/>
      <w:marRight w:val="0"/>
      <w:marTop w:val="0"/>
      <w:marBottom w:val="0"/>
      <w:divBdr>
        <w:top w:val="none" w:sz="0" w:space="0" w:color="auto"/>
        <w:left w:val="none" w:sz="0" w:space="0" w:color="auto"/>
        <w:bottom w:val="none" w:sz="0" w:space="0" w:color="auto"/>
        <w:right w:val="none" w:sz="0" w:space="0" w:color="auto"/>
      </w:divBdr>
      <w:divsChild>
        <w:div w:id="34161633">
          <w:marLeft w:val="0"/>
          <w:marRight w:val="0"/>
          <w:marTop w:val="0"/>
          <w:marBottom w:val="0"/>
          <w:divBdr>
            <w:top w:val="none" w:sz="0" w:space="0" w:color="auto"/>
            <w:left w:val="none" w:sz="0" w:space="0" w:color="auto"/>
            <w:bottom w:val="none" w:sz="0" w:space="0" w:color="auto"/>
            <w:right w:val="none" w:sz="0" w:space="0" w:color="auto"/>
          </w:divBdr>
          <w:divsChild>
            <w:div w:id="2029989431">
              <w:marLeft w:val="0"/>
              <w:marRight w:val="0"/>
              <w:marTop w:val="0"/>
              <w:marBottom w:val="0"/>
              <w:divBdr>
                <w:top w:val="none" w:sz="0" w:space="0" w:color="auto"/>
                <w:left w:val="none" w:sz="0" w:space="0" w:color="auto"/>
                <w:bottom w:val="none" w:sz="0" w:space="0" w:color="auto"/>
                <w:right w:val="none" w:sz="0" w:space="0" w:color="auto"/>
              </w:divBdr>
            </w:div>
          </w:divsChild>
        </w:div>
        <w:div w:id="66613846">
          <w:marLeft w:val="0"/>
          <w:marRight w:val="0"/>
          <w:marTop w:val="0"/>
          <w:marBottom w:val="0"/>
          <w:divBdr>
            <w:top w:val="none" w:sz="0" w:space="0" w:color="auto"/>
            <w:left w:val="none" w:sz="0" w:space="0" w:color="auto"/>
            <w:bottom w:val="none" w:sz="0" w:space="0" w:color="auto"/>
            <w:right w:val="none" w:sz="0" w:space="0" w:color="auto"/>
          </w:divBdr>
          <w:divsChild>
            <w:div w:id="805658104">
              <w:marLeft w:val="0"/>
              <w:marRight w:val="0"/>
              <w:marTop w:val="0"/>
              <w:marBottom w:val="0"/>
              <w:divBdr>
                <w:top w:val="none" w:sz="0" w:space="0" w:color="auto"/>
                <w:left w:val="none" w:sz="0" w:space="0" w:color="auto"/>
                <w:bottom w:val="none" w:sz="0" w:space="0" w:color="auto"/>
                <w:right w:val="none" w:sz="0" w:space="0" w:color="auto"/>
              </w:divBdr>
            </w:div>
          </w:divsChild>
        </w:div>
        <w:div w:id="171141109">
          <w:marLeft w:val="0"/>
          <w:marRight w:val="0"/>
          <w:marTop w:val="0"/>
          <w:marBottom w:val="0"/>
          <w:divBdr>
            <w:top w:val="none" w:sz="0" w:space="0" w:color="auto"/>
            <w:left w:val="none" w:sz="0" w:space="0" w:color="auto"/>
            <w:bottom w:val="none" w:sz="0" w:space="0" w:color="auto"/>
            <w:right w:val="none" w:sz="0" w:space="0" w:color="auto"/>
          </w:divBdr>
          <w:divsChild>
            <w:div w:id="2103524273">
              <w:marLeft w:val="0"/>
              <w:marRight w:val="0"/>
              <w:marTop w:val="0"/>
              <w:marBottom w:val="0"/>
              <w:divBdr>
                <w:top w:val="none" w:sz="0" w:space="0" w:color="auto"/>
                <w:left w:val="none" w:sz="0" w:space="0" w:color="auto"/>
                <w:bottom w:val="none" w:sz="0" w:space="0" w:color="auto"/>
                <w:right w:val="none" w:sz="0" w:space="0" w:color="auto"/>
              </w:divBdr>
            </w:div>
          </w:divsChild>
        </w:div>
        <w:div w:id="423956358">
          <w:marLeft w:val="0"/>
          <w:marRight w:val="0"/>
          <w:marTop w:val="0"/>
          <w:marBottom w:val="0"/>
          <w:divBdr>
            <w:top w:val="none" w:sz="0" w:space="0" w:color="auto"/>
            <w:left w:val="none" w:sz="0" w:space="0" w:color="auto"/>
            <w:bottom w:val="none" w:sz="0" w:space="0" w:color="auto"/>
            <w:right w:val="none" w:sz="0" w:space="0" w:color="auto"/>
          </w:divBdr>
          <w:divsChild>
            <w:div w:id="101413233">
              <w:marLeft w:val="0"/>
              <w:marRight w:val="0"/>
              <w:marTop w:val="0"/>
              <w:marBottom w:val="0"/>
              <w:divBdr>
                <w:top w:val="none" w:sz="0" w:space="0" w:color="auto"/>
                <w:left w:val="none" w:sz="0" w:space="0" w:color="auto"/>
                <w:bottom w:val="none" w:sz="0" w:space="0" w:color="auto"/>
                <w:right w:val="none" w:sz="0" w:space="0" w:color="auto"/>
              </w:divBdr>
            </w:div>
            <w:div w:id="787939352">
              <w:marLeft w:val="0"/>
              <w:marRight w:val="0"/>
              <w:marTop w:val="0"/>
              <w:marBottom w:val="0"/>
              <w:divBdr>
                <w:top w:val="none" w:sz="0" w:space="0" w:color="auto"/>
                <w:left w:val="none" w:sz="0" w:space="0" w:color="auto"/>
                <w:bottom w:val="none" w:sz="0" w:space="0" w:color="auto"/>
                <w:right w:val="none" w:sz="0" w:space="0" w:color="auto"/>
              </w:divBdr>
            </w:div>
            <w:div w:id="796870721">
              <w:marLeft w:val="0"/>
              <w:marRight w:val="0"/>
              <w:marTop w:val="0"/>
              <w:marBottom w:val="0"/>
              <w:divBdr>
                <w:top w:val="none" w:sz="0" w:space="0" w:color="auto"/>
                <w:left w:val="none" w:sz="0" w:space="0" w:color="auto"/>
                <w:bottom w:val="none" w:sz="0" w:space="0" w:color="auto"/>
                <w:right w:val="none" w:sz="0" w:space="0" w:color="auto"/>
              </w:divBdr>
            </w:div>
          </w:divsChild>
        </w:div>
        <w:div w:id="519242098">
          <w:marLeft w:val="0"/>
          <w:marRight w:val="0"/>
          <w:marTop w:val="0"/>
          <w:marBottom w:val="0"/>
          <w:divBdr>
            <w:top w:val="none" w:sz="0" w:space="0" w:color="auto"/>
            <w:left w:val="none" w:sz="0" w:space="0" w:color="auto"/>
            <w:bottom w:val="none" w:sz="0" w:space="0" w:color="auto"/>
            <w:right w:val="none" w:sz="0" w:space="0" w:color="auto"/>
          </w:divBdr>
          <w:divsChild>
            <w:div w:id="107702493">
              <w:marLeft w:val="0"/>
              <w:marRight w:val="0"/>
              <w:marTop w:val="0"/>
              <w:marBottom w:val="0"/>
              <w:divBdr>
                <w:top w:val="none" w:sz="0" w:space="0" w:color="auto"/>
                <w:left w:val="none" w:sz="0" w:space="0" w:color="auto"/>
                <w:bottom w:val="none" w:sz="0" w:space="0" w:color="auto"/>
                <w:right w:val="none" w:sz="0" w:space="0" w:color="auto"/>
              </w:divBdr>
            </w:div>
            <w:div w:id="143739793">
              <w:marLeft w:val="0"/>
              <w:marRight w:val="0"/>
              <w:marTop w:val="0"/>
              <w:marBottom w:val="0"/>
              <w:divBdr>
                <w:top w:val="none" w:sz="0" w:space="0" w:color="auto"/>
                <w:left w:val="none" w:sz="0" w:space="0" w:color="auto"/>
                <w:bottom w:val="none" w:sz="0" w:space="0" w:color="auto"/>
                <w:right w:val="none" w:sz="0" w:space="0" w:color="auto"/>
              </w:divBdr>
            </w:div>
          </w:divsChild>
        </w:div>
        <w:div w:id="527524972">
          <w:marLeft w:val="0"/>
          <w:marRight w:val="0"/>
          <w:marTop w:val="0"/>
          <w:marBottom w:val="0"/>
          <w:divBdr>
            <w:top w:val="none" w:sz="0" w:space="0" w:color="auto"/>
            <w:left w:val="none" w:sz="0" w:space="0" w:color="auto"/>
            <w:bottom w:val="none" w:sz="0" w:space="0" w:color="auto"/>
            <w:right w:val="none" w:sz="0" w:space="0" w:color="auto"/>
          </w:divBdr>
          <w:divsChild>
            <w:div w:id="560793238">
              <w:marLeft w:val="0"/>
              <w:marRight w:val="0"/>
              <w:marTop w:val="0"/>
              <w:marBottom w:val="0"/>
              <w:divBdr>
                <w:top w:val="none" w:sz="0" w:space="0" w:color="auto"/>
                <w:left w:val="none" w:sz="0" w:space="0" w:color="auto"/>
                <w:bottom w:val="none" w:sz="0" w:space="0" w:color="auto"/>
                <w:right w:val="none" w:sz="0" w:space="0" w:color="auto"/>
              </w:divBdr>
            </w:div>
          </w:divsChild>
        </w:div>
        <w:div w:id="588733744">
          <w:marLeft w:val="0"/>
          <w:marRight w:val="0"/>
          <w:marTop w:val="0"/>
          <w:marBottom w:val="0"/>
          <w:divBdr>
            <w:top w:val="none" w:sz="0" w:space="0" w:color="auto"/>
            <w:left w:val="none" w:sz="0" w:space="0" w:color="auto"/>
            <w:bottom w:val="none" w:sz="0" w:space="0" w:color="auto"/>
            <w:right w:val="none" w:sz="0" w:space="0" w:color="auto"/>
          </w:divBdr>
          <w:divsChild>
            <w:div w:id="400099900">
              <w:marLeft w:val="0"/>
              <w:marRight w:val="0"/>
              <w:marTop w:val="0"/>
              <w:marBottom w:val="0"/>
              <w:divBdr>
                <w:top w:val="none" w:sz="0" w:space="0" w:color="auto"/>
                <w:left w:val="none" w:sz="0" w:space="0" w:color="auto"/>
                <w:bottom w:val="none" w:sz="0" w:space="0" w:color="auto"/>
                <w:right w:val="none" w:sz="0" w:space="0" w:color="auto"/>
              </w:divBdr>
            </w:div>
            <w:div w:id="664238166">
              <w:marLeft w:val="0"/>
              <w:marRight w:val="0"/>
              <w:marTop w:val="0"/>
              <w:marBottom w:val="0"/>
              <w:divBdr>
                <w:top w:val="none" w:sz="0" w:space="0" w:color="auto"/>
                <w:left w:val="none" w:sz="0" w:space="0" w:color="auto"/>
                <w:bottom w:val="none" w:sz="0" w:space="0" w:color="auto"/>
                <w:right w:val="none" w:sz="0" w:space="0" w:color="auto"/>
              </w:divBdr>
            </w:div>
            <w:div w:id="1038355998">
              <w:marLeft w:val="0"/>
              <w:marRight w:val="0"/>
              <w:marTop w:val="0"/>
              <w:marBottom w:val="0"/>
              <w:divBdr>
                <w:top w:val="none" w:sz="0" w:space="0" w:color="auto"/>
                <w:left w:val="none" w:sz="0" w:space="0" w:color="auto"/>
                <w:bottom w:val="none" w:sz="0" w:space="0" w:color="auto"/>
                <w:right w:val="none" w:sz="0" w:space="0" w:color="auto"/>
              </w:divBdr>
            </w:div>
            <w:div w:id="1197112966">
              <w:marLeft w:val="0"/>
              <w:marRight w:val="0"/>
              <w:marTop w:val="0"/>
              <w:marBottom w:val="0"/>
              <w:divBdr>
                <w:top w:val="none" w:sz="0" w:space="0" w:color="auto"/>
                <w:left w:val="none" w:sz="0" w:space="0" w:color="auto"/>
                <w:bottom w:val="none" w:sz="0" w:space="0" w:color="auto"/>
                <w:right w:val="none" w:sz="0" w:space="0" w:color="auto"/>
              </w:divBdr>
            </w:div>
          </w:divsChild>
        </w:div>
        <w:div w:id="732462256">
          <w:marLeft w:val="0"/>
          <w:marRight w:val="0"/>
          <w:marTop w:val="0"/>
          <w:marBottom w:val="0"/>
          <w:divBdr>
            <w:top w:val="none" w:sz="0" w:space="0" w:color="auto"/>
            <w:left w:val="none" w:sz="0" w:space="0" w:color="auto"/>
            <w:bottom w:val="none" w:sz="0" w:space="0" w:color="auto"/>
            <w:right w:val="none" w:sz="0" w:space="0" w:color="auto"/>
          </w:divBdr>
          <w:divsChild>
            <w:div w:id="1579630335">
              <w:marLeft w:val="0"/>
              <w:marRight w:val="0"/>
              <w:marTop w:val="0"/>
              <w:marBottom w:val="0"/>
              <w:divBdr>
                <w:top w:val="none" w:sz="0" w:space="0" w:color="auto"/>
                <w:left w:val="none" w:sz="0" w:space="0" w:color="auto"/>
                <w:bottom w:val="none" w:sz="0" w:space="0" w:color="auto"/>
                <w:right w:val="none" w:sz="0" w:space="0" w:color="auto"/>
              </w:divBdr>
            </w:div>
            <w:div w:id="1589920884">
              <w:marLeft w:val="0"/>
              <w:marRight w:val="0"/>
              <w:marTop w:val="0"/>
              <w:marBottom w:val="0"/>
              <w:divBdr>
                <w:top w:val="none" w:sz="0" w:space="0" w:color="auto"/>
                <w:left w:val="none" w:sz="0" w:space="0" w:color="auto"/>
                <w:bottom w:val="none" w:sz="0" w:space="0" w:color="auto"/>
                <w:right w:val="none" w:sz="0" w:space="0" w:color="auto"/>
              </w:divBdr>
            </w:div>
          </w:divsChild>
        </w:div>
        <w:div w:id="747313729">
          <w:marLeft w:val="0"/>
          <w:marRight w:val="0"/>
          <w:marTop w:val="0"/>
          <w:marBottom w:val="0"/>
          <w:divBdr>
            <w:top w:val="none" w:sz="0" w:space="0" w:color="auto"/>
            <w:left w:val="none" w:sz="0" w:space="0" w:color="auto"/>
            <w:bottom w:val="none" w:sz="0" w:space="0" w:color="auto"/>
            <w:right w:val="none" w:sz="0" w:space="0" w:color="auto"/>
          </w:divBdr>
          <w:divsChild>
            <w:div w:id="207884895">
              <w:marLeft w:val="0"/>
              <w:marRight w:val="0"/>
              <w:marTop w:val="0"/>
              <w:marBottom w:val="0"/>
              <w:divBdr>
                <w:top w:val="none" w:sz="0" w:space="0" w:color="auto"/>
                <w:left w:val="none" w:sz="0" w:space="0" w:color="auto"/>
                <w:bottom w:val="none" w:sz="0" w:space="0" w:color="auto"/>
                <w:right w:val="none" w:sz="0" w:space="0" w:color="auto"/>
              </w:divBdr>
            </w:div>
            <w:div w:id="1113328964">
              <w:marLeft w:val="0"/>
              <w:marRight w:val="0"/>
              <w:marTop w:val="0"/>
              <w:marBottom w:val="0"/>
              <w:divBdr>
                <w:top w:val="none" w:sz="0" w:space="0" w:color="auto"/>
                <w:left w:val="none" w:sz="0" w:space="0" w:color="auto"/>
                <w:bottom w:val="none" w:sz="0" w:space="0" w:color="auto"/>
                <w:right w:val="none" w:sz="0" w:space="0" w:color="auto"/>
              </w:divBdr>
            </w:div>
            <w:div w:id="1991133093">
              <w:marLeft w:val="0"/>
              <w:marRight w:val="0"/>
              <w:marTop w:val="0"/>
              <w:marBottom w:val="0"/>
              <w:divBdr>
                <w:top w:val="none" w:sz="0" w:space="0" w:color="auto"/>
                <w:left w:val="none" w:sz="0" w:space="0" w:color="auto"/>
                <w:bottom w:val="none" w:sz="0" w:space="0" w:color="auto"/>
                <w:right w:val="none" w:sz="0" w:space="0" w:color="auto"/>
              </w:divBdr>
            </w:div>
          </w:divsChild>
        </w:div>
        <w:div w:id="785393469">
          <w:marLeft w:val="0"/>
          <w:marRight w:val="0"/>
          <w:marTop w:val="0"/>
          <w:marBottom w:val="0"/>
          <w:divBdr>
            <w:top w:val="none" w:sz="0" w:space="0" w:color="auto"/>
            <w:left w:val="none" w:sz="0" w:space="0" w:color="auto"/>
            <w:bottom w:val="none" w:sz="0" w:space="0" w:color="auto"/>
            <w:right w:val="none" w:sz="0" w:space="0" w:color="auto"/>
          </w:divBdr>
          <w:divsChild>
            <w:div w:id="2011713272">
              <w:marLeft w:val="0"/>
              <w:marRight w:val="0"/>
              <w:marTop w:val="0"/>
              <w:marBottom w:val="0"/>
              <w:divBdr>
                <w:top w:val="none" w:sz="0" w:space="0" w:color="auto"/>
                <w:left w:val="none" w:sz="0" w:space="0" w:color="auto"/>
                <w:bottom w:val="none" w:sz="0" w:space="0" w:color="auto"/>
                <w:right w:val="none" w:sz="0" w:space="0" w:color="auto"/>
              </w:divBdr>
            </w:div>
          </w:divsChild>
        </w:div>
        <w:div w:id="952783688">
          <w:marLeft w:val="0"/>
          <w:marRight w:val="0"/>
          <w:marTop w:val="0"/>
          <w:marBottom w:val="0"/>
          <w:divBdr>
            <w:top w:val="none" w:sz="0" w:space="0" w:color="auto"/>
            <w:left w:val="none" w:sz="0" w:space="0" w:color="auto"/>
            <w:bottom w:val="none" w:sz="0" w:space="0" w:color="auto"/>
            <w:right w:val="none" w:sz="0" w:space="0" w:color="auto"/>
          </w:divBdr>
          <w:divsChild>
            <w:div w:id="1276062641">
              <w:marLeft w:val="0"/>
              <w:marRight w:val="0"/>
              <w:marTop w:val="0"/>
              <w:marBottom w:val="0"/>
              <w:divBdr>
                <w:top w:val="none" w:sz="0" w:space="0" w:color="auto"/>
                <w:left w:val="none" w:sz="0" w:space="0" w:color="auto"/>
                <w:bottom w:val="none" w:sz="0" w:space="0" w:color="auto"/>
                <w:right w:val="none" w:sz="0" w:space="0" w:color="auto"/>
              </w:divBdr>
            </w:div>
          </w:divsChild>
        </w:div>
        <w:div w:id="1179546074">
          <w:marLeft w:val="0"/>
          <w:marRight w:val="0"/>
          <w:marTop w:val="0"/>
          <w:marBottom w:val="0"/>
          <w:divBdr>
            <w:top w:val="none" w:sz="0" w:space="0" w:color="auto"/>
            <w:left w:val="none" w:sz="0" w:space="0" w:color="auto"/>
            <w:bottom w:val="none" w:sz="0" w:space="0" w:color="auto"/>
            <w:right w:val="none" w:sz="0" w:space="0" w:color="auto"/>
          </w:divBdr>
          <w:divsChild>
            <w:div w:id="1097677950">
              <w:marLeft w:val="0"/>
              <w:marRight w:val="0"/>
              <w:marTop w:val="0"/>
              <w:marBottom w:val="0"/>
              <w:divBdr>
                <w:top w:val="none" w:sz="0" w:space="0" w:color="auto"/>
                <w:left w:val="none" w:sz="0" w:space="0" w:color="auto"/>
                <w:bottom w:val="none" w:sz="0" w:space="0" w:color="auto"/>
                <w:right w:val="none" w:sz="0" w:space="0" w:color="auto"/>
              </w:divBdr>
            </w:div>
            <w:div w:id="1124229096">
              <w:marLeft w:val="0"/>
              <w:marRight w:val="0"/>
              <w:marTop w:val="0"/>
              <w:marBottom w:val="0"/>
              <w:divBdr>
                <w:top w:val="none" w:sz="0" w:space="0" w:color="auto"/>
                <w:left w:val="none" w:sz="0" w:space="0" w:color="auto"/>
                <w:bottom w:val="none" w:sz="0" w:space="0" w:color="auto"/>
                <w:right w:val="none" w:sz="0" w:space="0" w:color="auto"/>
              </w:divBdr>
            </w:div>
            <w:div w:id="1893810876">
              <w:marLeft w:val="0"/>
              <w:marRight w:val="0"/>
              <w:marTop w:val="0"/>
              <w:marBottom w:val="0"/>
              <w:divBdr>
                <w:top w:val="none" w:sz="0" w:space="0" w:color="auto"/>
                <w:left w:val="none" w:sz="0" w:space="0" w:color="auto"/>
                <w:bottom w:val="none" w:sz="0" w:space="0" w:color="auto"/>
                <w:right w:val="none" w:sz="0" w:space="0" w:color="auto"/>
              </w:divBdr>
            </w:div>
          </w:divsChild>
        </w:div>
        <w:div w:id="1230188861">
          <w:marLeft w:val="0"/>
          <w:marRight w:val="0"/>
          <w:marTop w:val="0"/>
          <w:marBottom w:val="0"/>
          <w:divBdr>
            <w:top w:val="none" w:sz="0" w:space="0" w:color="auto"/>
            <w:left w:val="none" w:sz="0" w:space="0" w:color="auto"/>
            <w:bottom w:val="none" w:sz="0" w:space="0" w:color="auto"/>
            <w:right w:val="none" w:sz="0" w:space="0" w:color="auto"/>
          </w:divBdr>
          <w:divsChild>
            <w:div w:id="89854">
              <w:marLeft w:val="0"/>
              <w:marRight w:val="0"/>
              <w:marTop w:val="0"/>
              <w:marBottom w:val="0"/>
              <w:divBdr>
                <w:top w:val="none" w:sz="0" w:space="0" w:color="auto"/>
                <w:left w:val="none" w:sz="0" w:space="0" w:color="auto"/>
                <w:bottom w:val="none" w:sz="0" w:space="0" w:color="auto"/>
                <w:right w:val="none" w:sz="0" w:space="0" w:color="auto"/>
              </w:divBdr>
            </w:div>
          </w:divsChild>
        </w:div>
        <w:div w:id="1234698551">
          <w:marLeft w:val="0"/>
          <w:marRight w:val="0"/>
          <w:marTop w:val="0"/>
          <w:marBottom w:val="0"/>
          <w:divBdr>
            <w:top w:val="none" w:sz="0" w:space="0" w:color="auto"/>
            <w:left w:val="none" w:sz="0" w:space="0" w:color="auto"/>
            <w:bottom w:val="none" w:sz="0" w:space="0" w:color="auto"/>
            <w:right w:val="none" w:sz="0" w:space="0" w:color="auto"/>
          </w:divBdr>
          <w:divsChild>
            <w:div w:id="373237031">
              <w:marLeft w:val="0"/>
              <w:marRight w:val="0"/>
              <w:marTop w:val="0"/>
              <w:marBottom w:val="0"/>
              <w:divBdr>
                <w:top w:val="none" w:sz="0" w:space="0" w:color="auto"/>
                <w:left w:val="none" w:sz="0" w:space="0" w:color="auto"/>
                <w:bottom w:val="none" w:sz="0" w:space="0" w:color="auto"/>
                <w:right w:val="none" w:sz="0" w:space="0" w:color="auto"/>
              </w:divBdr>
            </w:div>
          </w:divsChild>
        </w:div>
        <w:div w:id="1266811518">
          <w:marLeft w:val="0"/>
          <w:marRight w:val="0"/>
          <w:marTop w:val="0"/>
          <w:marBottom w:val="0"/>
          <w:divBdr>
            <w:top w:val="none" w:sz="0" w:space="0" w:color="auto"/>
            <w:left w:val="none" w:sz="0" w:space="0" w:color="auto"/>
            <w:bottom w:val="none" w:sz="0" w:space="0" w:color="auto"/>
            <w:right w:val="none" w:sz="0" w:space="0" w:color="auto"/>
          </w:divBdr>
          <w:divsChild>
            <w:div w:id="820194586">
              <w:marLeft w:val="0"/>
              <w:marRight w:val="0"/>
              <w:marTop w:val="0"/>
              <w:marBottom w:val="0"/>
              <w:divBdr>
                <w:top w:val="none" w:sz="0" w:space="0" w:color="auto"/>
                <w:left w:val="none" w:sz="0" w:space="0" w:color="auto"/>
                <w:bottom w:val="none" w:sz="0" w:space="0" w:color="auto"/>
                <w:right w:val="none" w:sz="0" w:space="0" w:color="auto"/>
              </w:divBdr>
            </w:div>
          </w:divsChild>
        </w:div>
        <w:div w:id="1463959193">
          <w:marLeft w:val="0"/>
          <w:marRight w:val="0"/>
          <w:marTop w:val="0"/>
          <w:marBottom w:val="0"/>
          <w:divBdr>
            <w:top w:val="none" w:sz="0" w:space="0" w:color="auto"/>
            <w:left w:val="none" w:sz="0" w:space="0" w:color="auto"/>
            <w:bottom w:val="none" w:sz="0" w:space="0" w:color="auto"/>
            <w:right w:val="none" w:sz="0" w:space="0" w:color="auto"/>
          </w:divBdr>
          <w:divsChild>
            <w:div w:id="2124378709">
              <w:marLeft w:val="0"/>
              <w:marRight w:val="0"/>
              <w:marTop w:val="0"/>
              <w:marBottom w:val="0"/>
              <w:divBdr>
                <w:top w:val="none" w:sz="0" w:space="0" w:color="auto"/>
                <w:left w:val="none" w:sz="0" w:space="0" w:color="auto"/>
                <w:bottom w:val="none" w:sz="0" w:space="0" w:color="auto"/>
                <w:right w:val="none" w:sz="0" w:space="0" w:color="auto"/>
              </w:divBdr>
            </w:div>
          </w:divsChild>
        </w:div>
        <w:div w:id="1569264055">
          <w:marLeft w:val="0"/>
          <w:marRight w:val="0"/>
          <w:marTop w:val="0"/>
          <w:marBottom w:val="0"/>
          <w:divBdr>
            <w:top w:val="none" w:sz="0" w:space="0" w:color="auto"/>
            <w:left w:val="none" w:sz="0" w:space="0" w:color="auto"/>
            <w:bottom w:val="none" w:sz="0" w:space="0" w:color="auto"/>
            <w:right w:val="none" w:sz="0" w:space="0" w:color="auto"/>
          </w:divBdr>
          <w:divsChild>
            <w:div w:id="1405642972">
              <w:marLeft w:val="0"/>
              <w:marRight w:val="0"/>
              <w:marTop w:val="0"/>
              <w:marBottom w:val="0"/>
              <w:divBdr>
                <w:top w:val="none" w:sz="0" w:space="0" w:color="auto"/>
                <w:left w:val="none" w:sz="0" w:space="0" w:color="auto"/>
                <w:bottom w:val="none" w:sz="0" w:space="0" w:color="auto"/>
                <w:right w:val="none" w:sz="0" w:space="0" w:color="auto"/>
              </w:divBdr>
            </w:div>
          </w:divsChild>
        </w:div>
        <w:div w:id="1847593465">
          <w:marLeft w:val="0"/>
          <w:marRight w:val="0"/>
          <w:marTop w:val="0"/>
          <w:marBottom w:val="0"/>
          <w:divBdr>
            <w:top w:val="none" w:sz="0" w:space="0" w:color="auto"/>
            <w:left w:val="none" w:sz="0" w:space="0" w:color="auto"/>
            <w:bottom w:val="none" w:sz="0" w:space="0" w:color="auto"/>
            <w:right w:val="none" w:sz="0" w:space="0" w:color="auto"/>
          </w:divBdr>
          <w:divsChild>
            <w:div w:id="378021582">
              <w:marLeft w:val="0"/>
              <w:marRight w:val="0"/>
              <w:marTop w:val="0"/>
              <w:marBottom w:val="0"/>
              <w:divBdr>
                <w:top w:val="none" w:sz="0" w:space="0" w:color="auto"/>
                <w:left w:val="none" w:sz="0" w:space="0" w:color="auto"/>
                <w:bottom w:val="none" w:sz="0" w:space="0" w:color="auto"/>
                <w:right w:val="none" w:sz="0" w:space="0" w:color="auto"/>
              </w:divBdr>
            </w:div>
            <w:div w:id="1150054844">
              <w:marLeft w:val="0"/>
              <w:marRight w:val="0"/>
              <w:marTop w:val="0"/>
              <w:marBottom w:val="0"/>
              <w:divBdr>
                <w:top w:val="none" w:sz="0" w:space="0" w:color="auto"/>
                <w:left w:val="none" w:sz="0" w:space="0" w:color="auto"/>
                <w:bottom w:val="none" w:sz="0" w:space="0" w:color="auto"/>
                <w:right w:val="none" w:sz="0" w:space="0" w:color="auto"/>
              </w:divBdr>
            </w:div>
          </w:divsChild>
        </w:div>
        <w:div w:id="1872263123">
          <w:marLeft w:val="0"/>
          <w:marRight w:val="0"/>
          <w:marTop w:val="0"/>
          <w:marBottom w:val="0"/>
          <w:divBdr>
            <w:top w:val="none" w:sz="0" w:space="0" w:color="auto"/>
            <w:left w:val="none" w:sz="0" w:space="0" w:color="auto"/>
            <w:bottom w:val="none" w:sz="0" w:space="0" w:color="auto"/>
            <w:right w:val="none" w:sz="0" w:space="0" w:color="auto"/>
          </w:divBdr>
          <w:divsChild>
            <w:div w:id="1055543738">
              <w:marLeft w:val="0"/>
              <w:marRight w:val="0"/>
              <w:marTop w:val="0"/>
              <w:marBottom w:val="0"/>
              <w:divBdr>
                <w:top w:val="none" w:sz="0" w:space="0" w:color="auto"/>
                <w:left w:val="none" w:sz="0" w:space="0" w:color="auto"/>
                <w:bottom w:val="none" w:sz="0" w:space="0" w:color="auto"/>
                <w:right w:val="none" w:sz="0" w:space="0" w:color="auto"/>
              </w:divBdr>
            </w:div>
            <w:div w:id="1337002216">
              <w:marLeft w:val="0"/>
              <w:marRight w:val="0"/>
              <w:marTop w:val="0"/>
              <w:marBottom w:val="0"/>
              <w:divBdr>
                <w:top w:val="none" w:sz="0" w:space="0" w:color="auto"/>
                <w:left w:val="none" w:sz="0" w:space="0" w:color="auto"/>
                <w:bottom w:val="none" w:sz="0" w:space="0" w:color="auto"/>
                <w:right w:val="none" w:sz="0" w:space="0" w:color="auto"/>
              </w:divBdr>
            </w:div>
          </w:divsChild>
        </w:div>
        <w:div w:id="1922760995">
          <w:marLeft w:val="0"/>
          <w:marRight w:val="0"/>
          <w:marTop w:val="0"/>
          <w:marBottom w:val="0"/>
          <w:divBdr>
            <w:top w:val="none" w:sz="0" w:space="0" w:color="auto"/>
            <w:left w:val="none" w:sz="0" w:space="0" w:color="auto"/>
            <w:bottom w:val="none" w:sz="0" w:space="0" w:color="auto"/>
            <w:right w:val="none" w:sz="0" w:space="0" w:color="auto"/>
          </w:divBdr>
          <w:divsChild>
            <w:div w:id="316811450">
              <w:marLeft w:val="0"/>
              <w:marRight w:val="0"/>
              <w:marTop w:val="0"/>
              <w:marBottom w:val="0"/>
              <w:divBdr>
                <w:top w:val="none" w:sz="0" w:space="0" w:color="auto"/>
                <w:left w:val="none" w:sz="0" w:space="0" w:color="auto"/>
                <w:bottom w:val="none" w:sz="0" w:space="0" w:color="auto"/>
                <w:right w:val="none" w:sz="0" w:space="0" w:color="auto"/>
              </w:divBdr>
            </w:div>
            <w:div w:id="1803689395">
              <w:marLeft w:val="0"/>
              <w:marRight w:val="0"/>
              <w:marTop w:val="0"/>
              <w:marBottom w:val="0"/>
              <w:divBdr>
                <w:top w:val="none" w:sz="0" w:space="0" w:color="auto"/>
                <w:left w:val="none" w:sz="0" w:space="0" w:color="auto"/>
                <w:bottom w:val="none" w:sz="0" w:space="0" w:color="auto"/>
                <w:right w:val="none" w:sz="0" w:space="0" w:color="auto"/>
              </w:divBdr>
            </w:div>
            <w:div w:id="2092657735">
              <w:marLeft w:val="0"/>
              <w:marRight w:val="0"/>
              <w:marTop w:val="0"/>
              <w:marBottom w:val="0"/>
              <w:divBdr>
                <w:top w:val="none" w:sz="0" w:space="0" w:color="auto"/>
                <w:left w:val="none" w:sz="0" w:space="0" w:color="auto"/>
                <w:bottom w:val="none" w:sz="0" w:space="0" w:color="auto"/>
                <w:right w:val="none" w:sz="0" w:space="0" w:color="auto"/>
              </w:divBdr>
            </w:div>
          </w:divsChild>
        </w:div>
        <w:div w:id="1961835164">
          <w:marLeft w:val="0"/>
          <w:marRight w:val="0"/>
          <w:marTop w:val="0"/>
          <w:marBottom w:val="0"/>
          <w:divBdr>
            <w:top w:val="none" w:sz="0" w:space="0" w:color="auto"/>
            <w:left w:val="none" w:sz="0" w:space="0" w:color="auto"/>
            <w:bottom w:val="none" w:sz="0" w:space="0" w:color="auto"/>
            <w:right w:val="none" w:sz="0" w:space="0" w:color="auto"/>
          </w:divBdr>
          <w:divsChild>
            <w:div w:id="302976030">
              <w:marLeft w:val="0"/>
              <w:marRight w:val="0"/>
              <w:marTop w:val="0"/>
              <w:marBottom w:val="0"/>
              <w:divBdr>
                <w:top w:val="none" w:sz="0" w:space="0" w:color="auto"/>
                <w:left w:val="none" w:sz="0" w:space="0" w:color="auto"/>
                <w:bottom w:val="none" w:sz="0" w:space="0" w:color="auto"/>
                <w:right w:val="none" w:sz="0" w:space="0" w:color="auto"/>
              </w:divBdr>
            </w:div>
            <w:div w:id="720010786">
              <w:marLeft w:val="0"/>
              <w:marRight w:val="0"/>
              <w:marTop w:val="0"/>
              <w:marBottom w:val="0"/>
              <w:divBdr>
                <w:top w:val="none" w:sz="0" w:space="0" w:color="auto"/>
                <w:left w:val="none" w:sz="0" w:space="0" w:color="auto"/>
                <w:bottom w:val="none" w:sz="0" w:space="0" w:color="auto"/>
                <w:right w:val="none" w:sz="0" w:space="0" w:color="auto"/>
              </w:divBdr>
            </w:div>
          </w:divsChild>
        </w:div>
        <w:div w:id="2041929672">
          <w:marLeft w:val="0"/>
          <w:marRight w:val="0"/>
          <w:marTop w:val="0"/>
          <w:marBottom w:val="0"/>
          <w:divBdr>
            <w:top w:val="none" w:sz="0" w:space="0" w:color="auto"/>
            <w:left w:val="none" w:sz="0" w:space="0" w:color="auto"/>
            <w:bottom w:val="none" w:sz="0" w:space="0" w:color="auto"/>
            <w:right w:val="none" w:sz="0" w:space="0" w:color="auto"/>
          </w:divBdr>
          <w:divsChild>
            <w:div w:id="439761033">
              <w:marLeft w:val="0"/>
              <w:marRight w:val="0"/>
              <w:marTop w:val="0"/>
              <w:marBottom w:val="0"/>
              <w:divBdr>
                <w:top w:val="none" w:sz="0" w:space="0" w:color="auto"/>
                <w:left w:val="none" w:sz="0" w:space="0" w:color="auto"/>
                <w:bottom w:val="none" w:sz="0" w:space="0" w:color="auto"/>
                <w:right w:val="none" w:sz="0" w:space="0" w:color="auto"/>
              </w:divBdr>
            </w:div>
          </w:divsChild>
        </w:div>
        <w:div w:id="2123376898">
          <w:marLeft w:val="0"/>
          <w:marRight w:val="0"/>
          <w:marTop w:val="0"/>
          <w:marBottom w:val="0"/>
          <w:divBdr>
            <w:top w:val="none" w:sz="0" w:space="0" w:color="auto"/>
            <w:left w:val="none" w:sz="0" w:space="0" w:color="auto"/>
            <w:bottom w:val="none" w:sz="0" w:space="0" w:color="auto"/>
            <w:right w:val="none" w:sz="0" w:space="0" w:color="auto"/>
          </w:divBdr>
          <w:divsChild>
            <w:div w:id="352079193">
              <w:marLeft w:val="0"/>
              <w:marRight w:val="0"/>
              <w:marTop w:val="0"/>
              <w:marBottom w:val="0"/>
              <w:divBdr>
                <w:top w:val="none" w:sz="0" w:space="0" w:color="auto"/>
                <w:left w:val="none" w:sz="0" w:space="0" w:color="auto"/>
                <w:bottom w:val="none" w:sz="0" w:space="0" w:color="auto"/>
                <w:right w:val="none" w:sz="0" w:space="0" w:color="auto"/>
              </w:divBdr>
            </w:div>
            <w:div w:id="2098093606">
              <w:marLeft w:val="0"/>
              <w:marRight w:val="0"/>
              <w:marTop w:val="0"/>
              <w:marBottom w:val="0"/>
              <w:divBdr>
                <w:top w:val="none" w:sz="0" w:space="0" w:color="auto"/>
                <w:left w:val="none" w:sz="0" w:space="0" w:color="auto"/>
                <w:bottom w:val="none" w:sz="0" w:space="0" w:color="auto"/>
                <w:right w:val="none" w:sz="0" w:space="0" w:color="auto"/>
              </w:divBdr>
            </w:div>
          </w:divsChild>
        </w:div>
        <w:div w:id="2135637208">
          <w:marLeft w:val="0"/>
          <w:marRight w:val="0"/>
          <w:marTop w:val="0"/>
          <w:marBottom w:val="0"/>
          <w:divBdr>
            <w:top w:val="none" w:sz="0" w:space="0" w:color="auto"/>
            <w:left w:val="none" w:sz="0" w:space="0" w:color="auto"/>
            <w:bottom w:val="none" w:sz="0" w:space="0" w:color="auto"/>
            <w:right w:val="none" w:sz="0" w:space="0" w:color="auto"/>
          </w:divBdr>
          <w:divsChild>
            <w:div w:id="723407210">
              <w:marLeft w:val="0"/>
              <w:marRight w:val="0"/>
              <w:marTop w:val="0"/>
              <w:marBottom w:val="0"/>
              <w:divBdr>
                <w:top w:val="none" w:sz="0" w:space="0" w:color="auto"/>
                <w:left w:val="none" w:sz="0" w:space="0" w:color="auto"/>
                <w:bottom w:val="none" w:sz="0" w:space="0" w:color="auto"/>
                <w:right w:val="none" w:sz="0" w:space="0" w:color="auto"/>
              </w:divBdr>
            </w:div>
            <w:div w:id="8660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60262">
      <w:bodyDiv w:val="1"/>
      <w:marLeft w:val="0"/>
      <w:marRight w:val="0"/>
      <w:marTop w:val="0"/>
      <w:marBottom w:val="0"/>
      <w:divBdr>
        <w:top w:val="none" w:sz="0" w:space="0" w:color="auto"/>
        <w:left w:val="none" w:sz="0" w:space="0" w:color="auto"/>
        <w:bottom w:val="none" w:sz="0" w:space="0" w:color="auto"/>
        <w:right w:val="none" w:sz="0" w:space="0" w:color="auto"/>
      </w:divBdr>
    </w:div>
    <w:div w:id="1442803831">
      <w:bodyDiv w:val="1"/>
      <w:marLeft w:val="0"/>
      <w:marRight w:val="0"/>
      <w:marTop w:val="0"/>
      <w:marBottom w:val="0"/>
      <w:divBdr>
        <w:top w:val="none" w:sz="0" w:space="0" w:color="auto"/>
        <w:left w:val="none" w:sz="0" w:space="0" w:color="auto"/>
        <w:bottom w:val="none" w:sz="0" w:space="0" w:color="auto"/>
        <w:right w:val="none" w:sz="0" w:space="0" w:color="auto"/>
      </w:divBdr>
    </w:div>
    <w:div w:id="1445688267">
      <w:bodyDiv w:val="1"/>
      <w:marLeft w:val="0"/>
      <w:marRight w:val="0"/>
      <w:marTop w:val="0"/>
      <w:marBottom w:val="0"/>
      <w:divBdr>
        <w:top w:val="none" w:sz="0" w:space="0" w:color="auto"/>
        <w:left w:val="none" w:sz="0" w:space="0" w:color="auto"/>
        <w:bottom w:val="none" w:sz="0" w:space="0" w:color="auto"/>
        <w:right w:val="none" w:sz="0" w:space="0" w:color="auto"/>
      </w:divBdr>
      <w:divsChild>
        <w:div w:id="1517840601">
          <w:marLeft w:val="0"/>
          <w:marRight w:val="0"/>
          <w:marTop w:val="0"/>
          <w:marBottom w:val="0"/>
          <w:divBdr>
            <w:top w:val="none" w:sz="0" w:space="0" w:color="auto"/>
            <w:left w:val="none" w:sz="0" w:space="0" w:color="auto"/>
            <w:bottom w:val="none" w:sz="0" w:space="0" w:color="auto"/>
            <w:right w:val="none" w:sz="0" w:space="0" w:color="auto"/>
          </w:divBdr>
        </w:div>
        <w:div w:id="1634557807">
          <w:marLeft w:val="0"/>
          <w:marRight w:val="0"/>
          <w:marTop w:val="0"/>
          <w:marBottom w:val="149"/>
          <w:divBdr>
            <w:top w:val="none" w:sz="0" w:space="0" w:color="auto"/>
            <w:left w:val="none" w:sz="0" w:space="0" w:color="auto"/>
            <w:bottom w:val="single" w:sz="36" w:space="7" w:color="F2F2F2"/>
            <w:right w:val="none" w:sz="0" w:space="0" w:color="auto"/>
          </w:divBdr>
        </w:div>
      </w:divsChild>
    </w:div>
    <w:div w:id="1462578623">
      <w:bodyDiv w:val="1"/>
      <w:marLeft w:val="0"/>
      <w:marRight w:val="0"/>
      <w:marTop w:val="0"/>
      <w:marBottom w:val="0"/>
      <w:divBdr>
        <w:top w:val="none" w:sz="0" w:space="0" w:color="auto"/>
        <w:left w:val="none" w:sz="0" w:space="0" w:color="auto"/>
        <w:bottom w:val="none" w:sz="0" w:space="0" w:color="auto"/>
        <w:right w:val="none" w:sz="0" w:space="0" w:color="auto"/>
      </w:divBdr>
      <w:divsChild>
        <w:div w:id="698896795">
          <w:marLeft w:val="0"/>
          <w:marRight w:val="0"/>
          <w:marTop w:val="0"/>
          <w:marBottom w:val="0"/>
          <w:divBdr>
            <w:top w:val="none" w:sz="0" w:space="0" w:color="auto"/>
            <w:left w:val="none" w:sz="0" w:space="0" w:color="auto"/>
            <w:bottom w:val="none" w:sz="0" w:space="0" w:color="auto"/>
            <w:right w:val="none" w:sz="0" w:space="0" w:color="auto"/>
          </w:divBdr>
          <w:divsChild>
            <w:div w:id="1101531658">
              <w:marLeft w:val="0"/>
              <w:marRight w:val="0"/>
              <w:marTop w:val="0"/>
              <w:marBottom w:val="0"/>
              <w:divBdr>
                <w:top w:val="none" w:sz="0" w:space="0" w:color="auto"/>
                <w:left w:val="none" w:sz="0" w:space="0" w:color="auto"/>
                <w:bottom w:val="none" w:sz="0" w:space="0" w:color="auto"/>
                <w:right w:val="none" w:sz="0" w:space="0" w:color="auto"/>
              </w:divBdr>
              <w:divsChild>
                <w:div w:id="478501622">
                  <w:marLeft w:val="0"/>
                  <w:marRight w:val="0"/>
                  <w:marTop w:val="0"/>
                  <w:marBottom w:val="0"/>
                  <w:divBdr>
                    <w:top w:val="none" w:sz="0" w:space="0" w:color="auto"/>
                    <w:left w:val="none" w:sz="0" w:space="0" w:color="auto"/>
                    <w:bottom w:val="none" w:sz="0" w:space="0" w:color="auto"/>
                    <w:right w:val="none" w:sz="0" w:space="0" w:color="auto"/>
                  </w:divBdr>
                  <w:divsChild>
                    <w:div w:id="23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8942">
      <w:bodyDiv w:val="1"/>
      <w:marLeft w:val="0"/>
      <w:marRight w:val="0"/>
      <w:marTop w:val="0"/>
      <w:marBottom w:val="0"/>
      <w:divBdr>
        <w:top w:val="none" w:sz="0" w:space="0" w:color="auto"/>
        <w:left w:val="none" w:sz="0" w:space="0" w:color="auto"/>
        <w:bottom w:val="none" w:sz="0" w:space="0" w:color="auto"/>
        <w:right w:val="none" w:sz="0" w:space="0" w:color="auto"/>
      </w:divBdr>
      <w:divsChild>
        <w:div w:id="88284051">
          <w:marLeft w:val="0"/>
          <w:marRight w:val="0"/>
          <w:marTop w:val="0"/>
          <w:marBottom w:val="0"/>
          <w:divBdr>
            <w:top w:val="none" w:sz="0" w:space="0" w:color="auto"/>
            <w:left w:val="none" w:sz="0" w:space="0" w:color="auto"/>
            <w:bottom w:val="none" w:sz="0" w:space="0" w:color="auto"/>
            <w:right w:val="none" w:sz="0" w:space="0" w:color="auto"/>
          </w:divBdr>
        </w:div>
        <w:div w:id="711198096">
          <w:marLeft w:val="0"/>
          <w:marRight w:val="0"/>
          <w:marTop w:val="0"/>
          <w:marBottom w:val="0"/>
          <w:divBdr>
            <w:top w:val="none" w:sz="0" w:space="0" w:color="auto"/>
            <w:left w:val="none" w:sz="0" w:space="0" w:color="auto"/>
            <w:bottom w:val="none" w:sz="0" w:space="0" w:color="auto"/>
            <w:right w:val="none" w:sz="0" w:space="0" w:color="auto"/>
          </w:divBdr>
        </w:div>
        <w:div w:id="1661688336">
          <w:marLeft w:val="0"/>
          <w:marRight w:val="0"/>
          <w:marTop w:val="0"/>
          <w:marBottom w:val="0"/>
          <w:divBdr>
            <w:top w:val="none" w:sz="0" w:space="0" w:color="auto"/>
            <w:left w:val="none" w:sz="0" w:space="0" w:color="auto"/>
            <w:bottom w:val="none" w:sz="0" w:space="0" w:color="auto"/>
            <w:right w:val="none" w:sz="0" w:space="0" w:color="auto"/>
          </w:divBdr>
        </w:div>
        <w:div w:id="1773354035">
          <w:marLeft w:val="0"/>
          <w:marRight w:val="0"/>
          <w:marTop w:val="0"/>
          <w:marBottom w:val="0"/>
          <w:divBdr>
            <w:top w:val="none" w:sz="0" w:space="0" w:color="auto"/>
            <w:left w:val="none" w:sz="0" w:space="0" w:color="auto"/>
            <w:bottom w:val="none" w:sz="0" w:space="0" w:color="auto"/>
            <w:right w:val="none" w:sz="0" w:space="0" w:color="auto"/>
          </w:divBdr>
        </w:div>
        <w:div w:id="1869639910">
          <w:marLeft w:val="0"/>
          <w:marRight w:val="0"/>
          <w:marTop w:val="0"/>
          <w:marBottom w:val="0"/>
          <w:divBdr>
            <w:top w:val="none" w:sz="0" w:space="0" w:color="auto"/>
            <w:left w:val="none" w:sz="0" w:space="0" w:color="auto"/>
            <w:bottom w:val="none" w:sz="0" w:space="0" w:color="auto"/>
            <w:right w:val="none" w:sz="0" w:space="0" w:color="auto"/>
          </w:divBdr>
        </w:div>
      </w:divsChild>
    </w:div>
    <w:div w:id="1694837731">
      <w:bodyDiv w:val="1"/>
      <w:marLeft w:val="0"/>
      <w:marRight w:val="0"/>
      <w:marTop w:val="0"/>
      <w:marBottom w:val="0"/>
      <w:divBdr>
        <w:top w:val="none" w:sz="0" w:space="0" w:color="auto"/>
        <w:left w:val="none" w:sz="0" w:space="0" w:color="auto"/>
        <w:bottom w:val="none" w:sz="0" w:space="0" w:color="auto"/>
        <w:right w:val="none" w:sz="0" w:space="0" w:color="auto"/>
      </w:divBdr>
    </w:div>
    <w:div w:id="1720519632">
      <w:bodyDiv w:val="1"/>
      <w:marLeft w:val="0"/>
      <w:marRight w:val="0"/>
      <w:marTop w:val="0"/>
      <w:marBottom w:val="0"/>
      <w:divBdr>
        <w:top w:val="none" w:sz="0" w:space="0" w:color="auto"/>
        <w:left w:val="none" w:sz="0" w:space="0" w:color="auto"/>
        <w:bottom w:val="none" w:sz="0" w:space="0" w:color="auto"/>
        <w:right w:val="none" w:sz="0" w:space="0" w:color="auto"/>
      </w:divBdr>
    </w:div>
    <w:div w:id="1934506422">
      <w:bodyDiv w:val="1"/>
      <w:marLeft w:val="0"/>
      <w:marRight w:val="0"/>
      <w:marTop w:val="0"/>
      <w:marBottom w:val="0"/>
      <w:divBdr>
        <w:top w:val="none" w:sz="0" w:space="0" w:color="auto"/>
        <w:left w:val="none" w:sz="0" w:space="0" w:color="auto"/>
        <w:bottom w:val="none" w:sz="0" w:space="0" w:color="auto"/>
        <w:right w:val="none" w:sz="0" w:space="0" w:color="auto"/>
      </w:divBdr>
      <w:divsChild>
        <w:div w:id="6686370">
          <w:marLeft w:val="0"/>
          <w:marRight w:val="0"/>
          <w:marTop w:val="0"/>
          <w:marBottom w:val="0"/>
          <w:divBdr>
            <w:top w:val="none" w:sz="0" w:space="0" w:color="auto"/>
            <w:left w:val="none" w:sz="0" w:space="0" w:color="auto"/>
            <w:bottom w:val="none" w:sz="0" w:space="0" w:color="auto"/>
            <w:right w:val="none" w:sz="0" w:space="0" w:color="auto"/>
          </w:divBdr>
          <w:divsChild>
            <w:div w:id="213780775">
              <w:marLeft w:val="0"/>
              <w:marRight w:val="0"/>
              <w:marTop w:val="0"/>
              <w:marBottom w:val="0"/>
              <w:divBdr>
                <w:top w:val="none" w:sz="0" w:space="0" w:color="auto"/>
                <w:left w:val="none" w:sz="0" w:space="0" w:color="auto"/>
                <w:bottom w:val="none" w:sz="0" w:space="0" w:color="auto"/>
                <w:right w:val="none" w:sz="0" w:space="0" w:color="auto"/>
              </w:divBdr>
            </w:div>
          </w:divsChild>
        </w:div>
        <w:div w:id="481040281">
          <w:marLeft w:val="0"/>
          <w:marRight w:val="0"/>
          <w:marTop w:val="0"/>
          <w:marBottom w:val="0"/>
          <w:divBdr>
            <w:top w:val="none" w:sz="0" w:space="0" w:color="auto"/>
            <w:left w:val="none" w:sz="0" w:space="0" w:color="auto"/>
            <w:bottom w:val="none" w:sz="0" w:space="0" w:color="auto"/>
            <w:right w:val="none" w:sz="0" w:space="0" w:color="auto"/>
          </w:divBdr>
          <w:divsChild>
            <w:div w:id="1214804400">
              <w:marLeft w:val="0"/>
              <w:marRight w:val="0"/>
              <w:marTop w:val="0"/>
              <w:marBottom w:val="0"/>
              <w:divBdr>
                <w:top w:val="none" w:sz="0" w:space="0" w:color="auto"/>
                <w:left w:val="none" w:sz="0" w:space="0" w:color="auto"/>
                <w:bottom w:val="none" w:sz="0" w:space="0" w:color="auto"/>
                <w:right w:val="none" w:sz="0" w:space="0" w:color="auto"/>
              </w:divBdr>
            </w:div>
          </w:divsChild>
        </w:div>
        <w:div w:id="686905610">
          <w:marLeft w:val="0"/>
          <w:marRight w:val="0"/>
          <w:marTop w:val="0"/>
          <w:marBottom w:val="0"/>
          <w:divBdr>
            <w:top w:val="none" w:sz="0" w:space="0" w:color="auto"/>
            <w:left w:val="none" w:sz="0" w:space="0" w:color="auto"/>
            <w:bottom w:val="none" w:sz="0" w:space="0" w:color="auto"/>
            <w:right w:val="none" w:sz="0" w:space="0" w:color="auto"/>
          </w:divBdr>
          <w:divsChild>
            <w:div w:id="782190876">
              <w:marLeft w:val="0"/>
              <w:marRight w:val="0"/>
              <w:marTop w:val="0"/>
              <w:marBottom w:val="0"/>
              <w:divBdr>
                <w:top w:val="none" w:sz="0" w:space="0" w:color="auto"/>
                <w:left w:val="none" w:sz="0" w:space="0" w:color="auto"/>
                <w:bottom w:val="none" w:sz="0" w:space="0" w:color="auto"/>
                <w:right w:val="none" w:sz="0" w:space="0" w:color="auto"/>
              </w:divBdr>
            </w:div>
            <w:div w:id="1736974155">
              <w:marLeft w:val="0"/>
              <w:marRight w:val="0"/>
              <w:marTop w:val="0"/>
              <w:marBottom w:val="0"/>
              <w:divBdr>
                <w:top w:val="none" w:sz="0" w:space="0" w:color="auto"/>
                <w:left w:val="none" w:sz="0" w:space="0" w:color="auto"/>
                <w:bottom w:val="none" w:sz="0" w:space="0" w:color="auto"/>
                <w:right w:val="none" w:sz="0" w:space="0" w:color="auto"/>
              </w:divBdr>
            </w:div>
          </w:divsChild>
        </w:div>
        <w:div w:id="795752861">
          <w:marLeft w:val="0"/>
          <w:marRight w:val="0"/>
          <w:marTop w:val="0"/>
          <w:marBottom w:val="0"/>
          <w:divBdr>
            <w:top w:val="none" w:sz="0" w:space="0" w:color="auto"/>
            <w:left w:val="none" w:sz="0" w:space="0" w:color="auto"/>
            <w:bottom w:val="none" w:sz="0" w:space="0" w:color="auto"/>
            <w:right w:val="none" w:sz="0" w:space="0" w:color="auto"/>
          </w:divBdr>
          <w:divsChild>
            <w:div w:id="1102263694">
              <w:marLeft w:val="0"/>
              <w:marRight w:val="0"/>
              <w:marTop w:val="0"/>
              <w:marBottom w:val="0"/>
              <w:divBdr>
                <w:top w:val="none" w:sz="0" w:space="0" w:color="auto"/>
                <w:left w:val="none" w:sz="0" w:space="0" w:color="auto"/>
                <w:bottom w:val="none" w:sz="0" w:space="0" w:color="auto"/>
                <w:right w:val="none" w:sz="0" w:space="0" w:color="auto"/>
              </w:divBdr>
            </w:div>
            <w:div w:id="1696073233">
              <w:marLeft w:val="0"/>
              <w:marRight w:val="0"/>
              <w:marTop w:val="0"/>
              <w:marBottom w:val="0"/>
              <w:divBdr>
                <w:top w:val="none" w:sz="0" w:space="0" w:color="auto"/>
                <w:left w:val="none" w:sz="0" w:space="0" w:color="auto"/>
                <w:bottom w:val="none" w:sz="0" w:space="0" w:color="auto"/>
                <w:right w:val="none" w:sz="0" w:space="0" w:color="auto"/>
              </w:divBdr>
            </w:div>
          </w:divsChild>
        </w:div>
        <w:div w:id="1561944734">
          <w:marLeft w:val="0"/>
          <w:marRight w:val="0"/>
          <w:marTop w:val="0"/>
          <w:marBottom w:val="0"/>
          <w:divBdr>
            <w:top w:val="none" w:sz="0" w:space="0" w:color="auto"/>
            <w:left w:val="none" w:sz="0" w:space="0" w:color="auto"/>
            <w:bottom w:val="none" w:sz="0" w:space="0" w:color="auto"/>
            <w:right w:val="none" w:sz="0" w:space="0" w:color="auto"/>
          </w:divBdr>
          <w:divsChild>
            <w:div w:id="924651676">
              <w:marLeft w:val="0"/>
              <w:marRight w:val="0"/>
              <w:marTop w:val="0"/>
              <w:marBottom w:val="0"/>
              <w:divBdr>
                <w:top w:val="none" w:sz="0" w:space="0" w:color="auto"/>
                <w:left w:val="none" w:sz="0" w:space="0" w:color="auto"/>
                <w:bottom w:val="none" w:sz="0" w:space="0" w:color="auto"/>
                <w:right w:val="none" w:sz="0" w:space="0" w:color="auto"/>
              </w:divBdr>
            </w:div>
          </w:divsChild>
        </w:div>
        <w:div w:id="1617173464">
          <w:marLeft w:val="0"/>
          <w:marRight w:val="0"/>
          <w:marTop w:val="0"/>
          <w:marBottom w:val="0"/>
          <w:divBdr>
            <w:top w:val="none" w:sz="0" w:space="0" w:color="auto"/>
            <w:left w:val="none" w:sz="0" w:space="0" w:color="auto"/>
            <w:bottom w:val="none" w:sz="0" w:space="0" w:color="auto"/>
            <w:right w:val="none" w:sz="0" w:space="0" w:color="auto"/>
          </w:divBdr>
          <w:divsChild>
            <w:div w:id="175191309">
              <w:marLeft w:val="0"/>
              <w:marRight w:val="0"/>
              <w:marTop w:val="0"/>
              <w:marBottom w:val="0"/>
              <w:divBdr>
                <w:top w:val="none" w:sz="0" w:space="0" w:color="auto"/>
                <w:left w:val="none" w:sz="0" w:space="0" w:color="auto"/>
                <w:bottom w:val="none" w:sz="0" w:space="0" w:color="auto"/>
                <w:right w:val="none" w:sz="0" w:space="0" w:color="auto"/>
              </w:divBdr>
            </w:div>
          </w:divsChild>
        </w:div>
        <w:div w:id="1734153692">
          <w:marLeft w:val="0"/>
          <w:marRight w:val="0"/>
          <w:marTop w:val="0"/>
          <w:marBottom w:val="0"/>
          <w:divBdr>
            <w:top w:val="none" w:sz="0" w:space="0" w:color="auto"/>
            <w:left w:val="none" w:sz="0" w:space="0" w:color="auto"/>
            <w:bottom w:val="none" w:sz="0" w:space="0" w:color="auto"/>
            <w:right w:val="none" w:sz="0" w:space="0" w:color="auto"/>
          </w:divBdr>
          <w:divsChild>
            <w:div w:id="1204363986">
              <w:marLeft w:val="0"/>
              <w:marRight w:val="0"/>
              <w:marTop w:val="0"/>
              <w:marBottom w:val="0"/>
              <w:divBdr>
                <w:top w:val="none" w:sz="0" w:space="0" w:color="auto"/>
                <w:left w:val="none" w:sz="0" w:space="0" w:color="auto"/>
                <w:bottom w:val="none" w:sz="0" w:space="0" w:color="auto"/>
                <w:right w:val="none" w:sz="0" w:space="0" w:color="auto"/>
              </w:divBdr>
            </w:div>
            <w:div w:id="16132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3134">
      <w:bodyDiv w:val="1"/>
      <w:marLeft w:val="0"/>
      <w:marRight w:val="0"/>
      <w:marTop w:val="0"/>
      <w:marBottom w:val="0"/>
      <w:divBdr>
        <w:top w:val="none" w:sz="0" w:space="0" w:color="auto"/>
        <w:left w:val="none" w:sz="0" w:space="0" w:color="auto"/>
        <w:bottom w:val="none" w:sz="0" w:space="0" w:color="auto"/>
        <w:right w:val="none" w:sz="0" w:space="0" w:color="auto"/>
      </w:divBdr>
    </w:div>
    <w:div w:id="2025008880">
      <w:bodyDiv w:val="1"/>
      <w:marLeft w:val="0"/>
      <w:marRight w:val="0"/>
      <w:marTop w:val="0"/>
      <w:marBottom w:val="0"/>
      <w:divBdr>
        <w:top w:val="none" w:sz="0" w:space="0" w:color="auto"/>
        <w:left w:val="none" w:sz="0" w:space="0" w:color="auto"/>
        <w:bottom w:val="none" w:sz="0" w:space="0" w:color="auto"/>
        <w:right w:val="none" w:sz="0" w:space="0" w:color="auto"/>
      </w:divBdr>
      <w:divsChild>
        <w:div w:id="278339780">
          <w:marLeft w:val="0"/>
          <w:marRight w:val="0"/>
          <w:marTop w:val="0"/>
          <w:marBottom w:val="0"/>
          <w:divBdr>
            <w:top w:val="none" w:sz="0" w:space="0" w:color="auto"/>
            <w:left w:val="none" w:sz="0" w:space="0" w:color="auto"/>
            <w:bottom w:val="none" w:sz="0" w:space="0" w:color="auto"/>
            <w:right w:val="none" w:sz="0" w:space="0" w:color="auto"/>
          </w:divBdr>
        </w:div>
        <w:div w:id="435903981">
          <w:marLeft w:val="0"/>
          <w:marRight w:val="0"/>
          <w:marTop w:val="0"/>
          <w:marBottom w:val="0"/>
          <w:divBdr>
            <w:top w:val="none" w:sz="0" w:space="0" w:color="auto"/>
            <w:left w:val="none" w:sz="0" w:space="0" w:color="auto"/>
            <w:bottom w:val="none" w:sz="0" w:space="0" w:color="auto"/>
            <w:right w:val="none" w:sz="0" w:space="0" w:color="auto"/>
          </w:divBdr>
        </w:div>
        <w:div w:id="848980573">
          <w:marLeft w:val="0"/>
          <w:marRight w:val="0"/>
          <w:marTop w:val="0"/>
          <w:marBottom w:val="0"/>
          <w:divBdr>
            <w:top w:val="none" w:sz="0" w:space="0" w:color="auto"/>
            <w:left w:val="none" w:sz="0" w:space="0" w:color="auto"/>
            <w:bottom w:val="none" w:sz="0" w:space="0" w:color="auto"/>
            <w:right w:val="none" w:sz="0" w:space="0" w:color="auto"/>
          </w:divBdr>
        </w:div>
      </w:divsChild>
    </w:div>
    <w:div w:id="2117363639">
      <w:bodyDiv w:val="1"/>
      <w:marLeft w:val="0"/>
      <w:marRight w:val="0"/>
      <w:marTop w:val="0"/>
      <w:marBottom w:val="0"/>
      <w:divBdr>
        <w:top w:val="none" w:sz="0" w:space="0" w:color="auto"/>
        <w:left w:val="none" w:sz="0" w:space="0" w:color="auto"/>
        <w:bottom w:val="none" w:sz="0" w:space="0" w:color="auto"/>
        <w:right w:val="none" w:sz="0" w:space="0" w:color="auto"/>
      </w:divBdr>
      <w:divsChild>
        <w:div w:id="494494363">
          <w:marLeft w:val="0"/>
          <w:marRight w:val="0"/>
          <w:marTop w:val="0"/>
          <w:marBottom w:val="0"/>
          <w:divBdr>
            <w:top w:val="none" w:sz="0" w:space="0" w:color="auto"/>
            <w:left w:val="none" w:sz="0" w:space="0" w:color="auto"/>
            <w:bottom w:val="none" w:sz="0" w:space="0" w:color="auto"/>
            <w:right w:val="none" w:sz="0" w:space="0" w:color="auto"/>
          </w:divBdr>
          <w:divsChild>
            <w:div w:id="227301143">
              <w:marLeft w:val="0"/>
              <w:marRight w:val="0"/>
              <w:marTop w:val="0"/>
              <w:marBottom w:val="0"/>
              <w:divBdr>
                <w:top w:val="none" w:sz="0" w:space="0" w:color="auto"/>
                <w:left w:val="none" w:sz="0" w:space="0" w:color="auto"/>
                <w:bottom w:val="none" w:sz="0" w:space="0" w:color="auto"/>
                <w:right w:val="none" w:sz="0" w:space="0" w:color="auto"/>
              </w:divBdr>
              <w:divsChild>
                <w:div w:id="1164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eorgeinstitute.org/sites/default/files/2020-05/state-of-food-supply-2020-report.pdf" TargetMode="External"/><Relationship Id="rId26" Type="http://schemas.openxmlformats.org/officeDocument/2006/relationships/hyperlink" Target="https://www.fda.gov/media/102587/download" TargetMode="External"/><Relationship Id="rId3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doi.org/10.1186/s12966-018-0705-1"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health.gov.au/internet/main/publishing.nsf/Content/healthy-food-partnership" TargetMode="External"/><Relationship Id="rId25" Type="http://schemas.openxmlformats.org/officeDocument/2006/relationships/hyperlink" Target="https://content.health.vic.gov.au/sites/default/files/migrated/files/collections/policies-and-guidelines/h/healthy-choices-food-and-drink-classification-guide-2020.pdf"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eventioncentre.org.au/wp-content/uploads/2017/08/22082017_Rapid-review_Portion-size_response.pdf" TargetMode="External"/><Relationship Id="rId29" Type="http://schemas.openxmlformats.org/officeDocument/2006/relationships/hyperlink" Target="https://www.igd.com/Portals/0/Downloads/Charitable%20Impact/Portion%20size/can-one-size-fit-al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s.gov.au/statistics/health/health-conditions-and-risks/australian-health-survey-nutrition-first-results-foods-and-nutrients/latest-release" TargetMode="External"/><Relationship Id="rId32" Type="http://schemas.openxmlformats.org/officeDocument/2006/relationships/hyperlink" Target="https://www.ibisworld.com/au/industry/biscuit-manufacturing/10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anada.ca/en/health-canada/services/technical-documents-labelling-requirements/table-reference-amounts-food.html" TargetMode="External"/><Relationship Id="rId28" Type="http://schemas.openxmlformats.org/officeDocument/2006/relationships/hyperlink" Target="https://assets.publishing.service.gov.uk/government/uploads/system/uploads/attachment_data/file/604336/Sugar_reduction_achieving_the_20_.pdf"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doi.org/10.1002/14651858.CD011045.pub2" TargetMode="External"/><Relationship Id="rId31" Type="http://schemas.openxmlformats.org/officeDocument/2006/relationships/hyperlink" Target="http://www.betreatwise.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gd.com/social-impact/health/reformulation/focus-areas/portion-size/setting-portion-size" TargetMode="External"/><Relationship Id="rId27" Type="http://schemas.openxmlformats.org/officeDocument/2006/relationships/hyperlink" Target="https://www.canada.ca/en/health-canada/services/technical-documents-labelling-requirements/table-reference-amounts-food.html" TargetMode="External"/><Relationship Id="rId30" Type="http://schemas.openxmlformats.org/officeDocument/2006/relationships/hyperlink" Target="https://www.euromonitor.com/soft-drinks-in-australia/report" TargetMode="Externa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betreatwise.info/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407af2e-3f9a-4cec-a92d-e1072daaff0d">
      <UserInfo>
        <DisplayName>PHILLIPS, Ellen</DisplayName>
        <AccountId>48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5934C1D747641BB41D14BD017123F" ma:contentTypeVersion="7" ma:contentTypeDescription="Create a new document." ma:contentTypeScope="" ma:versionID="8196dd4484659ca8a5940a3b4d0a0c5b">
  <xsd:schema xmlns:xsd="http://www.w3.org/2001/XMLSchema" xmlns:xs="http://www.w3.org/2001/XMLSchema" xmlns:p="http://schemas.microsoft.com/office/2006/metadata/properties" xmlns:ns2="2b66aa01-0ab0-4f9f-8965-639376a97469" xmlns:ns3="5407af2e-3f9a-4cec-a92d-e1072daaff0d" targetNamespace="http://schemas.microsoft.com/office/2006/metadata/properties" ma:root="true" ma:fieldsID="09044083b4559095f9fc57c109d27459" ns2:_="" ns3:_="">
    <xsd:import namespace="2b66aa01-0ab0-4f9f-8965-639376a97469"/>
    <xsd:import namespace="5407af2e-3f9a-4cec-a92d-e1072daaf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aa01-0ab0-4f9f-8965-639376a97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7af2e-3f9a-4cec-a92d-e1072daaff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958CF-2D93-4857-8F01-57EE75B941EC}">
  <ds:schemaRefs>
    <ds:schemaRef ds:uri="http://schemas.microsoft.com/sharepoint/v3/contenttype/forms"/>
  </ds:schemaRefs>
</ds:datastoreItem>
</file>

<file path=customXml/itemProps2.xml><?xml version="1.0" encoding="utf-8"?>
<ds:datastoreItem xmlns:ds="http://schemas.openxmlformats.org/officeDocument/2006/customXml" ds:itemID="{19C54AF8-C128-4788-95F7-F3EF67FB8848}">
  <ds:schemaRefs>
    <ds:schemaRef ds:uri="http://schemas.openxmlformats.org/officeDocument/2006/bibliography"/>
  </ds:schemaRefs>
</ds:datastoreItem>
</file>

<file path=customXml/itemProps3.xml><?xml version="1.0" encoding="utf-8"?>
<ds:datastoreItem xmlns:ds="http://schemas.openxmlformats.org/officeDocument/2006/customXml" ds:itemID="{6A777CB5-7F14-4A89-8F28-014DE6E2A894}">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5407af2e-3f9a-4cec-a92d-e1072daaff0d"/>
    <ds:schemaRef ds:uri="2b66aa01-0ab0-4f9f-8965-639376a97469"/>
    <ds:schemaRef ds:uri="http://purl.org/dc/dcmitype/"/>
  </ds:schemaRefs>
</ds:datastoreItem>
</file>

<file path=customXml/itemProps4.xml><?xml version="1.0" encoding="utf-8"?>
<ds:datastoreItem xmlns:ds="http://schemas.openxmlformats.org/officeDocument/2006/customXml" ds:itemID="{FC5310BD-3235-492C-A83B-6F5B7DDB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aa01-0ab0-4f9f-8965-639376a97469"/>
    <ds:schemaRef ds:uri="5407af2e-3f9a-4cec-a92d-e1072daaf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53</Pages>
  <Words>15682</Words>
  <Characters>95340</Characters>
  <Application>Microsoft Office Word</Application>
  <DocSecurity>0</DocSecurity>
  <Lines>2724</Lines>
  <Paragraphs>1156</Paragraphs>
  <ScaleCrop>false</ScaleCrop>
  <HeadingPairs>
    <vt:vector size="2" baseType="variant">
      <vt:variant>
        <vt:lpstr>Title</vt:lpstr>
      </vt:variant>
      <vt:variant>
        <vt:i4>1</vt:i4>
      </vt:variant>
    </vt:vector>
  </HeadingPairs>
  <TitlesOfParts>
    <vt:vector size="1" baseType="lpstr">
      <vt:lpstr>Rationale - Industry Guide to Voluntary Serving Size Reduction</vt:lpstr>
    </vt:vector>
  </TitlesOfParts>
  <Manager/>
  <Company/>
  <LinksUpToDate>false</LinksUpToDate>
  <CharactersWithSpaces>109866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Rationale - Industry Guide to Voluntary Serving Size Reduction</dc:title>
  <dc:subject>Food and nutrition</dc:subject>
  <dc:creator>Australian Government Department of Health and Aged Care</dc:creator>
  <cp:keywords>healthy food partnership; portion size; food</cp:keywords>
  <dc:description/>
  <cp:lastModifiedBy>ARNOLD, Max</cp:lastModifiedBy>
  <cp:revision>7</cp:revision>
  <cp:lastPrinted>2022-07-11T23:25:00Z</cp:lastPrinted>
  <dcterms:created xsi:type="dcterms:W3CDTF">2022-12-20T06:10:00Z</dcterms:created>
  <dcterms:modified xsi:type="dcterms:W3CDTF">2023-04-14T00:25:00Z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0x0101006C85934C1D747641BB41D14BD017123F</vt:lpwstr>
  </property>
  <property fmtid="{D5CDD505-2E9C-101B-9397-08002B2CF9AE}" pid="3" name="MSIP_Label_1ada0a2f-b917-4d51-b0d0-d418a10c8b23_Enabled">
    <vt:lpwstr>true</vt:lpwstr>
  </property>
  <property fmtid="{D5CDD505-2E9C-101B-9397-08002B2CF9AE}" pid="4" name="MSIP_Label_1ada0a2f-b917-4d51-b0d0-d418a10c8b23_SetDate">
    <vt:lpwstr>2021-01-17T02:11:12Z</vt:lpwstr>
  </property>
  <property fmtid="{D5CDD505-2E9C-101B-9397-08002B2CF9AE}" pid="5" name="MSIP_Label_1ada0a2f-b917-4d51-b0d0-d418a10c8b23_Method">
    <vt:lpwstr>Standard</vt:lpwstr>
  </property>
  <property fmtid="{D5CDD505-2E9C-101B-9397-08002B2CF9AE}" pid="6" name="MSIP_Label_1ada0a2f-b917-4d51-b0d0-d418a10c8b23_Name">
    <vt:lpwstr>1ada0a2f-b917-4d51-b0d0-d418a10c8b23</vt:lpwstr>
  </property>
  <property fmtid="{D5CDD505-2E9C-101B-9397-08002B2CF9AE}" pid="7" name="MSIP_Label_1ada0a2f-b917-4d51-b0d0-d418a10c8b23_SiteId">
    <vt:lpwstr>12a3af23-a769-4654-847f-958f3d479f4a</vt:lpwstr>
  </property>
  <property fmtid="{D5CDD505-2E9C-101B-9397-08002B2CF9AE}" pid="8" name="MSIP_Label_1ada0a2f-b917-4d51-b0d0-d418a10c8b23_ActionId">
    <vt:lpwstr>647cce99-be9d-43b5-ad1f-88bdbeb690fb</vt:lpwstr>
  </property>
  <property fmtid="{D5CDD505-2E9C-101B-9397-08002B2CF9AE}" pid="9" name="MSIP_Label_1ada0a2f-b917-4d51-b0d0-d418a10c8b23_ContentBits">
    <vt:lpwstr>0</vt:lpwstr>
  </property>
</Properties>
</file>